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D3A0671" w14:textId="5F405C3A" w:rsidR="00ED3A09" w:rsidRPr="00070029" w:rsidRDefault="00ED3A09" w:rsidP="00ED3A09">
      <w:pPr>
        <w:rPr>
          <w:rFonts w:ascii="Arial" w:hAnsi="Arial" w:cs="Arial"/>
          <w:sz w:val="28"/>
          <w:szCs w:val="28"/>
        </w:rPr>
      </w:pPr>
      <w:r w:rsidRPr="00070029">
        <w:rPr>
          <w:rFonts w:ascii="Arial" w:hAnsi="Arial" w:cs="Arial"/>
          <w:b/>
          <w:bCs/>
          <w:sz w:val="28"/>
          <w:szCs w:val="28"/>
        </w:rPr>
        <w:t>Module:</w:t>
      </w:r>
      <w:r w:rsidRPr="00070029">
        <w:rPr>
          <w:rFonts w:ascii="Arial" w:hAnsi="Arial" w:cs="Arial"/>
          <w:sz w:val="28"/>
          <w:szCs w:val="28"/>
        </w:rPr>
        <w:t xml:space="preserve"> </w:t>
      </w:r>
      <w:r w:rsidRPr="00070029">
        <w:rPr>
          <w:rFonts w:ascii="Arial" w:hAnsi="Arial" w:cs="Arial"/>
          <w:bCs/>
          <w:sz w:val="28"/>
          <w:szCs w:val="28"/>
        </w:rPr>
        <w:t xml:space="preserve">Introduction to Independent Research Skills </w:t>
      </w:r>
    </w:p>
    <w:p w14:paraId="34D9687B" w14:textId="77777777" w:rsidR="00ED3A09" w:rsidRPr="00070029" w:rsidRDefault="00ED3A09" w:rsidP="00ED3A09">
      <w:pPr>
        <w:rPr>
          <w:rFonts w:ascii="Arial" w:hAnsi="Arial" w:cs="Arial"/>
          <w:b/>
          <w:bCs/>
          <w:sz w:val="28"/>
          <w:szCs w:val="28"/>
        </w:rPr>
      </w:pPr>
    </w:p>
    <w:p w14:paraId="01564DA6" w14:textId="77777777" w:rsidR="00070029" w:rsidRPr="00070029" w:rsidRDefault="00070029" w:rsidP="00ED3A09">
      <w:pPr>
        <w:rPr>
          <w:rFonts w:ascii="Arial" w:hAnsi="Arial" w:cs="Arial"/>
          <w:b/>
          <w:bCs/>
          <w:sz w:val="28"/>
          <w:szCs w:val="28"/>
        </w:rPr>
      </w:pPr>
    </w:p>
    <w:p w14:paraId="20DB54B5" w14:textId="77777777" w:rsidR="00070029" w:rsidRDefault="00070029" w:rsidP="00ED3A09">
      <w:pPr>
        <w:rPr>
          <w:rFonts w:ascii="Arial" w:hAnsi="Arial" w:cs="Arial"/>
          <w:b/>
          <w:bCs/>
          <w:sz w:val="28"/>
          <w:szCs w:val="28"/>
        </w:rPr>
      </w:pPr>
    </w:p>
    <w:p w14:paraId="032EB67C" w14:textId="2F606A50" w:rsidR="00ED3A09" w:rsidRPr="00070029" w:rsidRDefault="00ED3A09" w:rsidP="00ED3A09">
      <w:pPr>
        <w:rPr>
          <w:rFonts w:ascii="Arial" w:hAnsi="Arial" w:cs="Arial"/>
          <w:sz w:val="28"/>
          <w:szCs w:val="28"/>
        </w:rPr>
      </w:pPr>
      <w:r w:rsidRPr="00070029">
        <w:rPr>
          <w:rFonts w:ascii="Arial" w:hAnsi="Arial" w:cs="Arial"/>
          <w:b/>
          <w:bCs/>
          <w:sz w:val="28"/>
          <w:szCs w:val="28"/>
        </w:rPr>
        <w:t>Module code:</w:t>
      </w:r>
      <w:r w:rsidRPr="00070029">
        <w:rPr>
          <w:rFonts w:ascii="Arial" w:hAnsi="Arial" w:cs="Arial"/>
          <w:sz w:val="28"/>
          <w:szCs w:val="28"/>
        </w:rPr>
        <w:t xml:space="preserve"> BMHP5019_BIRM</w:t>
      </w:r>
    </w:p>
    <w:p w14:paraId="55E7F1C3" w14:textId="77777777" w:rsidR="004639FE" w:rsidRPr="00070029" w:rsidRDefault="004639FE">
      <w:pPr>
        <w:rPr>
          <w:rFonts w:ascii="Arial" w:hAnsi="Arial" w:cs="Arial"/>
          <w:b/>
          <w:bCs/>
          <w:sz w:val="28"/>
          <w:szCs w:val="28"/>
        </w:rPr>
      </w:pPr>
    </w:p>
    <w:p w14:paraId="5B88A01D" w14:textId="77777777" w:rsidR="00070029" w:rsidRPr="00070029" w:rsidRDefault="00070029" w:rsidP="00ED3A09">
      <w:pPr>
        <w:rPr>
          <w:rFonts w:ascii="Arial" w:hAnsi="Arial" w:cs="Arial"/>
          <w:b/>
          <w:bCs/>
          <w:sz w:val="28"/>
          <w:szCs w:val="28"/>
        </w:rPr>
      </w:pPr>
    </w:p>
    <w:p w14:paraId="4AA1BB5E" w14:textId="77777777" w:rsidR="00070029" w:rsidRDefault="00070029" w:rsidP="00ED3A09">
      <w:pPr>
        <w:rPr>
          <w:rFonts w:ascii="Arial" w:hAnsi="Arial" w:cs="Arial"/>
          <w:b/>
          <w:bCs/>
          <w:sz w:val="28"/>
          <w:szCs w:val="28"/>
        </w:rPr>
      </w:pPr>
    </w:p>
    <w:p w14:paraId="0700B643" w14:textId="194D6ED6" w:rsidR="00070029" w:rsidRPr="00070029" w:rsidRDefault="009F6201" w:rsidP="00ED3A09">
      <w:pPr>
        <w:rPr>
          <w:rFonts w:ascii="Arial" w:hAnsi="Arial" w:cs="Arial"/>
          <w:sz w:val="28"/>
          <w:szCs w:val="28"/>
        </w:rPr>
      </w:pPr>
      <w:r w:rsidRPr="00070029">
        <w:rPr>
          <w:rFonts w:ascii="Arial" w:hAnsi="Arial" w:cs="Arial"/>
          <w:b/>
          <w:bCs/>
          <w:sz w:val="28"/>
          <w:szCs w:val="28"/>
        </w:rPr>
        <w:t>Assessment title</w:t>
      </w:r>
      <w:r w:rsidRPr="00070029">
        <w:rPr>
          <w:rFonts w:ascii="Arial" w:hAnsi="Arial" w:cs="Arial"/>
          <w:sz w:val="28"/>
          <w:szCs w:val="28"/>
        </w:rPr>
        <w:t xml:space="preserve">: Patient experiences of access to remote GP consultations in the UK: </w:t>
      </w:r>
      <w:r w:rsidR="00070029" w:rsidRPr="00070029">
        <w:rPr>
          <w:rFonts w:ascii="Arial" w:hAnsi="Arial" w:cs="Arial"/>
          <w:sz w:val="28"/>
          <w:szCs w:val="28"/>
        </w:rPr>
        <w:t xml:space="preserve">A Scoping Review </w:t>
      </w:r>
    </w:p>
    <w:p w14:paraId="22E54D0A" w14:textId="77777777" w:rsidR="00070029" w:rsidRPr="00070029" w:rsidRDefault="00070029" w:rsidP="00ED3A09">
      <w:pPr>
        <w:rPr>
          <w:rFonts w:ascii="Arial" w:hAnsi="Arial" w:cs="Arial"/>
          <w:b/>
          <w:bCs/>
          <w:sz w:val="28"/>
          <w:szCs w:val="28"/>
        </w:rPr>
      </w:pPr>
    </w:p>
    <w:p w14:paraId="63A988E5" w14:textId="77777777" w:rsidR="00070029" w:rsidRPr="00070029" w:rsidRDefault="00070029" w:rsidP="00ED3A09">
      <w:pPr>
        <w:rPr>
          <w:rFonts w:ascii="Arial" w:hAnsi="Arial" w:cs="Arial"/>
          <w:b/>
          <w:bCs/>
          <w:sz w:val="28"/>
          <w:szCs w:val="28"/>
        </w:rPr>
      </w:pPr>
    </w:p>
    <w:p w14:paraId="795DB79F" w14:textId="77777777" w:rsidR="00070029" w:rsidRDefault="00070029" w:rsidP="00ED3A09">
      <w:pPr>
        <w:rPr>
          <w:rFonts w:ascii="Arial" w:hAnsi="Arial" w:cs="Arial"/>
          <w:b/>
          <w:bCs/>
          <w:sz w:val="28"/>
          <w:szCs w:val="28"/>
        </w:rPr>
      </w:pPr>
    </w:p>
    <w:p w14:paraId="5FEFABB6" w14:textId="399DE4C2" w:rsidR="009F6201" w:rsidRPr="00070029" w:rsidRDefault="009F6201" w:rsidP="00ED3A09">
      <w:pPr>
        <w:rPr>
          <w:rFonts w:ascii="Arial" w:hAnsi="Arial" w:cs="Arial"/>
          <w:sz w:val="28"/>
          <w:szCs w:val="28"/>
        </w:rPr>
      </w:pPr>
      <w:r w:rsidRPr="00070029">
        <w:rPr>
          <w:rFonts w:ascii="Arial" w:hAnsi="Arial" w:cs="Arial"/>
          <w:b/>
          <w:bCs/>
          <w:sz w:val="28"/>
          <w:szCs w:val="28"/>
        </w:rPr>
        <w:t>Student Number</w:t>
      </w:r>
      <w:r w:rsidRPr="00070029">
        <w:rPr>
          <w:rFonts w:ascii="Arial" w:hAnsi="Arial" w:cs="Arial"/>
          <w:sz w:val="28"/>
          <w:szCs w:val="28"/>
        </w:rPr>
        <w:t xml:space="preserve">: 2426673 </w:t>
      </w:r>
    </w:p>
    <w:p w14:paraId="0FF37BCF" w14:textId="77777777" w:rsidR="00070029" w:rsidRPr="00070029" w:rsidRDefault="00070029" w:rsidP="00ED3A09">
      <w:pPr>
        <w:rPr>
          <w:rFonts w:ascii="Arial" w:hAnsi="Arial" w:cs="Arial"/>
          <w:sz w:val="28"/>
          <w:szCs w:val="28"/>
        </w:rPr>
      </w:pPr>
    </w:p>
    <w:p w14:paraId="13587AB1" w14:textId="77777777" w:rsidR="00070029" w:rsidRPr="00070029" w:rsidRDefault="00070029" w:rsidP="00070029">
      <w:pPr>
        <w:rPr>
          <w:rFonts w:ascii="Arial" w:hAnsi="Arial" w:cs="Arial"/>
          <w:sz w:val="28"/>
          <w:szCs w:val="28"/>
        </w:rPr>
      </w:pPr>
    </w:p>
    <w:p w14:paraId="627A2D80" w14:textId="77777777" w:rsidR="00070029" w:rsidRPr="00070029" w:rsidRDefault="00070029" w:rsidP="00070029">
      <w:pPr>
        <w:rPr>
          <w:rFonts w:ascii="Arial" w:hAnsi="Arial" w:cs="Arial"/>
          <w:b/>
          <w:bCs/>
          <w:sz w:val="28"/>
          <w:szCs w:val="28"/>
        </w:rPr>
      </w:pPr>
    </w:p>
    <w:p w14:paraId="44678B2D" w14:textId="79F5B6FE" w:rsidR="00070029" w:rsidRPr="00070029" w:rsidRDefault="00070029" w:rsidP="00070029">
      <w:pPr>
        <w:rPr>
          <w:rFonts w:ascii="Arial" w:hAnsi="Arial" w:cs="Arial"/>
          <w:sz w:val="28"/>
          <w:szCs w:val="28"/>
        </w:rPr>
      </w:pPr>
      <w:r w:rsidRPr="00070029">
        <w:rPr>
          <w:rFonts w:ascii="Arial" w:hAnsi="Arial" w:cs="Arial"/>
          <w:b/>
          <w:bCs/>
          <w:sz w:val="28"/>
          <w:szCs w:val="28"/>
        </w:rPr>
        <w:t>Student Name:</w:t>
      </w:r>
      <w:r w:rsidRPr="00070029">
        <w:rPr>
          <w:rFonts w:ascii="Arial" w:hAnsi="Arial" w:cs="Arial"/>
          <w:sz w:val="28"/>
          <w:szCs w:val="28"/>
        </w:rPr>
        <w:t xml:space="preserve"> Portia Amankonah </w:t>
      </w:r>
    </w:p>
    <w:p w14:paraId="038152F7" w14:textId="77777777" w:rsidR="00070029" w:rsidRPr="00070029" w:rsidRDefault="00070029" w:rsidP="00ED3A09">
      <w:pPr>
        <w:rPr>
          <w:rFonts w:ascii="Arial" w:hAnsi="Arial" w:cs="Arial"/>
          <w:sz w:val="28"/>
          <w:szCs w:val="28"/>
        </w:rPr>
      </w:pPr>
    </w:p>
    <w:p w14:paraId="01BB015E" w14:textId="77777777" w:rsidR="00070029" w:rsidRPr="00070029" w:rsidRDefault="00070029" w:rsidP="004639FE">
      <w:pPr>
        <w:rPr>
          <w:rFonts w:ascii="Arial" w:hAnsi="Arial" w:cs="Arial"/>
          <w:sz w:val="28"/>
          <w:szCs w:val="28"/>
        </w:rPr>
      </w:pPr>
    </w:p>
    <w:p w14:paraId="518B7BD3" w14:textId="77777777" w:rsidR="00070029" w:rsidRPr="00070029" w:rsidRDefault="00070029" w:rsidP="004639FE">
      <w:pPr>
        <w:rPr>
          <w:rFonts w:ascii="Arial" w:hAnsi="Arial" w:cs="Arial"/>
          <w:b/>
          <w:bCs/>
          <w:sz w:val="28"/>
          <w:szCs w:val="28"/>
        </w:rPr>
      </w:pPr>
    </w:p>
    <w:p w14:paraId="1ABAE7C0" w14:textId="043071D4" w:rsidR="004639FE" w:rsidRPr="00ED3A09" w:rsidRDefault="009F6201" w:rsidP="004639FE">
      <w:r w:rsidRPr="00070029">
        <w:rPr>
          <w:rFonts w:ascii="Arial" w:hAnsi="Arial" w:cs="Arial"/>
          <w:b/>
          <w:bCs/>
          <w:sz w:val="28"/>
          <w:szCs w:val="28"/>
        </w:rPr>
        <w:t>Lecturer:</w:t>
      </w:r>
      <w:r w:rsidRPr="00070029">
        <w:rPr>
          <w:rFonts w:ascii="Arial" w:hAnsi="Arial" w:cs="Arial"/>
          <w:sz w:val="28"/>
          <w:szCs w:val="28"/>
        </w:rPr>
        <w:t xml:space="preserve"> Precious </w:t>
      </w:r>
      <w:proofErr w:type="spellStart"/>
      <w:r w:rsidR="004639FE" w:rsidRPr="00070029">
        <w:rPr>
          <w:rFonts w:ascii="Arial" w:hAnsi="Arial" w:cs="Arial"/>
          <w:sz w:val="28"/>
          <w:szCs w:val="28"/>
        </w:rPr>
        <w:t>Igbinigie</w:t>
      </w:r>
      <w:proofErr w:type="spellEnd"/>
      <w:r w:rsidR="004639FE" w:rsidRPr="00ED3A09">
        <w:t xml:space="preserve"> </w:t>
      </w:r>
      <w:r w:rsidRPr="00ED3A09">
        <w:br/>
      </w:r>
    </w:p>
    <w:p w14:paraId="1A3223B0" w14:textId="77777777" w:rsidR="00070029" w:rsidRDefault="00070029"/>
    <w:p w14:paraId="73582A37" w14:textId="77777777" w:rsidR="009F6201" w:rsidRDefault="009F6201"/>
    <w:p w14:paraId="12662900" w14:textId="77777777" w:rsidR="009F6201" w:rsidRDefault="009F6201"/>
    <w:p w14:paraId="46AF7328" w14:textId="77777777" w:rsidR="009F6201" w:rsidRDefault="009F6201"/>
    <w:p w14:paraId="70F35E4D" w14:textId="77777777" w:rsidR="00070029" w:rsidRDefault="00070029" w:rsidP="009F6201"/>
    <w:p w14:paraId="2AA9FC80" w14:textId="148815A9" w:rsidR="009F6201" w:rsidRPr="00536AA8" w:rsidRDefault="009F6201" w:rsidP="009F6201">
      <w:pPr>
        <w:rPr>
          <w:rFonts w:ascii="Arial" w:hAnsi="Arial" w:cs="Arial"/>
          <w:sz w:val="36"/>
          <w:szCs w:val="36"/>
        </w:rPr>
      </w:pPr>
      <w:r w:rsidRPr="00536AA8">
        <w:rPr>
          <w:rFonts w:ascii="Arial" w:hAnsi="Arial" w:cs="Arial"/>
          <w:b/>
          <w:bCs/>
          <w:sz w:val="36"/>
          <w:szCs w:val="36"/>
        </w:rPr>
        <w:lastRenderedPageBreak/>
        <w:t xml:space="preserve">Patient </w:t>
      </w:r>
      <w:r w:rsidR="004639FE" w:rsidRPr="00536AA8">
        <w:rPr>
          <w:rFonts w:ascii="Arial" w:hAnsi="Arial" w:cs="Arial"/>
          <w:b/>
          <w:bCs/>
          <w:sz w:val="36"/>
          <w:szCs w:val="36"/>
        </w:rPr>
        <w:t xml:space="preserve">Experiences of Access to Remote </w:t>
      </w:r>
      <w:r w:rsidRPr="00536AA8">
        <w:rPr>
          <w:rFonts w:ascii="Arial" w:hAnsi="Arial" w:cs="Arial"/>
          <w:b/>
          <w:bCs/>
          <w:sz w:val="36"/>
          <w:szCs w:val="36"/>
        </w:rPr>
        <w:t xml:space="preserve">GP </w:t>
      </w:r>
      <w:r w:rsidR="004639FE" w:rsidRPr="00536AA8">
        <w:rPr>
          <w:rFonts w:ascii="Arial" w:hAnsi="Arial" w:cs="Arial"/>
          <w:b/>
          <w:bCs/>
          <w:sz w:val="36"/>
          <w:szCs w:val="36"/>
        </w:rPr>
        <w:t xml:space="preserve">Consultations </w:t>
      </w:r>
      <w:r w:rsidR="003D49F5" w:rsidRPr="00536AA8">
        <w:rPr>
          <w:rFonts w:ascii="Arial" w:hAnsi="Arial" w:cs="Arial"/>
          <w:b/>
          <w:bCs/>
          <w:sz w:val="36"/>
          <w:szCs w:val="36"/>
        </w:rPr>
        <w:t>in</w:t>
      </w:r>
      <w:r w:rsidR="004639FE" w:rsidRPr="00536AA8">
        <w:rPr>
          <w:rFonts w:ascii="Arial" w:hAnsi="Arial" w:cs="Arial"/>
          <w:b/>
          <w:bCs/>
          <w:sz w:val="36"/>
          <w:szCs w:val="36"/>
        </w:rPr>
        <w:t xml:space="preserve"> </w:t>
      </w:r>
      <w:r w:rsidR="00402A93" w:rsidRPr="00536AA8">
        <w:rPr>
          <w:rFonts w:ascii="Arial" w:hAnsi="Arial" w:cs="Arial"/>
          <w:b/>
          <w:bCs/>
          <w:sz w:val="36"/>
          <w:szCs w:val="36"/>
        </w:rPr>
        <w:t>the</w:t>
      </w:r>
      <w:r w:rsidR="004639FE" w:rsidRPr="00536AA8">
        <w:rPr>
          <w:rFonts w:ascii="Arial" w:hAnsi="Arial" w:cs="Arial"/>
          <w:b/>
          <w:bCs/>
          <w:sz w:val="36"/>
          <w:szCs w:val="36"/>
        </w:rPr>
        <w:t xml:space="preserve"> </w:t>
      </w:r>
      <w:r w:rsidRPr="00536AA8">
        <w:rPr>
          <w:rFonts w:ascii="Arial" w:hAnsi="Arial" w:cs="Arial"/>
          <w:b/>
          <w:bCs/>
          <w:sz w:val="36"/>
          <w:szCs w:val="36"/>
        </w:rPr>
        <w:t>UK</w:t>
      </w:r>
      <w:r w:rsidR="004639FE" w:rsidRPr="00536AA8">
        <w:rPr>
          <w:rFonts w:ascii="Arial" w:hAnsi="Arial" w:cs="Arial"/>
          <w:b/>
          <w:bCs/>
          <w:sz w:val="36"/>
          <w:szCs w:val="36"/>
        </w:rPr>
        <w:t>: A Scoping Review</w:t>
      </w:r>
    </w:p>
    <w:p w14:paraId="54AF1DEE" w14:textId="77777777" w:rsidR="00366A44" w:rsidRDefault="00366A44" w:rsidP="00366A44">
      <w:pPr>
        <w:spacing w:line="276" w:lineRule="auto"/>
        <w:rPr>
          <w:rFonts w:ascii="Arial" w:hAnsi="Arial" w:cs="Arial"/>
          <w:b/>
          <w:bCs/>
          <w:sz w:val="32"/>
          <w:szCs w:val="32"/>
        </w:rPr>
      </w:pPr>
    </w:p>
    <w:p w14:paraId="297D9099" w14:textId="181E1242" w:rsidR="00366A44" w:rsidRPr="00536AA8" w:rsidRDefault="00366A44" w:rsidP="00366A44">
      <w:pPr>
        <w:spacing w:line="276" w:lineRule="auto"/>
        <w:rPr>
          <w:rFonts w:ascii="Arial" w:hAnsi="Arial" w:cs="Arial"/>
          <w:b/>
          <w:bCs/>
          <w:sz w:val="28"/>
          <w:szCs w:val="28"/>
        </w:rPr>
      </w:pPr>
      <w:r w:rsidRPr="00536AA8">
        <w:rPr>
          <w:rFonts w:ascii="Arial" w:hAnsi="Arial" w:cs="Arial"/>
          <w:b/>
          <w:bCs/>
          <w:sz w:val="28"/>
          <w:szCs w:val="28"/>
        </w:rPr>
        <w:t>Topic, review question and objectives</w:t>
      </w:r>
    </w:p>
    <w:p w14:paraId="5120FED8" w14:textId="77777777" w:rsidR="00366A44" w:rsidRPr="00366A44" w:rsidRDefault="00366A44" w:rsidP="00366A44">
      <w:pPr>
        <w:spacing w:line="276" w:lineRule="auto"/>
        <w:rPr>
          <w:rFonts w:ascii="Arial" w:hAnsi="Arial" w:cs="Arial"/>
          <w:sz w:val="23"/>
          <w:szCs w:val="23"/>
        </w:rPr>
      </w:pPr>
      <w:r w:rsidRPr="00366A44">
        <w:rPr>
          <w:rFonts w:ascii="Arial" w:hAnsi="Arial" w:cs="Arial"/>
          <w:sz w:val="23"/>
          <w:szCs w:val="23"/>
        </w:rPr>
        <w:t>This scoping review asks: “What barriers and facilitators to accessing remote GP consultations are reported by adult patients in the UK?” It will bring together patient experiences, compare consultation types and patient groups, and identify evidence gaps to inform more inclusive practice.</w:t>
      </w:r>
    </w:p>
    <w:p w14:paraId="79DD8652" w14:textId="77777777" w:rsidR="00366A44" w:rsidRPr="00536AA8" w:rsidRDefault="00366A44" w:rsidP="00366A44">
      <w:pPr>
        <w:spacing w:line="276" w:lineRule="auto"/>
        <w:rPr>
          <w:rFonts w:ascii="Arial" w:hAnsi="Arial" w:cs="Arial"/>
          <w:b/>
          <w:bCs/>
          <w:sz w:val="28"/>
          <w:szCs w:val="28"/>
        </w:rPr>
      </w:pPr>
      <w:r w:rsidRPr="00536AA8">
        <w:rPr>
          <w:rFonts w:ascii="Arial" w:hAnsi="Arial" w:cs="Arial"/>
          <w:b/>
          <w:bCs/>
          <w:sz w:val="28"/>
          <w:szCs w:val="28"/>
        </w:rPr>
        <w:t>Background and rationale</w:t>
      </w:r>
    </w:p>
    <w:p w14:paraId="42770089" w14:textId="77777777" w:rsidR="00366A44" w:rsidRPr="00366A44" w:rsidRDefault="00366A44" w:rsidP="00366A44">
      <w:pPr>
        <w:spacing w:line="276" w:lineRule="auto"/>
        <w:rPr>
          <w:rFonts w:ascii="Arial" w:hAnsi="Arial" w:cs="Arial"/>
          <w:sz w:val="23"/>
          <w:szCs w:val="23"/>
        </w:rPr>
      </w:pPr>
      <w:r w:rsidRPr="00366A44">
        <w:rPr>
          <w:rFonts w:ascii="Arial" w:hAnsi="Arial" w:cs="Arial"/>
          <w:sz w:val="23"/>
          <w:szCs w:val="23"/>
        </w:rPr>
        <w:t>Telephone, video and online consultations allow patients to receive care without attending a surgery. Their use expanded rapidly during COVID-19, making patients’ experiences of these services an important consideration for UK general practice (de Visser et al., 2024). PMC</w:t>
      </w:r>
    </w:p>
    <w:p w14:paraId="6A5C4E46" w14:textId="77777777" w:rsidR="00366A44" w:rsidRPr="00366A44" w:rsidRDefault="00366A44" w:rsidP="00366A44">
      <w:pPr>
        <w:spacing w:line="276" w:lineRule="auto"/>
        <w:rPr>
          <w:rFonts w:ascii="Arial" w:hAnsi="Arial" w:cs="Arial"/>
          <w:sz w:val="23"/>
          <w:szCs w:val="23"/>
        </w:rPr>
      </w:pPr>
      <w:r w:rsidRPr="00366A44">
        <w:rPr>
          <w:rFonts w:ascii="Arial" w:hAnsi="Arial" w:cs="Arial"/>
          <w:sz w:val="23"/>
          <w:szCs w:val="23"/>
        </w:rPr>
        <w:t xml:space="preserve">Although convenience is a potential benefit, it does not necessarily mean that everyone can access care equally. De Visser et al. (2024) identified difficulties with technology, communication and privacy alongside positive experiences. Verity and </w:t>
      </w:r>
      <w:proofErr w:type="spellStart"/>
      <w:r w:rsidRPr="00366A44">
        <w:rPr>
          <w:rFonts w:ascii="Arial" w:hAnsi="Arial" w:cs="Arial"/>
          <w:sz w:val="23"/>
          <w:szCs w:val="23"/>
        </w:rPr>
        <w:t>Tzortziou</w:t>
      </w:r>
      <w:proofErr w:type="spellEnd"/>
      <w:r w:rsidRPr="00366A44">
        <w:rPr>
          <w:rFonts w:ascii="Arial" w:hAnsi="Arial" w:cs="Arial"/>
          <w:sz w:val="23"/>
          <w:szCs w:val="23"/>
        </w:rPr>
        <w:t xml:space="preserve"> Brown (2023) similarly reported time-saving benefits, but highlighted language barriers and digital exclusion among socially excluded patients. Humphrey et al. (2025) extends this discussion by showing how unpredictable call times made arranging privacy difficult for marginalised patients. These studies suggest that improving access requires attention to patients’ circumstances as well as the technology provided.</w:t>
      </w:r>
    </w:p>
    <w:p w14:paraId="7233D0B5" w14:textId="77777777" w:rsidR="00366A44" w:rsidRPr="00366A44" w:rsidRDefault="00366A44" w:rsidP="00366A44">
      <w:pPr>
        <w:spacing w:line="276" w:lineRule="auto"/>
        <w:rPr>
          <w:rFonts w:ascii="Arial" w:hAnsi="Arial" w:cs="Arial"/>
          <w:sz w:val="23"/>
          <w:szCs w:val="23"/>
        </w:rPr>
      </w:pPr>
      <w:r w:rsidRPr="00366A44">
        <w:rPr>
          <w:rFonts w:ascii="Arial" w:hAnsi="Arial" w:cs="Arial"/>
          <w:sz w:val="23"/>
          <w:szCs w:val="23"/>
          <w:lang w:val="nl-NL"/>
        </w:rPr>
        <w:t xml:space="preserve">However, de Visser et al. </w:t>
      </w:r>
      <w:r w:rsidRPr="00366A44">
        <w:rPr>
          <w:rFonts w:ascii="Arial" w:hAnsi="Arial" w:cs="Arial"/>
          <w:sz w:val="23"/>
          <w:szCs w:val="23"/>
        </w:rPr>
        <w:t>(2024) conducted interviews online in English, which may have overlooked people facing substantial digital or language barriers. The review will therefore consider whose experiences are represented when interpreting the evidence.</w:t>
      </w:r>
    </w:p>
    <w:p w14:paraId="48DAA491" w14:textId="77777777" w:rsidR="00366A44" w:rsidRPr="00536AA8" w:rsidRDefault="00366A44" w:rsidP="00366A44">
      <w:pPr>
        <w:spacing w:line="276" w:lineRule="auto"/>
        <w:rPr>
          <w:rFonts w:ascii="Arial" w:hAnsi="Arial" w:cs="Arial"/>
          <w:b/>
          <w:bCs/>
          <w:sz w:val="28"/>
          <w:szCs w:val="28"/>
        </w:rPr>
      </w:pPr>
      <w:r w:rsidRPr="00536AA8">
        <w:rPr>
          <w:rFonts w:ascii="Arial" w:hAnsi="Arial" w:cs="Arial"/>
          <w:b/>
          <w:bCs/>
          <w:sz w:val="28"/>
          <w:szCs w:val="28"/>
        </w:rPr>
        <w:t>Methods</w:t>
      </w:r>
    </w:p>
    <w:p w14:paraId="06E82F69" w14:textId="4ABCC00F" w:rsidR="00366A44" w:rsidRPr="00366A44" w:rsidRDefault="00366A44" w:rsidP="00366A44">
      <w:pPr>
        <w:spacing w:line="276" w:lineRule="auto"/>
        <w:rPr>
          <w:rFonts w:ascii="Arial" w:hAnsi="Arial" w:cs="Arial"/>
          <w:sz w:val="23"/>
          <w:szCs w:val="23"/>
        </w:rPr>
      </w:pPr>
      <w:r w:rsidRPr="00366A44">
        <w:rPr>
          <w:rFonts w:ascii="Arial" w:hAnsi="Arial" w:cs="Arial"/>
          <w:sz w:val="23"/>
          <w:szCs w:val="23"/>
        </w:rPr>
        <w:t>JBI guidance supports planning a transparent scoping review by setting out the question, eligibility criteria and methods in advance (Peters et al., 2022). Its Population</w:t>
      </w:r>
      <w:r>
        <w:rPr>
          <w:rFonts w:ascii="Arial" w:hAnsi="Arial" w:cs="Arial"/>
          <w:sz w:val="23"/>
          <w:szCs w:val="23"/>
        </w:rPr>
        <w:t xml:space="preserve"> </w:t>
      </w:r>
      <w:r w:rsidRPr="00366A44">
        <w:rPr>
          <w:rFonts w:ascii="Arial" w:hAnsi="Arial" w:cs="Arial"/>
          <w:sz w:val="23"/>
          <w:szCs w:val="23"/>
        </w:rPr>
        <w:t>Concept</w:t>
      </w:r>
      <w:r>
        <w:rPr>
          <w:rFonts w:ascii="Arial" w:hAnsi="Arial" w:cs="Arial"/>
          <w:sz w:val="23"/>
          <w:szCs w:val="23"/>
        </w:rPr>
        <w:t xml:space="preserve"> </w:t>
      </w:r>
      <w:r w:rsidRPr="00366A44">
        <w:rPr>
          <w:rFonts w:ascii="Arial" w:hAnsi="Arial" w:cs="Arial"/>
          <w:sz w:val="23"/>
          <w:szCs w:val="23"/>
        </w:rPr>
        <w:t>Context framework will define the focus: adults, barriers and facilitators, and UK general practice. PubMed</w:t>
      </w:r>
    </w:p>
    <w:p w14:paraId="146F95BB" w14:textId="43E46A2D" w:rsidR="00366A44" w:rsidRPr="00366A44" w:rsidRDefault="00366A44" w:rsidP="00366A44">
      <w:pPr>
        <w:spacing w:line="276" w:lineRule="auto"/>
        <w:rPr>
          <w:rFonts w:ascii="Arial" w:hAnsi="Arial" w:cs="Arial"/>
          <w:sz w:val="23"/>
          <w:szCs w:val="23"/>
        </w:rPr>
      </w:pPr>
      <w:r w:rsidRPr="00366A44">
        <w:rPr>
          <w:rFonts w:ascii="Arial" w:hAnsi="Arial" w:cs="Arial"/>
          <w:sz w:val="23"/>
          <w:szCs w:val="23"/>
        </w:rPr>
        <w:t>PubMed and CINAHL will be searched using subject headings and keywords covering remote consultations, patient experiences, access and UK settings. Search strategies and dates will be recorded. Eligible studies will be peer</w:t>
      </w:r>
      <w:r w:rsidR="00536AA8">
        <w:rPr>
          <w:rFonts w:ascii="Arial" w:hAnsi="Arial" w:cs="Arial"/>
          <w:sz w:val="23"/>
          <w:szCs w:val="23"/>
        </w:rPr>
        <w:t xml:space="preserve"> </w:t>
      </w:r>
      <w:r w:rsidRPr="00366A44">
        <w:rPr>
          <w:rFonts w:ascii="Arial" w:hAnsi="Arial" w:cs="Arial"/>
          <w:sz w:val="23"/>
          <w:szCs w:val="23"/>
        </w:rPr>
        <w:t>reviewed, published in English within five years preceding the search, and report qualitative findings about adult patients in UK general practice.</w:t>
      </w:r>
    </w:p>
    <w:p w14:paraId="17CFDE75" w14:textId="77777777" w:rsidR="00366A44" w:rsidRPr="00366A44" w:rsidRDefault="00366A44" w:rsidP="00366A44">
      <w:pPr>
        <w:spacing w:line="276" w:lineRule="auto"/>
        <w:rPr>
          <w:rFonts w:ascii="Arial" w:hAnsi="Arial" w:cs="Arial"/>
          <w:sz w:val="23"/>
          <w:szCs w:val="23"/>
        </w:rPr>
      </w:pPr>
      <w:r w:rsidRPr="00366A44">
        <w:rPr>
          <w:rFonts w:ascii="Arial" w:hAnsi="Arial" w:cs="Arial"/>
          <w:sz w:val="23"/>
          <w:szCs w:val="23"/>
        </w:rPr>
        <w:t>Duplicates will be removed before screening titles, abstracts and full texts. Editorials, policy documents and clinician-only studies will be excluded, with reasons recorded. Five studies will be selected using predefined criteria prioritising relevant patient accounts and varied populations and consultation types.</w:t>
      </w:r>
    </w:p>
    <w:p w14:paraId="1C95F8D6" w14:textId="77777777" w:rsidR="00366A44" w:rsidRPr="00366A44" w:rsidRDefault="00366A44" w:rsidP="00366A44">
      <w:pPr>
        <w:spacing w:line="276" w:lineRule="auto"/>
        <w:rPr>
          <w:rFonts w:ascii="Arial" w:hAnsi="Arial" w:cs="Arial"/>
          <w:sz w:val="23"/>
          <w:szCs w:val="23"/>
        </w:rPr>
      </w:pPr>
      <w:r w:rsidRPr="00366A44">
        <w:rPr>
          <w:rFonts w:ascii="Arial" w:hAnsi="Arial" w:cs="Arial"/>
          <w:sz w:val="23"/>
          <w:szCs w:val="23"/>
        </w:rPr>
        <w:lastRenderedPageBreak/>
        <w:t>Following Pollock et al. (2023), a piloted table will organise study details and findings. Descriptive thematic analysis will compare similar and contrasting experiences, considering recruitment methods, study dates and settings. Limited coverage, English-language restrictions and single-reviewer screening will be acknowledged.</w:t>
      </w:r>
    </w:p>
    <w:p w14:paraId="4077E469" w14:textId="77777777" w:rsidR="00366A44" w:rsidRPr="00536AA8" w:rsidRDefault="00366A44" w:rsidP="00366A44">
      <w:pPr>
        <w:spacing w:line="276" w:lineRule="auto"/>
        <w:rPr>
          <w:rFonts w:ascii="Arial" w:hAnsi="Arial" w:cs="Arial"/>
          <w:b/>
          <w:bCs/>
          <w:sz w:val="28"/>
          <w:szCs w:val="28"/>
        </w:rPr>
      </w:pPr>
      <w:r w:rsidRPr="00536AA8">
        <w:rPr>
          <w:rFonts w:ascii="Arial" w:hAnsi="Arial" w:cs="Arial"/>
          <w:b/>
          <w:bCs/>
          <w:sz w:val="28"/>
          <w:szCs w:val="28"/>
        </w:rPr>
        <w:t>Ethical considerations</w:t>
      </w:r>
    </w:p>
    <w:p w14:paraId="2E5AD089" w14:textId="52827299" w:rsidR="004639FE" w:rsidRPr="00366A44" w:rsidRDefault="00366A44" w:rsidP="00366A44">
      <w:pPr>
        <w:spacing w:line="276" w:lineRule="auto"/>
        <w:rPr>
          <w:rFonts w:ascii="Arial" w:hAnsi="Arial" w:cs="Arial"/>
          <w:sz w:val="23"/>
          <w:szCs w:val="23"/>
        </w:rPr>
      </w:pPr>
      <w:r w:rsidRPr="00366A44">
        <w:rPr>
          <w:rFonts w:ascii="Arial" w:hAnsi="Arial" w:cs="Arial"/>
          <w:sz w:val="23"/>
          <w:szCs w:val="23"/>
        </w:rPr>
        <w:t xml:space="preserve">Only published findings will be used, without accessing identifiable patient records. University ethics requirements will be checked. Accurate referencing and fair representation of participants’ accounts will support research integrity, while </w:t>
      </w:r>
      <w:proofErr w:type="gramStart"/>
      <w:r w:rsidRPr="00366A44">
        <w:rPr>
          <w:rFonts w:ascii="Arial" w:hAnsi="Arial" w:cs="Arial"/>
          <w:sz w:val="23"/>
          <w:szCs w:val="23"/>
        </w:rPr>
        <w:t>recording</w:t>
      </w:r>
      <w:proofErr w:type="gramEnd"/>
      <w:r w:rsidRPr="00366A44">
        <w:rPr>
          <w:rFonts w:ascii="Arial" w:hAnsi="Arial" w:cs="Arial"/>
          <w:sz w:val="23"/>
          <w:szCs w:val="23"/>
        </w:rPr>
        <w:t xml:space="preserve"> decisions and reflecting on assumptions will help reduce selective interpretation.</w:t>
      </w:r>
    </w:p>
    <w:p w14:paraId="08B08011" w14:textId="77777777" w:rsidR="004639FE" w:rsidRDefault="004639FE" w:rsidP="004639FE">
      <w:pPr>
        <w:spacing w:line="276" w:lineRule="auto"/>
        <w:rPr>
          <w:rFonts w:ascii="Arial" w:hAnsi="Arial" w:cs="Arial"/>
          <w:b/>
          <w:bCs/>
          <w:sz w:val="23"/>
          <w:szCs w:val="23"/>
        </w:rPr>
      </w:pPr>
    </w:p>
    <w:p w14:paraId="55157038" w14:textId="77777777" w:rsidR="004639FE" w:rsidRDefault="004639FE" w:rsidP="004639FE">
      <w:pPr>
        <w:spacing w:line="276" w:lineRule="auto"/>
        <w:rPr>
          <w:rFonts w:ascii="Arial" w:hAnsi="Arial" w:cs="Arial"/>
          <w:b/>
          <w:bCs/>
          <w:sz w:val="23"/>
          <w:szCs w:val="23"/>
        </w:rPr>
      </w:pPr>
    </w:p>
    <w:p w14:paraId="4914634D" w14:textId="77777777" w:rsidR="004639FE" w:rsidRDefault="004639FE" w:rsidP="004639FE">
      <w:pPr>
        <w:spacing w:line="276" w:lineRule="auto"/>
        <w:rPr>
          <w:rFonts w:ascii="Arial" w:hAnsi="Arial" w:cs="Arial"/>
          <w:b/>
          <w:bCs/>
          <w:sz w:val="23"/>
          <w:szCs w:val="23"/>
        </w:rPr>
      </w:pPr>
    </w:p>
    <w:p w14:paraId="2FA7C892" w14:textId="50BA187D" w:rsidR="009F6201" w:rsidRPr="004639FE" w:rsidRDefault="004639FE" w:rsidP="004639FE">
      <w:pPr>
        <w:spacing w:line="276" w:lineRule="auto"/>
        <w:rPr>
          <w:rFonts w:ascii="Arial" w:hAnsi="Arial" w:cs="Arial"/>
          <w:b/>
          <w:bCs/>
          <w:sz w:val="23"/>
          <w:szCs w:val="23"/>
        </w:rPr>
      </w:pPr>
      <w:r w:rsidRPr="004639FE">
        <w:rPr>
          <w:rFonts w:ascii="Arial" w:hAnsi="Arial" w:cs="Arial"/>
          <w:b/>
          <w:bCs/>
          <w:sz w:val="23"/>
          <w:szCs w:val="23"/>
        </w:rPr>
        <w:t xml:space="preserve">REFERENCES: </w:t>
      </w:r>
    </w:p>
    <w:p w14:paraId="71245070" w14:textId="77777777" w:rsidR="00DC3A38" w:rsidRDefault="009F6201" w:rsidP="000C719C">
      <w:pPr>
        <w:spacing w:line="276" w:lineRule="auto"/>
        <w:rPr>
          <w:rFonts w:ascii="Arial" w:hAnsi="Arial" w:cs="Arial"/>
          <w:b/>
          <w:bCs/>
          <w:sz w:val="23"/>
          <w:szCs w:val="23"/>
        </w:rPr>
      </w:pPr>
      <w:r w:rsidRPr="004639FE">
        <w:rPr>
          <w:rFonts w:ascii="Arial" w:hAnsi="Arial" w:cs="Arial"/>
          <w:b/>
          <w:bCs/>
          <w:sz w:val="23"/>
          <w:szCs w:val="23"/>
        </w:rPr>
        <w:t xml:space="preserve">de Visser, R.O., </w:t>
      </w:r>
      <w:proofErr w:type="spellStart"/>
      <w:r w:rsidRPr="004639FE">
        <w:rPr>
          <w:rFonts w:ascii="Arial" w:hAnsi="Arial" w:cs="Arial"/>
          <w:b/>
          <w:bCs/>
          <w:sz w:val="23"/>
          <w:szCs w:val="23"/>
        </w:rPr>
        <w:t>Nwamba</w:t>
      </w:r>
      <w:proofErr w:type="spellEnd"/>
      <w:r w:rsidRPr="004639FE">
        <w:rPr>
          <w:rFonts w:ascii="Arial" w:hAnsi="Arial" w:cs="Arial"/>
          <w:b/>
          <w:bCs/>
          <w:sz w:val="23"/>
          <w:szCs w:val="23"/>
        </w:rPr>
        <w:t>, C., Brearley, E., Shafiei, V. and Hart, L. (2024)</w:t>
      </w:r>
      <w:r w:rsidRPr="004639FE">
        <w:rPr>
          <w:rFonts w:ascii="Arial" w:hAnsi="Arial" w:cs="Arial"/>
          <w:sz w:val="23"/>
          <w:szCs w:val="23"/>
        </w:rPr>
        <w:t xml:space="preserve"> ‘Remote consultations in primary care: Patient experiences and suggestions for improvement’, </w:t>
      </w:r>
      <w:r w:rsidRPr="004639FE">
        <w:rPr>
          <w:rFonts w:ascii="Arial" w:hAnsi="Arial" w:cs="Arial"/>
          <w:i/>
          <w:iCs/>
          <w:sz w:val="23"/>
          <w:szCs w:val="23"/>
        </w:rPr>
        <w:t>Journal of Health Psychology</w:t>
      </w:r>
      <w:r w:rsidRPr="004639FE">
        <w:rPr>
          <w:rFonts w:ascii="Arial" w:hAnsi="Arial" w:cs="Arial"/>
          <w:sz w:val="23"/>
          <w:szCs w:val="23"/>
        </w:rPr>
        <w:t xml:space="preserve">, 29(12), pp. 1321–1335. Available at: </w:t>
      </w:r>
      <w:hyperlink r:id="rId8" w:history="1">
        <w:r w:rsidRPr="004639FE">
          <w:rPr>
            <w:rStyle w:val="Hyperlink"/>
            <w:rFonts w:ascii="Arial" w:hAnsi="Arial" w:cs="Arial"/>
            <w:sz w:val="23"/>
            <w:szCs w:val="23"/>
          </w:rPr>
          <w:t>https://doi.org/10.1177/13591053241240383</w:t>
        </w:r>
      </w:hyperlink>
      <w:r w:rsidRPr="004639FE">
        <w:rPr>
          <w:rFonts w:ascii="Arial" w:hAnsi="Arial" w:cs="Arial"/>
          <w:sz w:val="23"/>
          <w:szCs w:val="23"/>
        </w:rPr>
        <w:t xml:space="preserve"> (Accessed: </w:t>
      </w:r>
      <w:r w:rsidR="004639FE">
        <w:rPr>
          <w:rFonts w:ascii="Arial" w:hAnsi="Arial" w:cs="Arial"/>
          <w:sz w:val="23"/>
          <w:szCs w:val="23"/>
        </w:rPr>
        <w:t>7</w:t>
      </w:r>
      <w:r w:rsidRPr="004639FE">
        <w:rPr>
          <w:rFonts w:ascii="Arial" w:hAnsi="Arial" w:cs="Arial"/>
          <w:sz w:val="23"/>
          <w:szCs w:val="23"/>
        </w:rPr>
        <w:t xml:space="preserve"> October 2026).</w:t>
      </w:r>
      <w:r w:rsidRPr="004639FE">
        <w:rPr>
          <w:rFonts w:ascii="Arial" w:hAnsi="Arial" w:cs="Arial"/>
          <w:sz w:val="23"/>
          <w:szCs w:val="23"/>
        </w:rPr>
        <w:br/>
      </w:r>
    </w:p>
    <w:p w14:paraId="1C473E1F" w14:textId="14E6B116" w:rsidR="00B4309D" w:rsidRPr="000C719C" w:rsidRDefault="00B4309D" w:rsidP="000C719C">
      <w:pPr>
        <w:spacing w:line="276" w:lineRule="auto"/>
        <w:rPr>
          <w:rFonts w:ascii="Arial" w:hAnsi="Arial" w:cs="Arial"/>
          <w:b/>
          <w:bCs/>
          <w:sz w:val="23"/>
          <w:szCs w:val="23"/>
        </w:rPr>
      </w:pPr>
      <w:r w:rsidRPr="00B4309D">
        <w:rPr>
          <w:rFonts w:ascii="Arial" w:hAnsi="Arial" w:cs="Arial"/>
          <w:b/>
          <w:bCs/>
          <w:sz w:val="23"/>
          <w:szCs w:val="23"/>
        </w:rPr>
        <w:t xml:space="preserve">Humphrey, A., Cummins, S., May, C. and Stevenson, F. (2025) </w:t>
      </w:r>
      <w:r w:rsidRPr="00B4309D">
        <w:rPr>
          <w:rFonts w:ascii="Arial" w:hAnsi="Arial" w:cs="Arial"/>
          <w:sz w:val="23"/>
          <w:szCs w:val="23"/>
        </w:rPr>
        <w:t xml:space="preserve">‘GP remote consultations with marginalised patients and the importance of place during care: a qualitative study of the role of place in GP consultations’, </w:t>
      </w:r>
      <w:r w:rsidRPr="00B4309D">
        <w:rPr>
          <w:rFonts w:ascii="Arial" w:hAnsi="Arial" w:cs="Arial"/>
          <w:i/>
          <w:iCs/>
          <w:sz w:val="23"/>
          <w:szCs w:val="23"/>
        </w:rPr>
        <w:t>BJGP Open</w:t>
      </w:r>
      <w:r w:rsidRPr="00B4309D">
        <w:rPr>
          <w:rFonts w:ascii="Arial" w:hAnsi="Arial" w:cs="Arial"/>
          <w:sz w:val="23"/>
          <w:szCs w:val="23"/>
        </w:rPr>
        <w:t xml:space="preserve">, 9(1), article BJGPO.2024.0050. Available at: </w:t>
      </w:r>
      <w:hyperlink r:id="rId9" w:history="1">
        <w:r w:rsidRPr="00B4309D">
          <w:rPr>
            <w:rStyle w:val="Hyperlink"/>
            <w:rFonts w:ascii="Arial" w:hAnsi="Arial" w:cs="Arial"/>
            <w:sz w:val="23"/>
            <w:szCs w:val="23"/>
          </w:rPr>
          <w:t>https://doi.org/10.3399/BJGPO.2024.0050</w:t>
        </w:r>
      </w:hyperlink>
      <w:r w:rsidRPr="00B4309D">
        <w:rPr>
          <w:rFonts w:ascii="Arial" w:hAnsi="Arial" w:cs="Arial"/>
          <w:sz w:val="23"/>
          <w:szCs w:val="23"/>
        </w:rPr>
        <w:t xml:space="preserve"> (Accessed: 10 October 2026)</w:t>
      </w:r>
    </w:p>
    <w:p w14:paraId="2A7D106D" w14:textId="3453FB91" w:rsidR="009F6201" w:rsidRPr="004639FE" w:rsidRDefault="009F6201" w:rsidP="000C719C">
      <w:pPr>
        <w:spacing w:line="276" w:lineRule="auto"/>
        <w:rPr>
          <w:rFonts w:ascii="Arial" w:hAnsi="Arial" w:cs="Arial"/>
          <w:sz w:val="23"/>
          <w:szCs w:val="23"/>
        </w:rPr>
      </w:pPr>
      <w:r w:rsidRPr="004639FE">
        <w:rPr>
          <w:rFonts w:ascii="Arial" w:hAnsi="Arial" w:cs="Arial"/>
          <w:b/>
          <w:bCs/>
          <w:sz w:val="23"/>
          <w:szCs w:val="23"/>
        </w:rPr>
        <w:t xml:space="preserve">Peters, M.D.J., Godfrey, C., McInerney, P., Khalil, H., Larsen, P., Marnie, C., Pollock, D., </w:t>
      </w:r>
      <w:proofErr w:type="spellStart"/>
      <w:r w:rsidRPr="004639FE">
        <w:rPr>
          <w:rFonts w:ascii="Arial" w:hAnsi="Arial" w:cs="Arial"/>
          <w:b/>
          <w:bCs/>
          <w:sz w:val="23"/>
          <w:szCs w:val="23"/>
        </w:rPr>
        <w:t>Tricco</w:t>
      </w:r>
      <w:proofErr w:type="spellEnd"/>
      <w:r w:rsidRPr="004639FE">
        <w:rPr>
          <w:rFonts w:ascii="Arial" w:hAnsi="Arial" w:cs="Arial"/>
          <w:b/>
          <w:bCs/>
          <w:sz w:val="23"/>
          <w:szCs w:val="23"/>
        </w:rPr>
        <w:t>, A.C. and Munn, Z. (2022)</w:t>
      </w:r>
      <w:r w:rsidRPr="004639FE">
        <w:rPr>
          <w:rFonts w:ascii="Arial" w:hAnsi="Arial" w:cs="Arial"/>
          <w:sz w:val="23"/>
          <w:szCs w:val="23"/>
        </w:rPr>
        <w:t xml:space="preserve"> ‘Best practice guidance and reporting items for the development of scoping review protocols’, </w:t>
      </w:r>
      <w:r w:rsidRPr="004639FE">
        <w:rPr>
          <w:rFonts w:ascii="Arial" w:hAnsi="Arial" w:cs="Arial"/>
          <w:i/>
          <w:iCs/>
          <w:sz w:val="23"/>
          <w:szCs w:val="23"/>
        </w:rPr>
        <w:t>JBI Evidence Synthesis</w:t>
      </w:r>
      <w:r w:rsidRPr="004639FE">
        <w:rPr>
          <w:rFonts w:ascii="Arial" w:hAnsi="Arial" w:cs="Arial"/>
          <w:sz w:val="23"/>
          <w:szCs w:val="23"/>
        </w:rPr>
        <w:t xml:space="preserve">, 20(4), pp. 953–968. Available at: </w:t>
      </w:r>
      <w:hyperlink r:id="rId10" w:history="1">
        <w:r w:rsidRPr="004639FE">
          <w:rPr>
            <w:rStyle w:val="Hyperlink"/>
            <w:rFonts w:ascii="Arial" w:hAnsi="Arial" w:cs="Arial"/>
            <w:sz w:val="23"/>
            <w:szCs w:val="23"/>
          </w:rPr>
          <w:t>https://doi.org/10.11124/JBIES-21-00242</w:t>
        </w:r>
      </w:hyperlink>
      <w:r w:rsidRPr="004639FE">
        <w:rPr>
          <w:rFonts w:ascii="Arial" w:hAnsi="Arial" w:cs="Arial"/>
          <w:sz w:val="23"/>
          <w:szCs w:val="23"/>
        </w:rPr>
        <w:t xml:space="preserve"> (Accessed: </w:t>
      </w:r>
      <w:r w:rsidR="004639FE">
        <w:rPr>
          <w:rFonts w:ascii="Arial" w:hAnsi="Arial" w:cs="Arial"/>
          <w:sz w:val="23"/>
          <w:szCs w:val="23"/>
        </w:rPr>
        <w:t xml:space="preserve">8 </w:t>
      </w:r>
      <w:r w:rsidRPr="004639FE">
        <w:rPr>
          <w:rFonts w:ascii="Arial" w:hAnsi="Arial" w:cs="Arial"/>
          <w:sz w:val="23"/>
          <w:szCs w:val="23"/>
        </w:rPr>
        <w:t>October 2026).</w:t>
      </w:r>
      <w:r w:rsidRPr="004639FE">
        <w:rPr>
          <w:rFonts w:ascii="Arial" w:hAnsi="Arial" w:cs="Arial"/>
          <w:sz w:val="23"/>
          <w:szCs w:val="23"/>
        </w:rPr>
        <w:br/>
      </w:r>
    </w:p>
    <w:p w14:paraId="5D2542C3" w14:textId="77777777" w:rsidR="00C929DF" w:rsidRDefault="009F6201" w:rsidP="000C719C">
      <w:pPr>
        <w:spacing w:line="276" w:lineRule="auto"/>
        <w:rPr>
          <w:rFonts w:ascii="Arial" w:hAnsi="Arial" w:cs="Arial"/>
          <w:sz w:val="23"/>
          <w:szCs w:val="23"/>
        </w:rPr>
      </w:pPr>
      <w:r w:rsidRPr="004639FE">
        <w:rPr>
          <w:rFonts w:ascii="Arial" w:hAnsi="Arial" w:cs="Arial"/>
          <w:sz w:val="23"/>
          <w:szCs w:val="23"/>
        </w:rPr>
        <w:t xml:space="preserve"> </w:t>
      </w:r>
      <w:r w:rsidRPr="004639FE">
        <w:rPr>
          <w:rFonts w:ascii="Arial" w:hAnsi="Arial" w:cs="Arial"/>
          <w:b/>
          <w:bCs/>
          <w:sz w:val="23"/>
          <w:szCs w:val="23"/>
        </w:rPr>
        <w:t xml:space="preserve">Pollock, D., Peters, M.D.J., Khalil, H., McInerney, P., Alexander, L., </w:t>
      </w:r>
      <w:proofErr w:type="spellStart"/>
      <w:r w:rsidRPr="004639FE">
        <w:rPr>
          <w:rFonts w:ascii="Arial" w:hAnsi="Arial" w:cs="Arial"/>
          <w:b/>
          <w:bCs/>
          <w:sz w:val="23"/>
          <w:szCs w:val="23"/>
        </w:rPr>
        <w:t>Tricco</w:t>
      </w:r>
      <w:proofErr w:type="spellEnd"/>
      <w:r w:rsidRPr="004639FE">
        <w:rPr>
          <w:rFonts w:ascii="Arial" w:hAnsi="Arial" w:cs="Arial"/>
          <w:b/>
          <w:bCs/>
          <w:sz w:val="23"/>
          <w:szCs w:val="23"/>
        </w:rPr>
        <w:t>, A.C., Evans, C., Brandão de Moraes, É., Godfrey, C.M., Pieper, D., Saran, A., Stern, C. and Munn, Z. (2023)</w:t>
      </w:r>
      <w:r w:rsidRPr="004639FE">
        <w:rPr>
          <w:rFonts w:ascii="Arial" w:hAnsi="Arial" w:cs="Arial"/>
          <w:sz w:val="23"/>
          <w:szCs w:val="23"/>
        </w:rPr>
        <w:t xml:space="preserve"> ‘Recommendations for the extraction, analysis, and presentation of results in scoping reviews’, </w:t>
      </w:r>
      <w:r w:rsidRPr="004639FE">
        <w:rPr>
          <w:rFonts w:ascii="Arial" w:hAnsi="Arial" w:cs="Arial"/>
          <w:i/>
          <w:iCs/>
          <w:sz w:val="23"/>
          <w:szCs w:val="23"/>
        </w:rPr>
        <w:t>JBI Evidence Synthesis</w:t>
      </w:r>
      <w:r w:rsidRPr="004639FE">
        <w:rPr>
          <w:rFonts w:ascii="Arial" w:hAnsi="Arial" w:cs="Arial"/>
          <w:sz w:val="23"/>
          <w:szCs w:val="23"/>
        </w:rPr>
        <w:t xml:space="preserve">, 21(3), pp. 520–532. Available at: </w:t>
      </w:r>
      <w:hyperlink r:id="rId11" w:history="1">
        <w:r w:rsidRPr="004639FE">
          <w:rPr>
            <w:rStyle w:val="Hyperlink"/>
            <w:rFonts w:ascii="Arial" w:hAnsi="Arial" w:cs="Arial"/>
            <w:sz w:val="23"/>
            <w:szCs w:val="23"/>
          </w:rPr>
          <w:t>Recommendations for the extraction, analysis, and..</w:t>
        </w:r>
        <w:proofErr w:type="gramStart"/>
        <w:r w:rsidRPr="004639FE">
          <w:rPr>
            <w:rStyle w:val="Hyperlink"/>
            <w:rFonts w:ascii="Arial" w:hAnsi="Arial" w:cs="Arial"/>
            <w:sz w:val="23"/>
            <w:szCs w:val="23"/>
          </w:rPr>
          <w:t>. :</w:t>
        </w:r>
        <w:proofErr w:type="gramEnd"/>
        <w:r w:rsidRPr="004639FE">
          <w:rPr>
            <w:rStyle w:val="Hyperlink"/>
            <w:rFonts w:ascii="Arial" w:hAnsi="Arial" w:cs="Arial"/>
            <w:sz w:val="23"/>
            <w:szCs w:val="23"/>
          </w:rPr>
          <w:t xml:space="preserve"> JBI Evidence Synthesis</w:t>
        </w:r>
      </w:hyperlink>
      <w:r w:rsidRPr="004639FE">
        <w:rPr>
          <w:rFonts w:ascii="Arial" w:hAnsi="Arial" w:cs="Arial"/>
          <w:sz w:val="23"/>
          <w:szCs w:val="23"/>
        </w:rPr>
        <w:t xml:space="preserve"> (Accessed: </w:t>
      </w:r>
      <w:r w:rsidR="004639FE">
        <w:rPr>
          <w:rFonts w:ascii="Arial" w:hAnsi="Arial" w:cs="Arial"/>
          <w:sz w:val="23"/>
          <w:szCs w:val="23"/>
        </w:rPr>
        <w:t xml:space="preserve">7 </w:t>
      </w:r>
      <w:r w:rsidRPr="004639FE">
        <w:rPr>
          <w:rFonts w:ascii="Arial" w:hAnsi="Arial" w:cs="Arial"/>
          <w:sz w:val="23"/>
          <w:szCs w:val="23"/>
        </w:rPr>
        <w:t>October 2026).</w:t>
      </w:r>
      <w:r w:rsidRPr="004639FE">
        <w:rPr>
          <w:rFonts w:ascii="Arial" w:hAnsi="Arial" w:cs="Arial"/>
          <w:sz w:val="23"/>
          <w:szCs w:val="23"/>
        </w:rPr>
        <w:br/>
        <w:t xml:space="preserve"> </w:t>
      </w:r>
    </w:p>
    <w:p w14:paraId="66E4C933" w14:textId="0D8C5F00" w:rsidR="009F6201" w:rsidRPr="004639FE" w:rsidRDefault="009F6201" w:rsidP="000C719C">
      <w:pPr>
        <w:spacing w:line="276" w:lineRule="auto"/>
        <w:rPr>
          <w:rFonts w:ascii="Arial" w:hAnsi="Arial" w:cs="Arial"/>
          <w:sz w:val="23"/>
          <w:szCs w:val="23"/>
        </w:rPr>
      </w:pPr>
      <w:r w:rsidRPr="004639FE">
        <w:rPr>
          <w:rFonts w:ascii="Arial" w:hAnsi="Arial" w:cs="Arial"/>
          <w:b/>
          <w:bCs/>
          <w:sz w:val="23"/>
          <w:szCs w:val="23"/>
        </w:rPr>
        <w:t xml:space="preserve">Verity, A. and </w:t>
      </w:r>
      <w:proofErr w:type="spellStart"/>
      <w:r w:rsidRPr="004639FE">
        <w:rPr>
          <w:rFonts w:ascii="Arial" w:hAnsi="Arial" w:cs="Arial"/>
          <w:b/>
          <w:bCs/>
          <w:sz w:val="23"/>
          <w:szCs w:val="23"/>
        </w:rPr>
        <w:t>Tzortziou</w:t>
      </w:r>
      <w:proofErr w:type="spellEnd"/>
      <w:r w:rsidRPr="004639FE">
        <w:rPr>
          <w:rFonts w:ascii="Arial" w:hAnsi="Arial" w:cs="Arial"/>
          <w:b/>
          <w:bCs/>
          <w:sz w:val="23"/>
          <w:szCs w:val="23"/>
        </w:rPr>
        <w:t xml:space="preserve"> Brown, V. (2023)</w:t>
      </w:r>
      <w:r w:rsidRPr="004639FE">
        <w:rPr>
          <w:rFonts w:ascii="Arial" w:hAnsi="Arial" w:cs="Arial"/>
          <w:sz w:val="23"/>
          <w:szCs w:val="23"/>
        </w:rPr>
        <w:t xml:space="preserve"> ‘Inclusion health patient perspectives on remote access to general practice: a qualitative study’, </w:t>
      </w:r>
      <w:r w:rsidRPr="004639FE">
        <w:rPr>
          <w:rFonts w:ascii="Arial" w:hAnsi="Arial" w:cs="Arial"/>
          <w:i/>
          <w:iCs/>
          <w:sz w:val="23"/>
          <w:szCs w:val="23"/>
        </w:rPr>
        <w:t>BJGP Open</w:t>
      </w:r>
      <w:r w:rsidRPr="004639FE">
        <w:rPr>
          <w:rFonts w:ascii="Arial" w:hAnsi="Arial" w:cs="Arial"/>
          <w:sz w:val="23"/>
          <w:szCs w:val="23"/>
        </w:rPr>
        <w:t xml:space="preserve">, 7(2), article BJGPO.2023.0023. Available at: </w:t>
      </w:r>
      <w:hyperlink r:id="rId12" w:history="1">
        <w:r w:rsidRPr="004639FE">
          <w:rPr>
            <w:rStyle w:val="Hyperlink"/>
            <w:rFonts w:ascii="Arial" w:hAnsi="Arial" w:cs="Arial"/>
            <w:sz w:val="23"/>
            <w:szCs w:val="23"/>
          </w:rPr>
          <w:t>https://doi.org/10.3399/BJGPO.2023.0023</w:t>
        </w:r>
      </w:hyperlink>
      <w:r w:rsidRPr="004639FE">
        <w:rPr>
          <w:rFonts w:ascii="Arial" w:hAnsi="Arial" w:cs="Arial"/>
          <w:sz w:val="23"/>
          <w:szCs w:val="23"/>
        </w:rPr>
        <w:t xml:space="preserve"> (Accessed: </w:t>
      </w:r>
      <w:r w:rsidR="004639FE">
        <w:rPr>
          <w:rFonts w:ascii="Arial" w:hAnsi="Arial" w:cs="Arial"/>
          <w:sz w:val="23"/>
          <w:szCs w:val="23"/>
        </w:rPr>
        <w:t>6</w:t>
      </w:r>
      <w:r w:rsidRPr="004639FE">
        <w:rPr>
          <w:rFonts w:ascii="Arial" w:hAnsi="Arial" w:cs="Arial"/>
          <w:sz w:val="23"/>
          <w:szCs w:val="23"/>
        </w:rPr>
        <w:t xml:space="preserve"> October 2026).</w:t>
      </w:r>
      <w:r w:rsidRPr="004639FE">
        <w:rPr>
          <w:rFonts w:ascii="Arial" w:hAnsi="Arial" w:cs="Arial"/>
          <w:sz w:val="23"/>
          <w:szCs w:val="23"/>
        </w:rPr>
        <w:br/>
      </w:r>
    </w:p>
    <w:p w14:paraId="22390387" w14:textId="77777777" w:rsidR="009F6201" w:rsidRPr="004639FE" w:rsidRDefault="009F6201" w:rsidP="000C719C">
      <w:pPr>
        <w:spacing w:line="276" w:lineRule="auto"/>
        <w:rPr>
          <w:rFonts w:ascii="Arial" w:hAnsi="Arial" w:cs="Arial"/>
          <w:sz w:val="23"/>
          <w:szCs w:val="23"/>
        </w:rPr>
      </w:pPr>
    </w:p>
    <w:sectPr w:rsidR="009F6201" w:rsidRPr="004639F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6201"/>
    <w:rsid w:val="00070029"/>
    <w:rsid w:val="000C719C"/>
    <w:rsid w:val="000D5DFB"/>
    <w:rsid w:val="000E4CD3"/>
    <w:rsid w:val="000F6061"/>
    <w:rsid w:val="0011571D"/>
    <w:rsid w:val="002A6E67"/>
    <w:rsid w:val="002B482F"/>
    <w:rsid w:val="00366A44"/>
    <w:rsid w:val="003737B6"/>
    <w:rsid w:val="003B64A3"/>
    <w:rsid w:val="003D49F5"/>
    <w:rsid w:val="00402A93"/>
    <w:rsid w:val="00454E7C"/>
    <w:rsid w:val="004639FE"/>
    <w:rsid w:val="00536AA8"/>
    <w:rsid w:val="00597348"/>
    <w:rsid w:val="0064630E"/>
    <w:rsid w:val="00675826"/>
    <w:rsid w:val="006E1704"/>
    <w:rsid w:val="00874B38"/>
    <w:rsid w:val="008E0916"/>
    <w:rsid w:val="008E6AC2"/>
    <w:rsid w:val="008F6961"/>
    <w:rsid w:val="00971F42"/>
    <w:rsid w:val="00982CB1"/>
    <w:rsid w:val="009F6201"/>
    <w:rsid w:val="00B4309D"/>
    <w:rsid w:val="00B80316"/>
    <w:rsid w:val="00C929DF"/>
    <w:rsid w:val="00CD02D5"/>
    <w:rsid w:val="00CD133E"/>
    <w:rsid w:val="00D25CDD"/>
    <w:rsid w:val="00D52375"/>
    <w:rsid w:val="00DC3A38"/>
    <w:rsid w:val="00E9170E"/>
    <w:rsid w:val="00E97DE0"/>
    <w:rsid w:val="00EC51BF"/>
    <w:rsid w:val="00ED3A09"/>
    <w:rsid w:val="00F3259C"/>
    <w:rsid w:val="00FD72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EE63EA"/>
  <w15:chartTrackingRefBased/>
  <w15:docId w15:val="{A15F0359-4231-4BAC-8337-5F5E4B3CA5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70029"/>
  </w:style>
  <w:style w:type="paragraph" w:styleId="Heading1">
    <w:name w:val="heading 1"/>
    <w:basedOn w:val="Normal"/>
    <w:next w:val="Normal"/>
    <w:link w:val="Heading1Char"/>
    <w:uiPriority w:val="9"/>
    <w:qFormat/>
    <w:rsid w:val="000E4CD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E4CD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E4CD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E4CD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E4CD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E4CD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E4CD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E4CD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E4CD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E4CD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E4CD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E4CD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E4CD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E4CD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E4CD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E4CD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E4CD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E4CD3"/>
    <w:rPr>
      <w:rFonts w:eastAsiaTheme="majorEastAsia" w:cstheme="majorBidi"/>
      <w:color w:val="272727" w:themeColor="text1" w:themeTint="D8"/>
    </w:rPr>
  </w:style>
  <w:style w:type="paragraph" w:styleId="Title">
    <w:name w:val="Title"/>
    <w:basedOn w:val="Normal"/>
    <w:next w:val="Normal"/>
    <w:link w:val="TitleChar"/>
    <w:uiPriority w:val="10"/>
    <w:qFormat/>
    <w:rsid w:val="000E4CD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E4CD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E4CD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E4CD3"/>
    <w:rPr>
      <w:rFonts w:eastAsiaTheme="majorEastAsia" w:cstheme="majorBidi"/>
      <w:color w:val="595959" w:themeColor="text1" w:themeTint="A6"/>
      <w:spacing w:val="15"/>
      <w:sz w:val="28"/>
      <w:szCs w:val="28"/>
    </w:rPr>
  </w:style>
  <w:style w:type="paragraph" w:styleId="ListParagraph">
    <w:name w:val="List Paragraph"/>
    <w:basedOn w:val="Normal"/>
    <w:uiPriority w:val="34"/>
    <w:qFormat/>
    <w:rsid w:val="000E4CD3"/>
    <w:pPr>
      <w:ind w:left="720"/>
      <w:contextualSpacing/>
    </w:pPr>
  </w:style>
  <w:style w:type="paragraph" w:styleId="Quote">
    <w:name w:val="Quote"/>
    <w:basedOn w:val="Normal"/>
    <w:next w:val="Normal"/>
    <w:link w:val="QuoteChar"/>
    <w:uiPriority w:val="29"/>
    <w:qFormat/>
    <w:rsid w:val="000E4CD3"/>
    <w:pPr>
      <w:spacing w:before="160"/>
      <w:jc w:val="center"/>
    </w:pPr>
    <w:rPr>
      <w:i/>
      <w:iCs/>
      <w:color w:val="404040" w:themeColor="text1" w:themeTint="BF"/>
    </w:rPr>
  </w:style>
  <w:style w:type="character" w:customStyle="1" w:styleId="QuoteChar">
    <w:name w:val="Quote Char"/>
    <w:basedOn w:val="DefaultParagraphFont"/>
    <w:link w:val="Quote"/>
    <w:uiPriority w:val="29"/>
    <w:rsid w:val="000E4CD3"/>
    <w:rPr>
      <w:i/>
      <w:iCs/>
      <w:color w:val="404040" w:themeColor="text1" w:themeTint="BF"/>
    </w:rPr>
  </w:style>
  <w:style w:type="paragraph" w:styleId="IntenseQuote">
    <w:name w:val="Intense Quote"/>
    <w:basedOn w:val="Normal"/>
    <w:next w:val="Normal"/>
    <w:link w:val="IntenseQuoteChar"/>
    <w:uiPriority w:val="30"/>
    <w:qFormat/>
    <w:rsid w:val="000E4CD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E4CD3"/>
    <w:rPr>
      <w:i/>
      <w:iCs/>
      <w:color w:val="0F4761" w:themeColor="accent1" w:themeShade="BF"/>
    </w:rPr>
  </w:style>
  <w:style w:type="character" w:styleId="IntenseEmphasis">
    <w:name w:val="Intense Emphasis"/>
    <w:basedOn w:val="DefaultParagraphFont"/>
    <w:uiPriority w:val="21"/>
    <w:qFormat/>
    <w:rsid w:val="000E4CD3"/>
    <w:rPr>
      <w:i/>
      <w:iCs/>
      <w:color w:val="0F4761" w:themeColor="accent1" w:themeShade="BF"/>
    </w:rPr>
  </w:style>
  <w:style w:type="character" w:styleId="IntenseReference">
    <w:name w:val="Intense Reference"/>
    <w:basedOn w:val="DefaultParagraphFont"/>
    <w:uiPriority w:val="32"/>
    <w:qFormat/>
    <w:rsid w:val="000E4CD3"/>
    <w:rPr>
      <w:b/>
      <w:bCs/>
      <w:smallCaps/>
      <w:color w:val="0F4761" w:themeColor="accent1" w:themeShade="BF"/>
      <w:spacing w:val="5"/>
    </w:rPr>
  </w:style>
  <w:style w:type="character" w:styleId="Hyperlink">
    <w:name w:val="Hyperlink"/>
    <w:basedOn w:val="DefaultParagraphFont"/>
    <w:uiPriority w:val="99"/>
    <w:unhideWhenUsed/>
    <w:rsid w:val="009F6201"/>
    <w:rPr>
      <w:color w:val="467886" w:themeColor="hyperlink"/>
      <w:u w:val="single"/>
    </w:rPr>
  </w:style>
  <w:style w:type="character" w:styleId="UnresolvedMention">
    <w:name w:val="Unresolved Mention"/>
    <w:basedOn w:val="DefaultParagraphFont"/>
    <w:uiPriority w:val="99"/>
    <w:semiHidden/>
    <w:unhideWhenUsed/>
    <w:rsid w:val="009F6201"/>
    <w:rPr>
      <w:color w:val="605E5C"/>
      <w:shd w:val="clear" w:color="auto" w:fill="E1DFDD"/>
    </w:rPr>
  </w:style>
  <w:style w:type="character" w:styleId="FollowedHyperlink">
    <w:name w:val="FollowedHyperlink"/>
    <w:basedOn w:val="DefaultParagraphFont"/>
    <w:uiPriority w:val="99"/>
    <w:semiHidden/>
    <w:unhideWhenUsed/>
    <w:rsid w:val="009F6201"/>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77/13591053241240383" TargetMode="Externa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doi.org/10.3399/BJGPO.2023.0023"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ovid.com/jnls/jbisrir/fulltext/10.11124/jbies-22-00123~recommendations-for-the-extraction-analysis-and-presentation" TargetMode="External"/><Relationship Id="rId5" Type="http://schemas.openxmlformats.org/officeDocument/2006/relationships/styles" Target="styles.xml"/><Relationship Id="rId10" Type="http://schemas.openxmlformats.org/officeDocument/2006/relationships/hyperlink" Target="https://doi.org/10.11124/JBIES-21-00242" TargetMode="External"/><Relationship Id="rId4" Type="http://schemas.openxmlformats.org/officeDocument/2006/relationships/customXml" Target="../customXml/item4.xml"/><Relationship Id="rId9" Type="http://schemas.openxmlformats.org/officeDocument/2006/relationships/hyperlink" Target="https://doi.org/10.3399/BJGPO.2024.0050"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7810DDF4EC27A54C9626255B384F637A" ma:contentTypeVersion="6" ma:contentTypeDescription="Create a new document." ma:contentTypeScope="" ma:versionID="22e223c4eb11e0b4c22a6785dc34706c">
  <xsd:schema xmlns:xsd="http://www.w3.org/2001/XMLSchema" xmlns:xs="http://www.w3.org/2001/XMLSchema" xmlns:p="http://schemas.microsoft.com/office/2006/metadata/properties" xmlns:ns3="ccfc14db-0f45-423b-b2f5-752f8f8a0ada" targetNamespace="http://schemas.microsoft.com/office/2006/metadata/properties" ma:root="true" ma:fieldsID="b2f312e64cc1afa99473b2c1bc3a4185" ns3:_="">
    <xsd:import namespace="ccfc14db-0f45-423b-b2f5-752f8f8a0ada"/>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cfc14db-0f45-423b-b2f5-752f8f8a0ada"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_activity xmlns="ccfc14db-0f45-423b-b2f5-752f8f8a0ada" xsi:nil="true"/>
  </documentManagement>
</p:properties>
</file>

<file path=customXml/itemProps1.xml><?xml version="1.0" encoding="utf-8"?>
<ds:datastoreItem xmlns:ds="http://schemas.openxmlformats.org/officeDocument/2006/customXml" ds:itemID="{6CEAC7EE-B143-409D-B169-01939DA32694}">
  <ds:schemaRefs>
    <ds:schemaRef ds:uri="http://schemas.microsoft.com/sharepoint/v3/contenttype/forms"/>
  </ds:schemaRefs>
</ds:datastoreItem>
</file>

<file path=customXml/itemProps2.xml><?xml version="1.0" encoding="utf-8"?>
<ds:datastoreItem xmlns:ds="http://schemas.openxmlformats.org/officeDocument/2006/customXml" ds:itemID="{A4D1B34A-644E-4A07-85C6-1B28BFB0DB1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cfc14db-0f45-423b-b2f5-752f8f8a0ad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D5B9D46-BB02-4518-9AD8-8585400561CA}">
  <ds:schemaRefs>
    <ds:schemaRef ds:uri="http://schemas.openxmlformats.org/officeDocument/2006/bibliography"/>
  </ds:schemaRefs>
</ds:datastoreItem>
</file>

<file path=customXml/itemProps4.xml><?xml version="1.0" encoding="utf-8"?>
<ds:datastoreItem xmlns:ds="http://schemas.openxmlformats.org/officeDocument/2006/customXml" ds:itemID="{EB4DEE5B-0399-4609-9ABA-014879D03C01}">
  <ds:schemaRefs>
    <ds:schemaRef ds:uri="http://schemas.microsoft.com/office/2006/metadata/properties"/>
    <ds:schemaRef ds:uri="http://schemas.microsoft.com/office/infopath/2007/PartnerControls"/>
    <ds:schemaRef ds:uri="ccfc14db-0f45-423b-b2f5-752f8f8a0ada"/>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4</Pages>
  <Words>850</Words>
  <Characters>4850</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Portia Amankonah (2426673)</dc:creator>
  <cp:keywords/>
  <dc:description/>
  <cp:lastModifiedBy>Portia Amankonah</cp:lastModifiedBy>
  <cp:revision>5</cp:revision>
  <dcterms:created xsi:type="dcterms:W3CDTF">2026-10-10T14:07:00Z</dcterms:created>
  <dcterms:modified xsi:type="dcterms:W3CDTF">2026-10-17T21:51:00Z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0x0101007810DDF4EC27A54C9626255B384F637A</vt:lpwstr>
  </property>
</Properties>
</file>