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F7896" w14:textId="1BA752E4" w:rsidR="00FA7784" w:rsidRDefault="00B248DD" w:rsidP="00FA7784">
      <w:pPr>
        <w:jc w:val="center"/>
        <w:rPr>
          <w:b/>
        </w:rPr>
      </w:pPr>
      <w:r w:rsidRPr="00A406E5">
        <w:rPr>
          <w:rFonts w:cs="Arial"/>
          <w:noProof/>
        </w:rPr>
        <w:drawing>
          <wp:inline distT="0" distB="0" distL="0" distR="0" wp14:anchorId="7D23C034" wp14:editId="5F918E8A">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4553B85" w14:textId="77777777" w:rsidR="00FA7784" w:rsidRDefault="00FA7784" w:rsidP="00673486">
      <w:pPr>
        <w:rPr>
          <w:b/>
        </w:rPr>
      </w:pPr>
    </w:p>
    <w:p w14:paraId="22360572" w14:textId="77777777" w:rsidR="00FA7784" w:rsidRDefault="00FA7784" w:rsidP="00FA7784">
      <w:pPr>
        <w:jc w:val="center"/>
        <w:rPr>
          <w:b/>
        </w:rPr>
      </w:pPr>
    </w:p>
    <w:p w14:paraId="5ABA26C4" w14:textId="77777777" w:rsidR="00FA7784" w:rsidRDefault="00FA7784" w:rsidP="00FA7784">
      <w:pPr>
        <w:jc w:val="center"/>
        <w:rPr>
          <w:b/>
        </w:rPr>
      </w:pPr>
    </w:p>
    <w:p w14:paraId="7247634A" w14:textId="77777777" w:rsidR="0072220A" w:rsidRPr="005F2F7F" w:rsidRDefault="00FA7784" w:rsidP="0072220A">
      <w:pPr>
        <w:spacing w:after="0"/>
        <w:jc w:val="center"/>
        <w:rPr>
          <w:rFonts w:ascii="Arial" w:hAnsi="Arial" w:cs="Arial"/>
          <w:b/>
          <w:sz w:val="32"/>
          <w:szCs w:val="32"/>
        </w:rPr>
      </w:pPr>
      <w:r w:rsidRPr="00FA7784">
        <w:rPr>
          <w:b/>
        </w:rPr>
        <w:br/>
      </w:r>
      <w:r w:rsidR="0072220A" w:rsidRPr="005F2F7F">
        <w:rPr>
          <w:rFonts w:ascii="Arial" w:hAnsi="Arial" w:cs="Arial"/>
          <w:b/>
          <w:sz w:val="32"/>
          <w:szCs w:val="32"/>
        </w:rPr>
        <w:t>Programme</w:t>
      </w:r>
      <w:r w:rsidRPr="005F2F7F">
        <w:rPr>
          <w:rFonts w:ascii="Arial" w:hAnsi="Arial" w:cs="Arial"/>
          <w:b/>
          <w:sz w:val="32"/>
          <w:szCs w:val="32"/>
        </w:rPr>
        <w:t>: BSc (Hons) Health and Social Care</w:t>
      </w:r>
    </w:p>
    <w:p w14:paraId="734F1BDC" w14:textId="77777777" w:rsidR="005B4CB6" w:rsidRDefault="0072220A" w:rsidP="0072220A">
      <w:pPr>
        <w:spacing w:after="0"/>
        <w:jc w:val="center"/>
        <w:rPr>
          <w:rFonts w:ascii="Arial" w:hAnsi="Arial" w:cs="Arial"/>
          <w:b/>
          <w:sz w:val="32"/>
          <w:szCs w:val="32"/>
        </w:rPr>
      </w:pPr>
      <w:r w:rsidRPr="005F2F7F">
        <w:rPr>
          <w:rFonts w:ascii="Arial" w:hAnsi="Arial" w:cs="Arial"/>
          <w:b/>
          <w:sz w:val="32"/>
          <w:szCs w:val="32"/>
        </w:rPr>
        <w:t xml:space="preserve">Module: </w:t>
      </w:r>
      <w:r w:rsidRPr="005F2F7F">
        <w:rPr>
          <w:rFonts w:ascii="Arial" w:hAnsi="Arial" w:cs="Arial"/>
          <w:b/>
          <w:sz w:val="32"/>
          <w:szCs w:val="32"/>
        </w:rPr>
        <w:t>Independent Project</w:t>
      </w:r>
      <w:r w:rsidR="00FA7784" w:rsidRPr="005F2F7F">
        <w:rPr>
          <w:rFonts w:ascii="Arial" w:hAnsi="Arial" w:cs="Arial"/>
          <w:b/>
          <w:sz w:val="32"/>
          <w:szCs w:val="32"/>
        </w:rPr>
        <w:br/>
        <w:t>Module</w:t>
      </w:r>
      <w:r w:rsidRPr="005F2F7F">
        <w:rPr>
          <w:rFonts w:ascii="Arial" w:hAnsi="Arial" w:cs="Arial"/>
          <w:b/>
          <w:sz w:val="32"/>
          <w:szCs w:val="32"/>
        </w:rPr>
        <w:t xml:space="preserve"> Code</w:t>
      </w:r>
      <w:r w:rsidR="00FA7784" w:rsidRPr="005F2F7F">
        <w:rPr>
          <w:rFonts w:ascii="Arial" w:hAnsi="Arial" w:cs="Arial"/>
          <w:b/>
          <w:sz w:val="32"/>
          <w:szCs w:val="32"/>
        </w:rPr>
        <w:t>: BMHP6020</w:t>
      </w:r>
    </w:p>
    <w:p w14:paraId="3CECBB23" w14:textId="65DF0A24" w:rsidR="005B4CB6" w:rsidRPr="005B4CB6" w:rsidRDefault="005B4CB6" w:rsidP="005B4CB6">
      <w:pPr>
        <w:jc w:val="center"/>
        <w:rPr>
          <w:rFonts w:ascii="Arial" w:hAnsi="Arial" w:cs="Arial"/>
          <w:b/>
          <w:bCs/>
          <w:sz w:val="32"/>
          <w:szCs w:val="32"/>
        </w:rPr>
      </w:pPr>
      <w:r w:rsidRPr="005B4CB6">
        <w:rPr>
          <w:rFonts w:ascii="Arial" w:hAnsi="Arial" w:cs="Arial"/>
          <w:b/>
          <w:bCs/>
          <w:sz w:val="32"/>
          <w:szCs w:val="32"/>
        </w:rPr>
        <w:t>My Project title: Evaluating the factors contributing to the rise in Type 2 Diabetes Prevalence in England</w:t>
      </w:r>
    </w:p>
    <w:p w14:paraId="416E53D7" w14:textId="22535E23" w:rsidR="0072220A" w:rsidRPr="005F2F7F" w:rsidRDefault="00FA7784" w:rsidP="0072220A">
      <w:pPr>
        <w:spacing w:after="0"/>
        <w:jc w:val="center"/>
        <w:rPr>
          <w:rFonts w:ascii="Arial" w:hAnsi="Arial" w:cs="Arial"/>
          <w:b/>
          <w:sz w:val="32"/>
          <w:szCs w:val="32"/>
        </w:rPr>
      </w:pPr>
      <w:r w:rsidRPr="005F2F7F">
        <w:rPr>
          <w:rFonts w:ascii="Arial" w:hAnsi="Arial" w:cs="Arial"/>
          <w:b/>
          <w:sz w:val="32"/>
          <w:szCs w:val="32"/>
        </w:rPr>
        <w:br/>
      </w:r>
      <w:r w:rsidR="0072220A" w:rsidRPr="005F2F7F">
        <w:rPr>
          <w:rFonts w:ascii="Arial" w:hAnsi="Arial" w:cs="Arial"/>
          <w:b/>
          <w:sz w:val="32"/>
          <w:szCs w:val="32"/>
        </w:rPr>
        <w:t xml:space="preserve">Element 3: </w:t>
      </w:r>
      <w:r w:rsidR="00EC47D9" w:rsidRPr="005F2F7F">
        <w:rPr>
          <w:rFonts w:ascii="Arial" w:hAnsi="Arial" w:cs="Arial"/>
          <w:b/>
          <w:sz w:val="32"/>
          <w:szCs w:val="32"/>
        </w:rPr>
        <w:t>Chapter</w:t>
      </w:r>
      <w:r w:rsidR="0072220A" w:rsidRPr="005F2F7F">
        <w:rPr>
          <w:rFonts w:ascii="Arial" w:hAnsi="Arial" w:cs="Arial"/>
          <w:b/>
          <w:sz w:val="32"/>
          <w:szCs w:val="32"/>
        </w:rPr>
        <w:t xml:space="preserve"> </w:t>
      </w:r>
      <w:r w:rsidR="00EC47D9" w:rsidRPr="005F2F7F">
        <w:rPr>
          <w:rFonts w:ascii="Arial" w:hAnsi="Arial" w:cs="Arial"/>
          <w:b/>
          <w:sz w:val="32"/>
          <w:szCs w:val="32"/>
        </w:rPr>
        <w:t xml:space="preserve">1 </w:t>
      </w:r>
      <w:r w:rsidR="0072220A" w:rsidRPr="005F2F7F">
        <w:rPr>
          <w:rFonts w:ascii="Arial" w:hAnsi="Arial" w:cs="Arial"/>
          <w:b/>
          <w:sz w:val="32"/>
          <w:szCs w:val="32"/>
        </w:rPr>
        <w:t>– Introduction</w:t>
      </w:r>
    </w:p>
    <w:p w14:paraId="4C469F74" w14:textId="217F0E46" w:rsidR="00EC47D9" w:rsidRPr="005F2F7F" w:rsidRDefault="00702C9F" w:rsidP="0072220A">
      <w:pPr>
        <w:spacing w:after="0"/>
        <w:jc w:val="center"/>
        <w:rPr>
          <w:rFonts w:ascii="Arial" w:hAnsi="Arial" w:cs="Arial"/>
          <w:b/>
          <w:sz w:val="32"/>
          <w:szCs w:val="32"/>
        </w:rPr>
      </w:pPr>
      <w:r w:rsidRPr="005F2F7F">
        <w:rPr>
          <w:rFonts w:ascii="Arial" w:hAnsi="Arial" w:cs="Arial"/>
          <w:b/>
          <w:sz w:val="32"/>
          <w:szCs w:val="32"/>
        </w:rPr>
        <w:t xml:space="preserve">                   </w:t>
      </w:r>
      <w:r w:rsidR="0072220A" w:rsidRPr="005F2F7F">
        <w:rPr>
          <w:rFonts w:ascii="Arial" w:hAnsi="Arial" w:cs="Arial"/>
          <w:b/>
          <w:sz w:val="32"/>
          <w:szCs w:val="32"/>
        </w:rPr>
        <w:t>Chapter 2 - Background</w:t>
      </w:r>
    </w:p>
    <w:p w14:paraId="1C693677" w14:textId="77777777" w:rsidR="00EC47D9" w:rsidRPr="005F2F7F" w:rsidRDefault="00EC47D9" w:rsidP="0072220A">
      <w:pPr>
        <w:spacing w:after="0"/>
        <w:jc w:val="center"/>
        <w:rPr>
          <w:rFonts w:ascii="Arial" w:hAnsi="Arial" w:cs="Arial"/>
          <w:b/>
          <w:sz w:val="32"/>
          <w:szCs w:val="32"/>
        </w:rPr>
      </w:pPr>
    </w:p>
    <w:p w14:paraId="7869F3B8" w14:textId="1C05C4B5" w:rsidR="00EC47D9" w:rsidRPr="005F2F7F" w:rsidRDefault="00EC47D9" w:rsidP="0072220A">
      <w:pPr>
        <w:spacing w:after="0"/>
        <w:jc w:val="center"/>
        <w:rPr>
          <w:rFonts w:ascii="Arial" w:hAnsi="Arial" w:cs="Arial"/>
          <w:b/>
          <w:sz w:val="32"/>
          <w:szCs w:val="32"/>
        </w:rPr>
      </w:pPr>
      <w:r w:rsidRPr="005F2F7F">
        <w:rPr>
          <w:rFonts w:ascii="Arial" w:hAnsi="Arial" w:cs="Arial"/>
          <w:b/>
          <w:sz w:val="32"/>
          <w:szCs w:val="32"/>
        </w:rPr>
        <w:t xml:space="preserve">Submitted By: </w:t>
      </w:r>
      <w:r w:rsidR="0072220A" w:rsidRPr="005F2F7F">
        <w:rPr>
          <w:rFonts w:ascii="Arial" w:hAnsi="Arial" w:cs="Arial"/>
          <w:b/>
          <w:sz w:val="32"/>
          <w:szCs w:val="32"/>
        </w:rPr>
        <w:t xml:space="preserve">Mohammad </w:t>
      </w:r>
      <w:r w:rsidRPr="005F2F7F">
        <w:rPr>
          <w:rFonts w:ascii="Arial" w:hAnsi="Arial" w:cs="Arial"/>
          <w:b/>
          <w:sz w:val="32"/>
          <w:szCs w:val="32"/>
        </w:rPr>
        <w:t>Shakil Ah</w:t>
      </w:r>
      <w:r w:rsidR="0072220A" w:rsidRPr="005F2F7F">
        <w:rPr>
          <w:rFonts w:ascii="Arial" w:hAnsi="Arial" w:cs="Arial"/>
          <w:b/>
          <w:sz w:val="32"/>
          <w:szCs w:val="32"/>
        </w:rPr>
        <w:t>ma</w:t>
      </w:r>
      <w:r w:rsidRPr="005F2F7F">
        <w:rPr>
          <w:rFonts w:ascii="Arial" w:hAnsi="Arial" w:cs="Arial"/>
          <w:b/>
          <w:sz w:val="32"/>
          <w:szCs w:val="32"/>
        </w:rPr>
        <w:t>d</w:t>
      </w:r>
    </w:p>
    <w:p w14:paraId="11DCE159" w14:textId="7B54726F" w:rsidR="00FA7784" w:rsidRPr="0072220A" w:rsidRDefault="00EC47D9" w:rsidP="0072220A">
      <w:pPr>
        <w:spacing w:after="0"/>
        <w:jc w:val="center"/>
        <w:rPr>
          <w:rFonts w:ascii="Arial" w:hAnsi="Arial" w:cs="Arial"/>
          <w:b/>
        </w:rPr>
      </w:pPr>
      <w:r w:rsidRPr="005F2F7F">
        <w:rPr>
          <w:rFonts w:ascii="Arial" w:hAnsi="Arial" w:cs="Arial"/>
          <w:b/>
          <w:sz w:val="32"/>
          <w:szCs w:val="32"/>
        </w:rPr>
        <w:t xml:space="preserve">Student ID: </w:t>
      </w:r>
      <w:r w:rsidR="00FA7784" w:rsidRPr="005F2F7F">
        <w:rPr>
          <w:rFonts w:ascii="Arial" w:hAnsi="Arial" w:cs="Arial"/>
          <w:b/>
          <w:sz w:val="32"/>
          <w:szCs w:val="32"/>
        </w:rPr>
        <w:t xml:space="preserve"> </w:t>
      </w:r>
      <w:r w:rsidR="0072220A" w:rsidRPr="005F2F7F">
        <w:rPr>
          <w:rFonts w:ascii="Arial" w:hAnsi="Arial" w:cs="Arial"/>
          <w:b/>
          <w:sz w:val="32"/>
          <w:szCs w:val="32"/>
        </w:rPr>
        <w:t>2233030</w:t>
      </w:r>
    </w:p>
    <w:p w14:paraId="3D0EB59A" w14:textId="77777777" w:rsidR="00FA7784" w:rsidRDefault="00FA7784">
      <w:pPr>
        <w:spacing w:line="259" w:lineRule="auto"/>
        <w:rPr>
          <w:rFonts w:asciiTheme="majorHAnsi" w:eastAsiaTheme="majorEastAsia" w:hAnsiTheme="majorHAnsi" w:cstheme="majorBidi"/>
          <w:b/>
          <w:color w:val="2F5496" w:themeColor="accent1" w:themeShade="BF"/>
          <w:sz w:val="32"/>
          <w:szCs w:val="32"/>
        </w:rPr>
      </w:pPr>
      <w:r>
        <w:br w:type="page"/>
      </w:r>
    </w:p>
    <w:sdt>
      <w:sdtPr>
        <w:rPr>
          <w:rFonts w:eastAsiaTheme="minorHAnsi"/>
          <w:color w:val="auto"/>
          <w:sz w:val="22"/>
          <w:szCs w:val="22"/>
          <w:lang w:val="en-GB"/>
        </w:rPr>
        <w:id w:val="629216175"/>
        <w:docPartObj>
          <w:docPartGallery w:val="Table of Contents"/>
          <w:docPartUnique/>
        </w:docPartObj>
      </w:sdtPr>
      <w:sdtEndPr>
        <w:rPr>
          <w:b/>
          <w:bCs/>
          <w:noProof/>
        </w:rPr>
      </w:sdtEndPr>
      <w:sdtContent>
        <w:p w14:paraId="05998404" w14:textId="72E03389" w:rsidR="00745436" w:rsidRPr="00637491" w:rsidRDefault="00745436" w:rsidP="00574FA3">
          <w:pPr>
            <w:pStyle w:val="TOCHeading"/>
          </w:pPr>
          <w:r w:rsidRPr="00637491">
            <w:t>Contents</w:t>
          </w:r>
        </w:p>
        <w:p w14:paraId="67E9FCE4" w14:textId="5F639E64" w:rsidR="00745436" w:rsidRPr="00637491" w:rsidRDefault="00745436">
          <w:pPr>
            <w:pStyle w:val="TOC1"/>
            <w:tabs>
              <w:tab w:val="right" w:leader="dot" w:pos="9016"/>
            </w:tabs>
            <w:rPr>
              <w:rFonts w:ascii="Arial" w:eastAsiaTheme="minorEastAsia" w:hAnsi="Arial" w:cs="Arial"/>
              <w:noProof/>
              <w:kern w:val="2"/>
              <w:sz w:val="22"/>
              <w:lang w:eastAsia="en-GB"/>
              <w14:ligatures w14:val="standardContextual"/>
            </w:rPr>
          </w:pPr>
          <w:r w:rsidRPr="00637491">
            <w:rPr>
              <w:rFonts w:ascii="Arial" w:hAnsi="Arial" w:cs="Arial"/>
              <w:sz w:val="22"/>
            </w:rPr>
            <w:fldChar w:fldCharType="begin"/>
          </w:r>
          <w:r w:rsidRPr="00637491">
            <w:rPr>
              <w:rFonts w:ascii="Arial" w:hAnsi="Arial" w:cs="Arial"/>
              <w:sz w:val="22"/>
            </w:rPr>
            <w:instrText xml:space="preserve"> TOC \o "1-3" \h \z \u </w:instrText>
          </w:r>
          <w:r w:rsidRPr="00637491">
            <w:rPr>
              <w:rFonts w:ascii="Arial" w:hAnsi="Arial" w:cs="Arial"/>
              <w:sz w:val="22"/>
            </w:rPr>
            <w:fldChar w:fldCharType="separate"/>
          </w:r>
          <w:hyperlink w:anchor="_Toc204133893" w:history="1">
            <w:r w:rsidRPr="00637491">
              <w:rPr>
                <w:rStyle w:val="Hyperlink"/>
                <w:rFonts w:ascii="Arial" w:hAnsi="Arial" w:cs="Arial"/>
                <w:noProof/>
                <w:sz w:val="22"/>
              </w:rPr>
              <w:t>Chapter 1 – Introduction</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_Toc204133893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3</w:t>
            </w:r>
            <w:r w:rsidRPr="00637491">
              <w:rPr>
                <w:rFonts w:ascii="Arial" w:hAnsi="Arial" w:cs="Arial"/>
                <w:noProof/>
                <w:webHidden/>
                <w:sz w:val="22"/>
              </w:rPr>
              <w:fldChar w:fldCharType="end"/>
            </w:r>
          </w:hyperlink>
        </w:p>
        <w:p w14:paraId="1697B66F" w14:textId="47086A0D" w:rsidR="00745436" w:rsidRPr="00637491" w:rsidRDefault="00745436">
          <w:pPr>
            <w:pStyle w:val="TOC2"/>
            <w:tabs>
              <w:tab w:val="right" w:leader="dot" w:pos="9016"/>
            </w:tabs>
            <w:rPr>
              <w:rFonts w:ascii="Arial" w:eastAsiaTheme="minorEastAsia" w:hAnsi="Arial" w:cs="Arial"/>
              <w:noProof/>
              <w:kern w:val="2"/>
              <w:sz w:val="22"/>
              <w:lang w:eastAsia="en-GB"/>
              <w14:ligatures w14:val="standardContextual"/>
            </w:rPr>
          </w:pPr>
          <w:hyperlink w:anchor="_Toc204133894" w:history="1">
            <w:r w:rsidRPr="00637491">
              <w:rPr>
                <w:rStyle w:val="Hyperlink"/>
                <w:rFonts w:ascii="Arial" w:hAnsi="Arial" w:cs="Arial"/>
                <w:noProof/>
                <w:sz w:val="22"/>
              </w:rPr>
              <w:t>1.1 Introduction</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_Toc204133894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3</w:t>
            </w:r>
            <w:r w:rsidRPr="00637491">
              <w:rPr>
                <w:rFonts w:ascii="Arial" w:hAnsi="Arial" w:cs="Arial"/>
                <w:noProof/>
                <w:webHidden/>
                <w:sz w:val="22"/>
              </w:rPr>
              <w:fldChar w:fldCharType="end"/>
            </w:r>
          </w:hyperlink>
        </w:p>
        <w:p w14:paraId="553E809D" w14:textId="34937161" w:rsidR="00745436" w:rsidRPr="00637491" w:rsidRDefault="00745436">
          <w:pPr>
            <w:pStyle w:val="TOC1"/>
            <w:tabs>
              <w:tab w:val="right" w:leader="dot" w:pos="9016"/>
            </w:tabs>
            <w:rPr>
              <w:rFonts w:ascii="Arial" w:eastAsiaTheme="minorEastAsia" w:hAnsi="Arial" w:cs="Arial"/>
              <w:noProof/>
              <w:kern w:val="2"/>
              <w:sz w:val="22"/>
              <w:lang w:eastAsia="en-GB"/>
              <w14:ligatures w14:val="standardContextual"/>
            </w:rPr>
          </w:pPr>
          <w:hyperlink w:anchor="_Toc204133895" w:history="1">
            <w:r w:rsidRPr="00637491">
              <w:rPr>
                <w:rStyle w:val="Hyperlink"/>
                <w:rFonts w:ascii="Arial" w:hAnsi="Arial" w:cs="Arial"/>
                <w:noProof/>
                <w:sz w:val="22"/>
              </w:rPr>
              <w:t>1.2 Definitions and Terminology</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_Toc204133895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3</w:t>
            </w:r>
            <w:r w:rsidRPr="00637491">
              <w:rPr>
                <w:rFonts w:ascii="Arial" w:hAnsi="Arial" w:cs="Arial"/>
                <w:noProof/>
                <w:webHidden/>
                <w:sz w:val="22"/>
              </w:rPr>
              <w:fldChar w:fldCharType="end"/>
            </w:r>
          </w:hyperlink>
        </w:p>
        <w:p w14:paraId="59D8DB07" w14:textId="76EDF509" w:rsidR="00745436" w:rsidRPr="00637491" w:rsidRDefault="00745436">
          <w:pPr>
            <w:pStyle w:val="TOC2"/>
            <w:tabs>
              <w:tab w:val="right" w:leader="dot" w:pos="9016"/>
            </w:tabs>
            <w:rPr>
              <w:rFonts w:ascii="Arial" w:eastAsiaTheme="minorEastAsia" w:hAnsi="Arial" w:cs="Arial"/>
              <w:noProof/>
              <w:kern w:val="2"/>
              <w:sz w:val="22"/>
              <w:lang w:eastAsia="en-GB"/>
              <w14:ligatures w14:val="standardContextual"/>
            </w:rPr>
          </w:pPr>
          <w:hyperlink w:anchor="_Toc204133896" w:history="1">
            <w:r w:rsidRPr="00637491">
              <w:rPr>
                <w:rStyle w:val="Hyperlink"/>
                <w:rFonts w:ascii="Arial" w:hAnsi="Arial" w:cs="Arial"/>
                <w:noProof/>
                <w:sz w:val="22"/>
              </w:rPr>
              <w:t>1.3 Rationale for Research</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_Toc204133896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4</w:t>
            </w:r>
            <w:r w:rsidRPr="00637491">
              <w:rPr>
                <w:rFonts w:ascii="Arial" w:hAnsi="Arial" w:cs="Arial"/>
                <w:noProof/>
                <w:webHidden/>
                <w:sz w:val="22"/>
              </w:rPr>
              <w:fldChar w:fldCharType="end"/>
            </w:r>
          </w:hyperlink>
        </w:p>
        <w:p w14:paraId="6F578D22" w14:textId="6ADCDEB8" w:rsidR="00745436" w:rsidRPr="00637491" w:rsidRDefault="00745436">
          <w:pPr>
            <w:pStyle w:val="TOC2"/>
            <w:tabs>
              <w:tab w:val="right" w:leader="dot" w:pos="9016"/>
            </w:tabs>
            <w:rPr>
              <w:rFonts w:ascii="Arial" w:eastAsiaTheme="minorEastAsia" w:hAnsi="Arial" w:cs="Arial"/>
              <w:noProof/>
              <w:kern w:val="2"/>
              <w:sz w:val="22"/>
              <w:lang w:eastAsia="en-GB"/>
              <w14:ligatures w14:val="standardContextual"/>
            </w:rPr>
          </w:pPr>
          <w:hyperlink w:anchor="_Toc204133897" w:history="1">
            <w:r w:rsidRPr="00637491">
              <w:rPr>
                <w:rStyle w:val="Hyperlink"/>
                <w:rFonts w:ascii="Arial" w:hAnsi="Arial" w:cs="Arial"/>
                <w:noProof/>
                <w:sz w:val="22"/>
              </w:rPr>
              <w:t>1.4 Aim and Objectives</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_Toc204133897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5</w:t>
            </w:r>
            <w:r w:rsidRPr="00637491">
              <w:rPr>
                <w:rFonts w:ascii="Arial" w:hAnsi="Arial" w:cs="Arial"/>
                <w:noProof/>
                <w:webHidden/>
                <w:sz w:val="22"/>
              </w:rPr>
              <w:fldChar w:fldCharType="end"/>
            </w:r>
          </w:hyperlink>
        </w:p>
        <w:p w14:paraId="0CCE3948" w14:textId="144DDCCE" w:rsidR="00745436" w:rsidRPr="00637491" w:rsidRDefault="00745436">
          <w:pPr>
            <w:pStyle w:val="TOC2"/>
            <w:tabs>
              <w:tab w:val="right" w:leader="dot" w:pos="9016"/>
            </w:tabs>
            <w:rPr>
              <w:rFonts w:ascii="Arial" w:eastAsiaTheme="minorEastAsia" w:hAnsi="Arial" w:cs="Arial"/>
              <w:noProof/>
              <w:kern w:val="2"/>
              <w:sz w:val="22"/>
              <w:lang w:eastAsia="en-GB"/>
              <w14:ligatures w14:val="standardContextual"/>
            </w:rPr>
          </w:pPr>
          <w:hyperlink w:anchor="_Toc204133898" w:history="1">
            <w:r w:rsidRPr="00637491">
              <w:rPr>
                <w:rStyle w:val="Hyperlink"/>
                <w:rFonts w:ascii="Arial" w:hAnsi="Arial" w:cs="Arial"/>
                <w:noProof/>
                <w:sz w:val="22"/>
              </w:rPr>
              <w:t>1.5 Conclusion</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_Toc204133898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5</w:t>
            </w:r>
            <w:r w:rsidRPr="00637491">
              <w:rPr>
                <w:rFonts w:ascii="Arial" w:hAnsi="Arial" w:cs="Arial"/>
                <w:noProof/>
                <w:webHidden/>
                <w:sz w:val="22"/>
              </w:rPr>
              <w:fldChar w:fldCharType="end"/>
            </w:r>
          </w:hyperlink>
        </w:p>
        <w:p w14:paraId="5E78303C" w14:textId="06178758" w:rsidR="00745436" w:rsidRPr="00637491" w:rsidRDefault="00745436">
          <w:pPr>
            <w:pStyle w:val="TOC1"/>
            <w:tabs>
              <w:tab w:val="right" w:leader="dot" w:pos="9016"/>
            </w:tabs>
            <w:rPr>
              <w:rFonts w:ascii="Arial" w:eastAsiaTheme="minorEastAsia" w:hAnsi="Arial" w:cs="Arial"/>
              <w:noProof/>
              <w:kern w:val="2"/>
              <w:sz w:val="22"/>
              <w:lang w:eastAsia="en-GB"/>
              <w14:ligatures w14:val="standardContextual"/>
            </w:rPr>
          </w:pPr>
          <w:hyperlink w:anchor="_Toc204133899" w:history="1">
            <w:r w:rsidRPr="00637491">
              <w:rPr>
                <w:rStyle w:val="Hyperlink"/>
                <w:rFonts w:ascii="Arial" w:hAnsi="Arial" w:cs="Arial"/>
                <w:noProof/>
                <w:sz w:val="22"/>
              </w:rPr>
              <w:t>Chapter 2 – Background Information and Analysis</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_Toc204133899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6</w:t>
            </w:r>
            <w:r w:rsidRPr="00637491">
              <w:rPr>
                <w:rFonts w:ascii="Arial" w:hAnsi="Arial" w:cs="Arial"/>
                <w:noProof/>
                <w:webHidden/>
                <w:sz w:val="22"/>
              </w:rPr>
              <w:fldChar w:fldCharType="end"/>
            </w:r>
          </w:hyperlink>
        </w:p>
        <w:p w14:paraId="43DF46A9" w14:textId="2CFC2A56" w:rsidR="00745436" w:rsidRPr="00637491" w:rsidRDefault="00745436">
          <w:pPr>
            <w:pStyle w:val="TOC2"/>
            <w:tabs>
              <w:tab w:val="right" w:leader="dot" w:pos="9016"/>
            </w:tabs>
            <w:rPr>
              <w:rFonts w:ascii="Arial" w:eastAsiaTheme="minorEastAsia" w:hAnsi="Arial" w:cs="Arial"/>
              <w:noProof/>
              <w:kern w:val="2"/>
              <w:sz w:val="22"/>
              <w:lang w:eastAsia="en-GB"/>
              <w14:ligatures w14:val="standardContextual"/>
            </w:rPr>
          </w:pPr>
          <w:hyperlink w:anchor="_Toc204133900" w:history="1">
            <w:r w:rsidRPr="00637491">
              <w:rPr>
                <w:rStyle w:val="Hyperlink"/>
                <w:rFonts w:ascii="Arial" w:hAnsi="Arial" w:cs="Arial"/>
                <w:noProof/>
                <w:sz w:val="22"/>
              </w:rPr>
              <w:t>2.1 Introduction</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_Toc204133900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6</w:t>
            </w:r>
            <w:r w:rsidRPr="00637491">
              <w:rPr>
                <w:rFonts w:ascii="Arial" w:hAnsi="Arial" w:cs="Arial"/>
                <w:noProof/>
                <w:webHidden/>
                <w:sz w:val="22"/>
              </w:rPr>
              <w:fldChar w:fldCharType="end"/>
            </w:r>
          </w:hyperlink>
        </w:p>
        <w:p w14:paraId="67A6AB91" w14:textId="1515613B" w:rsidR="00745436" w:rsidRPr="00637491" w:rsidRDefault="00745436">
          <w:pPr>
            <w:pStyle w:val="TOC2"/>
            <w:tabs>
              <w:tab w:val="right" w:leader="dot" w:pos="9016"/>
            </w:tabs>
            <w:rPr>
              <w:rFonts w:ascii="Arial" w:eastAsiaTheme="minorEastAsia" w:hAnsi="Arial" w:cs="Arial"/>
              <w:noProof/>
              <w:kern w:val="2"/>
              <w:sz w:val="22"/>
              <w:lang w:eastAsia="en-GB"/>
              <w14:ligatures w14:val="standardContextual"/>
            </w:rPr>
          </w:pPr>
          <w:hyperlink w:anchor="_Toc204133901" w:history="1">
            <w:r w:rsidRPr="00637491">
              <w:rPr>
                <w:rStyle w:val="Hyperlink"/>
                <w:rFonts w:ascii="Arial" w:hAnsi="Arial" w:cs="Arial"/>
                <w:noProof/>
                <w:sz w:val="22"/>
              </w:rPr>
              <w:t>2.2 Background History</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_Toc204133901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6</w:t>
            </w:r>
            <w:r w:rsidRPr="00637491">
              <w:rPr>
                <w:rFonts w:ascii="Arial" w:hAnsi="Arial" w:cs="Arial"/>
                <w:noProof/>
                <w:webHidden/>
                <w:sz w:val="22"/>
              </w:rPr>
              <w:fldChar w:fldCharType="end"/>
            </w:r>
          </w:hyperlink>
        </w:p>
        <w:p w14:paraId="0010C248" w14:textId="5BBF51FA" w:rsidR="00745436" w:rsidRPr="00637491" w:rsidRDefault="00745436">
          <w:pPr>
            <w:pStyle w:val="TOC2"/>
            <w:tabs>
              <w:tab w:val="right" w:leader="dot" w:pos="9016"/>
            </w:tabs>
            <w:rPr>
              <w:rFonts w:ascii="Arial" w:eastAsiaTheme="minorEastAsia" w:hAnsi="Arial" w:cs="Arial"/>
              <w:noProof/>
              <w:kern w:val="2"/>
              <w:sz w:val="22"/>
              <w:lang w:eastAsia="en-GB"/>
              <w14:ligatures w14:val="standardContextual"/>
            </w:rPr>
          </w:pPr>
          <w:hyperlink w:anchor="_Toc204133902" w:history="1">
            <w:r w:rsidRPr="00637491">
              <w:rPr>
                <w:rStyle w:val="Hyperlink"/>
                <w:rFonts w:ascii="Arial" w:hAnsi="Arial" w:cs="Arial"/>
                <w:noProof/>
                <w:sz w:val="22"/>
              </w:rPr>
              <w:t>2.3 Significant Historical Figures and Contributions</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_Toc204133902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7</w:t>
            </w:r>
            <w:r w:rsidRPr="00637491">
              <w:rPr>
                <w:rFonts w:ascii="Arial" w:hAnsi="Arial" w:cs="Arial"/>
                <w:noProof/>
                <w:webHidden/>
                <w:sz w:val="22"/>
              </w:rPr>
              <w:fldChar w:fldCharType="end"/>
            </w:r>
          </w:hyperlink>
        </w:p>
        <w:p w14:paraId="1DF9E726" w14:textId="2CD7BC7B" w:rsidR="00745436" w:rsidRPr="00637491" w:rsidRDefault="00745436">
          <w:pPr>
            <w:pStyle w:val="TOC2"/>
            <w:tabs>
              <w:tab w:val="right" w:leader="dot" w:pos="9016"/>
            </w:tabs>
            <w:rPr>
              <w:rFonts w:ascii="Arial" w:eastAsiaTheme="minorEastAsia" w:hAnsi="Arial" w:cs="Arial"/>
              <w:noProof/>
              <w:kern w:val="2"/>
              <w:sz w:val="22"/>
              <w:lang w:eastAsia="en-GB"/>
              <w14:ligatures w14:val="standardContextual"/>
            </w:rPr>
          </w:pPr>
          <w:hyperlink w:anchor="_Toc204133903" w:history="1">
            <w:r w:rsidRPr="00637491">
              <w:rPr>
                <w:rStyle w:val="Hyperlink"/>
                <w:rFonts w:ascii="Arial" w:hAnsi="Arial" w:cs="Arial"/>
                <w:noProof/>
                <w:sz w:val="22"/>
              </w:rPr>
              <w:t>2.4 Theory Background</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_Toc204133903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8</w:t>
            </w:r>
            <w:r w:rsidRPr="00637491">
              <w:rPr>
                <w:rFonts w:ascii="Arial" w:hAnsi="Arial" w:cs="Arial"/>
                <w:noProof/>
                <w:webHidden/>
                <w:sz w:val="22"/>
              </w:rPr>
              <w:fldChar w:fldCharType="end"/>
            </w:r>
          </w:hyperlink>
        </w:p>
        <w:p w14:paraId="17256FFB" w14:textId="55CA937A" w:rsidR="00745436" w:rsidRPr="00637491" w:rsidRDefault="00745436">
          <w:pPr>
            <w:pStyle w:val="TOC2"/>
            <w:tabs>
              <w:tab w:val="right" w:leader="dot" w:pos="9016"/>
            </w:tabs>
            <w:rPr>
              <w:rFonts w:ascii="Arial" w:eastAsiaTheme="minorEastAsia" w:hAnsi="Arial" w:cs="Arial"/>
              <w:noProof/>
              <w:kern w:val="2"/>
              <w:sz w:val="22"/>
              <w:lang w:eastAsia="en-GB"/>
              <w14:ligatures w14:val="standardContextual"/>
            </w:rPr>
          </w:pPr>
          <w:hyperlink w:anchor="_Toc204133904" w:history="1">
            <w:r w:rsidRPr="00637491">
              <w:rPr>
                <w:rStyle w:val="Hyperlink"/>
                <w:rFonts w:ascii="Arial" w:hAnsi="Arial" w:cs="Arial"/>
                <w:noProof/>
                <w:sz w:val="22"/>
              </w:rPr>
              <w:t xml:space="preserve">2.5 Global </w:t>
            </w:r>
            <w:r w:rsidR="0053193C">
              <w:rPr>
                <w:rStyle w:val="Hyperlink"/>
                <w:rFonts w:ascii="Arial" w:hAnsi="Arial" w:cs="Arial"/>
                <w:noProof/>
                <w:sz w:val="22"/>
              </w:rPr>
              <w:t>E</w:t>
            </w:r>
            <w:r w:rsidRPr="00637491">
              <w:rPr>
                <w:rStyle w:val="Hyperlink"/>
                <w:rFonts w:ascii="Arial" w:hAnsi="Arial" w:cs="Arial"/>
                <w:noProof/>
                <w:sz w:val="22"/>
              </w:rPr>
              <w:t>nvironment</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_Toc204133904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10</w:t>
            </w:r>
            <w:r w:rsidRPr="00637491">
              <w:rPr>
                <w:rFonts w:ascii="Arial" w:hAnsi="Arial" w:cs="Arial"/>
                <w:noProof/>
                <w:webHidden/>
                <w:sz w:val="22"/>
              </w:rPr>
              <w:fldChar w:fldCharType="end"/>
            </w:r>
          </w:hyperlink>
        </w:p>
        <w:p w14:paraId="1245A2C3" w14:textId="2CDD31BD" w:rsidR="00745436" w:rsidRPr="00637491" w:rsidRDefault="00745436">
          <w:pPr>
            <w:pStyle w:val="TOC2"/>
            <w:tabs>
              <w:tab w:val="right" w:leader="dot" w:pos="9016"/>
            </w:tabs>
            <w:rPr>
              <w:rFonts w:ascii="Arial" w:eastAsiaTheme="minorEastAsia" w:hAnsi="Arial" w:cs="Arial"/>
              <w:noProof/>
              <w:kern w:val="2"/>
              <w:sz w:val="22"/>
              <w:lang w:eastAsia="en-GB"/>
              <w14:ligatures w14:val="standardContextual"/>
            </w:rPr>
          </w:pPr>
          <w:hyperlink w:anchor="_Toc204133905" w:history="1">
            <w:r w:rsidRPr="00637491">
              <w:rPr>
                <w:rStyle w:val="Hyperlink"/>
                <w:rFonts w:ascii="Arial" w:hAnsi="Arial" w:cs="Arial"/>
                <w:noProof/>
                <w:sz w:val="22"/>
              </w:rPr>
              <w:t>2.6 summary</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_Toc204133905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10</w:t>
            </w:r>
            <w:r w:rsidRPr="00637491">
              <w:rPr>
                <w:rFonts w:ascii="Arial" w:hAnsi="Arial" w:cs="Arial"/>
                <w:noProof/>
                <w:webHidden/>
                <w:sz w:val="22"/>
              </w:rPr>
              <w:fldChar w:fldCharType="end"/>
            </w:r>
          </w:hyperlink>
        </w:p>
        <w:p w14:paraId="1481DD9F" w14:textId="2A72C0D0" w:rsidR="00745436" w:rsidRPr="00637491" w:rsidRDefault="00745436">
          <w:pPr>
            <w:pStyle w:val="TOC1"/>
            <w:tabs>
              <w:tab w:val="right" w:leader="dot" w:pos="9016"/>
            </w:tabs>
            <w:rPr>
              <w:rFonts w:ascii="Arial" w:eastAsiaTheme="minorEastAsia" w:hAnsi="Arial" w:cs="Arial"/>
              <w:noProof/>
              <w:kern w:val="2"/>
              <w:sz w:val="22"/>
              <w:lang w:eastAsia="en-GB"/>
              <w14:ligatures w14:val="standardContextual"/>
            </w:rPr>
          </w:pPr>
          <w:hyperlink w:anchor="_Toc204133906" w:history="1">
            <w:r w:rsidRPr="00637491">
              <w:rPr>
                <w:rStyle w:val="Hyperlink"/>
                <w:rFonts w:ascii="Arial" w:hAnsi="Arial" w:cs="Arial"/>
                <w:noProof/>
                <w:sz w:val="22"/>
              </w:rPr>
              <w:t>References</w:t>
            </w:r>
            <w:r w:rsidRPr="00637491">
              <w:rPr>
                <w:rFonts w:ascii="Arial" w:hAnsi="Arial" w:cs="Arial"/>
                <w:noProof/>
                <w:webHidden/>
                <w:sz w:val="22"/>
              </w:rPr>
              <w:tab/>
            </w:r>
            <w:r w:rsidRPr="00637491">
              <w:rPr>
                <w:rFonts w:ascii="Arial" w:hAnsi="Arial" w:cs="Arial"/>
                <w:noProof/>
                <w:webHidden/>
                <w:sz w:val="22"/>
              </w:rPr>
              <w:fldChar w:fldCharType="begin"/>
            </w:r>
            <w:r w:rsidRPr="00637491">
              <w:rPr>
                <w:rFonts w:ascii="Arial" w:hAnsi="Arial" w:cs="Arial"/>
                <w:noProof/>
                <w:webHidden/>
                <w:sz w:val="22"/>
              </w:rPr>
              <w:instrText xml:space="preserve"> PAGEREF _Toc204133906 \h </w:instrText>
            </w:r>
            <w:r w:rsidRPr="00637491">
              <w:rPr>
                <w:rFonts w:ascii="Arial" w:hAnsi="Arial" w:cs="Arial"/>
                <w:noProof/>
                <w:webHidden/>
                <w:sz w:val="22"/>
              </w:rPr>
            </w:r>
            <w:r w:rsidRPr="00637491">
              <w:rPr>
                <w:rFonts w:ascii="Arial" w:hAnsi="Arial" w:cs="Arial"/>
                <w:noProof/>
                <w:webHidden/>
                <w:sz w:val="22"/>
              </w:rPr>
              <w:fldChar w:fldCharType="separate"/>
            </w:r>
            <w:r w:rsidR="00951CBA">
              <w:rPr>
                <w:rFonts w:ascii="Arial" w:hAnsi="Arial" w:cs="Arial"/>
                <w:noProof/>
                <w:webHidden/>
                <w:sz w:val="22"/>
              </w:rPr>
              <w:t>12</w:t>
            </w:r>
            <w:r w:rsidRPr="00637491">
              <w:rPr>
                <w:rFonts w:ascii="Arial" w:hAnsi="Arial" w:cs="Arial"/>
                <w:noProof/>
                <w:webHidden/>
                <w:sz w:val="22"/>
              </w:rPr>
              <w:fldChar w:fldCharType="end"/>
            </w:r>
          </w:hyperlink>
        </w:p>
        <w:p w14:paraId="6D6A52AF" w14:textId="551FDAE0" w:rsidR="00745436" w:rsidRPr="00637491" w:rsidRDefault="00745436">
          <w:pPr>
            <w:rPr>
              <w:rFonts w:ascii="Arial" w:hAnsi="Arial" w:cs="Arial"/>
              <w:sz w:val="22"/>
            </w:rPr>
          </w:pPr>
          <w:r w:rsidRPr="00637491">
            <w:rPr>
              <w:rFonts w:ascii="Arial" w:hAnsi="Arial" w:cs="Arial"/>
              <w:b/>
              <w:bCs/>
              <w:noProof/>
              <w:sz w:val="22"/>
            </w:rPr>
            <w:fldChar w:fldCharType="end"/>
          </w:r>
        </w:p>
      </w:sdtContent>
    </w:sdt>
    <w:p w14:paraId="4CC8BAE5" w14:textId="77777777" w:rsidR="00745436" w:rsidRDefault="00745436">
      <w:pPr>
        <w:spacing w:line="259" w:lineRule="auto"/>
        <w:rPr>
          <w:rFonts w:asciiTheme="majorHAnsi" w:eastAsiaTheme="majorEastAsia" w:hAnsiTheme="majorHAnsi" w:cstheme="majorBidi"/>
          <w:b/>
          <w:color w:val="2F5496" w:themeColor="accent1" w:themeShade="BF"/>
          <w:sz w:val="32"/>
          <w:szCs w:val="32"/>
        </w:rPr>
      </w:pPr>
      <w:r>
        <w:br w:type="page"/>
      </w:r>
    </w:p>
    <w:p w14:paraId="57CE89F5" w14:textId="30ABE04D" w:rsidR="008C7299" w:rsidRPr="00637491" w:rsidRDefault="008C7299" w:rsidP="00574FA3">
      <w:pPr>
        <w:pStyle w:val="Heading1"/>
      </w:pPr>
      <w:bookmarkStart w:id="0" w:name="_Toc204133893"/>
      <w:r w:rsidRPr="00637491">
        <w:lastRenderedPageBreak/>
        <w:t>Chapter 1 – Introduction</w:t>
      </w:r>
      <w:bookmarkEnd w:id="0"/>
    </w:p>
    <w:p w14:paraId="6388D3F3" w14:textId="77777777" w:rsidR="00637491" w:rsidRPr="00637491" w:rsidRDefault="00637491" w:rsidP="00637491"/>
    <w:p w14:paraId="298F6581" w14:textId="77777777" w:rsidR="008C7299" w:rsidRPr="00637491" w:rsidRDefault="008C7299" w:rsidP="00AC3900">
      <w:pPr>
        <w:pStyle w:val="Heading2"/>
        <w:rPr>
          <w:rFonts w:ascii="Arial" w:hAnsi="Arial" w:cs="Arial"/>
          <w:sz w:val="28"/>
          <w:szCs w:val="28"/>
        </w:rPr>
      </w:pPr>
      <w:bookmarkStart w:id="1" w:name="_Toc204133894"/>
      <w:r w:rsidRPr="00637491">
        <w:rPr>
          <w:rFonts w:ascii="Arial" w:hAnsi="Arial" w:cs="Arial"/>
          <w:sz w:val="28"/>
          <w:szCs w:val="28"/>
        </w:rPr>
        <w:t>1.1 Introduction</w:t>
      </w:r>
      <w:bookmarkEnd w:id="1"/>
    </w:p>
    <w:p w14:paraId="310026B0" w14:textId="77777777" w:rsidR="00AC3900" w:rsidRPr="00637491" w:rsidRDefault="00AC3900" w:rsidP="00AC3900">
      <w:pPr>
        <w:rPr>
          <w:rFonts w:ascii="Arial" w:hAnsi="Arial" w:cs="Arial"/>
          <w:sz w:val="22"/>
        </w:rPr>
      </w:pPr>
      <w:r w:rsidRPr="00637491">
        <w:rPr>
          <w:rFonts w:ascii="Arial" w:hAnsi="Arial" w:cs="Arial"/>
          <w:sz w:val="22"/>
        </w:rPr>
        <w:t>Diabetes Type 2 has become one of the most acute problems of the population in England, which has more than 4.6 million patients in 2024 (Diabetes UK, 2024). Compared to type 1 diabetes, type 2 is highly preventable and closely related to reversible risks like poor diet, lack of an active lifestyle, and even obesity and socioeconomic deprivation (Wijayaratna, et al., 2021). The increasing rates among all demographics, especially ethnic minorities and the poor, are of growing concern in terms of health disparity and the effectiveness of the available disease prevention methods. In this dissertation, the secondary analysis of the literature is aimed at discovering the versatile nature of this trend.</w:t>
      </w:r>
    </w:p>
    <w:p w14:paraId="6DD908F9" w14:textId="632F9079" w:rsidR="00AC3900" w:rsidRPr="00637491" w:rsidRDefault="00AC3900" w:rsidP="00AC3900">
      <w:pPr>
        <w:rPr>
          <w:rFonts w:ascii="Arial" w:hAnsi="Arial" w:cs="Arial"/>
          <w:sz w:val="22"/>
        </w:rPr>
      </w:pPr>
      <w:r w:rsidRPr="00637491">
        <w:rPr>
          <w:rFonts w:ascii="Arial" w:hAnsi="Arial" w:cs="Arial"/>
          <w:sz w:val="22"/>
        </w:rPr>
        <w:t xml:space="preserve">Type 2 diabetes not only can be an issue of one </w:t>
      </w:r>
      <w:r w:rsidR="00637491" w:rsidRPr="00637491">
        <w:rPr>
          <w:rFonts w:ascii="Arial" w:hAnsi="Arial" w:cs="Arial"/>
          <w:sz w:val="22"/>
        </w:rPr>
        <w:t>person but</w:t>
      </w:r>
      <w:r w:rsidRPr="00637491">
        <w:rPr>
          <w:rFonts w:ascii="Arial" w:hAnsi="Arial" w:cs="Arial"/>
          <w:sz w:val="22"/>
        </w:rPr>
        <w:t xml:space="preserve"> is a systemic indicator of inequity in terms of health literacy, accessibility to care, population health planning and socioeconomic mobility (Gharacheh et al., 2024). The study locates the issue of increasing the prevalence of type 2 diabetes in a socio-behavioural and policy-based framework, seeking to provide a more sophisticated insight into what steers this trend.</w:t>
      </w:r>
    </w:p>
    <w:p w14:paraId="7B4D9D78" w14:textId="054B91DF" w:rsidR="00AC3900" w:rsidRDefault="00AC3900" w:rsidP="00AC3900">
      <w:pPr>
        <w:rPr>
          <w:rFonts w:ascii="Arial" w:hAnsi="Arial" w:cs="Arial"/>
          <w:sz w:val="22"/>
        </w:rPr>
      </w:pPr>
      <w:r w:rsidRPr="00637491">
        <w:rPr>
          <w:rFonts w:ascii="Arial" w:hAnsi="Arial" w:cs="Arial"/>
          <w:sz w:val="22"/>
        </w:rPr>
        <w:t>This research will focus on providing patterns and themes that explain the increase in the prevalence of type 2 diabetes in England and will use a thematic analysis of peer-reviewed journal articles, government publications, and reports published by non-governmental organizations (NGO) like Diabetes UK. The results will produce evidence-based suggestions to better prevention approaches and future policy. The dissertation paper has this introductory part followed by a thorough background study (Chapter 2), the methodology (Chapter 3), the results (Chapter 4), discussion (Chapter 5), and the conclusions and recommendations (Chapter 6).</w:t>
      </w:r>
    </w:p>
    <w:p w14:paraId="009811C5" w14:textId="77777777" w:rsidR="00637491" w:rsidRPr="00637491" w:rsidRDefault="00637491" w:rsidP="00AC3900">
      <w:pPr>
        <w:rPr>
          <w:rFonts w:ascii="Arial" w:hAnsi="Arial" w:cs="Arial"/>
          <w:sz w:val="22"/>
        </w:rPr>
      </w:pPr>
    </w:p>
    <w:p w14:paraId="42F28133" w14:textId="64D93185" w:rsidR="008C7299" w:rsidRPr="004F1C0A" w:rsidRDefault="008C7299" w:rsidP="004F1C0A">
      <w:pPr>
        <w:rPr>
          <w:rFonts w:ascii="Arial" w:eastAsiaTheme="majorEastAsia" w:hAnsi="Arial" w:cs="Arial"/>
          <w:b/>
          <w:color w:val="2F5496" w:themeColor="accent1" w:themeShade="BF"/>
          <w:sz w:val="28"/>
          <w:szCs w:val="28"/>
        </w:rPr>
      </w:pPr>
      <w:bookmarkStart w:id="2" w:name="_Toc204133895"/>
      <w:r w:rsidRPr="004F1C0A">
        <w:rPr>
          <w:rFonts w:ascii="Arial" w:eastAsiaTheme="majorEastAsia" w:hAnsi="Arial" w:cs="Arial"/>
          <w:b/>
          <w:color w:val="2F5496" w:themeColor="accent1" w:themeShade="BF"/>
          <w:sz w:val="28"/>
          <w:szCs w:val="28"/>
        </w:rPr>
        <w:t>1.2 Definitions and Terminology</w:t>
      </w:r>
      <w:bookmarkEnd w:id="2"/>
    </w:p>
    <w:p w14:paraId="6C536B06" w14:textId="07CD7197" w:rsidR="008C7299" w:rsidRPr="00637491" w:rsidRDefault="008C7299" w:rsidP="008C7299">
      <w:pPr>
        <w:rPr>
          <w:rFonts w:ascii="Arial" w:hAnsi="Arial" w:cs="Arial"/>
          <w:sz w:val="22"/>
        </w:rPr>
      </w:pPr>
      <w:r w:rsidRPr="00637491">
        <w:rPr>
          <w:rFonts w:ascii="Arial" w:hAnsi="Arial" w:cs="Arial"/>
          <w:b/>
          <w:bCs/>
          <w:sz w:val="22"/>
        </w:rPr>
        <w:t>Type 2 Diabetes:</w:t>
      </w:r>
      <w:r w:rsidRPr="00637491">
        <w:rPr>
          <w:rFonts w:ascii="Arial" w:hAnsi="Arial" w:cs="Arial"/>
          <w:sz w:val="22"/>
        </w:rPr>
        <w:t xml:space="preserve"> A chronic condition in which the body becomes resistant to insulin or fails to produce enough insulin, leading to elevated blood glucose levels. Unlike type 1 diabetes, which is autoimmune, type 2 is strongly linked to lifestyle factors </w:t>
      </w:r>
      <w:sdt>
        <w:sdtPr>
          <w:rPr>
            <w:rFonts w:ascii="Arial" w:hAnsi="Arial" w:cs="Arial"/>
            <w:sz w:val="22"/>
          </w:rPr>
          <w:id w:val="948666238"/>
          <w:citation/>
        </w:sdtPr>
        <w:sdtContent>
          <w:r w:rsidR="000E515F" w:rsidRPr="00637491">
            <w:rPr>
              <w:rFonts w:ascii="Arial" w:hAnsi="Arial" w:cs="Arial"/>
              <w:sz w:val="22"/>
            </w:rPr>
            <w:fldChar w:fldCharType="begin"/>
          </w:r>
          <w:r w:rsidR="000E515F" w:rsidRPr="00637491">
            <w:rPr>
              <w:rFonts w:ascii="Arial" w:hAnsi="Arial" w:cs="Arial"/>
              <w:sz w:val="22"/>
              <w:lang w:val="en-US"/>
            </w:rPr>
            <w:instrText xml:space="preserve"> CITATION Cle244 \l 1033 </w:instrText>
          </w:r>
          <w:r w:rsidR="000E515F" w:rsidRPr="00637491">
            <w:rPr>
              <w:rFonts w:ascii="Arial" w:hAnsi="Arial" w:cs="Arial"/>
              <w:sz w:val="22"/>
            </w:rPr>
            <w:fldChar w:fldCharType="separate"/>
          </w:r>
          <w:r w:rsidR="000E515F" w:rsidRPr="00637491">
            <w:rPr>
              <w:rFonts w:ascii="Arial" w:hAnsi="Arial" w:cs="Arial"/>
              <w:noProof/>
              <w:sz w:val="22"/>
              <w:lang w:val="en-US"/>
            </w:rPr>
            <w:t>(Cleveland Clinic, 2024)</w:t>
          </w:r>
          <w:r w:rsidR="000E515F" w:rsidRPr="00637491">
            <w:rPr>
              <w:rFonts w:ascii="Arial" w:hAnsi="Arial" w:cs="Arial"/>
              <w:sz w:val="22"/>
            </w:rPr>
            <w:fldChar w:fldCharType="end"/>
          </w:r>
        </w:sdtContent>
      </w:sdt>
      <w:r w:rsidRPr="00637491">
        <w:rPr>
          <w:rFonts w:ascii="Arial" w:hAnsi="Arial" w:cs="Arial"/>
          <w:sz w:val="22"/>
        </w:rPr>
        <w:t>.</w:t>
      </w:r>
    </w:p>
    <w:p w14:paraId="573DBBCA" w14:textId="65F54800" w:rsidR="008C7299" w:rsidRPr="00637491" w:rsidRDefault="008C7299" w:rsidP="008C7299">
      <w:pPr>
        <w:rPr>
          <w:rFonts w:ascii="Arial" w:hAnsi="Arial" w:cs="Arial"/>
          <w:sz w:val="22"/>
        </w:rPr>
      </w:pPr>
      <w:r w:rsidRPr="00637491">
        <w:rPr>
          <w:rFonts w:ascii="Arial" w:hAnsi="Arial" w:cs="Arial"/>
          <w:b/>
          <w:bCs/>
          <w:sz w:val="22"/>
        </w:rPr>
        <w:t>Obesity:</w:t>
      </w:r>
      <w:r w:rsidRPr="00637491">
        <w:rPr>
          <w:rFonts w:ascii="Arial" w:hAnsi="Arial" w:cs="Arial"/>
          <w:sz w:val="22"/>
        </w:rPr>
        <w:t xml:space="preserve"> Defined by the World Health Organization as having a Body Mass Index (BMI) of 30 or higher</w:t>
      </w:r>
      <w:sdt>
        <w:sdtPr>
          <w:rPr>
            <w:rFonts w:ascii="Arial" w:hAnsi="Arial" w:cs="Arial"/>
            <w:sz w:val="22"/>
          </w:rPr>
          <w:id w:val="-1833593178"/>
          <w:citation/>
        </w:sdtPr>
        <w:sdtContent>
          <w:r w:rsidR="00B411F7" w:rsidRPr="00637491">
            <w:rPr>
              <w:rFonts w:ascii="Arial" w:hAnsi="Arial" w:cs="Arial"/>
              <w:sz w:val="22"/>
            </w:rPr>
            <w:fldChar w:fldCharType="begin"/>
          </w:r>
          <w:r w:rsidR="00B411F7" w:rsidRPr="00637491">
            <w:rPr>
              <w:rFonts w:ascii="Arial" w:hAnsi="Arial" w:cs="Arial"/>
              <w:sz w:val="22"/>
              <w:lang w:val="en-US"/>
            </w:rPr>
            <w:instrText xml:space="preserve"> CITATION WHO252 \l 1033 </w:instrText>
          </w:r>
          <w:r w:rsidR="00B411F7" w:rsidRPr="00637491">
            <w:rPr>
              <w:rFonts w:ascii="Arial" w:hAnsi="Arial" w:cs="Arial"/>
              <w:sz w:val="22"/>
            </w:rPr>
            <w:fldChar w:fldCharType="separate"/>
          </w:r>
          <w:r w:rsidR="00B411F7" w:rsidRPr="00637491">
            <w:rPr>
              <w:rFonts w:ascii="Arial" w:hAnsi="Arial" w:cs="Arial"/>
              <w:noProof/>
              <w:sz w:val="22"/>
              <w:lang w:val="en-US"/>
            </w:rPr>
            <w:t xml:space="preserve"> (WHO, 2025)</w:t>
          </w:r>
          <w:r w:rsidR="00B411F7" w:rsidRPr="00637491">
            <w:rPr>
              <w:rFonts w:ascii="Arial" w:hAnsi="Arial" w:cs="Arial"/>
              <w:sz w:val="22"/>
            </w:rPr>
            <w:fldChar w:fldCharType="end"/>
          </w:r>
        </w:sdtContent>
      </w:sdt>
      <w:r w:rsidRPr="00637491">
        <w:rPr>
          <w:rFonts w:ascii="Arial" w:hAnsi="Arial" w:cs="Arial"/>
          <w:sz w:val="22"/>
        </w:rPr>
        <w:t>. It is one of the leading modifiable risk factors for type 2 diabetes.</w:t>
      </w:r>
    </w:p>
    <w:p w14:paraId="765A22E6" w14:textId="581410FE" w:rsidR="008C7299" w:rsidRPr="00637491" w:rsidRDefault="008C7299" w:rsidP="008C7299">
      <w:pPr>
        <w:rPr>
          <w:rFonts w:ascii="Arial" w:hAnsi="Arial" w:cs="Arial"/>
          <w:sz w:val="22"/>
        </w:rPr>
      </w:pPr>
      <w:r w:rsidRPr="00637491">
        <w:rPr>
          <w:rFonts w:ascii="Arial" w:hAnsi="Arial" w:cs="Arial"/>
          <w:b/>
          <w:bCs/>
          <w:sz w:val="22"/>
        </w:rPr>
        <w:lastRenderedPageBreak/>
        <w:t>Socioeconomic Status (SES):</w:t>
      </w:r>
      <w:r w:rsidRPr="00637491">
        <w:rPr>
          <w:rFonts w:ascii="Arial" w:hAnsi="Arial" w:cs="Arial"/>
          <w:sz w:val="22"/>
        </w:rPr>
        <w:t xml:space="preserve"> This term refers to an individual or group's economic and social position </w:t>
      </w:r>
      <w:r w:rsidR="00A27C23" w:rsidRPr="00637491">
        <w:rPr>
          <w:rFonts w:ascii="Arial" w:hAnsi="Arial" w:cs="Arial"/>
          <w:sz w:val="22"/>
        </w:rPr>
        <w:t>about</w:t>
      </w:r>
      <w:r w:rsidRPr="00637491">
        <w:rPr>
          <w:rFonts w:ascii="Arial" w:hAnsi="Arial" w:cs="Arial"/>
          <w:sz w:val="22"/>
        </w:rPr>
        <w:t xml:space="preserve"> others, based on income, education, and occupation. Lower SES is correlated with higher diabetes prevalence</w:t>
      </w:r>
      <w:sdt>
        <w:sdtPr>
          <w:rPr>
            <w:rFonts w:ascii="Arial" w:hAnsi="Arial" w:cs="Arial"/>
            <w:sz w:val="22"/>
          </w:rPr>
          <w:id w:val="1096600447"/>
          <w:citation/>
        </w:sdtPr>
        <w:sdtContent>
          <w:r w:rsidR="00897D06" w:rsidRPr="00637491">
            <w:rPr>
              <w:rFonts w:ascii="Arial" w:hAnsi="Arial" w:cs="Arial"/>
              <w:sz w:val="22"/>
            </w:rPr>
            <w:fldChar w:fldCharType="begin"/>
          </w:r>
          <w:r w:rsidR="00897D06" w:rsidRPr="00637491">
            <w:rPr>
              <w:rFonts w:ascii="Arial" w:hAnsi="Arial" w:cs="Arial"/>
              <w:sz w:val="22"/>
              <w:lang w:val="en-US"/>
            </w:rPr>
            <w:instrText xml:space="preserve"> CITATION Beu22 \l 1033 </w:instrText>
          </w:r>
          <w:r w:rsidR="00897D06" w:rsidRPr="00637491">
            <w:rPr>
              <w:rFonts w:ascii="Arial" w:hAnsi="Arial" w:cs="Arial"/>
              <w:sz w:val="22"/>
            </w:rPr>
            <w:fldChar w:fldCharType="separate"/>
          </w:r>
          <w:r w:rsidR="00897D06" w:rsidRPr="00637491">
            <w:rPr>
              <w:rFonts w:ascii="Arial" w:hAnsi="Arial" w:cs="Arial"/>
              <w:noProof/>
              <w:sz w:val="22"/>
              <w:lang w:val="en-US"/>
            </w:rPr>
            <w:t xml:space="preserve"> (Beulens, et al., 2022)</w:t>
          </w:r>
          <w:r w:rsidR="00897D06" w:rsidRPr="00637491">
            <w:rPr>
              <w:rFonts w:ascii="Arial" w:hAnsi="Arial" w:cs="Arial"/>
              <w:sz w:val="22"/>
            </w:rPr>
            <w:fldChar w:fldCharType="end"/>
          </w:r>
        </w:sdtContent>
      </w:sdt>
      <w:r w:rsidRPr="00637491">
        <w:rPr>
          <w:rFonts w:ascii="Arial" w:hAnsi="Arial" w:cs="Arial"/>
          <w:sz w:val="22"/>
        </w:rPr>
        <w:t>.</w:t>
      </w:r>
    </w:p>
    <w:p w14:paraId="7AF9CEAF" w14:textId="4406C38C" w:rsidR="008C7299" w:rsidRPr="00637491" w:rsidRDefault="008C7299" w:rsidP="008C7299">
      <w:pPr>
        <w:rPr>
          <w:rFonts w:ascii="Arial" w:hAnsi="Arial" w:cs="Arial"/>
          <w:sz w:val="22"/>
        </w:rPr>
      </w:pPr>
      <w:r w:rsidRPr="00637491">
        <w:rPr>
          <w:rFonts w:ascii="Arial" w:hAnsi="Arial" w:cs="Arial"/>
          <w:b/>
          <w:bCs/>
          <w:sz w:val="22"/>
        </w:rPr>
        <w:t>Ethnicity:</w:t>
      </w:r>
      <w:r w:rsidRPr="00637491">
        <w:rPr>
          <w:rFonts w:ascii="Arial" w:hAnsi="Arial" w:cs="Arial"/>
          <w:sz w:val="22"/>
        </w:rPr>
        <w:t xml:space="preserve"> Used to describe groups of people who identify with each other based on shared cultural, linguistic, or ancestral traits. In the UK, South Asian and Black African-Caribbean populations have shown disproportionately high rates of type 2 diabetes </w:t>
      </w:r>
      <w:sdt>
        <w:sdtPr>
          <w:rPr>
            <w:rFonts w:ascii="Arial" w:hAnsi="Arial" w:cs="Arial"/>
            <w:sz w:val="22"/>
          </w:rPr>
          <w:id w:val="-704018405"/>
          <w:citation/>
        </w:sdtPr>
        <w:sdtContent>
          <w:r w:rsidR="009252C5" w:rsidRPr="00637491">
            <w:rPr>
              <w:rFonts w:ascii="Arial" w:hAnsi="Arial" w:cs="Arial"/>
              <w:sz w:val="22"/>
            </w:rPr>
            <w:fldChar w:fldCharType="begin"/>
          </w:r>
          <w:r w:rsidR="009252C5" w:rsidRPr="00637491">
            <w:rPr>
              <w:rFonts w:ascii="Arial" w:hAnsi="Arial" w:cs="Arial"/>
              <w:sz w:val="22"/>
              <w:lang w:val="en-US"/>
            </w:rPr>
            <w:instrText xml:space="preserve"> CITATION Dia251 \l 1033 </w:instrText>
          </w:r>
          <w:r w:rsidR="009252C5" w:rsidRPr="00637491">
            <w:rPr>
              <w:rFonts w:ascii="Arial" w:hAnsi="Arial" w:cs="Arial"/>
              <w:sz w:val="22"/>
            </w:rPr>
            <w:fldChar w:fldCharType="separate"/>
          </w:r>
          <w:r w:rsidR="009252C5" w:rsidRPr="00637491">
            <w:rPr>
              <w:rFonts w:ascii="Arial" w:hAnsi="Arial" w:cs="Arial"/>
              <w:noProof/>
              <w:sz w:val="22"/>
              <w:lang w:val="en-US"/>
            </w:rPr>
            <w:t>(Diabetes UK, 2025)</w:t>
          </w:r>
          <w:r w:rsidR="009252C5" w:rsidRPr="00637491">
            <w:rPr>
              <w:rFonts w:ascii="Arial" w:hAnsi="Arial" w:cs="Arial"/>
              <w:sz w:val="22"/>
            </w:rPr>
            <w:fldChar w:fldCharType="end"/>
          </w:r>
        </w:sdtContent>
      </w:sdt>
      <w:r w:rsidRPr="00637491">
        <w:rPr>
          <w:rFonts w:ascii="Arial" w:hAnsi="Arial" w:cs="Arial"/>
          <w:sz w:val="22"/>
        </w:rPr>
        <w:t>.</w:t>
      </w:r>
    </w:p>
    <w:p w14:paraId="5C7AF699" w14:textId="77777777" w:rsidR="008C7299" w:rsidRPr="00637491" w:rsidRDefault="008C7299" w:rsidP="008C7299">
      <w:pPr>
        <w:rPr>
          <w:rFonts w:ascii="Arial" w:hAnsi="Arial" w:cs="Arial"/>
          <w:sz w:val="22"/>
        </w:rPr>
      </w:pPr>
      <w:r w:rsidRPr="00637491">
        <w:rPr>
          <w:rFonts w:ascii="Arial" w:hAnsi="Arial" w:cs="Arial"/>
          <w:b/>
          <w:bCs/>
          <w:sz w:val="22"/>
        </w:rPr>
        <w:t>Health Inequalities:</w:t>
      </w:r>
      <w:r w:rsidRPr="00637491">
        <w:rPr>
          <w:rFonts w:ascii="Arial" w:hAnsi="Arial" w:cs="Arial"/>
          <w:sz w:val="22"/>
        </w:rPr>
        <w:t xml:space="preserve"> Systematic differences in health outcomes across different population groups, often driven by social, economic, and environmental disadvantages.</w:t>
      </w:r>
    </w:p>
    <w:p w14:paraId="7453427E" w14:textId="7562BF3D" w:rsidR="008C7299" w:rsidRPr="00637491" w:rsidRDefault="008C7299" w:rsidP="008C7299">
      <w:pPr>
        <w:rPr>
          <w:rFonts w:ascii="Arial" w:hAnsi="Arial" w:cs="Arial"/>
          <w:sz w:val="22"/>
        </w:rPr>
      </w:pPr>
      <w:r w:rsidRPr="00637491">
        <w:rPr>
          <w:rFonts w:ascii="Arial" w:hAnsi="Arial" w:cs="Arial"/>
          <w:b/>
          <w:bCs/>
          <w:sz w:val="22"/>
        </w:rPr>
        <w:t>NHS Diabetes Prevention Programme (NDPP):</w:t>
      </w:r>
      <w:r w:rsidRPr="00637491">
        <w:rPr>
          <w:rFonts w:ascii="Arial" w:hAnsi="Arial" w:cs="Arial"/>
          <w:sz w:val="22"/>
        </w:rPr>
        <w:t xml:space="preserve"> A public health initiative launched by NHS England aimed at reducing the risk of type 2 diabetes through lifestyle interventions like diet, exercise, and weight management</w:t>
      </w:r>
      <w:sdt>
        <w:sdtPr>
          <w:rPr>
            <w:rFonts w:ascii="Arial" w:hAnsi="Arial" w:cs="Arial"/>
            <w:sz w:val="22"/>
          </w:rPr>
          <w:id w:val="-708949350"/>
          <w:citation/>
        </w:sdtPr>
        <w:sdtContent>
          <w:r w:rsidR="009252C5" w:rsidRPr="00637491">
            <w:rPr>
              <w:rFonts w:ascii="Arial" w:hAnsi="Arial" w:cs="Arial"/>
              <w:sz w:val="22"/>
            </w:rPr>
            <w:fldChar w:fldCharType="begin"/>
          </w:r>
          <w:r w:rsidR="009252C5" w:rsidRPr="00637491">
            <w:rPr>
              <w:rFonts w:ascii="Arial" w:hAnsi="Arial" w:cs="Arial"/>
              <w:sz w:val="22"/>
              <w:lang w:val="en-US"/>
            </w:rPr>
            <w:instrText xml:space="preserve"> CITATION NHS2411 \l 1033 </w:instrText>
          </w:r>
          <w:r w:rsidR="009252C5" w:rsidRPr="00637491">
            <w:rPr>
              <w:rFonts w:ascii="Arial" w:hAnsi="Arial" w:cs="Arial"/>
              <w:sz w:val="22"/>
            </w:rPr>
            <w:fldChar w:fldCharType="separate"/>
          </w:r>
          <w:r w:rsidR="009252C5" w:rsidRPr="00637491">
            <w:rPr>
              <w:rFonts w:ascii="Arial" w:hAnsi="Arial" w:cs="Arial"/>
              <w:noProof/>
              <w:sz w:val="22"/>
              <w:lang w:val="en-US"/>
            </w:rPr>
            <w:t xml:space="preserve"> (NHS England, 2024)</w:t>
          </w:r>
          <w:r w:rsidR="009252C5" w:rsidRPr="00637491">
            <w:rPr>
              <w:rFonts w:ascii="Arial" w:hAnsi="Arial" w:cs="Arial"/>
              <w:sz w:val="22"/>
            </w:rPr>
            <w:fldChar w:fldCharType="end"/>
          </w:r>
        </w:sdtContent>
      </w:sdt>
      <w:r w:rsidRPr="00637491">
        <w:rPr>
          <w:rFonts w:ascii="Arial" w:hAnsi="Arial" w:cs="Arial"/>
          <w:sz w:val="22"/>
        </w:rPr>
        <w:t>.</w:t>
      </w:r>
    </w:p>
    <w:p w14:paraId="392ABFBB" w14:textId="77777777" w:rsidR="008C7299" w:rsidRDefault="008C7299" w:rsidP="008C7299">
      <w:pPr>
        <w:rPr>
          <w:rFonts w:ascii="Arial" w:hAnsi="Arial" w:cs="Arial"/>
          <w:sz w:val="22"/>
        </w:rPr>
      </w:pPr>
      <w:r w:rsidRPr="00637491">
        <w:rPr>
          <w:rFonts w:ascii="Arial" w:hAnsi="Arial" w:cs="Arial"/>
          <w:sz w:val="22"/>
        </w:rPr>
        <w:t>These definitions provide clarity and context for readers unfamiliar with health-specific terms and will be consistently applied throughout the dissertation.</w:t>
      </w:r>
    </w:p>
    <w:p w14:paraId="36A4F1EA" w14:textId="77777777" w:rsidR="00637491" w:rsidRPr="00637491" w:rsidRDefault="00637491" w:rsidP="008C7299">
      <w:pPr>
        <w:rPr>
          <w:rFonts w:ascii="Arial" w:hAnsi="Arial" w:cs="Arial"/>
          <w:sz w:val="22"/>
        </w:rPr>
      </w:pPr>
    </w:p>
    <w:p w14:paraId="78BCA51F" w14:textId="77777777" w:rsidR="008C7299" w:rsidRPr="00637491" w:rsidRDefault="008C7299" w:rsidP="00AC3900">
      <w:pPr>
        <w:pStyle w:val="Heading2"/>
        <w:rPr>
          <w:rFonts w:ascii="Arial" w:hAnsi="Arial" w:cs="Arial"/>
          <w:sz w:val="28"/>
          <w:szCs w:val="28"/>
        </w:rPr>
      </w:pPr>
      <w:bookmarkStart w:id="3" w:name="_Toc204133896"/>
      <w:r w:rsidRPr="00637491">
        <w:rPr>
          <w:rFonts w:ascii="Arial" w:hAnsi="Arial" w:cs="Arial"/>
          <w:sz w:val="28"/>
          <w:szCs w:val="28"/>
        </w:rPr>
        <w:t>1.3 Rationale for Research</w:t>
      </w:r>
      <w:bookmarkEnd w:id="3"/>
    </w:p>
    <w:p w14:paraId="13608DE0" w14:textId="79767AD7" w:rsidR="005C4F39" w:rsidRPr="00637491" w:rsidRDefault="005C4F39" w:rsidP="005C4F39">
      <w:pPr>
        <w:rPr>
          <w:rFonts w:ascii="Arial" w:hAnsi="Arial" w:cs="Arial"/>
          <w:sz w:val="22"/>
        </w:rPr>
      </w:pPr>
      <w:r w:rsidRPr="00637491">
        <w:rPr>
          <w:rFonts w:ascii="Arial" w:hAnsi="Arial" w:cs="Arial"/>
          <w:sz w:val="22"/>
        </w:rPr>
        <w:t>Raising trends of type 2 diabetes even after great public health outreaches imply that the current efforts might be insufficient or inappropriate, or concentrated unevenly. Jiao. (2024) has further indicated that social determinants of health, including poverty, inadequate living quarters, and access to healthy food, have a significant role to play in individual risk. This implies that it is not possible to restrict the prevention to the behavioural advice but to consider structural inequalities.</w:t>
      </w:r>
    </w:p>
    <w:p w14:paraId="7A2F893D" w14:textId="77777777" w:rsidR="005C4F39" w:rsidRPr="00637491" w:rsidRDefault="005C4F39" w:rsidP="005C4F39">
      <w:pPr>
        <w:rPr>
          <w:rFonts w:ascii="Arial" w:hAnsi="Arial" w:cs="Arial"/>
          <w:sz w:val="22"/>
        </w:rPr>
      </w:pPr>
      <w:r w:rsidRPr="00637491">
        <w:rPr>
          <w:rFonts w:ascii="Arial" w:hAnsi="Arial" w:cs="Arial"/>
          <w:sz w:val="22"/>
        </w:rPr>
        <w:t>Even more complicated is the fact that the ethnic minorities and the younger populations are more vulnerable. It was identified that individuals with disadvantaged socioeconomic backgrounds are more prone to complications and poorer long-term effects (Van Wilder et al., 2021). Moreover, although the NHS Diabetes Prevention Programme is promising, its level of reach and engagement might be inappropriate to reach the population with the highest risk.</w:t>
      </w:r>
    </w:p>
    <w:p w14:paraId="3B705F6C" w14:textId="076CDA4E" w:rsidR="005C4F39" w:rsidRDefault="005C4F39" w:rsidP="005C4F39">
      <w:pPr>
        <w:rPr>
          <w:rFonts w:ascii="Arial" w:hAnsi="Arial" w:cs="Arial"/>
          <w:sz w:val="22"/>
        </w:rPr>
      </w:pPr>
      <w:r w:rsidRPr="00637491">
        <w:rPr>
          <w:rFonts w:ascii="Arial" w:hAnsi="Arial" w:cs="Arial"/>
          <w:sz w:val="22"/>
        </w:rPr>
        <w:t xml:space="preserve">The purpose of the study is explained by the necessity of synthesizing and analysis of the available studies to be aware of the completeness of covering factors. The study will aim to achieve more than detecting </w:t>
      </w:r>
      <w:r w:rsidR="00637491" w:rsidRPr="00637491">
        <w:rPr>
          <w:rFonts w:ascii="Arial" w:hAnsi="Arial" w:cs="Arial"/>
          <w:sz w:val="22"/>
        </w:rPr>
        <w:t>risks but</w:t>
      </w:r>
      <w:r w:rsidRPr="00637491">
        <w:rPr>
          <w:rFonts w:ascii="Arial" w:hAnsi="Arial" w:cs="Arial"/>
          <w:sz w:val="22"/>
        </w:rPr>
        <w:t xml:space="preserve"> also addressing the quality of policies and interventions. Thematic analysis will be used to establish trends and gaps in </w:t>
      </w:r>
      <w:r w:rsidR="00637491" w:rsidRPr="00637491">
        <w:rPr>
          <w:rFonts w:ascii="Arial" w:hAnsi="Arial" w:cs="Arial"/>
          <w:sz w:val="22"/>
        </w:rPr>
        <w:t>literature and</w:t>
      </w:r>
      <w:r w:rsidRPr="00637491">
        <w:rPr>
          <w:rFonts w:ascii="Arial" w:hAnsi="Arial" w:cs="Arial"/>
          <w:sz w:val="22"/>
        </w:rPr>
        <w:t xml:space="preserve"> </w:t>
      </w:r>
      <w:r w:rsidRPr="00637491">
        <w:rPr>
          <w:rFonts w:ascii="Arial" w:hAnsi="Arial" w:cs="Arial"/>
          <w:sz w:val="22"/>
        </w:rPr>
        <w:lastRenderedPageBreak/>
        <w:t xml:space="preserve">make recommendations in order to make specific and informed </w:t>
      </w:r>
      <w:r w:rsidR="00A27C23" w:rsidRPr="00637491">
        <w:rPr>
          <w:rFonts w:ascii="Arial" w:hAnsi="Arial" w:cs="Arial"/>
          <w:sz w:val="22"/>
        </w:rPr>
        <w:t>recommendations</w:t>
      </w:r>
      <w:r w:rsidRPr="00637491">
        <w:rPr>
          <w:rFonts w:ascii="Arial" w:hAnsi="Arial" w:cs="Arial"/>
          <w:sz w:val="22"/>
        </w:rPr>
        <w:t xml:space="preserve"> to policymakers, practitioners</w:t>
      </w:r>
      <w:r w:rsidR="00A27C23" w:rsidRPr="00637491">
        <w:rPr>
          <w:rFonts w:ascii="Arial" w:hAnsi="Arial" w:cs="Arial"/>
          <w:sz w:val="22"/>
        </w:rPr>
        <w:t>,</w:t>
      </w:r>
      <w:r w:rsidRPr="00637491">
        <w:rPr>
          <w:rFonts w:ascii="Arial" w:hAnsi="Arial" w:cs="Arial"/>
          <w:sz w:val="22"/>
        </w:rPr>
        <w:t xml:space="preserve"> and educators.</w:t>
      </w:r>
    </w:p>
    <w:p w14:paraId="669C5B55" w14:textId="77777777" w:rsidR="00637491" w:rsidRPr="00637491" w:rsidRDefault="00637491" w:rsidP="005C4F39">
      <w:pPr>
        <w:rPr>
          <w:rFonts w:ascii="Arial" w:hAnsi="Arial" w:cs="Arial"/>
          <w:b/>
          <w:sz w:val="22"/>
        </w:rPr>
      </w:pPr>
    </w:p>
    <w:p w14:paraId="28FCF14F" w14:textId="767D2E91" w:rsidR="008C7299" w:rsidRPr="00637491" w:rsidRDefault="008C7299" w:rsidP="005C4F39">
      <w:pPr>
        <w:pStyle w:val="Heading2"/>
        <w:rPr>
          <w:rFonts w:ascii="Arial" w:hAnsi="Arial" w:cs="Arial"/>
          <w:sz w:val="28"/>
          <w:szCs w:val="28"/>
        </w:rPr>
      </w:pPr>
      <w:bookmarkStart w:id="4" w:name="_Toc204133897"/>
      <w:r w:rsidRPr="00637491">
        <w:rPr>
          <w:rFonts w:ascii="Arial" w:hAnsi="Arial" w:cs="Arial"/>
          <w:sz w:val="28"/>
          <w:szCs w:val="28"/>
        </w:rPr>
        <w:t>1.4 Aim and Objectives</w:t>
      </w:r>
      <w:bookmarkEnd w:id="4"/>
    </w:p>
    <w:p w14:paraId="0AC2244A" w14:textId="77777777" w:rsidR="008C7299" w:rsidRPr="00637491" w:rsidRDefault="008C7299" w:rsidP="008C7299">
      <w:pPr>
        <w:rPr>
          <w:rFonts w:ascii="Arial" w:hAnsi="Arial" w:cs="Arial"/>
          <w:sz w:val="22"/>
        </w:rPr>
      </w:pPr>
      <w:r w:rsidRPr="00637491">
        <w:rPr>
          <w:rFonts w:ascii="Arial" w:hAnsi="Arial" w:cs="Arial"/>
          <w:b/>
          <w:bCs/>
          <w:sz w:val="22"/>
        </w:rPr>
        <w:t>Research Aim:</w:t>
      </w:r>
      <w:r w:rsidRPr="00637491">
        <w:rPr>
          <w:rFonts w:ascii="Arial" w:hAnsi="Arial" w:cs="Arial"/>
          <w:sz w:val="22"/>
        </w:rPr>
        <w:br/>
        <w:t>To examine and assess the key social, behavioural, and environmental determinants behind the rising prevalence of type 2 diabetes in England, and to evaluate the adequacy of current prevention policies and public health strategies.</w:t>
      </w:r>
    </w:p>
    <w:p w14:paraId="54F6F463" w14:textId="77777777" w:rsidR="008C7299" w:rsidRPr="00637491" w:rsidRDefault="008C7299" w:rsidP="008C7299">
      <w:pPr>
        <w:rPr>
          <w:rFonts w:ascii="Arial" w:hAnsi="Arial" w:cs="Arial"/>
          <w:sz w:val="22"/>
        </w:rPr>
      </w:pPr>
      <w:r w:rsidRPr="00637491">
        <w:rPr>
          <w:rFonts w:ascii="Arial" w:hAnsi="Arial" w:cs="Arial"/>
          <w:b/>
          <w:bCs/>
          <w:sz w:val="22"/>
        </w:rPr>
        <w:t>Research Objectives:</w:t>
      </w:r>
    </w:p>
    <w:p w14:paraId="210A5B13" w14:textId="77777777" w:rsidR="008C7299" w:rsidRPr="00637491" w:rsidRDefault="008C7299" w:rsidP="008C7299">
      <w:pPr>
        <w:numPr>
          <w:ilvl w:val="0"/>
          <w:numId w:val="1"/>
        </w:numPr>
        <w:rPr>
          <w:rFonts w:ascii="Arial" w:hAnsi="Arial" w:cs="Arial"/>
          <w:sz w:val="22"/>
        </w:rPr>
      </w:pPr>
      <w:r w:rsidRPr="00637491">
        <w:rPr>
          <w:rFonts w:ascii="Arial" w:hAnsi="Arial" w:cs="Arial"/>
          <w:sz w:val="22"/>
        </w:rPr>
        <w:t>To establish the nature of type 2 diabetes trends across diverse population groups in England.</w:t>
      </w:r>
    </w:p>
    <w:p w14:paraId="2554AAF7" w14:textId="77777777" w:rsidR="008C7299" w:rsidRPr="00637491" w:rsidRDefault="008C7299" w:rsidP="008C7299">
      <w:pPr>
        <w:numPr>
          <w:ilvl w:val="0"/>
          <w:numId w:val="1"/>
        </w:numPr>
        <w:rPr>
          <w:rFonts w:ascii="Arial" w:hAnsi="Arial" w:cs="Arial"/>
          <w:sz w:val="22"/>
        </w:rPr>
      </w:pPr>
      <w:r w:rsidRPr="00637491">
        <w:rPr>
          <w:rFonts w:ascii="Arial" w:hAnsi="Arial" w:cs="Arial"/>
          <w:sz w:val="22"/>
        </w:rPr>
        <w:t>To analyse the main contributing factors—lifestyle, socioeconomic status, ethnicity, and healthcare access.</w:t>
      </w:r>
    </w:p>
    <w:p w14:paraId="3C2F8F03" w14:textId="77777777" w:rsidR="008C7299" w:rsidRPr="00637491" w:rsidRDefault="008C7299" w:rsidP="008C7299">
      <w:pPr>
        <w:numPr>
          <w:ilvl w:val="0"/>
          <w:numId w:val="1"/>
        </w:numPr>
        <w:rPr>
          <w:rFonts w:ascii="Arial" w:hAnsi="Arial" w:cs="Arial"/>
          <w:sz w:val="22"/>
        </w:rPr>
      </w:pPr>
      <w:r w:rsidRPr="00637491">
        <w:rPr>
          <w:rFonts w:ascii="Arial" w:hAnsi="Arial" w:cs="Arial"/>
          <w:sz w:val="22"/>
        </w:rPr>
        <w:t>To evaluate the success and limitations of national policies and public health campaigns in reducing diabetes risk.</w:t>
      </w:r>
    </w:p>
    <w:p w14:paraId="078E324C" w14:textId="77777777" w:rsidR="008C7299" w:rsidRPr="00637491" w:rsidRDefault="008C7299" w:rsidP="008C7299">
      <w:pPr>
        <w:numPr>
          <w:ilvl w:val="0"/>
          <w:numId w:val="1"/>
        </w:numPr>
        <w:rPr>
          <w:rFonts w:ascii="Arial" w:hAnsi="Arial" w:cs="Arial"/>
          <w:sz w:val="22"/>
        </w:rPr>
      </w:pPr>
      <w:r w:rsidRPr="00637491">
        <w:rPr>
          <w:rFonts w:ascii="Arial" w:hAnsi="Arial" w:cs="Arial"/>
          <w:sz w:val="22"/>
        </w:rPr>
        <w:t>To provide evidence-based recommendations for improved prevention, education, and early intervention strategies in health and social care settings.</w:t>
      </w:r>
    </w:p>
    <w:p w14:paraId="752C36AB" w14:textId="77777777" w:rsidR="008C7299" w:rsidRDefault="008C7299" w:rsidP="008C7299">
      <w:pPr>
        <w:rPr>
          <w:rFonts w:ascii="Arial" w:hAnsi="Arial" w:cs="Arial"/>
          <w:sz w:val="22"/>
        </w:rPr>
      </w:pPr>
      <w:r w:rsidRPr="00637491">
        <w:rPr>
          <w:rFonts w:ascii="Arial" w:hAnsi="Arial" w:cs="Arial"/>
          <w:sz w:val="22"/>
        </w:rPr>
        <w:t>These objectives were drawn from the original project proposal and underpin the structure of the dissertation chapters, helping to maintain focus and alignment with the research aim.</w:t>
      </w:r>
    </w:p>
    <w:p w14:paraId="25960AEA" w14:textId="77777777" w:rsidR="00637491" w:rsidRPr="00637491" w:rsidRDefault="00637491" w:rsidP="008C7299">
      <w:pPr>
        <w:rPr>
          <w:rFonts w:ascii="Arial" w:hAnsi="Arial" w:cs="Arial"/>
          <w:sz w:val="22"/>
        </w:rPr>
      </w:pPr>
    </w:p>
    <w:p w14:paraId="1ECF666C" w14:textId="77777777" w:rsidR="008C7299" w:rsidRPr="00637491" w:rsidRDefault="008C7299" w:rsidP="005C4F39">
      <w:pPr>
        <w:pStyle w:val="Heading2"/>
        <w:rPr>
          <w:rFonts w:ascii="Arial" w:hAnsi="Arial" w:cs="Arial"/>
          <w:sz w:val="28"/>
          <w:szCs w:val="28"/>
        </w:rPr>
      </w:pPr>
      <w:bookmarkStart w:id="5" w:name="_Toc204133898"/>
      <w:r w:rsidRPr="00637491">
        <w:rPr>
          <w:rFonts w:ascii="Arial" w:hAnsi="Arial" w:cs="Arial"/>
          <w:sz w:val="28"/>
          <w:szCs w:val="28"/>
        </w:rPr>
        <w:t>1.5 Conclusion</w:t>
      </w:r>
      <w:bookmarkEnd w:id="5"/>
    </w:p>
    <w:p w14:paraId="179945B7" w14:textId="4C82A480" w:rsidR="005C4F39" w:rsidRPr="00637491" w:rsidRDefault="005C4F39" w:rsidP="005C4F39">
      <w:pPr>
        <w:rPr>
          <w:rFonts w:ascii="Arial" w:hAnsi="Arial" w:cs="Arial"/>
          <w:sz w:val="22"/>
        </w:rPr>
      </w:pPr>
      <w:r w:rsidRPr="00637491">
        <w:rPr>
          <w:rFonts w:ascii="Arial" w:hAnsi="Arial" w:cs="Arial"/>
          <w:sz w:val="22"/>
        </w:rPr>
        <w:t xml:space="preserve">This introductory chapter has presented the purpose, background, terminologies, rationale, and objectives of the dissertation. The relevance and topicality of the research on the issue of type 2 diabetes in England </w:t>
      </w:r>
      <w:r w:rsidR="007E7F17" w:rsidRPr="00637491">
        <w:rPr>
          <w:rFonts w:ascii="Arial" w:hAnsi="Arial" w:cs="Arial"/>
          <w:sz w:val="22"/>
        </w:rPr>
        <w:t>are</w:t>
      </w:r>
      <w:r w:rsidRPr="00637491">
        <w:rPr>
          <w:rFonts w:ascii="Arial" w:hAnsi="Arial" w:cs="Arial"/>
          <w:sz w:val="22"/>
        </w:rPr>
        <w:t xml:space="preserve"> also supported by the fact that it represents an increasingly threatening manifestation of public health, especially given the cost of investment in the problem of socioeconomic and ethnic health inequalities. Through thematic secondary literature review, this work will present important trends and provide </w:t>
      </w:r>
      <w:r w:rsidR="007E7F17" w:rsidRPr="00637491">
        <w:rPr>
          <w:rFonts w:ascii="Arial" w:hAnsi="Arial" w:cs="Arial"/>
          <w:sz w:val="22"/>
        </w:rPr>
        <w:t xml:space="preserve">a </w:t>
      </w:r>
      <w:r w:rsidRPr="00637491">
        <w:rPr>
          <w:rFonts w:ascii="Arial" w:hAnsi="Arial" w:cs="Arial"/>
          <w:sz w:val="22"/>
        </w:rPr>
        <w:t>critical assessment of the existing policies.</w:t>
      </w:r>
    </w:p>
    <w:p w14:paraId="4AE17DC1" w14:textId="68DC6561" w:rsidR="00637491" w:rsidRPr="00637491" w:rsidRDefault="005C4F39" w:rsidP="005C4F39">
      <w:pPr>
        <w:rPr>
          <w:rFonts w:ascii="Arial" w:hAnsi="Arial" w:cs="Arial"/>
          <w:sz w:val="22"/>
        </w:rPr>
      </w:pPr>
      <w:r w:rsidRPr="00637491">
        <w:rPr>
          <w:rFonts w:ascii="Arial" w:hAnsi="Arial" w:cs="Arial"/>
          <w:sz w:val="22"/>
        </w:rPr>
        <w:t xml:space="preserve">Chapter 2 will give an elaborate backdrop and analysis and will give a historical, theoretical, and contextual analysis of type 2 diabetes prevalence and its related risk factors. It will also support the research and give </w:t>
      </w:r>
      <w:r w:rsidR="007E7F17" w:rsidRPr="00637491">
        <w:rPr>
          <w:rFonts w:ascii="Arial" w:hAnsi="Arial" w:cs="Arial"/>
          <w:sz w:val="22"/>
        </w:rPr>
        <w:t xml:space="preserve">a </w:t>
      </w:r>
      <w:r w:rsidRPr="00637491">
        <w:rPr>
          <w:rFonts w:ascii="Arial" w:hAnsi="Arial" w:cs="Arial"/>
          <w:sz w:val="22"/>
        </w:rPr>
        <w:t>basis of research approach and research results.</w:t>
      </w:r>
    </w:p>
    <w:p w14:paraId="41FCDC0C" w14:textId="19D77F76" w:rsidR="00C24D83" w:rsidRPr="00574FA3" w:rsidRDefault="00C24D83" w:rsidP="00574FA3">
      <w:pPr>
        <w:pStyle w:val="Heading1"/>
      </w:pPr>
      <w:bookmarkStart w:id="6" w:name="_Toc204133899"/>
      <w:r w:rsidRPr="00574FA3">
        <w:lastRenderedPageBreak/>
        <w:t>Chapter 2 – Background Information and Analysis</w:t>
      </w:r>
      <w:bookmarkEnd w:id="6"/>
    </w:p>
    <w:p w14:paraId="14B55393" w14:textId="77777777" w:rsidR="00637491" w:rsidRDefault="00637491" w:rsidP="007E7F17">
      <w:pPr>
        <w:pStyle w:val="Heading2"/>
        <w:rPr>
          <w:rFonts w:ascii="Arial" w:hAnsi="Arial" w:cs="Arial"/>
          <w:sz w:val="22"/>
          <w:szCs w:val="22"/>
        </w:rPr>
      </w:pPr>
      <w:bookmarkStart w:id="7" w:name="_Toc204133900"/>
    </w:p>
    <w:p w14:paraId="1C927CEC" w14:textId="3F4D54A7" w:rsidR="00C24D83" w:rsidRPr="00574FA3" w:rsidRDefault="00C24D83" w:rsidP="007E7F17">
      <w:pPr>
        <w:pStyle w:val="Heading2"/>
        <w:rPr>
          <w:rFonts w:ascii="Arial" w:hAnsi="Arial" w:cs="Arial"/>
          <w:sz w:val="28"/>
          <w:szCs w:val="28"/>
        </w:rPr>
      </w:pPr>
      <w:r w:rsidRPr="00574FA3">
        <w:rPr>
          <w:rFonts w:ascii="Arial" w:hAnsi="Arial" w:cs="Arial"/>
          <w:sz w:val="28"/>
          <w:szCs w:val="28"/>
        </w:rPr>
        <w:t>2.1 Introduction</w:t>
      </w:r>
      <w:bookmarkEnd w:id="7"/>
    </w:p>
    <w:p w14:paraId="7AB5CC42" w14:textId="5D9992FF" w:rsidR="007E7F17" w:rsidRPr="00637491" w:rsidRDefault="007E7F17" w:rsidP="007E7F17">
      <w:pPr>
        <w:rPr>
          <w:rFonts w:ascii="Arial" w:hAnsi="Arial" w:cs="Arial"/>
          <w:sz w:val="22"/>
        </w:rPr>
      </w:pPr>
      <w:r w:rsidRPr="00637491">
        <w:rPr>
          <w:rFonts w:ascii="Arial" w:hAnsi="Arial" w:cs="Arial"/>
          <w:sz w:val="22"/>
        </w:rPr>
        <w:t xml:space="preserve">The chapter has given a background insight into the increase in prevalence of type 2 diabetes in England in terms of its evolution over the years, its major contributors, its </w:t>
      </w:r>
      <w:r w:rsidR="00A27C23" w:rsidRPr="00637491">
        <w:rPr>
          <w:rFonts w:ascii="Arial" w:hAnsi="Arial" w:cs="Arial"/>
          <w:sz w:val="22"/>
        </w:rPr>
        <w:t>theoretical</w:t>
      </w:r>
      <w:r w:rsidRPr="00637491">
        <w:rPr>
          <w:rFonts w:ascii="Arial" w:hAnsi="Arial" w:cs="Arial"/>
          <w:sz w:val="22"/>
        </w:rPr>
        <w:t xml:space="preserve"> basis</w:t>
      </w:r>
      <w:r w:rsidR="00A27C23" w:rsidRPr="00637491">
        <w:rPr>
          <w:rFonts w:ascii="Arial" w:hAnsi="Arial" w:cs="Arial"/>
          <w:sz w:val="22"/>
        </w:rPr>
        <w:t>,</w:t>
      </w:r>
      <w:r w:rsidRPr="00637491">
        <w:rPr>
          <w:rFonts w:ascii="Arial" w:hAnsi="Arial" w:cs="Arial"/>
          <w:sz w:val="22"/>
        </w:rPr>
        <w:t xml:space="preserve"> as well as its comparison with very different countries. Instead of offering findings, the chapter establishes the background of contextual understanding required later in the study to critically analyze results. The purpose of this paper is to determine the reasons why type 2 diabetes has ended up being a public health issue nationally through the socio-political and environmental factors that have facilitated the spread of the disease. To determine how well the public health responses targeting this chronic condition work, it is important to be aware of how this chronic condition has progressed in terms of </w:t>
      </w:r>
      <w:r w:rsidR="00A27C23" w:rsidRPr="00637491">
        <w:rPr>
          <w:rFonts w:ascii="Arial" w:hAnsi="Arial" w:cs="Arial"/>
          <w:sz w:val="22"/>
        </w:rPr>
        <w:t xml:space="preserve">the </w:t>
      </w:r>
      <w:r w:rsidRPr="00637491">
        <w:rPr>
          <w:rFonts w:ascii="Arial" w:hAnsi="Arial" w:cs="Arial"/>
          <w:sz w:val="22"/>
        </w:rPr>
        <w:t>national and global picture</w:t>
      </w:r>
      <w:r w:rsidR="00A27C23" w:rsidRPr="00637491">
        <w:rPr>
          <w:rFonts w:ascii="Arial" w:hAnsi="Arial" w:cs="Arial"/>
          <w:sz w:val="22"/>
        </w:rPr>
        <w:t>,</w:t>
      </w:r>
      <w:r w:rsidRPr="00637491">
        <w:rPr>
          <w:rFonts w:ascii="Arial" w:hAnsi="Arial" w:cs="Arial"/>
          <w:sz w:val="22"/>
        </w:rPr>
        <w:t xml:space="preserve"> as well as </w:t>
      </w:r>
      <w:r w:rsidR="00A27C23" w:rsidRPr="00637491">
        <w:rPr>
          <w:rFonts w:ascii="Arial" w:hAnsi="Arial" w:cs="Arial"/>
          <w:sz w:val="22"/>
        </w:rPr>
        <w:t xml:space="preserve">to </w:t>
      </w:r>
      <w:r w:rsidRPr="00637491">
        <w:rPr>
          <w:rFonts w:ascii="Arial" w:hAnsi="Arial" w:cs="Arial"/>
          <w:sz w:val="22"/>
        </w:rPr>
        <w:t>determine gaps that actually persist in prevention and management of the same.</w:t>
      </w:r>
    </w:p>
    <w:p w14:paraId="2B6A06D9" w14:textId="2E2C21A7" w:rsidR="007E7F17" w:rsidRDefault="007E7F17" w:rsidP="007E7F17">
      <w:pPr>
        <w:rPr>
          <w:rFonts w:ascii="Arial" w:hAnsi="Arial" w:cs="Arial"/>
          <w:sz w:val="22"/>
        </w:rPr>
      </w:pPr>
      <w:r w:rsidRPr="00637491">
        <w:rPr>
          <w:rFonts w:ascii="Arial" w:hAnsi="Arial" w:cs="Arial"/>
          <w:sz w:val="22"/>
        </w:rPr>
        <w:t>The background analysis will also respond to the changing demographic trend of its victims, the socio-behavioural paradigms that describe risk of the disease, and the organizational factors that support the inequalities of health. Based on theoretical frameworks and examples of similar situations in foreign countries, the present chapter will attempt to broaden the context of analysing the case of England with diabetes type 2 in a more complex framework.</w:t>
      </w:r>
    </w:p>
    <w:p w14:paraId="04411BFB" w14:textId="77777777" w:rsidR="00574FA3" w:rsidRPr="00637491" w:rsidRDefault="00574FA3" w:rsidP="007E7F17">
      <w:pPr>
        <w:rPr>
          <w:rFonts w:ascii="Arial" w:hAnsi="Arial" w:cs="Arial"/>
          <w:sz w:val="22"/>
        </w:rPr>
      </w:pPr>
    </w:p>
    <w:p w14:paraId="1D958AE0" w14:textId="77777777" w:rsidR="007E7F17" w:rsidRPr="00574FA3" w:rsidRDefault="007E7F17" w:rsidP="007E7F17">
      <w:pPr>
        <w:pStyle w:val="Heading2"/>
        <w:rPr>
          <w:rFonts w:ascii="Arial" w:hAnsi="Arial" w:cs="Arial"/>
          <w:sz w:val="28"/>
          <w:szCs w:val="28"/>
        </w:rPr>
      </w:pPr>
      <w:bookmarkStart w:id="8" w:name="_Toc204133901"/>
      <w:r w:rsidRPr="00574FA3">
        <w:rPr>
          <w:rFonts w:ascii="Arial" w:hAnsi="Arial" w:cs="Arial"/>
          <w:sz w:val="28"/>
          <w:szCs w:val="28"/>
        </w:rPr>
        <w:t>2.2 Background History</w:t>
      </w:r>
      <w:bookmarkEnd w:id="8"/>
    </w:p>
    <w:p w14:paraId="729BD617" w14:textId="7C8B1A20" w:rsidR="007E7F17" w:rsidRPr="00637491" w:rsidRDefault="007E7F17" w:rsidP="007E7F17">
      <w:pPr>
        <w:rPr>
          <w:rFonts w:ascii="Arial" w:hAnsi="Arial" w:cs="Arial"/>
          <w:sz w:val="22"/>
        </w:rPr>
      </w:pPr>
      <w:r w:rsidRPr="00637491">
        <w:rPr>
          <w:rFonts w:ascii="Arial" w:hAnsi="Arial" w:cs="Arial"/>
          <w:sz w:val="22"/>
        </w:rPr>
        <w:t xml:space="preserve">Before the advent of modern diabetes management, type 2 diabetes was viewed as an uncommon metabolic condition that affected mostly elderly people. Towards the beginning of the 20th century, cases </w:t>
      </w:r>
      <w:r w:rsidR="007646AB" w:rsidRPr="00637491">
        <w:rPr>
          <w:rFonts w:ascii="Arial" w:hAnsi="Arial" w:cs="Arial"/>
          <w:sz w:val="22"/>
        </w:rPr>
        <w:t>were</w:t>
      </w:r>
      <w:r w:rsidRPr="00637491">
        <w:rPr>
          <w:rFonts w:ascii="Arial" w:hAnsi="Arial" w:cs="Arial"/>
          <w:sz w:val="22"/>
        </w:rPr>
        <w:t xml:space="preserve"> rare, and the issue was virtually unknown. But this attitude transformed a lot after the emergence of modernized industrial societies and the related changes in lifestyle, nutrition, and habits related to health (Bellary et al., 2021). With the shift in England to an office-based employment labour force and urbanisation, the level of activity decreased, and the diet became more oriented </w:t>
      </w:r>
      <w:r w:rsidR="007646AB" w:rsidRPr="00637491">
        <w:rPr>
          <w:rFonts w:ascii="Arial" w:hAnsi="Arial" w:cs="Arial"/>
          <w:sz w:val="22"/>
        </w:rPr>
        <w:t>toward</w:t>
      </w:r>
      <w:r w:rsidRPr="00637491">
        <w:rPr>
          <w:rFonts w:ascii="Arial" w:hAnsi="Arial" w:cs="Arial"/>
          <w:sz w:val="22"/>
        </w:rPr>
        <w:t xml:space="preserve"> convenience rather than nutritious food (Ham et al., 2020).</w:t>
      </w:r>
    </w:p>
    <w:p w14:paraId="4C9763A3" w14:textId="5054B511" w:rsidR="00072E56" w:rsidRPr="00637491" w:rsidRDefault="00072E56" w:rsidP="00072E56">
      <w:pPr>
        <w:rPr>
          <w:rFonts w:ascii="Arial" w:hAnsi="Arial" w:cs="Arial"/>
          <w:sz w:val="22"/>
        </w:rPr>
      </w:pPr>
      <w:r w:rsidRPr="00637491">
        <w:rPr>
          <w:rFonts w:ascii="Arial" w:hAnsi="Arial" w:cs="Arial"/>
          <w:sz w:val="22"/>
        </w:rPr>
        <w:t>By the 1990s and 1980s, such chronic conditions, which are caused by lifestyle effects, started to rise considerably</w:t>
      </w:r>
      <w:r w:rsidR="00A55E16" w:rsidRPr="00637491">
        <w:rPr>
          <w:rFonts w:ascii="Arial" w:hAnsi="Arial" w:cs="Arial"/>
          <w:sz w:val="22"/>
        </w:rPr>
        <w:t>,</w:t>
      </w:r>
      <w:r w:rsidRPr="00637491">
        <w:rPr>
          <w:rFonts w:ascii="Arial" w:hAnsi="Arial" w:cs="Arial"/>
          <w:sz w:val="22"/>
        </w:rPr>
        <w:t xml:space="preserve"> such as obesity, hypertension, and </w:t>
      </w:r>
      <w:r w:rsidR="00A55E16" w:rsidRPr="00637491">
        <w:rPr>
          <w:rFonts w:ascii="Arial" w:hAnsi="Arial" w:cs="Arial"/>
          <w:sz w:val="22"/>
        </w:rPr>
        <w:t>type 2 diabetes</w:t>
      </w:r>
      <w:r w:rsidRPr="00637491">
        <w:rPr>
          <w:rFonts w:ascii="Arial" w:hAnsi="Arial" w:cs="Arial"/>
          <w:sz w:val="22"/>
        </w:rPr>
        <w:t xml:space="preserve">. This time was marked by the rise </w:t>
      </w:r>
      <w:r w:rsidR="00A55E16" w:rsidRPr="00637491">
        <w:rPr>
          <w:rFonts w:ascii="Arial" w:hAnsi="Arial" w:cs="Arial"/>
          <w:sz w:val="22"/>
        </w:rPr>
        <w:t>in</w:t>
      </w:r>
      <w:r w:rsidRPr="00637491">
        <w:rPr>
          <w:rFonts w:ascii="Arial" w:hAnsi="Arial" w:cs="Arial"/>
          <w:sz w:val="22"/>
        </w:rPr>
        <w:t xml:space="preserve"> availability of </w:t>
      </w:r>
      <w:r w:rsidR="00A55E16" w:rsidRPr="00637491">
        <w:rPr>
          <w:rFonts w:ascii="Arial" w:hAnsi="Arial" w:cs="Arial"/>
          <w:sz w:val="22"/>
        </w:rPr>
        <w:t>calorie-rich</w:t>
      </w:r>
      <w:r w:rsidRPr="00637491">
        <w:rPr>
          <w:rFonts w:ascii="Arial" w:hAnsi="Arial" w:cs="Arial"/>
          <w:sz w:val="22"/>
        </w:rPr>
        <w:t xml:space="preserve"> food, </w:t>
      </w:r>
      <w:r w:rsidR="00A55E16" w:rsidRPr="00637491">
        <w:rPr>
          <w:rFonts w:ascii="Arial" w:hAnsi="Arial" w:cs="Arial"/>
          <w:sz w:val="22"/>
        </w:rPr>
        <w:t xml:space="preserve">a </w:t>
      </w:r>
      <w:r w:rsidRPr="00637491">
        <w:rPr>
          <w:rFonts w:ascii="Arial" w:hAnsi="Arial" w:cs="Arial"/>
          <w:sz w:val="22"/>
        </w:rPr>
        <w:t xml:space="preserve">greater sedentary </w:t>
      </w:r>
      <w:r w:rsidR="00A55E16" w:rsidRPr="00637491">
        <w:rPr>
          <w:rFonts w:ascii="Arial" w:hAnsi="Arial" w:cs="Arial"/>
          <w:sz w:val="22"/>
        </w:rPr>
        <w:t>lifestyle</w:t>
      </w:r>
      <w:r w:rsidRPr="00637491">
        <w:rPr>
          <w:rFonts w:ascii="Arial" w:hAnsi="Arial" w:cs="Arial"/>
          <w:sz w:val="22"/>
        </w:rPr>
        <w:t xml:space="preserve">, and there was a gradual widening of </w:t>
      </w:r>
      <w:r w:rsidR="00A55E16" w:rsidRPr="00637491">
        <w:rPr>
          <w:rFonts w:ascii="Arial" w:hAnsi="Arial" w:cs="Arial"/>
          <w:sz w:val="22"/>
        </w:rPr>
        <w:t>the</w:t>
      </w:r>
      <w:r w:rsidRPr="00637491">
        <w:rPr>
          <w:rFonts w:ascii="Arial" w:hAnsi="Arial" w:cs="Arial"/>
          <w:sz w:val="22"/>
        </w:rPr>
        <w:t xml:space="preserve"> health outcome difference associated with an increase </w:t>
      </w:r>
      <w:r w:rsidRPr="00637491">
        <w:rPr>
          <w:rFonts w:ascii="Arial" w:hAnsi="Arial" w:cs="Arial"/>
          <w:sz w:val="22"/>
        </w:rPr>
        <w:lastRenderedPageBreak/>
        <w:t>in socioeconomic status. Combined with decreased physical activity and age increase in the population, such lifestyle changes provided the foundation of an unprecedented spike in the number of cases of type 2 diabetes. According to NHS records, the number of diagnoses in England increased more than 1.5 times during the period 2000</w:t>
      </w:r>
      <w:r w:rsidR="00A55E16" w:rsidRPr="00637491">
        <w:rPr>
          <w:rFonts w:ascii="Arial" w:hAnsi="Arial" w:cs="Arial"/>
          <w:sz w:val="22"/>
          <w:lang w:val="en-US"/>
        </w:rPr>
        <w:t>-</w:t>
      </w:r>
      <w:r w:rsidRPr="00637491">
        <w:rPr>
          <w:rFonts w:ascii="Arial" w:hAnsi="Arial" w:cs="Arial"/>
          <w:sz w:val="22"/>
        </w:rPr>
        <w:t>2020 (NH England, 2024).</w:t>
      </w:r>
    </w:p>
    <w:p w14:paraId="66D63763" w14:textId="1D925E4B" w:rsidR="00072E56" w:rsidRPr="00637491" w:rsidRDefault="00072E56" w:rsidP="00072E56">
      <w:pPr>
        <w:rPr>
          <w:rFonts w:ascii="Arial" w:hAnsi="Arial" w:cs="Arial"/>
          <w:sz w:val="22"/>
        </w:rPr>
      </w:pPr>
      <w:r w:rsidRPr="00637491">
        <w:rPr>
          <w:rFonts w:ascii="Arial" w:hAnsi="Arial" w:cs="Arial"/>
          <w:sz w:val="22"/>
        </w:rPr>
        <w:t xml:space="preserve">An early start on governmental initiatives on the problem emerged in the 1990s when campaigns aimed at promoting healthy eating and exercise were held. Of particular interest was one policy measure, namely the Quality and Outcomes Framework (QOF) in 2004, which encouraged General Practitioners (GPs) to screen and treatment of chronic diseases, including diabetes (Ahmed et al., 2021). It resulted in better detection as well as a substantial rise in the number of reported prevalence, causing concern </w:t>
      </w:r>
      <w:r w:rsidR="00A55E16" w:rsidRPr="00637491">
        <w:rPr>
          <w:rFonts w:ascii="Arial" w:hAnsi="Arial" w:cs="Arial"/>
          <w:sz w:val="22"/>
        </w:rPr>
        <w:t>about</w:t>
      </w:r>
      <w:r w:rsidRPr="00637491">
        <w:rPr>
          <w:rFonts w:ascii="Arial" w:hAnsi="Arial" w:cs="Arial"/>
          <w:sz w:val="22"/>
        </w:rPr>
        <w:t xml:space="preserve"> public health.</w:t>
      </w:r>
    </w:p>
    <w:p w14:paraId="4317B345" w14:textId="179FCD4B" w:rsidR="00072E56" w:rsidRPr="00637491" w:rsidRDefault="00072E56" w:rsidP="00072E56">
      <w:pPr>
        <w:rPr>
          <w:rFonts w:ascii="Arial" w:hAnsi="Arial" w:cs="Arial"/>
          <w:sz w:val="22"/>
        </w:rPr>
      </w:pPr>
      <w:r w:rsidRPr="00637491">
        <w:rPr>
          <w:rFonts w:ascii="Arial" w:hAnsi="Arial" w:cs="Arial"/>
          <w:sz w:val="22"/>
        </w:rPr>
        <w:t>Since 2010, there has been a change in the discussion to appreciate the interaction between diabetes and social determinants of health. According to reports by several organs, such as Public Health England and Diabetes UK, the prevalence of diabetes was higher in highly deprived regions with poor access to healthcare and food insecurity (Levi et al., 2023). These results highlighted that type 2 diabetes could not be resolved by delivering lifestyle-oriented advice, but a structural and policy-based approach to the problem was necessary.</w:t>
      </w:r>
    </w:p>
    <w:p w14:paraId="078DE8B1" w14:textId="6FEAB453" w:rsidR="00072E56" w:rsidRDefault="00A55E16" w:rsidP="00072E56">
      <w:pPr>
        <w:rPr>
          <w:rFonts w:ascii="Arial" w:hAnsi="Arial" w:cs="Arial"/>
          <w:sz w:val="22"/>
        </w:rPr>
      </w:pPr>
      <w:r w:rsidRPr="00637491">
        <w:rPr>
          <w:rFonts w:ascii="Arial" w:hAnsi="Arial" w:cs="Arial"/>
          <w:sz w:val="22"/>
          <w:lang w:val="en-US"/>
        </w:rPr>
        <w:t>In response</w:t>
      </w:r>
      <w:r w:rsidR="00072E56" w:rsidRPr="00637491">
        <w:rPr>
          <w:rFonts w:ascii="Arial" w:hAnsi="Arial" w:cs="Arial"/>
          <w:sz w:val="22"/>
        </w:rPr>
        <w:t>, the NHS Diabetes Prevention Programme (DPP) was introduced in 2016. DPP tried to enroll those who were at risk and to provide weight loss support, nutrition guidance, and exercise counselling as intervention (NHS England, 2024). Nevertheless, the advancements have been undermined by criticisms on the scope and sustainability of the programme, especially among the low-income and minority groups where structural and cultural barriers to accessibility are high (Diabetes UK, 2024).</w:t>
      </w:r>
    </w:p>
    <w:p w14:paraId="4A01955E" w14:textId="77777777" w:rsidR="00574FA3" w:rsidRPr="00637491" w:rsidRDefault="00574FA3" w:rsidP="00072E56">
      <w:pPr>
        <w:rPr>
          <w:rFonts w:ascii="Arial" w:hAnsi="Arial" w:cs="Arial"/>
          <w:sz w:val="22"/>
        </w:rPr>
      </w:pPr>
    </w:p>
    <w:p w14:paraId="52AA2EFC" w14:textId="1F4A7C43" w:rsidR="00C24D83" w:rsidRPr="00574FA3" w:rsidRDefault="00C24D83" w:rsidP="00A55E16">
      <w:pPr>
        <w:pStyle w:val="Heading2"/>
        <w:rPr>
          <w:rFonts w:ascii="Arial" w:hAnsi="Arial" w:cs="Arial"/>
          <w:sz w:val="28"/>
          <w:szCs w:val="28"/>
        </w:rPr>
      </w:pPr>
      <w:bookmarkStart w:id="9" w:name="_Toc204133902"/>
      <w:r w:rsidRPr="00574FA3">
        <w:rPr>
          <w:rFonts w:ascii="Arial" w:hAnsi="Arial" w:cs="Arial"/>
          <w:sz w:val="28"/>
          <w:szCs w:val="28"/>
        </w:rPr>
        <w:t>2.3 Significant Historical Figures and Contributions</w:t>
      </w:r>
      <w:bookmarkEnd w:id="9"/>
    </w:p>
    <w:p w14:paraId="736B580C" w14:textId="2F988A81" w:rsidR="0090302F" w:rsidRPr="00637491" w:rsidRDefault="0090302F" w:rsidP="0090302F">
      <w:pPr>
        <w:rPr>
          <w:rFonts w:ascii="Arial" w:hAnsi="Arial" w:cs="Arial"/>
          <w:sz w:val="22"/>
        </w:rPr>
      </w:pPr>
      <w:r w:rsidRPr="00637491">
        <w:rPr>
          <w:rFonts w:ascii="Arial" w:hAnsi="Arial" w:cs="Arial"/>
          <w:sz w:val="22"/>
        </w:rPr>
        <w:t xml:space="preserve">England has been influenced by various critical individuals and organisations that have influenced its approach to type 2 diabetes. Probably the most prominent scientist is Professor Roy Taylor of Newcastle University, whose DECCT (Diabetes Remission Clinical Trial) concluded in 2011 was a groundbreaking study that established that many patients with Type 2 diabetes could be in remission after substantial weight loss, by being fed a low-calorie diet for a limited </w:t>
      </w:r>
      <w:r w:rsidR="00A27C23" w:rsidRPr="00637491">
        <w:rPr>
          <w:rFonts w:ascii="Arial" w:hAnsi="Arial" w:cs="Arial"/>
          <w:sz w:val="22"/>
        </w:rPr>
        <w:t>period</w:t>
      </w:r>
      <w:r w:rsidRPr="00637491">
        <w:rPr>
          <w:rFonts w:ascii="Arial" w:hAnsi="Arial" w:cs="Arial"/>
          <w:sz w:val="22"/>
        </w:rPr>
        <w:t xml:space="preserve"> (Diabetes UK, 2023). This changed the focus that till then existed that diabetes was a progressive</w:t>
      </w:r>
      <w:r w:rsidR="00A27C23" w:rsidRPr="00637491">
        <w:rPr>
          <w:rFonts w:ascii="Arial" w:hAnsi="Arial" w:cs="Arial"/>
          <w:sz w:val="22"/>
        </w:rPr>
        <w:t>,</w:t>
      </w:r>
      <w:r w:rsidRPr="00637491">
        <w:rPr>
          <w:rFonts w:ascii="Arial" w:hAnsi="Arial" w:cs="Arial"/>
          <w:sz w:val="22"/>
        </w:rPr>
        <w:t xml:space="preserve"> </w:t>
      </w:r>
      <w:r w:rsidR="00A27C23" w:rsidRPr="00637491">
        <w:rPr>
          <w:rFonts w:ascii="Arial" w:hAnsi="Arial" w:cs="Arial"/>
          <w:sz w:val="22"/>
        </w:rPr>
        <w:t>long-term</w:t>
      </w:r>
      <w:r w:rsidRPr="00637491">
        <w:rPr>
          <w:rFonts w:ascii="Arial" w:hAnsi="Arial" w:cs="Arial"/>
          <w:sz w:val="22"/>
        </w:rPr>
        <w:t xml:space="preserve"> disease to a disease that was reversible</w:t>
      </w:r>
      <w:r w:rsidR="00A27C23" w:rsidRPr="00637491">
        <w:rPr>
          <w:rFonts w:ascii="Arial" w:hAnsi="Arial" w:cs="Arial"/>
          <w:sz w:val="22"/>
        </w:rPr>
        <w:t>,</w:t>
      </w:r>
      <w:r w:rsidRPr="00637491">
        <w:rPr>
          <w:rFonts w:ascii="Arial" w:hAnsi="Arial" w:cs="Arial"/>
          <w:sz w:val="22"/>
        </w:rPr>
        <w:t xml:space="preserve"> and now clinical and public health communities are rethinking the means of management.</w:t>
      </w:r>
    </w:p>
    <w:p w14:paraId="781DBCFC" w14:textId="0A063608" w:rsidR="0090302F" w:rsidRPr="00637491" w:rsidRDefault="0090302F" w:rsidP="0090302F">
      <w:pPr>
        <w:rPr>
          <w:rFonts w:ascii="Arial" w:hAnsi="Arial" w:cs="Arial"/>
          <w:sz w:val="22"/>
        </w:rPr>
      </w:pPr>
      <w:r w:rsidRPr="00637491">
        <w:rPr>
          <w:rFonts w:ascii="Arial" w:hAnsi="Arial" w:cs="Arial"/>
          <w:sz w:val="22"/>
        </w:rPr>
        <w:t xml:space="preserve">The input of Diabetes UK is also remarkable, which is one of the most prominent advocacy and charity organisations that have been promoting awareness, education, and research </w:t>
      </w:r>
      <w:r w:rsidRPr="00637491">
        <w:rPr>
          <w:rFonts w:ascii="Arial" w:hAnsi="Arial" w:cs="Arial"/>
          <w:sz w:val="22"/>
        </w:rPr>
        <w:lastRenderedPageBreak/>
        <w:t xml:space="preserve">funding. The organization establishes national reports and has campaigns and works with health professionals to create culturally sensitive material. It has also had an important role in highlighting the differences in the prevalence of diabetes in the Black African-Caribbean and South Asian </w:t>
      </w:r>
      <w:r w:rsidR="00A27C23" w:rsidRPr="00637491">
        <w:rPr>
          <w:rFonts w:ascii="Arial" w:hAnsi="Arial" w:cs="Arial"/>
          <w:sz w:val="22"/>
        </w:rPr>
        <w:t>populations</w:t>
      </w:r>
      <w:r w:rsidRPr="00637491">
        <w:rPr>
          <w:rFonts w:ascii="Arial" w:hAnsi="Arial" w:cs="Arial"/>
          <w:sz w:val="22"/>
        </w:rPr>
        <w:t xml:space="preserve">, who also tend to develop diabetes earlier and have more serious complications. The activities of Diabetes UK have compelled policymakers to consider </w:t>
      </w:r>
      <w:r w:rsidR="00A27C23" w:rsidRPr="00637491">
        <w:rPr>
          <w:rFonts w:ascii="Arial" w:hAnsi="Arial" w:cs="Arial"/>
          <w:sz w:val="22"/>
        </w:rPr>
        <w:t xml:space="preserve">a </w:t>
      </w:r>
      <w:r w:rsidRPr="00637491">
        <w:rPr>
          <w:rFonts w:ascii="Arial" w:hAnsi="Arial" w:cs="Arial"/>
          <w:sz w:val="22"/>
        </w:rPr>
        <w:t>more inclusive and specific approach.</w:t>
      </w:r>
    </w:p>
    <w:p w14:paraId="27E81931" w14:textId="289BD0F4" w:rsidR="0090302F" w:rsidRPr="00637491" w:rsidRDefault="0090302F" w:rsidP="0090302F">
      <w:pPr>
        <w:rPr>
          <w:rFonts w:ascii="Arial" w:hAnsi="Arial" w:cs="Arial"/>
          <w:sz w:val="22"/>
        </w:rPr>
      </w:pPr>
      <w:r w:rsidRPr="00637491">
        <w:rPr>
          <w:rFonts w:ascii="Arial" w:hAnsi="Arial" w:cs="Arial"/>
          <w:sz w:val="22"/>
        </w:rPr>
        <w:t xml:space="preserve">Also, </w:t>
      </w:r>
      <w:r w:rsidR="00A27C23" w:rsidRPr="00637491">
        <w:rPr>
          <w:rFonts w:ascii="Arial" w:hAnsi="Arial" w:cs="Arial"/>
          <w:sz w:val="22"/>
        </w:rPr>
        <w:t>the</w:t>
      </w:r>
      <w:r w:rsidRPr="00637491">
        <w:rPr>
          <w:rFonts w:ascii="Arial" w:hAnsi="Arial" w:cs="Arial"/>
          <w:sz w:val="22"/>
        </w:rPr>
        <w:t xml:space="preserve"> National Institute for Health and Care Excellence (NICE) has been primarily involved in the publication of clinical guidelines</w:t>
      </w:r>
      <w:r w:rsidR="00A27C23" w:rsidRPr="00637491">
        <w:rPr>
          <w:rFonts w:ascii="Arial" w:hAnsi="Arial" w:cs="Arial"/>
          <w:sz w:val="22"/>
        </w:rPr>
        <w:t>,</w:t>
      </w:r>
      <w:r w:rsidRPr="00637491">
        <w:rPr>
          <w:rFonts w:ascii="Arial" w:hAnsi="Arial" w:cs="Arial"/>
          <w:sz w:val="22"/>
        </w:rPr>
        <w:t xml:space="preserve"> which standardise diagnosis, method of treatment</w:t>
      </w:r>
      <w:r w:rsidR="00A27C23" w:rsidRPr="00637491">
        <w:rPr>
          <w:rFonts w:ascii="Arial" w:hAnsi="Arial" w:cs="Arial"/>
          <w:sz w:val="22"/>
        </w:rPr>
        <w:t>,</w:t>
      </w:r>
      <w:r w:rsidRPr="00637491">
        <w:rPr>
          <w:rFonts w:ascii="Arial" w:hAnsi="Arial" w:cs="Arial"/>
          <w:sz w:val="22"/>
        </w:rPr>
        <w:t xml:space="preserve"> and prevention in England. NICE guidelines are constantly revised according to novelties of research and are greatly employed in general practice. Nevertheless, critics also assert that there is an imbalance between community implementation and clinical guidance since the former is far-fetched and shaky.</w:t>
      </w:r>
    </w:p>
    <w:p w14:paraId="73196DC9" w14:textId="660CA988" w:rsidR="0090302F" w:rsidRPr="00637491" w:rsidRDefault="0090302F" w:rsidP="0090302F">
      <w:pPr>
        <w:rPr>
          <w:rFonts w:ascii="Arial" w:hAnsi="Arial" w:cs="Arial"/>
          <w:sz w:val="22"/>
        </w:rPr>
      </w:pPr>
      <w:r w:rsidRPr="00637491">
        <w:rPr>
          <w:rFonts w:ascii="Arial" w:hAnsi="Arial" w:cs="Arial"/>
          <w:sz w:val="22"/>
        </w:rPr>
        <w:t>In addition, other public figures (including Dame Sally Davies</w:t>
      </w:r>
      <w:r w:rsidR="00A27C23" w:rsidRPr="00637491">
        <w:rPr>
          <w:rFonts w:ascii="Arial" w:hAnsi="Arial" w:cs="Arial"/>
          <w:sz w:val="22"/>
        </w:rPr>
        <w:t>,</w:t>
      </w:r>
      <w:r w:rsidRPr="00637491">
        <w:rPr>
          <w:rFonts w:ascii="Arial" w:hAnsi="Arial" w:cs="Arial"/>
          <w:sz w:val="22"/>
        </w:rPr>
        <w:t xml:space="preserve"> former Chief Medical Officer) have increased national awareness due to the association made to the </w:t>
      </w:r>
      <w:r w:rsidR="00A27C23" w:rsidRPr="00637491">
        <w:rPr>
          <w:rFonts w:ascii="Arial" w:hAnsi="Arial" w:cs="Arial"/>
          <w:sz w:val="22"/>
        </w:rPr>
        <w:t>country's</w:t>
      </w:r>
      <w:r w:rsidRPr="00637491">
        <w:rPr>
          <w:rFonts w:ascii="Arial" w:hAnsi="Arial" w:cs="Arial"/>
          <w:sz w:val="22"/>
        </w:rPr>
        <w:t xml:space="preserve"> concerns of childhood obesity, intake of sugar</w:t>
      </w:r>
      <w:r w:rsidR="00A27C23" w:rsidRPr="00637491">
        <w:rPr>
          <w:rFonts w:ascii="Arial" w:hAnsi="Arial" w:cs="Arial"/>
          <w:sz w:val="22"/>
        </w:rPr>
        <w:t>,</w:t>
      </w:r>
      <w:r w:rsidRPr="00637491">
        <w:rPr>
          <w:rFonts w:ascii="Arial" w:hAnsi="Arial" w:cs="Arial"/>
          <w:sz w:val="22"/>
        </w:rPr>
        <w:t xml:space="preserve"> and health disparity within urban populations. As a result of her campaign, the government supported campaigns such as the Sugar Tax in 2018, which tried to reduce the purchase of sweet drinks, as they are both contributing factors to obesity and diabetes.</w:t>
      </w:r>
    </w:p>
    <w:p w14:paraId="6D997C77" w14:textId="674CFCCB" w:rsidR="0090302F" w:rsidRDefault="00C24D83" w:rsidP="0090302F">
      <w:pPr>
        <w:rPr>
          <w:rFonts w:ascii="Arial" w:hAnsi="Arial" w:cs="Arial"/>
          <w:sz w:val="22"/>
        </w:rPr>
      </w:pPr>
      <w:r w:rsidRPr="00637491">
        <w:rPr>
          <w:rFonts w:ascii="Arial" w:hAnsi="Arial" w:cs="Arial"/>
          <w:sz w:val="22"/>
        </w:rPr>
        <w:t xml:space="preserve">Despite these achievements, there are ongoing gaps. </w:t>
      </w:r>
      <w:r w:rsidR="0090302F" w:rsidRPr="00637491">
        <w:rPr>
          <w:rFonts w:ascii="Arial" w:hAnsi="Arial" w:cs="Arial"/>
          <w:sz w:val="22"/>
        </w:rPr>
        <w:t xml:space="preserve">Low access to service in marginalised societies has been cited by public health operators many times. Also, it has been argued that </w:t>
      </w:r>
      <w:r w:rsidR="00574FA3" w:rsidRPr="00637491">
        <w:rPr>
          <w:rFonts w:ascii="Arial" w:hAnsi="Arial" w:cs="Arial"/>
          <w:sz w:val="22"/>
        </w:rPr>
        <w:t>system-based</w:t>
      </w:r>
      <w:r w:rsidR="0090302F" w:rsidRPr="00637491">
        <w:rPr>
          <w:rFonts w:ascii="Arial" w:hAnsi="Arial" w:cs="Arial"/>
          <w:sz w:val="22"/>
        </w:rPr>
        <w:t xml:space="preserve"> solutions have been biased towards biomedical solutions as opposed to upstream social policies that target housing, employment and food insecurity.</w:t>
      </w:r>
    </w:p>
    <w:p w14:paraId="6003C635" w14:textId="77777777" w:rsidR="00574FA3" w:rsidRPr="00637491" w:rsidRDefault="00574FA3" w:rsidP="0090302F">
      <w:pPr>
        <w:rPr>
          <w:rFonts w:ascii="Arial" w:hAnsi="Arial" w:cs="Arial"/>
          <w:sz w:val="22"/>
        </w:rPr>
      </w:pPr>
    </w:p>
    <w:p w14:paraId="3448E2A2" w14:textId="77777777" w:rsidR="0090302F" w:rsidRPr="00574FA3" w:rsidRDefault="0090302F" w:rsidP="0090302F">
      <w:pPr>
        <w:pStyle w:val="Heading2"/>
        <w:rPr>
          <w:rFonts w:ascii="Arial" w:hAnsi="Arial" w:cs="Arial"/>
          <w:sz w:val="28"/>
          <w:szCs w:val="28"/>
        </w:rPr>
      </w:pPr>
      <w:bookmarkStart w:id="10" w:name="_Toc204133903"/>
      <w:r w:rsidRPr="00574FA3">
        <w:rPr>
          <w:rFonts w:ascii="Arial" w:hAnsi="Arial" w:cs="Arial"/>
          <w:sz w:val="28"/>
          <w:szCs w:val="28"/>
        </w:rPr>
        <w:t>2.4 Theory Background</w:t>
      </w:r>
      <w:bookmarkEnd w:id="10"/>
    </w:p>
    <w:p w14:paraId="6B2B2F00" w14:textId="77777777" w:rsidR="0090302F" w:rsidRPr="00637491" w:rsidRDefault="0090302F" w:rsidP="0090302F">
      <w:pPr>
        <w:rPr>
          <w:rFonts w:ascii="Arial" w:hAnsi="Arial" w:cs="Arial"/>
          <w:sz w:val="22"/>
        </w:rPr>
      </w:pPr>
      <w:r w:rsidRPr="00637491">
        <w:rPr>
          <w:rFonts w:ascii="Arial" w:hAnsi="Arial" w:cs="Arial"/>
          <w:sz w:val="22"/>
        </w:rPr>
        <w:t>In order to acquire a comprehensive insight into the issues surrounding the increasing rates of type 2 diabetes in England, it is imperative to assess the theoretical backgrounds behind the behaviour and results of health. This understanding is supported by three major perspectives, i.e., the Social Determinants of Health (SDOH), the Health Belief Model (HBM), and the Intersectionality Theory.</w:t>
      </w:r>
    </w:p>
    <w:p w14:paraId="72B6FE25" w14:textId="77777777" w:rsidR="0090302F" w:rsidRPr="00637491" w:rsidRDefault="0090302F" w:rsidP="0090302F">
      <w:pPr>
        <w:rPr>
          <w:rFonts w:ascii="Arial" w:hAnsi="Arial" w:cs="Arial"/>
          <w:b/>
          <w:sz w:val="22"/>
        </w:rPr>
      </w:pPr>
      <w:r w:rsidRPr="00637491">
        <w:rPr>
          <w:rFonts w:ascii="Arial" w:hAnsi="Arial" w:cs="Arial"/>
          <w:b/>
          <w:sz w:val="22"/>
        </w:rPr>
        <w:t>Social Determinants of Health (SDOH)</w:t>
      </w:r>
    </w:p>
    <w:p w14:paraId="7140C80D" w14:textId="5C285F3D" w:rsidR="0090302F" w:rsidRPr="00637491" w:rsidRDefault="0090302F" w:rsidP="0090302F">
      <w:pPr>
        <w:rPr>
          <w:rFonts w:ascii="Arial" w:hAnsi="Arial" w:cs="Arial"/>
          <w:sz w:val="22"/>
        </w:rPr>
      </w:pPr>
      <w:r w:rsidRPr="00637491">
        <w:rPr>
          <w:rFonts w:ascii="Arial" w:hAnsi="Arial" w:cs="Arial"/>
          <w:sz w:val="22"/>
        </w:rPr>
        <w:t>The SDOH model assumes that social conditions have a significant impact on health outcomes, but an individual decision cannot determine them exclusively. Poverty, education, occupation, housing</w:t>
      </w:r>
      <w:r w:rsidR="00A27C23" w:rsidRPr="00637491">
        <w:rPr>
          <w:rFonts w:ascii="Arial" w:hAnsi="Arial" w:cs="Arial"/>
          <w:sz w:val="22"/>
        </w:rPr>
        <w:t>,</w:t>
      </w:r>
      <w:r w:rsidRPr="00637491">
        <w:rPr>
          <w:rFonts w:ascii="Arial" w:hAnsi="Arial" w:cs="Arial"/>
          <w:sz w:val="22"/>
        </w:rPr>
        <w:t xml:space="preserve"> and access to health care are some of the factors that greatly influence </w:t>
      </w:r>
      <w:r w:rsidRPr="00637491">
        <w:rPr>
          <w:rFonts w:ascii="Arial" w:hAnsi="Arial" w:cs="Arial"/>
          <w:sz w:val="22"/>
        </w:rPr>
        <w:lastRenderedPageBreak/>
        <w:t xml:space="preserve">the risk of the disease. Marmot Review (2020) showed that in England, people in the most impoverished locations, on average, </w:t>
      </w:r>
      <w:r w:rsidR="00A27C23" w:rsidRPr="00637491">
        <w:rPr>
          <w:rFonts w:ascii="Arial" w:hAnsi="Arial" w:cs="Arial"/>
          <w:sz w:val="22"/>
        </w:rPr>
        <w:t xml:space="preserve">are </w:t>
      </w:r>
      <w:r w:rsidRPr="00637491">
        <w:rPr>
          <w:rFonts w:ascii="Arial" w:hAnsi="Arial" w:cs="Arial"/>
          <w:sz w:val="22"/>
        </w:rPr>
        <w:t xml:space="preserve">seven years less in good </w:t>
      </w:r>
      <w:r w:rsidR="00A27C23" w:rsidRPr="00637491">
        <w:rPr>
          <w:rFonts w:ascii="Arial" w:hAnsi="Arial" w:cs="Arial"/>
          <w:sz w:val="22"/>
        </w:rPr>
        <w:t>healthy</w:t>
      </w:r>
      <w:r w:rsidRPr="00637491">
        <w:rPr>
          <w:rFonts w:ascii="Arial" w:hAnsi="Arial" w:cs="Arial"/>
          <w:sz w:val="22"/>
        </w:rPr>
        <w:t xml:space="preserve"> compared to people in the wealthiest ones. Such sharp disparity is reflected in instances of diabetes. Public Health England claims that the population living in the most deprived deciles is over two times more likely to develop type 2 diabetes than their counterparts living in the wealthiest regions (Health org, 2020).</w:t>
      </w:r>
    </w:p>
    <w:p w14:paraId="7F5A6BA0" w14:textId="77777777" w:rsidR="0090302F" w:rsidRPr="00637491" w:rsidRDefault="0090302F" w:rsidP="0090302F">
      <w:pPr>
        <w:rPr>
          <w:rFonts w:ascii="Arial" w:hAnsi="Arial" w:cs="Arial"/>
          <w:sz w:val="22"/>
        </w:rPr>
      </w:pPr>
      <w:r w:rsidRPr="00637491">
        <w:rPr>
          <w:rFonts w:ascii="Arial" w:hAnsi="Arial" w:cs="Arial"/>
          <w:sz w:val="22"/>
        </w:rPr>
        <w:t>In addition, food deserts further increase the risk, these being urban settings in which there is a limited availability of affordable and healthy nourishment. Individuals of limited economic resources tend to use cheaper and more available energy-dense processed foods (Gupta, et al., 2019). This fact discredits the previous practices of the education and awareness and proves the necessity of a change in system.</w:t>
      </w:r>
    </w:p>
    <w:p w14:paraId="76DD39C4" w14:textId="1C68E65E" w:rsidR="00C24D83" w:rsidRPr="00637491" w:rsidRDefault="00C24D83" w:rsidP="0090302F">
      <w:pPr>
        <w:rPr>
          <w:rFonts w:ascii="Arial" w:hAnsi="Arial" w:cs="Arial"/>
          <w:b/>
          <w:bCs/>
          <w:sz w:val="22"/>
        </w:rPr>
      </w:pPr>
      <w:r w:rsidRPr="00637491">
        <w:rPr>
          <w:rFonts w:ascii="Arial" w:hAnsi="Arial" w:cs="Arial"/>
          <w:b/>
          <w:bCs/>
          <w:sz w:val="22"/>
        </w:rPr>
        <w:t>Health Belief Model (HBM)</w:t>
      </w:r>
    </w:p>
    <w:p w14:paraId="2EAD5056" w14:textId="2A461155" w:rsidR="003B2F22" w:rsidRPr="00637491" w:rsidRDefault="003B2F22" w:rsidP="003B2F22">
      <w:pPr>
        <w:rPr>
          <w:rFonts w:ascii="Arial" w:hAnsi="Arial" w:cs="Arial"/>
          <w:sz w:val="22"/>
        </w:rPr>
      </w:pPr>
      <w:r w:rsidRPr="00637491">
        <w:rPr>
          <w:rFonts w:ascii="Arial" w:hAnsi="Arial" w:cs="Arial"/>
          <w:sz w:val="22"/>
        </w:rPr>
        <w:t xml:space="preserve">The HBM lays emphasis on the individual perception of the risk or the </w:t>
      </w:r>
      <w:r w:rsidR="00A27C23" w:rsidRPr="00637491">
        <w:rPr>
          <w:rFonts w:ascii="Arial" w:hAnsi="Arial" w:cs="Arial"/>
          <w:sz w:val="22"/>
        </w:rPr>
        <w:t>disease</w:t>
      </w:r>
      <w:r w:rsidRPr="00637491">
        <w:rPr>
          <w:rFonts w:ascii="Arial" w:hAnsi="Arial" w:cs="Arial"/>
          <w:sz w:val="22"/>
        </w:rPr>
        <w:t xml:space="preserve"> and the incentive to adopt preventive measures. It presupposes that individuals have more chances to change behaviour in case they are sure to be in danger and ready to minimize it by doing a certain action </w:t>
      </w:r>
      <w:sdt>
        <w:sdtPr>
          <w:rPr>
            <w:rFonts w:ascii="Arial" w:hAnsi="Arial" w:cs="Arial"/>
            <w:sz w:val="22"/>
          </w:rPr>
          <w:id w:val="1845517804"/>
          <w:citation/>
        </w:sdtPr>
        <w:sdtContent>
          <w:r w:rsidR="00A27C23" w:rsidRPr="00637491">
            <w:rPr>
              <w:rFonts w:ascii="Arial" w:hAnsi="Arial" w:cs="Arial"/>
              <w:sz w:val="22"/>
            </w:rPr>
            <w:fldChar w:fldCharType="begin"/>
          </w:r>
          <w:r w:rsidR="00A27C23" w:rsidRPr="00637491">
            <w:rPr>
              <w:rFonts w:ascii="Arial" w:hAnsi="Arial" w:cs="Arial"/>
              <w:sz w:val="22"/>
              <w:lang w:val="en-US"/>
            </w:rPr>
            <w:instrText xml:space="preserve"> CITATION Anu20 \l 1033 </w:instrText>
          </w:r>
          <w:r w:rsidR="00A27C23" w:rsidRPr="00637491">
            <w:rPr>
              <w:rFonts w:ascii="Arial" w:hAnsi="Arial" w:cs="Arial"/>
              <w:sz w:val="22"/>
            </w:rPr>
            <w:fldChar w:fldCharType="separate"/>
          </w:r>
          <w:r w:rsidR="00A27C23" w:rsidRPr="00637491">
            <w:rPr>
              <w:rFonts w:ascii="Arial" w:hAnsi="Arial" w:cs="Arial"/>
              <w:noProof/>
              <w:sz w:val="22"/>
              <w:lang w:val="en-US"/>
            </w:rPr>
            <w:t>(Anuar, et al., 2020)</w:t>
          </w:r>
          <w:r w:rsidR="00A27C23" w:rsidRPr="00637491">
            <w:rPr>
              <w:rFonts w:ascii="Arial" w:hAnsi="Arial" w:cs="Arial"/>
              <w:sz w:val="22"/>
            </w:rPr>
            <w:fldChar w:fldCharType="end"/>
          </w:r>
        </w:sdtContent>
      </w:sdt>
      <w:r w:rsidRPr="00637491">
        <w:rPr>
          <w:rFonts w:ascii="Arial" w:hAnsi="Arial" w:cs="Arial"/>
          <w:sz w:val="22"/>
        </w:rPr>
        <w:t>. Although this model can be applicable in explaining certain behavioural decisions, it is not used across disadvantaged groups because in such populations</w:t>
      </w:r>
      <w:r w:rsidR="00A27C23" w:rsidRPr="00637491">
        <w:rPr>
          <w:rFonts w:ascii="Arial" w:hAnsi="Arial" w:cs="Arial"/>
          <w:sz w:val="22"/>
        </w:rPr>
        <w:t>,</w:t>
      </w:r>
      <w:r w:rsidRPr="00637491">
        <w:rPr>
          <w:rFonts w:ascii="Arial" w:hAnsi="Arial" w:cs="Arial"/>
          <w:sz w:val="22"/>
        </w:rPr>
        <w:t xml:space="preserve"> the </w:t>
      </w:r>
      <w:r w:rsidR="00A27C23" w:rsidRPr="00637491">
        <w:rPr>
          <w:rFonts w:ascii="Arial" w:hAnsi="Arial" w:cs="Arial"/>
          <w:sz w:val="22"/>
        </w:rPr>
        <w:t>structural</w:t>
      </w:r>
      <w:r w:rsidRPr="00637491">
        <w:rPr>
          <w:rFonts w:ascii="Arial" w:hAnsi="Arial" w:cs="Arial"/>
          <w:sz w:val="22"/>
        </w:rPr>
        <w:t xml:space="preserve"> factors tend to prevail over intention.</w:t>
      </w:r>
    </w:p>
    <w:p w14:paraId="49EFBE78" w14:textId="5706E33E" w:rsidR="003B2F22" w:rsidRPr="00637491" w:rsidRDefault="003B2F22" w:rsidP="003B2F22">
      <w:pPr>
        <w:rPr>
          <w:rFonts w:ascii="Arial" w:hAnsi="Arial" w:cs="Arial"/>
          <w:sz w:val="22"/>
        </w:rPr>
      </w:pPr>
      <w:r w:rsidRPr="00637491">
        <w:rPr>
          <w:rFonts w:ascii="Arial" w:hAnsi="Arial" w:cs="Arial"/>
          <w:sz w:val="22"/>
        </w:rPr>
        <w:t xml:space="preserve">A case in point is the inability of one to afford or access fresh produce even though the person has full knowledge </w:t>
      </w:r>
      <w:r w:rsidR="00A27C23" w:rsidRPr="00637491">
        <w:rPr>
          <w:rFonts w:ascii="Arial" w:hAnsi="Arial" w:cs="Arial"/>
          <w:sz w:val="22"/>
        </w:rPr>
        <w:t>of</w:t>
      </w:r>
      <w:r w:rsidRPr="00637491">
        <w:rPr>
          <w:rFonts w:ascii="Arial" w:hAnsi="Arial" w:cs="Arial"/>
          <w:sz w:val="22"/>
        </w:rPr>
        <w:t xml:space="preserve"> the significance of healthy eating. As such, the HBM can be applied to create specific </w:t>
      </w:r>
      <w:r w:rsidR="00A27C23" w:rsidRPr="00637491">
        <w:rPr>
          <w:rFonts w:ascii="Arial" w:hAnsi="Arial" w:cs="Arial"/>
          <w:sz w:val="22"/>
        </w:rPr>
        <w:t>interventions</w:t>
      </w:r>
      <w:r w:rsidRPr="00637491">
        <w:rPr>
          <w:rFonts w:ascii="Arial" w:hAnsi="Arial" w:cs="Arial"/>
          <w:sz w:val="22"/>
        </w:rPr>
        <w:t>, but it needs to be supplemented by more general policies that help to establish enabling environments in which people can make healthy decisions.</w:t>
      </w:r>
    </w:p>
    <w:p w14:paraId="0D6AE986" w14:textId="77777777" w:rsidR="003B2F22" w:rsidRPr="00637491" w:rsidRDefault="003B2F22" w:rsidP="003B2F22">
      <w:pPr>
        <w:rPr>
          <w:rFonts w:ascii="Arial" w:hAnsi="Arial" w:cs="Arial"/>
          <w:b/>
          <w:sz w:val="22"/>
        </w:rPr>
      </w:pPr>
      <w:r w:rsidRPr="00637491">
        <w:rPr>
          <w:rFonts w:ascii="Arial" w:hAnsi="Arial" w:cs="Arial"/>
          <w:b/>
          <w:sz w:val="22"/>
        </w:rPr>
        <w:t>Intersectionality Theory</w:t>
      </w:r>
    </w:p>
    <w:p w14:paraId="598D6AAE" w14:textId="44F172F9" w:rsidR="003B2F22" w:rsidRPr="00637491" w:rsidRDefault="003B2F22" w:rsidP="003B2F22">
      <w:pPr>
        <w:rPr>
          <w:rFonts w:ascii="Arial" w:hAnsi="Arial" w:cs="Arial"/>
          <w:sz w:val="22"/>
        </w:rPr>
      </w:pPr>
      <w:r w:rsidRPr="00637491">
        <w:rPr>
          <w:rFonts w:ascii="Arial" w:hAnsi="Arial" w:cs="Arial"/>
          <w:sz w:val="22"/>
        </w:rPr>
        <w:t>Intersectionality provides a one-dimensional viewpoint, since people have different health risks depending on their intersection of identities</w:t>
      </w:r>
      <w:r w:rsidR="00A27C23" w:rsidRPr="00637491">
        <w:rPr>
          <w:rFonts w:ascii="Arial" w:hAnsi="Arial" w:cs="Arial"/>
          <w:sz w:val="22"/>
        </w:rPr>
        <w:t>,</w:t>
      </w:r>
      <w:r w:rsidRPr="00637491">
        <w:rPr>
          <w:rFonts w:ascii="Arial" w:hAnsi="Arial" w:cs="Arial"/>
          <w:sz w:val="22"/>
        </w:rPr>
        <w:t xml:space="preserve"> including race, gender, class</w:t>
      </w:r>
      <w:r w:rsidR="00A27C23" w:rsidRPr="00637491">
        <w:rPr>
          <w:rFonts w:ascii="Arial" w:hAnsi="Arial" w:cs="Arial"/>
          <w:sz w:val="22"/>
        </w:rPr>
        <w:t>,</w:t>
      </w:r>
      <w:r w:rsidRPr="00637491">
        <w:rPr>
          <w:rFonts w:ascii="Arial" w:hAnsi="Arial" w:cs="Arial"/>
          <w:sz w:val="22"/>
        </w:rPr>
        <w:t xml:space="preserve"> and immigration status. To give an example, South Asian women with low-income families might experience combined disadvantages </w:t>
      </w:r>
      <w:r w:rsidR="00FA7784" w:rsidRPr="00637491">
        <w:rPr>
          <w:rFonts w:ascii="Arial" w:hAnsi="Arial" w:cs="Arial"/>
          <w:sz w:val="22"/>
        </w:rPr>
        <w:t xml:space="preserve">of </w:t>
      </w:r>
      <w:r w:rsidRPr="00637491">
        <w:rPr>
          <w:rFonts w:ascii="Arial" w:hAnsi="Arial" w:cs="Arial"/>
          <w:sz w:val="22"/>
        </w:rPr>
        <w:t xml:space="preserve">cultural nutritional expectations, unavailability of time because of </w:t>
      </w:r>
      <w:r w:rsidR="000D709B" w:rsidRPr="00637491">
        <w:rPr>
          <w:rFonts w:ascii="Arial" w:hAnsi="Arial" w:cs="Arial"/>
          <w:sz w:val="22"/>
        </w:rPr>
        <w:t>caregiver</w:t>
      </w:r>
      <w:r w:rsidRPr="00637491">
        <w:rPr>
          <w:rFonts w:ascii="Arial" w:hAnsi="Arial" w:cs="Arial"/>
          <w:sz w:val="22"/>
        </w:rPr>
        <w:t xml:space="preserve"> tasks, and the inability to access gyms, only in female gender (Batalha, et al., 2025).</w:t>
      </w:r>
    </w:p>
    <w:p w14:paraId="21428D79" w14:textId="77777777" w:rsidR="003B2F22" w:rsidRPr="00637491" w:rsidRDefault="003B2F22" w:rsidP="003B2F22">
      <w:pPr>
        <w:rPr>
          <w:rFonts w:ascii="Arial" w:hAnsi="Arial" w:cs="Arial"/>
          <w:sz w:val="22"/>
        </w:rPr>
      </w:pPr>
      <w:r w:rsidRPr="00637491">
        <w:rPr>
          <w:rFonts w:ascii="Arial" w:hAnsi="Arial" w:cs="Arial"/>
          <w:sz w:val="22"/>
        </w:rPr>
        <w:t>This framework presents the complex nature of health inequalities and opposes the use of single policies or one-size-fits-all policies. It promotes the creation of culturally sensitive interventions with a specific aim and supports a more inclusive practice in terms of research and practice.</w:t>
      </w:r>
    </w:p>
    <w:p w14:paraId="113A22E4" w14:textId="2658977E" w:rsidR="003B2F22" w:rsidRPr="00832AFD" w:rsidRDefault="003B2F22" w:rsidP="003B2F22">
      <w:pPr>
        <w:pStyle w:val="Heading2"/>
        <w:rPr>
          <w:rFonts w:ascii="Arial" w:hAnsi="Arial" w:cs="Arial"/>
          <w:sz w:val="28"/>
          <w:szCs w:val="28"/>
        </w:rPr>
      </w:pPr>
      <w:bookmarkStart w:id="11" w:name="_Toc204133904"/>
      <w:r w:rsidRPr="00832AFD">
        <w:rPr>
          <w:rFonts w:ascii="Arial" w:hAnsi="Arial" w:cs="Arial"/>
          <w:sz w:val="28"/>
          <w:szCs w:val="28"/>
        </w:rPr>
        <w:lastRenderedPageBreak/>
        <w:t xml:space="preserve">2.5 Global </w:t>
      </w:r>
      <w:r w:rsidR="00832AFD">
        <w:rPr>
          <w:rFonts w:ascii="Arial" w:hAnsi="Arial" w:cs="Arial"/>
          <w:sz w:val="28"/>
          <w:szCs w:val="28"/>
        </w:rPr>
        <w:t>E</w:t>
      </w:r>
      <w:r w:rsidRPr="00832AFD">
        <w:rPr>
          <w:rFonts w:ascii="Arial" w:hAnsi="Arial" w:cs="Arial"/>
          <w:sz w:val="28"/>
          <w:szCs w:val="28"/>
        </w:rPr>
        <w:t>nvironment</w:t>
      </w:r>
      <w:bookmarkEnd w:id="11"/>
    </w:p>
    <w:p w14:paraId="2574C346" w14:textId="700F4F44" w:rsidR="003B2F22" w:rsidRPr="00637491" w:rsidRDefault="003B2F22" w:rsidP="003B2F22">
      <w:pPr>
        <w:rPr>
          <w:rFonts w:ascii="Arial" w:hAnsi="Arial" w:cs="Arial"/>
          <w:sz w:val="22"/>
        </w:rPr>
      </w:pPr>
      <w:r w:rsidRPr="00637491">
        <w:rPr>
          <w:rFonts w:ascii="Arial" w:hAnsi="Arial" w:cs="Arial"/>
          <w:sz w:val="22"/>
        </w:rPr>
        <w:t>Though this study is on England, comparisons in different countries can give extra knowledge on control and prevention of diabetes. Across the world, the World Health Organization (WHO) has described diabetes as a silent epidemic in which over 420 million people are affected. The United States reflects most of the characteristics in England, such as obesity, interracial health disparity, and a disintegrated response to the pandemic. Ethnic minority groups, in both of these countries, especially African American, Hispanic, and South Asian, have an especially high risk of diabetes (Diabetes UK, 2025).</w:t>
      </w:r>
    </w:p>
    <w:p w14:paraId="40075A2C" w14:textId="5F41747B" w:rsidR="000D709B" w:rsidRPr="00637491" w:rsidRDefault="000D709B" w:rsidP="000D709B">
      <w:pPr>
        <w:rPr>
          <w:rFonts w:ascii="Arial" w:hAnsi="Arial" w:cs="Arial"/>
          <w:sz w:val="22"/>
        </w:rPr>
      </w:pPr>
      <w:r w:rsidRPr="00637491">
        <w:rPr>
          <w:rFonts w:ascii="Arial" w:hAnsi="Arial" w:cs="Arial"/>
          <w:sz w:val="22"/>
        </w:rPr>
        <w:t>On the other hand, a few nations have managed to keep low rates of diabetes because of their proactive structural solutions. In Japan, the example can include the introduction of the so-called Metabo Law in 2008</w:t>
      </w:r>
      <w:r w:rsidR="00FA7784" w:rsidRPr="00637491">
        <w:rPr>
          <w:rFonts w:ascii="Arial" w:hAnsi="Arial" w:cs="Arial"/>
          <w:sz w:val="22"/>
        </w:rPr>
        <w:t>,</w:t>
      </w:r>
      <w:r w:rsidRPr="00637491">
        <w:rPr>
          <w:rFonts w:ascii="Arial" w:hAnsi="Arial" w:cs="Arial"/>
          <w:sz w:val="22"/>
        </w:rPr>
        <w:t xml:space="preserve"> implying the need to measure the waist annually of an adult and the obligatoriness of conducting a follow-up intervention in case of risk (Mathis et al., 2023). This has aided in the establishment of a nationwide prevention culture</w:t>
      </w:r>
      <w:r w:rsidR="00FA7784" w:rsidRPr="00637491">
        <w:rPr>
          <w:rFonts w:ascii="Arial" w:hAnsi="Arial" w:cs="Arial"/>
          <w:sz w:val="22"/>
        </w:rPr>
        <w:t>,</w:t>
      </w:r>
      <w:r w:rsidRPr="00637491">
        <w:rPr>
          <w:rFonts w:ascii="Arial" w:hAnsi="Arial" w:cs="Arial"/>
          <w:sz w:val="22"/>
        </w:rPr>
        <w:t xml:space="preserve"> though quite unpopular. In the same manner, Norway makes a lot of investment in education on health, </w:t>
      </w:r>
      <w:r w:rsidR="00FA7784" w:rsidRPr="00637491">
        <w:rPr>
          <w:rFonts w:ascii="Arial" w:hAnsi="Arial" w:cs="Arial"/>
          <w:sz w:val="22"/>
        </w:rPr>
        <w:t xml:space="preserve">its </w:t>
      </w:r>
      <w:r w:rsidRPr="00637491">
        <w:rPr>
          <w:rFonts w:ascii="Arial" w:hAnsi="Arial" w:cs="Arial"/>
          <w:sz w:val="22"/>
        </w:rPr>
        <w:t>fitness initiatives in schools</w:t>
      </w:r>
      <w:r w:rsidR="00FA7784" w:rsidRPr="00637491">
        <w:rPr>
          <w:rFonts w:ascii="Arial" w:hAnsi="Arial" w:cs="Arial"/>
          <w:sz w:val="22"/>
        </w:rPr>
        <w:t>,</w:t>
      </w:r>
      <w:r w:rsidRPr="00637491">
        <w:rPr>
          <w:rFonts w:ascii="Arial" w:hAnsi="Arial" w:cs="Arial"/>
          <w:sz w:val="22"/>
        </w:rPr>
        <w:t xml:space="preserve"> and universal availability of healthy food</w:t>
      </w:r>
      <w:r w:rsidR="00FA7784" w:rsidRPr="00637491">
        <w:rPr>
          <w:rFonts w:ascii="Arial" w:hAnsi="Arial" w:cs="Arial"/>
          <w:sz w:val="22"/>
        </w:rPr>
        <w:t>,</w:t>
      </w:r>
      <w:r w:rsidRPr="00637491">
        <w:rPr>
          <w:rFonts w:ascii="Arial" w:hAnsi="Arial" w:cs="Arial"/>
          <w:sz w:val="22"/>
        </w:rPr>
        <w:t xml:space="preserve"> </w:t>
      </w:r>
      <w:r w:rsidR="00FA7784" w:rsidRPr="00637491">
        <w:rPr>
          <w:rFonts w:ascii="Arial" w:hAnsi="Arial" w:cs="Arial"/>
          <w:sz w:val="22"/>
        </w:rPr>
        <w:t>which</w:t>
      </w:r>
      <w:r w:rsidRPr="00637491">
        <w:rPr>
          <w:rFonts w:ascii="Arial" w:hAnsi="Arial" w:cs="Arial"/>
          <w:sz w:val="22"/>
        </w:rPr>
        <w:t xml:space="preserve"> has culminated in reduced levels of obesity and diabetes.</w:t>
      </w:r>
    </w:p>
    <w:p w14:paraId="751B276B" w14:textId="0345EABB" w:rsidR="000D709B" w:rsidRDefault="000D709B" w:rsidP="000D709B">
      <w:pPr>
        <w:rPr>
          <w:rFonts w:ascii="Arial" w:hAnsi="Arial" w:cs="Arial"/>
          <w:sz w:val="22"/>
        </w:rPr>
      </w:pPr>
      <w:r w:rsidRPr="00637491">
        <w:rPr>
          <w:rFonts w:ascii="Arial" w:hAnsi="Arial" w:cs="Arial"/>
          <w:sz w:val="22"/>
        </w:rPr>
        <w:t>Such cases make it clear that decreasing the prevalence rate of diabetes is impossible without more than clinical intervention; the approach should include environmental, educational, and administrative frameworks that facilitate a health</w:t>
      </w:r>
      <w:r w:rsidRPr="00637491">
        <w:rPr>
          <w:rFonts w:ascii="Arial" w:hAnsi="Arial" w:cs="Arial"/>
          <w:sz w:val="22"/>
          <w:lang w:val="en-US"/>
        </w:rPr>
        <w:t>y</w:t>
      </w:r>
      <w:r w:rsidRPr="00637491">
        <w:rPr>
          <w:rFonts w:ascii="Arial" w:hAnsi="Arial" w:cs="Arial"/>
          <w:sz w:val="22"/>
        </w:rPr>
        <w:t xml:space="preserve"> environment. England has taken significant steps in addressing the problem, including the NHS Diabetes Prevention Programme, yet comparison with foreign states indicates that more systematic changes are required in reducing the prevalence of these disorders.</w:t>
      </w:r>
    </w:p>
    <w:p w14:paraId="52B9CD48" w14:textId="77777777" w:rsidR="00832AFD" w:rsidRPr="00637491" w:rsidRDefault="00832AFD" w:rsidP="000D709B">
      <w:pPr>
        <w:rPr>
          <w:rFonts w:ascii="Arial" w:hAnsi="Arial" w:cs="Arial"/>
          <w:sz w:val="22"/>
        </w:rPr>
      </w:pPr>
    </w:p>
    <w:p w14:paraId="2DC4211E" w14:textId="4A1F70C1" w:rsidR="000D709B" w:rsidRPr="00832AFD" w:rsidRDefault="000D709B" w:rsidP="000D709B">
      <w:pPr>
        <w:pStyle w:val="Heading2"/>
        <w:rPr>
          <w:rFonts w:ascii="Arial" w:hAnsi="Arial" w:cs="Arial"/>
          <w:sz w:val="28"/>
          <w:szCs w:val="28"/>
        </w:rPr>
      </w:pPr>
      <w:bookmarkStart w:id="12" w:name="_Toc204133905"/>
      <w:r w:rsidRPr="00832AFD">
        <w:rPr>
          <w:rFonts w:ascii="Arial" w:hAnsi="Arial" w:cs="Arial"/>
          <w:sz w:val="28"/>
          <w:szCs w:val="28"/>
        </w:rPr>
        <w:t xml:space="preserve">2.6 </w:t>
      </w:r>
      <w:r w:rsidR="00832AFD">
        <w:rPr>
          <w:rFonts w:ascii="Arial" w:hAnsi="Arial" w:cs="Arial"/>
          <w:sz w:val="28"/>
          <w:szCs w:val="28"/>
        </w:rPr>
        <w:t>S</w:t>
      </w:r>
      <w:r w:rsidRPr="00832AFD">
        <w:rPr>
          <w:rFonts w:ascii="Arial" w:hAnsi="Arial" w:cs="Arial"/>
          <w:sz w:val="28"/>
          <w:szCs w:val="28"/>
        </w:rPr>
        <w:t>ummary</w:t>
      </w:r>
      <w:bookmarkEnd w:id="12"/>
    </w:p>
    <w:p w14:paraId="58374F71" w14:textId="6D1E8E63" w:rsidR="000D709B" w:rsidRPr="00637491" w:rsidRDefault="000D709B" w:rsidP="000D709B">
      <w:pPr>
        <w:rPr>
          <w:rFonts w:ascii="Arial" w:hAnsi="Arial" w:cs="Arial"/>
          <w:sz w:val="22"/>
        </w:rPr>
      </w:pPr>
      <w:r w:rsidRPr="00637491">
        <w:rPr>
          <w:rFonts w:ascii="Arial" w:hAnsi="Arial" w:cs="Arial"/>
          <w:sz w:val="22"/>
        </w:rPr>
        <w:t>Chapter has also made an in-depth discussion of the historical development, theoretical underpinning, and international comparisons on the rising levels of type 2 diabetes in England. The condition, which has changed over the years since its early misunderstandings of causes, to current discoveries on prevention and remission, has gone through the journey of being a rare disease to being one of the major issues of public health concern. The input of influential individuals and organizations has influenced national consciousness and policy</w:t>
      </w:r>
      <w:r w:rsidR="00FA7784" w:rsidRPr="00637491">
        <w:rPr>
          <w:rFonts w:ascii="Arial" w:hAnsi="Arial" w:cs="Arial"/>
          <w:sz w:val="22"/>
        </w:rPr>
        <w:t>,</w:t>
      </w:r>
      <w:r w:rsidRPr="00637491">
        <w:rPr>
          <w:rFonts w:ascii="Arial" w:hAnsi="Arial" w:cs="Arial"/>
          <w:sz w:val="22"/>
        </w:rPr>
        <w:t xml:space="preserve"> but the problems remain at large, especially those in disadvantaged and marginalised groups.</w:t>
      </w:r>
    </w:p>
    <w:p w14:paraId="28E035B6" w14:textId="484967E5" w:rsidR="00752DB8" w:rsidRPr="00637491" w:rsidRDefault="000D709B" w:rsidP="000D709B">
      <w:pPr>
        <w:rPr>
          <w:rFonts w:ascii="Arial" w:hAnsi="Arial" w:cs="Arial"/>
          <w:sz w:val="22"/>
        </w:rPr>
      </w:pPr>
      <w:r w:rsidRPr="00637491">
        <w:rPr>
          <w:rFonts w:ascii="Arial" w:hAnsi="Arial" w:cs="Arial"/>
          <w:sz w:val="22"/>
        </w:rPr>
        <w:t xml:space="preserve">Critical theoretical models like the Social Determinants of Health, the Health Belief Model, and the Intersectionality Theory provide essential answers to finding a reason why some </w:t>
      </w:r>
      <w:r w:rsidRPr="00637491">
        <w:rPr>
          <w:rFonts w:ascii="Arial" w:hAnsi="Arial" w:cs="Arial"/>
          <w:sz w:val="22"/>
        </w:rPr>
        <w:lastRenderedPageBreak/>
        <w:t>communities are more likely to experience the disease. Besides, the international approaches also draw attention to the possibility of reducing the burden of diseases through structured and systematic interventions. The following insights form the basis of the next two chapters about the methodology and findings, which will then cover the patterns that the dissertation will uncover in its secondary research and thematic analysis.</w:t>
      </w:r>
    </w:p>
    <w:p w14:paraId="4323A6D1" w14:textId="49C3659C" w:rsidR="00FA7784" w:rsidRPr="00637491" w:rsidRDefault="00FA7784">
      <w:pPr>
        <w:spacing w:line="259" w:lineRule="auto"/>
        <w:rPr>
          <w:rFonts w:ascii="Arial" w:hAnsi="Arial" w:cs="Arial"/>
          <w:sz w:val="22"/>
        </w:rPr>
      </w:pPr>
      <w:r w:rsidRPr="00637491">
        <w:rPr>
          <w:rFonts w:ascii="Arial" w:hAnsi="Arial" w:cs="Arial"/>
          <w:sz w:val="22"/>
        </w:rPr>
        <w:br w:type="page"/>
      </w:r>
    </w:p>
    <w:bookmarkStart w:id="13" w:name="_Toc204133906" w:displacedByCustomXml="next"/>
    <w:sdt>
      <w:sdtPr>
        <w:rPr>
          <w:rFonts w:ascii="Times New Roman" w:eastAsiaTheme="minorHAnsi" w:hAnsi="Times New Roman" w:cstheme="minorBidi"/>
          <w:color w:val="auto"/>
          <w:sz w:val="24"/>
          <w:szCs w:val="22"/>
        </w:rPr>
        <w:id w:val="-1095781332"/>
        <w:docPartObj>
          <w:docPartGallery w:val="Bibliographies"/>
          <w:docPartUnique/>
        </w:docPartObj>
      </w:sdtPr>
      <w:sdtEndPr>
        <w:rPr>
          <w:b w:val="0"/>
        </w:rPr>
      </w:sdtEndPr>
      <w:sdtContent>
        <w:p w14:paraId="0D00D81B" w14:textId="23145D9F" w:rsidR="00FA7784" w:rsidRDefault="00FA7784" w:rsidP="00574FA3">
          <w:pPr>
            <w:pStyle w:val="Heading1"/>
          </w:pPr>
          <w:r>
            <w:t>References</w:t>
          </w:r>
          <w:bookmarkEnd w:id="13"/>
        </w:p>
        <w:sdt>
          <w:sdtPr>
            <w:id w:val="-573587230"/>
            <w:bibliography/>
          </w:sdtPr>
          <w:sdtContent>
            <w:p w14:paraId="2CC54289" w14:textId="77777777" w:rsidR="00FA7784" w:rsidRDefault="00FA7784" w:rsidP="00FA7784">
              <w:pPr>
                <w:pStyle w:val="Bibliography"/>
                <w:rPr>
                  <w:noProof/>
                  <w:szCs w:val="24"/>
                </w:rPr>
              </w:pPr>
              <w:r>
                <w:fldChar w:fldCharType="begin"/>
              </w:r>
              <w:r>
                <w:instrText xml:space="preserve"> BIBLIOGRAPHY </w:instrText>
              </w:r>
              <w:r>
                <w:fldChar w:fldCharType="separate"/>
              </w:r>
              <w:r>
                <w:rPr>
                  <w:noProof/>
                </w:rPr>
                <w:t xml:space="preserve">Ahmed, K. et al., 2021. What drives general practitioners in the UK to improve the quality of care? A systematic literature review. </w:t>
              </w:r>
              <w:r>
                <w:rPr>
                  <w:i/>
                  <w:iCs/>
                  <w:noProof/>
                </w:rPr>
                <w:t xml:space="preserve">BMJ Open Quality, </w:t>
              </w:r>
              <w:r>
                <w:rPr>
                  <w:noProof/>
                </w:rPr>
                <w:t>10(1), p. e001127.</w:t>
              </w:r>
            </w:p>
            <w:p w14:paraId="26964F79" w14:textId="77777777" w:rsidR="00FA7784" w:rsidRDefault="00FA7784" w:rsidP="00FA7784">
              <w:pPr>
                <w:pStyle w:val="Bibliography"/>
                <w:rPr>
                  <w:noProof/>
                </w:rPr>
              </w:pPr>
              <w:r>
                <w:rPr>
                  <w:noProof/>
                </w:rPr>
                <w:t xml:space="preserve">Anuar, H. et al., 2020. Usage of Health Belief Model (HBM) in health behavior: A systematic review. </w:t>
              </w:r>
              <w:r>
                <w:rPr>
                  <w:i/>
                  <w:iCs/>
                  <w:noProof/>
                </w:rPr>
                <w:t xml:space="preserve">Malaysian Journal of Medicine and Health Sciences, </w:t>
              </w:r>
              <w:r>
                <w:rPr>
                  <w:noProof/>
                </w:rPr>
                <w:t>16(11), pp. 2636-9346.</w:t>
              </w:r>
            </w:p>
            <w:p w14:paraId="6F73964B" w14:textId="77777777" w:rsidR="00FA7784" w:rsidRDefault="00FA7784" w:rsidP="00FA7784">
              <w:pPr>
                <w:pStyle w:val="Bibliography"/>
                <w:rPr>
                  <w:noProof/>
                </w:rPr>
              </w:pPr>
              <w:r>
                <w:rPr>
                  <w:noProof/>
                </w:rPr>
                <w:t xml:space="preserve">Batalha, A., Marcal, I., Main, E. &amp; Ghisi, G., 2025. Barriers to physical activity in women from ethnic minority groups: a systematic review. </w:t>
              </w:r>
              <w:r>
                <w:rPr>
                  <w:i/>
                  <w:iCs/>
                  <w:noProof/>
                </w:rPr>
                <w:t xml:space="preserve">BMC Women's Health, </w:t>
              </w:r>
              <w:r>
                <w:rPr>
                  <w:noProof/>
                </w:rPr>
                <w:t>25(1), p. 330.</w:t>
              </w:r>
            </w:p>
            <w:p w14:paraId="4059A412" w14:textId="77777777" w:rsidR="00FA7784" w:rsidRDefault="00FA7784" w:rsidP="00FA7784">
              <w:pPr>
                <w:pStyle w:val="Bibliography"/>
                <w:rPr>
                  <w:noProof/>
                </w:rPr>
              </w:pPr>
              <w:r>
                <w:rPr>
                  <w:noProof/>
                </w:rPr>
                <w:t xml:space="preserve">Bellary, S., Kyrou, I., Brown, J. &amp; Bailey, C., 2021. Type 2 diabetes mellitus in older adults: clinical considerations and management. </w:t>
              </w:r>
              <w:r>
                <w:rPr>
                  <w:i/>
                  <w:iCs/>
                  <w:noProof/>
                </w:rPr>
                <w:t xml:space="preserve">Nature Reviews Endocrinology, </w:t>
              </w:r>
              <w:r>
                <w:rPr>
                  <w:noProof/>
                </w:rPr>
                <w:t>17(9), pp. 534-548.</w:t>
              </w:r>
            </w:p>
            <w:p w14:paraId="49F824E0" w14:textId="77777777" w:rsidR="00FA7784" w:rsidRDefault="00FA7784" w:rsidP="00FA7784">
              <w:pPr>
                <w:pStyle w:val="Bibliography"/>
                <w:rPr>
                  <w:noProof/>
                </w:rPr>
              </w:pPr>
              <w:r>
                <w:rPr>
                  <w:noProof/>
                </w:rPr>
                <w:t xml:space="preserve">Beulens, J. et al., 2022. Environmental risk factors of type 2 diabetes—an exposome approach. </w:t>
              </w:r>
              <w:r>
                <w:rPr>
                  <w:i/>
                  <w:iCs/>
                  <w:noProof/>
                </w:rPr>
                <w:t xml:space="preserve">Diabetologia, </w:t>
              </w:r>
              <w:r>
                <w:rPr>
                  <w:noProof/>
                </w:rPr>
                <w:t>65(2), pp. 263-274.</w:t>
              </w:r>
            </w:p>
            <w:p w14:paraId="4FAB7326" w14:textId="77777777" w:rsidR="00FA7784" w:rsidRDefault="00FA7784" w:rsidP="00FA7784">
              <w:pPr>
                <w:pStyle w:val="Bibliography"/>
                <w:rPr>
                  <w:noProof/>
                </w:rPr>
              </w:pPr>
              <w:r>
                <w:rPr>
                  <w:noProof/>
                </w:rPr>
                <w:t xml:space="preserve">Cleveland Clinic, 2024. </w:t>
              </w:r>
              <w:r>
                <w:rPr>
                  <w:i/>
                  <w:iCs/>
                  <w:noProof/>
                </w:rPr>
                <w:t xml:space="preserve">Type 2 Diabetes. </w:t>
              </w:r>
              <w:r>
                <w:rPr>
                  <w:noProof/>
                </w:rPr>
                <w:t xml:space="preserve">[Online] </w:t>
              </w:r>
              <w:r>
                <w:rPr>
                  <w:noProof/>
                </w:rPr>
                <w:br/>
                <w:t xml:space="preserve">Available at: </w:t>
              </w:r>
              <w:r>
                <w:rPr>
                  <w:noProof/>
                  <w:u w:val="single"/>
                </w:rPr>
                <w:t>https://my.clevelandclinic.org/health/diseases/21501-type-2-diabetes</w:t>
              </w:r>
              <w:r>
                <w:rPr>
                  <w:noProof/>
                </w:rPr>
                <w:br/>
                <w:t>[Accessed 22 July 2025].</w:t>
              </w:r>
            </w:p>
            <w:p w14:paraId="7F6D6778" w14:textId="77777777" w:rsidR="00FA7784" w:rsidRDefault="00FA7784" w:rsidP="00FA7784">
              <w:pPr>
                <w:pStyle w:val="Bibliography"/>
                <w:rPr>
                  <w:noProof/>
                </w:rPr>
              </w:pPr>
              <w:r>
                <w:rPr>
                  <w:noProof/>
                </w:rPr>
                <w:t xml:space="preserve">Diabetes UK, 2023. </w:t>
              </w:r>
              <w:r>
                <w:rPr>
                  <w:i/>
                  <w:iCs/>
                  <w:noProof/>
                </w:rPr>
                <w:t xml:space="preserve">Professors Roy Taylor and Mike Lean awarded 2024 Rank Prize for Nutrition. </w:t>
              </w:r>
              <w:r>
                <w:rPr>
                  <w:noProof/>
                </w:rPr>
                <w:t xml:space="preserve">[Online] </w:t>
              </w:r>
              <w:r>
                <w:rPr>
                  <w:noProof/>
                </w:rPr>
                <w:br/>
                <w:t xml:space="preserve">Available at: </w:t>
              </w:r>
              <w:r>
                <w:rPr>
                  <w:noProof/>
                  <w:u w:val="single"/>
                </w:rPr>
                <w:t>https://www.diabetes.org.uk/about-us/news-and-views/professors-awarded-2024-rank-prize-nutrition</w:t>
              </w:r>
              <w:r>
                <w:rPr>
                  <w:noProof/>
                </w:rPr>
                <w:br/>
                <w:t>[Accessed 2023 July 2025].</w:t>
              </w:r>
            </w:p>
            <w:p w14:paraId="232771AA" w14:textId="77777777" w:rsidR="00FA7784" w:rsidRDefault="00FA7784" w:rsidP="00FA7784">
              <w:pPr>
                <w:pStyle w:val="Bibliography"/>
                <w:rPr>
                  <w:noProof/>
                </w:rPr>
              </w:pPr>
              <w:r>
                <w:rPr>
                  <w:noProof/>
                </w:rPr>
                <w:t xml:space="preserve">Diabetes UK, 2024. </w:t>
              </w:r>
              <w:r>
                <w:rPr>
                  <w:i/>
                  <w:iCs/>
                  <w:noProof/>
                </w:rPr>
                <w:t xml:space="preserve">How many people in the UK have diabetes?. </w:t>
              </w:r>
              <w:r>
                <w:rPr>
                  <w:noProof/>
                </w:rPr>
                <w:t xml:space="preserve">[Online] </w:t>
              </w:r>
              <w:r>
                <w:rPr>
                  <w:noProof/>
                </w:rPr>
                <w:br/>
                <w:t xml:space="preserve">Available at: </w:t>
              </w:r>
              <w:r>
                <w:rPr>
                  <w:noProof/>
                  <w:u w:val="single"/>
                </w:rPr>
                <w:t>https://www.diabetes.org.uk/about-us/about-the-charity/our-strategy/statistics</w:t>
              </w:r>
              <w:r>
                <w:rPr>
                  <w:noProof/>
                </w:rPr>
                <w:br/>
                <w:t>[Accessed 22 July 2025].</w:t>
              </w:r>
            </w:p>
            <w:p w14:paraId="3B403F08" w14:textId="77777777" w:rsidR="00FA7784" w:rsidRDefault="00FA7784" w:rsidP="00FA7784">
              <w:pPr>
                <w:pStyle w:val="Bibliography"/>
                <w:rPr>
                  <w:noProof/>
                </w:rPr>
              </w:pPr>
              <w:r>
                <w:rPr>
                  <w:noProof/>
                </w:rPr>
                <w:t xml:space="preserve">Diabetes UK, 2025. </w:t>
              </w:r>
              <w:r>
                <w:rPr>
                  <w:i/>
                  <w:iCs/>
                  <w:noProof/>
                </w:rPr>
                <w:t xml:space="preserve">Ethnicity and type 2 diabetes. </w:t>
              </w:r>
              <w:r>
                <w:rPr>
                  <w:noProof/>
                </w:rPr>
                <w:t xml:space="preserve">[Online] </w:t>
              </w:r>
              <w:r>
                <w:rPr>
                  <w:noProof/>
                </w:rPr>
                <w:br/>
                <w:t xml:space="preserve">Available at: </w:t>
              </w:r>
              <w:r>
                <w:rPr>
                  <w:noProof/>
                  <w:u w:val="single"/>
                </w:rPr>
                <w:t>https://www.diabetes.org.uk/about-diabetes/type-2-diabetes/diabetes-ethnicity</w:t>
              </w:r>
              <w:r>
                <w:rPr>
                  <w:noProof/>
                </w:rPr>
                <w:br/>
                <w:t>[Accessed 22 July 2025].</w:t>
              </w:r>
            </w:p>
            <w:p w14:paraId="2ABED932" w14:textId="77777777" w:rsidR="00FA7784" w:rsidRDefault="00FA7784" w:rsidP="00FA7784">
              <w:pPr>
                <w:pStyle w:val="Bibliography"/>
                <w:rPr>
                  <w:noProof/>
                </w:rPr>
              </w:pPr>
              <w:r>
                <w:rPr>
                  <w:noProof/>
                </w:rPr>
                <w:t xml:space="preserve">Gharacheh, L., Amini-Rarani, M., Torabipour, A. &amp; Karimi, S., 2024. A scoping review of possible solutions for decreasing socioeconomic inequalities in Type 2 diabetes mellitus. </w:t>
              </w:r>
              <w:r>
                <w:rPr>
                  <w:i/>
                  <w:iCs/>
                  <w:noProof/>
                </w:rPr>
                <w:t xml:space="preserve">International Journal of Preventive Medicine, </w:t>
              </w:r>
              <w:r>
                <w:rPr>
                  <w:noProof/>
                </w:rPr>
                <w:t>Volume 15, p. 5.</w:t>
              </w:r>
            </w:p>
            <w:p w14:paraId="769F0AFC" w14:textId="77777777" w:rsidR="00FA7784" w:rsidRDefault="00FA7784" w:rsidP="00FA7784">
              <w:pPr>
                <w:pStyle w:val="Bibliography"/>
                <w:rPr>
                  <w:noProof/>
                </w:rPr>
              </w:pPr>
              <w:r>
                <w:rPr>
                  <w:noProof/>
                </w:rPr>
                <w:lastRenderedPageBreak/>
                <w:t xml:space="preserve">Gupta, S., Hawk, T., Aggarwal, A. &amp; Drewnowski, A., 2019. Characterizing ultra-processed foods by energy density, nutrient density, and cost. </w:t>
              </w:r>
              <w:r>
                <w:rPr>
                  <w:i/>
                  <w:iCs/>
                  <w:noProof/>
                </w:rPr>
                <w:t xml:space="preserve">Frontiers in nutrition, </w:t>
              </w:r>
              <w:r>
                <w:rPr>
                  <w:noProof/>
                </w:rPr>
                <w:t>Volume 6, p. 70.</w:t>
              </w:r>
            </w:p>
            <w:p w14:paraId="4E754BC0" w14:textId="77777777" w:rsidR="00FA7784" w:rsidRDefault="00FA7784" w:rsidP="00FA7784">
              <w:pPr>
                <w:pStyle w:val="Bibliography"/>
                <w:rPr>
                  <w:noProof/>
                </w:rPr>
              </w:pPr>
              <w:r>
                <w:rPr>
                  <w:noProof/>
                </w:rPr>
                <w:t xml:space="preserve">Health org , 2020. </w:t>
              </w:r>
              <w:r>
                <w:rPr>
                  <w:i/>
                  <w:iCs/>
                  <w:noProof/>
                </w:rPr>
                <w:t xml:space="preserve">HEALTH EQUITY IN ENGLAND, </w:t>
              </w:r>
              <w:r>
                <w:rPr>
                  <w:noProof/>
                </w:rPr>
                <w:t>s.l.: Health org.</w:t>
              </w:r>
            </w:p>
            <w:p w14:paraId="04E7D54D" w14:textId="77777777" w:rsidR="00FA7784" w:rsidRDefault="00FA7784" w:rsidP="00FA7784">
              <w:pPr>
                <w:pStyle w:val="Bibliography"/>
                <w:rPr>
                  <w:noProof/>
                </w:rPr>
              </w:pPr>
              <w:r>
                <w:rPr>
                  <w:noProof/>
                </w:rPr>
                <w:t xml:space="preserve">Jiao, L., 2024. Social determinants of health, diet, and health outcome. </w:t>
              </w:r>
              <w:r>
                <w:rPr>
                  <w:i/>
                  <w:iCs/>
                  <w:noProof/>
                </w:rPr>
                <w:t xml:space="preserve">Nutrients, </w:t>
              </w:r>
              <w:r>
                <w:rPr>
                  <w:noProof/>
                </w:rPr>
                <w:t>16(21), p. 3642.</w:t>
              </w:r>
            </w:p>
            <w:p w14:paraId="4CEEA890" w14:textId="77777777" w:rsidR="00FA7784" w:rsidRDefault="00FA7784" w:rsidP="00FA7784">
              <w:pPr>
                <w:pStyle w:val="Bibliography"/>
                <w:rPr>
                  <w:noProof/>
                </w:rPr>
              </w:pPr>
              <w:r>
                <w:rPr>
                  <w:noProof/>
                </w:rPr>
                <w:t xml:space="preserve">Levi, R., Bleich, S. &amp; Seligman, H., 2023. Food insecurity and diabetes: overview of intersections and potential dual solutions. </w:t>
              </w:r>
              <w:r>
                <w:rPr>
                  <w:i/>
                  <w:iCs/>
                  <w:noProof/>
                </w:rPr>
                <w:t xml:space="preserve">Diabetes Care, </w:t>
              </w:r>
              <w:r>
                <w:rPr>
                  <w:noProof/>
                </w:rPr>
                <w:t>46(9), pp. 1599-1608.</w:t>
              </w:r>
            </w:p>
            <w:p w14:paraId="7AC581FD" w14:textId="77777777" w:rsidR="00FA7784" w:rsidRDefault="00FA7784" w:rsidP="00FA7784">
              <w:pPr>
                <w:pStyle w:val="Bibliography"/>
                <w:rPr>
                  <w:noProof/>
                </w:rPr>
              </w:pPr>
              <w:r>
                <w:rPr>
                  <w:noProof/>
                </w:rPr>
                <w:t xml:space="preserve">Mathis, B., Tanaka, K. &amp; Hiramatsu, Y., 2023. Obesity vs. metabolically healthy obesity in East Asia. </w:t>
              </w:r>
              <w:r>
                <w:rPr>
                  <w:i/>
                  <w:iCs/>
                  <w:noProof/>
                </w:rPr>
                <w:t xml:space="preserve">Encyclopedia, </w:t>
              </w:r>
              <w:r>
                <w:rPr>
                  <w:noProof/>
                </w:rPr>
                <w:t>3(2), pp. 730-745.</w:t>
              </w:r>
            </w:p>
            <w:p w14:paraId="0618B369" w14:textId="77777777" w:rsidR="00FA7784" w:rsidRDefault="00FA7784" w:rsidP="00FA7784">
              <w:pPr>
                <w:pStyle w:val="Bibliography"/>
                <w:rPr>
                  <w:noProof/>
                </w:rPr>
              </w:pPr>
              <w:r>
                <w:rPr>
                  <w:noProof/>
                </w:rPr>
                <w:t xml:space="preserve">NH England, 2024. </w:t>
              </w:r>
              <w:r>
                <w:rPr>
                  <w:i/>
                  <w:iCs/>
                  <w:noProof/>
                </w:rPr>
                <w:t xml:space="preserve">NHS identifies over half a million more people at risk of type 2 diabetes in a Year. </w:t>
              </w:r>
              <w:r>
                <w:rPr>
                  <w:noProof/>
                </w:rPr>
                <w:t xml:space="preserve">[Online] </w:t>
              </w:r>
              <w:r>
                <w:rPr>
                  <w:noProof/>
                </w:rPr>
                <w:br/>
                <w:t xml:space="preserve">Available at: </w:t>
              </w:r>
              <w:r>
                <w:rPr>
                  <w:noProof/>
                  <w:u w:val="single"/>
                </w:rPr>
                <w:t>https://www.england.nhs.uk/2024/06/nhs-identifies-over-half-a-million-more-people-at-risk-of-type-2-diabetes-in-a-year/</w:t>
              </w:r>
              <w:r>
                <w:rPr>
                  <w:noProof/>
                </w:rPr>
                <w:br/>
                <w:t>[Accessed 22 July 2025].</w:t>
              </w:r>
            </w:p>
            <w:p w14:paraId="7CA77737" w14:textId="77777777" w:rsidR="00FA7784" w:rsidRDefault="00FA7784" w:rsidP="00FA7784">
              <w:pPr>
                <w:pStyle w:val="Bibliography"/>
                <w:rPr>
                  <w:noProof/>
                </w:rPr>
              </w:pPr>
              <w:r>
                <w:rPr>
                  <w:noProof/>
                </w:rPr>
                <w:t xml:space="preserve">NHS England, 2024. </w:t>
              </w:r>
              <w:r>
                <w:rPr>
                  <w:i/>
                  <w:iCs/>
                  <w:noProof/>
                </w:rPr>
                <w:t xml:space="preserve">NHS Diabetes Prevention Programme (NHS DPP). </w:t>
              </w:r>
              <w:r>
                <w:rPr>
                  <w:noProof/>
                </w:rPr>
                <w:t xml:space="preserve">[Online] </w:t>
              </w:r>
              <w:r>
                <w:rPr>
                  <w:noProof/>
                </w:rPr>
                <w:br/>
                <w:t xml:space="preserve">Available at: </w:t>
              </w:r>
              <w:r>
                <w:rPr>
                  <w:noProof/>
                  <w:u w:val="single"/>
                </w:rPr>
                <w:t>https://www.england.nhs.uk/diabetes/diabetes-prevention/</w:t>
              </w:r>
              <w:r>
                <w:rPr>
                  <w:noProof/>
                </w:rPr>
                <w:br/>
                <w:t>[Accessed 22 July 2025].</w:t>
              </w:r>
            </w:p>
            <w:p w14:paraId="3F958266" w14:textId="77777777" w:rsidR="00FA7784" w:rsidRDefault="00FA7784" w:rsidP="00FA7784">
              <w:pPr>
                <w:pStyle w:val="Bibliography"/>
                <w:rPr>
                  <w:noProof/>
                </w:rPr>
              </w:pPr>
              <w:r>
                <w:rPr>
                  <w:noProof/>
                </w:rPr>
                <w:t xml:space="preserve">Van Wilder, L. et al., 2021. Living with a chronic disease: insights from patients with a low socioeconomic status. </w:t>
              </w:r>
              <w:r>
                <w:rPr>
                  <w:i/>
                  <w:iCs/>
                  <w:noProof/>
                </w:rPr>
                <w:t xml:space="preserve">BMC family practice, </w:t>
              </w:r>
              <w:r>
                <w:rPr>
                  <w:noProof/>
                </w:rPr>
                <w:t>22(11), p. 233.</w:t>
              </w:r>
            </w:p>
            <w:p w14:paraId="65B861FD" w14:textId="77777777" w:rsidR="00FA7784" w:rsidRDefault="00FA7784" w:rsidP="00FA7784">
              <w:pPr>
                <w:pStyle w:val="Bibliography"/>
                <w:rPr>
                  <w:noProof/>
                </w:rPr>
              </w:pPr>
              <w:r>
                <w:rPr>
                  <w:noProof/>
                </w:rPr>
                <w:t xml:space="preserve">WHO, 2025. </w:t>
              </w:r>
              <w:r>
                <w:rPr>
                  <w:i/>
                  <w:iCs/>
                  <w:noProof/>
                </w:rPr>
                <w:t xml:space="preserve">Obesity. </w:t>
              </w:r>
              <w:r>
                <w:rPr>
                  <w:noProof/>
                </w:rPr>
                <w:t xml:space="preserve">[Online] </w:t>
              </w:r>
              <w:r>
                <w:rPr>
                  <w:noProof/>
                </w:rPr>
                <w:br/>
                <w:t xml:space="preserve">Available at: </w:t>
              </w:r>
              <w:r>
                <w:rPr>
                  <w:noProof/>
                  <w:u w:val="single"/>
                </w:rPr>
                <w:t>https://www.who.int/health-topics/obesity#tab=tab_1</w:t>
              </w:r>
              <w:r>
                <w:rPr>
                  <w:noProof/>
                </w:rPr>
                <w:br/>
                <w:t>[Accessed 22 July 2025].</w:t>
              </w:r>
            </w:p>
            <w:p w14:paraId="6D940611" w14:textId="77777777" w:rsidR="00FA7784" w:rsidRDefault="00FA7784" w:rsidP="00FA7784">
              <w:pPr>
                <w:pStyle w:val="Bibliography"/>
                <w:rPr>
                  <w:noProof/>
                </w:rPr>
              </w:pPr>
              <w:r>
                <w:rPr>
                  <w:noProof/>
                </w:rPr>
                <w:t xml:space="preserve">Wijayaratna, S. et al., 2021. Socioeconomic status and risk factors for complications in young people with type 1 or type 2 diabetes: a cross-sectional study. </w:t>
              </w:r>
              <w:r>
                <w:rPr>
                  <w:i/>
                  <w:iCs/>
                  <w:noProof/>
                </w:rPr>
                <w:t xml:space="preserve">BMJ Open Diabetes Research &amp; Care, </w:t>
              </w:r>
              <w:r>
                <w:rPr>
                  <w:noProof/>
                </w:rPr>
                <w:t>9(2).</w:t>
              </w:r>
            </w:p>
            <w:p w14:paraId="746F4119" w14:textId="085E41F1" w:rsidR="00FA7784" w:rsidRDefault="00FA7784" w:rsidP="00FA7784">
              <w:r>
                <w:rPr>
                  <w:b/>
                  <w:bCs/>
                  <w:noProof/>
                </w:rPr>
                <w:fldChar w:fldCharType="end"/>
              </w:r>
            </w:p>
          </w:sdtContent>
        </w:sdt>
      </w:sdtContent>
    </w:sdt>
    <w:p w14:paraId="681DE8A9" w14:textId="77777777" w:rsidR="00FA7784" w:rsidRDefault="00FA7784" w:rsidP="000D709B"/>
    <w:sectPr w:rsidR="00FA7784" w:rsidSect="00637491">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BE9AC" w14:textId="77777777" w:rsidR="00F6477B" w:rsidRDefault="00F6477B" w:rsidP="00637491">
      <w:pPr>
        <w:spacing w:after="0" w:line="240" w:lineRule="auto"/>
      </w:pPr>
      <w:r>
        <w:separator/>
      </w:r>
    </w:p>
  </w:endnote>
  <w:endnote w:type="continuationSeparator" w:id="0">
    <w:p w14:paraId="6D30486B" w14:textId="77777777" w:rsidR="00F6477B" w:rsidRDefault="00F6477B" w:rsidP="00637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693671"/>
      <w:docPartObj>
        <w:docPartGallery w:val="Page Numbers (Bottom of Page)"/>
        <w:docPartUnique/>
      </w:docPartObj>
    </w:sdtPr>
    <w:sdtEndPr>
      <w:rPr>
        <w:noProof/>
      </w:rPr>
    </w:sdtEndPr>
    <w:sdtContent>
      <w:p w14:paraId="3558396C" w14:textId="0309B0DA" w:rsidR="00637491" w:rsidRDefault="006374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C79282" w14:textId="77777777" w:rsidR="00637491" w:rsidRDefault="00637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79F94" w14:textId="77777777" w:rsidR="00F6477B" w:rsidRDefault="00F6477B" w:rsidP="00637491">
      <w:pPr>
        <w:spacing w:after="0" w:line="240" w:lineRule="auto"/>
      </w:pPr>
      <w:r>
        <w:separator/>
      </w:r>
    </w:p>
  </w:footnote>
  <w:footnote w:type="continuationSeparator" w:id="0">
    <w:p w14:paraId="30944AE1" w14:textId="77777777" w:rsidR="00F6477B" w:rsidRDefault="00F6477B" w:rsidP="006374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358FA"/>
    <w:multiLevelType w:val="multilevel"/>
    <w:tmpl w:val="7B447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8131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299"/>
    <w:rsid w:val="00072E56"/>
    <w:rsid w:val="000D709B"/>
    <w:rsid w:val="000E515F"/>
    <w:rsid w:val="00113EC8"/>
    <w:rsid w:val="001B65A5"/>
    <w:rsid w:val="00253C7D"/>
    <w:rsid w:val="002C3ACF"/>
    <w:rsid w:val="00301705"/>
    <w:rsid w:val="00371B98"/>
    <w:rsid w:val="003B2F22"/>
    <w:rsid w:val="003B7119"/>
    <w:rsid w:val="003D1012"/>
    <w:rsid w:val="00491CE1"/>
    <w:rsid w:val="004A68A5"/>
    <w:rsid w:val="004D6E44"/>
    <w:rsid w:val="004E3193"/>
    <w:rsid w:val="004F1C0A"/>
    <w:rsid w:val="0053193C"/>
    <w:rsid w:val="0056307F"/>
    <w:rsid w:val="00574FA3"/>
    <w:rsid w:val="00587390"/>
    <w:rsid w:val="005B4CB6"/>
    <w:rsid w:val="005C4F39"/>
    <w:rsid w:val="005F2F7F"/>
    <w:rsid w:val="00637491"/>
    <w:rsid w:val="006713FE"/>
    <w:rsid w:val="00673486"/>
    <w:rsid w:val="006A7CB7"/>
    <w:rsid w:val="00702C9F"/>
    <w:rsid w:val="0072220A"/>
    <w:rsid w:val="00745436"/>
    <w:rsid w:val="00752DB8"/>
    <w:rsid w:val="007646AB"/>
    <w:rsid w:val="007823B0"/>
    <w:rsid w:val="007E7F17"/>
    <w:rsid w:val="008015A2"/>
    <w:rsid w:val="00832AFD"/>
    <w:rsid w:val="00897D06"/>
    <w:rsid w:val="008C7299"/>
    <w:rsid w:val="0090302F"/>
    <w:rsid w:val="009252C5"/>
    <w:rsid w:val="00951CBA"/>
    <w:rsid w:val="00A27C23"/>
    <w:rsid w:val="00A55E16"/>
    <w:rsid w:val="00AC3900"/>
    <w:rsid w:val="00B248DD"/>
    <w:rsid w:val="00B411F7"/>
    <w:rsid w:val="00B806C8"/>
    <w:rsid w:val="00B8140C"/>
    <w:rsid w:val="00BA1B76"/>
    <w:rsid w:val="00C11595"/>
    <w:rsid w:val="00C23B01"/>
    <w:rsid w:val="00C244D7"/>
    <w:rsid w:val="00C24D83"/>
    <w:rsid w:val="00C94250"/>
    <w:rsid w:val="00CA1205"/>
    <w:rsid w:val="00CD36F3"/>
    <w:rsid w:val="00D8076F"/>
    <w:rsid w:val="00DF486D"/>
    <w:rsid w:val="00E2493B"/>
    <w:rsid w:val="00E75494"/>
    <w:rsid w:val="00E8094C"/>
    <w:rsid w:val="00E9184E"/>
    <w:rsid w:val="00E95EE2"/>
    <w:rsid w:val="00EC47D9"/>
    <w:rsid w:val="00ED1C9B"/>
    <w:rsid w:val="00F6477B"/>
    <w:rsid w:val="00FA7784"/>
    <w:rsid w:val="00FF0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4519D3"/>
  <w15:chartTrackingRefBased/>
  <w15:docId w15:val="{D36EE6C6-41D9-4DE8-8D89-75A673E47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40C"/>
    <w:pPr>
      <w:spacing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574FA3"/>
    <w:pPr>
      <w:keepNext/>
      <w:keepLines/>
      <w:spacing w:before="240" w:after="0"/>
      <w:jc w:val="center"/>
      <w:outlineLvl w:val="0"/>
    </w:pPr>
    <w:rPr>
      <w:rFonts w:ascii="Arial" w:eastAsiaTheme="majorEastAsia" w:hAnsi="Arial" w:cs="Arial"/>
      <w:b/>
      <w:color w:val="2F5496" w:themeColor="accent1" w:themeShade="BF"/>
      <w:sz w:val="32"/>
      <w:szCs w:val="32"/>
    </w:rPr>
  </w:style>
  <w:style w:type="paragraph" w:styleId="Heading2">
    <w:name w:val="heading 2"/>
    <w:basedOn w:val="Normal"/>
    <w:next w:val="Normal"/>
    <w:link w:val="Heading2Char"/>
    <w:uiPriority w:val="9"/>
    <w:unhideWhenUsed/>
    <w:qFormat/>
    <w:rsid w:val="00B8140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8C7299"/>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CD36F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FA3"/>
    <w:rPr>
      <w:rFonts w:ascii="Arial" w:eastAsiaTheme="majorEastAsia" w:hAnsi="Arial" w:cs="Arial"/>
      <w:b/>
      <w:color w:val="2F5496" w:themeColor="accent1" w:themeShade="BF"/>
      <w:sz w:val="32"/>
      <w:szCs w:val="32"/>
    </w:rPr>
  </w:style>
  <w:style w:type="character" w:customStyle="1" w:styleId="Heading2Char">
    <w:name w:val="Heading 2 Char"/>
    <w:basedOn w:val="DefaultParagraphFont"/>
    <w:link w:val="Heading2"/>
    <w:uiPriority w:val="9"/>
    <w:rsid w:val="00B8140C"/>
    <w:rPr>
      <w:rFonts w:asciiTheme="majorHAnsi" w:eastAsiaTheme="majorEastAsia" w:hAnsiTheme="majorHAnsi" w:cstheme="majorBidi"/>
      <w:b/>
      <w:color w:val="2F5496" w:themeColor="accent1" w:themeShade="BF"/>
      <w:sz w:val="26"/>
      <w:szCs w:val="26"/>
    </w:rPr>
  </w:style>
  <w:style w:type="paragraph" w:styleId="Title">
    <w:name w:val="Title"/>
    <w:basedOn w:val="Normal"/>
    <w:next w:val="Normal"/>
    <w:link w:val="TitleChar"/>
    <w:uiPriority w:val="10"/>
    <w:qFormat/>
    <w:rsid w:val="00113EC8"/>
    <w:pPr>
      <w:spacing w:after="0" w:line="240" w:lineRule="auto"/>
      <w:contextualSpacing/>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113EC8"/>
    <w:rPr>
      <w:rFonts w:asciiTheme="majorHAnsi" w:eastAsiaTheme="majorEastAsia" w:hAnsiTheme="majorHAnsi" w:cstheme="majorBidi"/>
      <w:b/>
      <w:spacing w:val="-10"/>
      <w:kern w:val="28"/>
      <w:sz w:val="56"/>
      <w:szCs w:val="56"/>
      <w:lang w:val="en-US"/>
    </w:rPr>
  </w:style>
  <w:style w:type="character" w:customStyle="1" w:styleId="Heading3Char">
    <w:name w:val="Heading 3 Char"/>
    <w:basedOn w:val="DefaultParagraphFont"/>
    <w:link w:val="Heading3"/>
    <w:uiPriority w:val="9"/>
    <w:semiHidden/>
    <w:rsid w:val="008C7299"/>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CD36F3"/>
    <w:rPr>
      <w:rFonts w:asciiTheme="majorHAnsi" w:eastAsiaTheme="majorEastAsia" w:hAnsiTheme="majorHAnsi" w:cstheme="majorBidi"/>
      <w:i/>
      <w:iCs/>
      <w:color w:val="2F5496" w:themeColor="accent1" w:themeShade="BF"/>
      <w:sz w:val="24"/>
      <w:lang w:val="en-GB"/>
    </w:rPr>
  </w:style>
  <w:style w:type="paragraph" w:styleId="Bibliography">
    <w:name w:val="Bibliography"/>
    <w:basedOn w:val="Normal"/>
    <w:next w:val="Normal"/>
    <w:uiPriority w:val="37"/>
    <w:unhideWhenUsed/>
    <w:rsid w:val="00FA7784"/>
  </w:style>
  <w:style w:type="paragraph" w:styleId="NormalWeb">
    <w:name w:val="Normal (Web)"/>
    <w:basedOn w:val="Normal"/>
    <w:uiPriority w:val="99"/>
    <w:semiHidden/>
    <w:unhideWhenUsed/>
    <w:rsid w:val="00FA778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A7784"/>
    <w:rPr>
      <w:b/>
      <w:bCs/>
    </w:rPr>
  </w:style>
  <w:style w:type="character" w:styleId="Emphasis">
    <w:name w:val="Emphasis"/>
    <w:basedOn w:val="DefaultParagraphFont"/>
    <w:uiPriority w:val="20"/>
    <w:qFormat/>
    <w:rsid w:val="00FA7784"/>
    <w:rPr>
      <w:i/>
      <w:iCs/>
    </w:rPr>
  </w:style>
  <w:style w:type="paragraph" w:styleId="TOCHeading">
    <w:name w:val="TOC Heading"/>
    <w:basedOn w:val="Heading1"/>
    <w:next w:val="Normal"/>
    <w:uiPriority w:val="39"/>
    <w:unhideWhenUsed/>
    <w:qFormat/>
    <w:rsid w:val="00745436"/>
    <w:pPr>
      <w:spacing w:line="259" w:lineRule="auto"/>
      <w:outlineLvl w:val="9"/>
    </w:pPr>
    <w:rPr>
      <w:b w:val="0"/>
      <w:lang w:val="en-US"/>
    </w:rPr>
  </w:style>
  <w:style w:type="paragraph" w:styleId="TOC1">
    <w:name w:val="toc 1"/>
    <w:basedOn w:val="Normal"/>
    <w:next w:val="Normal"/>
    <w:autoRedefine/>
    <w:uiPriority w:val="39"/>
    <w:unhideWhenUsed/>
    <w:rsid w:val="00745436"/>
    <w:pPr>
      <w:spacing w:after="100"/>
    </w:pPr>
  </w:style>
  <w:style w:type="paragraph" w:styleId="TOC2">
    <w:name w:val="toc 2"/>
    <w:basedOn w:val="Normal"/>
    <w:next w:val="Normal"/>
    <w:autoRedefine/>
    <w:uiPriority w:val="39"/>
    <w:unhideWhenUsed/>
    <w:rsid w:val="00745436"/>
    <w:pPr>
      <w:spacing w:after="100"/>
      <w:ind w:left="240"/>
    </w:pPr>
  </w:style>
  <w:style w:type="character" w:styleId="Hyperlink">
    <w:name w:val="Hyperlink"/>
    <w:basedOn w:val="DefaultParagraphFont"/>
    <w:uiPriority w:val="99"/>
    <w:unhideWhenUsed/>
    <w:rsid w:val="00745436"/>
    <w:rPr>
      <w:color w:val="0563C1" w:themeColor="hyperlink"/>
      <w:u w:val="single"/>
    </w:rPr>
  </w:style>
  <w:style w:type="paragraph" w:styleId="Header">
    <w:name w:val="header"/>
    <w:basedOn w:val="Normal"/>
    <w:link w:val="HeaderChar"/>
    <w:uiPriority w:val="99"/>
    <w:unhideWhenUsed/>
    <w:rsid w:val="006374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491"/>
    <w:rPr>
      <w:rFonts w:ascii="Times New Roman" w:hAnsi="Times New Roman"/>
      <w:sz w:val="24"/>
    </w:rPr>
  </w:style>
  <w:style w:type="paragraph" w:styleId="Footer">
    <w:name w:val="footer"/>
    <w:basedOn w:val="Normal"/>
    <w:link w:val="FooterChar"/>
    <w:uiPriority w:val="99"/>
    <w:unhideWhenUsed/>
    <w:rsid w:val="006374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49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35158">
      <w:bodyDiv w:val="1"/>
      <w:marLeft w:val="0"/>
      <w:marRight w:val="0"/>
      <w:marTop w:val="0"/>
      <w:marBottom w:val="0"/>
      <w:divBdr>
        <w:top w:val="none" w:sz="0" w:space="0" w:color="auto"/>
        <w:left w:val="none" w:sz="0" w:space="0" w:color="auto"/>
        <w:bottom w:val="none" w:sz="0" w:space="0" w:color="auto"/>
        <w:right w:val="none" w:sz="0" w:space="0" w:color="auto"/>
      </w:divBdr>
    </w:div>
    <w:div w:id="61875339">
      <w:bodyDiv w:val="1"/>
      <w:marLeft w:val="0"/>
      <w:marRight w:val="0"/>
      <w:marTop w:val="0"/>
      <w:marBottom w:val="0"/>
      <w:divBdr>
        <w:top w:val="none" w:sz="0" w:space="0" w:color="auto"/>
        <w:left w:val="none" w:sz="0" w:space="0" w:color="auto"/>
        <w:bottom w:val="none" w:sz="0" w:space="0" w:color="auto"/>
        <w:right w:val="none" w:sz="0" w:space="0" w:color="auto"/>
      </w:divBdr>
    </w:div>
    <w:div w:id="185750159">
      <w:bodyDiv w:val="1"/>
      <w:marLeft w:val="0"/>
      <w:marRight w:val="0"/>
      <w:marTop w:val="0"/>
      <w:marBottom w:val="0"/>
      <w:divBdr>
        <w:top w:val="none" w:sz="0" w:space="0" w:color="auto"/>
        <w:left w:val="none" w:sz="0" w:space="0" w:color="auto"/>
        <w:bottom w:val="none" w:sz="0" w:space="0" w:color="auto"/>
        <w:right w:val="none" w:sz="0" w:space="0" w:color="auto"/>
      </w:divBdr>
    </w:div>
    <w:div w:id="208494587">
      <w:bodyDiv w:val="1"/>
      <w:marLeft w:val="0"/>
      <w:marRight w:val="0"/>
      <w:marTop w:val="0"/>
      <w:marBottom w:val="0"/>
      <w:divBdr>
        <w:top w:val="none" w:sz="0" w:space="0" w:color="auto"/>
        <w:left w:val="none" w:sz="0" w:space="0" w:color="auto"/>
        <w:bottom w:val="none" w:sz="0" w:space="0" w:color="auto"/>
        <w:right w:val="none" w:sz="0" w:space="0" w:color="auto"/>
      </w:divBdr>
    </w:div>
    <w:div w:id="214894545">
      <w:bodyDiv w:val="1"/>
      <w:marLeft w:val="0"/>
      <w:marRight w:val="0"/>
      <w:marTop w:val="0"/>
      <w:marBottom w:val="0"/>
      <w:divBdr>
        <w:top w:val="none" w:sz="0" w:space="0" w:color="auto"/>
        <w:left w:val="none" w:sz="0" w:space="0" w:color="auto"/>
        <w:bottom w:val="none" w:sz="0" w:space="0" w:color="auto"/>
        <w:right w:val="none" w:sz="0" w:space="0" w:color="auto"/>
      </w:divBdr>
    </w:div>
    <w:div w:id="229582847">
      <w:bodyDiv w:val="1"/>
      <w:marLeft w:val="0"/>
      <w:marRight w:val="0"/>
      <w:marTop w:val="0"/>
      <w:marBottom w:val="0"/>
      <w:divBdr>
        <w:top w:val="none" w:sz="0" w:space="0" w:color="auto"/>
        <w:left w:val="none" w:sz="0" w:space="0" w:color="auto"/>
        <w:bottom w:val="none" w:sz="0" w:space="0" w:color="auto"/>
        <w:right w:val="none" w:sz="0" w:space="0" w:color="auto"/>
      </w:divBdr>
    </w:div>
    <w:div w:id="281084406">
      <w:bodyDiv w:val="1"/>
      <w:marLeft w:val="0"/>
      <w:marRight w:val="0"/>
      <w:marTop w:val="0"/>
      <w:marBottom w:val="0"/>
      <w:divBdr>
        <w:top w:val="none" w:sz="0" w:space="0" w:color="auto"/>
        <w:left w:val="none" w:sz="0" w:space="0" w:color="auto"/>
        <w:bottom w:val="none" w:sz="0" w:space="0" w:color="auto"/>
        <w:right w:val="none" w:sz="0" w:space="0" w:color="auto"/>
      </w:divBdr>
    </w:div>
    <w:div w:id="292101435">
      <w:bodyDiv w:val="1"/>
      <w:marLeft w:val="0"/>
      <w:marRight w:val="0"/>
      <w:marTop w:val="0"/>
      <w:marBottom w:val="0"/>
      <w:divBdr>
        <w:top w:val="none" w:sz="0" w:space="0" w:color="auto"/>
        <w:left w:val="none" w:sz="0" w:space="0" w:color="auto"/>
        <w:bottom w:val="none" w:sz="0" w:space="0" w:color="auto"/>
        <w:right w:val="none" w:sz="0" w:space="0" w:color="auto"/>
      </w:divBdr>
      <w:divsChild>
        <w:div w:id="541403836">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367797355">
      <w:bodyDiv w:val="1"/>
      <w:marLeft w:val="0"/>
      <w:marRight w:val="0"/>
      <w:marTop w:val="0"/>
      <w:marBottom w:val="0"/>
      <w:divBdr>
        <w:top w:val="none" w:sz="0" w:space="0" w:color="auto"/>
        <w:left w:val="none" w:sz="0" w:space="0" w:color="auto"/>
        <w:bottom w:val="none" w:sz="0" w:space="0" w:color="auto"/>
        <w:right w:val="none" w:sz="0" w:space="0" w:color="auto"/>
      </w:divBdr>
    </w:div>
    <w:div w:id="376929271">
      <w:bodyDiv w:val="1"/>
      <w:marLeft w:val="0"/>
      <w:marRight w:val="0"/>
      <w:marTop w:val="0"/>
      <w:marBottom w:val="0"/>
      <w:divBdr>
        <w:top w:val="none" w:sz="0" w:space="0" w:color="auto"/>
        <w:left w:val="none" w:sz="0" w:space="0" w:color="auto"/>
        <w:bottom w:val="none" w:sz="0" w:space="0" w:color="auto"/>
        <w:right w:val="none" w:sz="0" w:space="0" w:color="auto"/>
      </w:divBdr>
    </w:div>
    <w:div w:id="405227845">
      <w:bodyDiv w:val="1"/>
      <w:marLeft w:val="0"/>
      <w:marRight w:val="0"/>
      <w:marTop w:val="0"/>
      <w:marBottom w:val="0"/>
      <w:divBdr>
        <w:top w:val="none" w:sz="0" w:space="0" w:color="auto"/>
        <w:left w:val="none" w:sz="0" w:space="0" w:color="auto"/>
        <w:bottom w:val="none" w:sz="0" w:space="0" w:color="auto"/>
        <w:right w:val="none" w:sz="0" w:space="0" w:color="auto"/>
      </w:divBdr>
    </w:div>
    <w:div w:id="717166814">
      <w:bodyDiv w:val="1"/>
      <w:marLeft w:val="0"/>
      <w:marRight w:val="0"/>
      <w:marTop w:val="0"/>
      <w:marBottom w:val="0"/>
      <w:divBdr>
        <w:top w:val="none" w:sz="0" w:space="0" w:color="auto"/>
        <w:left w:val="none" w:sz="0" w:space="0" w:color="auto"/>
        <w:bottom w:val="none" w:sz="0" w:space="0" w:color="auto"/>
        <w:right w:val="none" w:sz="0" w:space="0" w:color="auto"/>
      </w:divBdr>
    </w:div>
    <w:div w:id="880216151">
      <w:bodyDiv w:val="1"/>
      <w:marLeft w:val="0"/>
      <w:marRight w:val="0"/>
      <w:marTop w:val="0"/>
      <w:marBottom w:val="0"/>
      <w:divBdr>
        <w:top w:val="none" w:sz="0" w:space="0" w:color="auto"/>
        <w:left w:val="none" w:sz="0" w:space="0" w:color="auto"/>
        <w:bottom w:val="none" w:sz="0" w:space="0" w:color="auto"/>
        <w:right w:val="none" w:sz="0" w:space="0" w:color="auto"/>
      </w:divBdr>
    </w:div>
    <w:div w:id="924995642">
      <w:bodyDiv w:val="1"/>
      <w:marLeft w:val="0"/>
      <w:marRight w:val="0"/>
      <w:marTop w:val="0"/>
      <w:marBottom w:val="0"/>
      <w:divBdr>
        <w:top w:val="none" w:sz="0" w:space="0" w:color="auto"/>
        <w:left w:val="none" w:sz="0" w:space="0" w:color="auto"/>
        <w:bottom w:val="none" w:sz="0" w:space="0" w:color="auto"/>
        <w:right w:val="none" w:sz="0" w:space="0" w:color="auto"/>
      </w:divBdr>
    </w:div>
    <w:div w:id="935866672">
      <w:bodyDiv w:val="1"/>
      <w:marLeft w:val="0"/>
      <w:marRight w:val="0"/>
      <w:marTop w:val="0"/>
      <w:marBottom w:val="0"/>
      <w:divBdr>
        <w:top w:val="none" w:sz="0" w:space="0" w:color="auto"/>
        <w:left w:val="none" w:sz="0" w:space="0" w:color="auto"/>
        <w:bottom w:val="none" w:sz="0" w:space="0" w:color="auto"/>
        <w:right w:val="none" w:sz="0" w:space="0" w:color="auto"/>
      </w:divBdr>
    </w:div>
    <w:div w:id="1042436314">
      <w:bodyDiv w:val="1"/>
      <w:marLeft w:val="0"/>
      <w:marRight w:val="0"/>
      <w:marTop w:val="0"/>
      <w:marBottom w:val="0"/>
      <w:divBdr>
        <w:top w:val="none" w:sz="0" w:space="0" w:color="auto"/>
        <w:left w:val="none" w:sz="0" w:space="0" w:color="auto"/>
        <w:bottom w:val="none" w:sz="0" w:space="0" w:color="auto"/>
        <w:right w:val="none" w:sz="0" w:space="0" w:color="auto"/>
      </w:divBdr>
    </w:div>
    <w:div w:id="1067344042">
      <w:bodyDiv w:val="1"/>
      <w:marLeft w:val="0"/>
      <w:marRight w:val="0"/>
      <w:marTop w:val="0"/>
      <w:marBottom w:val="0"/>
      <w:divBdr>
        <w:top w:val="none" w:sz="0" w:space="0" w:color="auto"/>
        <w:left w:val="none" w:sz="0" w:space="0" w:color="auto"/>
        <w:bottom w:val="none" w:sz="0" w:space="0" w:color="auto"/>
        <w:right w:val="none" w:sz="0" w:space="0" w:color="auto"/>
      </w:divBdr>
    </w:div>
    <w:div w:id="1110587980">
      <w:bodyDiv w:val="1"/>
      <w:marLeft w:val="0"/>
      <w:marRight w:val="0"/>
      <w:marTop w:val="0"/>
      <w:marBottom w:val="0"/>
      <w:divBdr>
        <w:top w:val="none" w:sz="0" w:space="0" w:color="auto"/>
        <w:left w:val="none" w:sz="0" w:space="0" w:color="auto"/>
        <w:bottom w:val="none" w:sz="0" w:space="0" w:color="auto"/>
        <w:right w:val="none" w:sz="0" w:space="0" w:color="auto"/>
      </w:divBdr>
    </w:div>
    <w:div w:id="1118380068">
      <w:bodyDiv w:val="1"/>
      <w:marLeft w:val="0"/>
      <w:marRight w:val="0"/>
      <w:marTop w:val="0"/>
      <w:marBottom w:val="0"/>
      <w:divBdr>
        <w:top w:val="none" w:sz="0" w:space="0" w:color="auto"/>
        <w:left w:val="none" w:sz="0" w:space="0" w:color="auto"/>
        <w:bottom w:val="none" w:sz="0" w:space="0" w:color="auto"/>
        <w:right w:val="none" w:sz="0" w:space="0" w:color="auto"/>
      </w:divBdr>
    </w:div>
    <w:div w:id="1178810544">
      <w:bodyDiv w:val="1"/>
      <w:marLeft w:val="0"/>
      <w:marRight w:val="0"/>
      <w:marTop w:val="0"/>
      <w:marBottom w:val="0"/>
      <w:divBdr>
        <w:top w:val="none" w:sz="0" w:space="0" w:color="auto"/>
        <w:left w:val="none" w:sz="0" w:space="0" w:color="auto"/>
        <w:bottom w:val="none" w:sz="0" w:space="0" w:color="auto"/>
        <w:right w:val="none" w:sz="0" w:space="0" w:color="auto"/>
      </w:divBdr>
    </w:div>
    <w:div w:id="1716276687">
      <w:bodyDiv w:val="1"/>
      <w:marLeft w:val="0"/>
      <w:marRight w:val="0"/>
      <w:marTop w:val="0"/>
      <w:marBottom w:val="0"/>
      <w:divBdr>
        <w:top w:val="none" w:sz="0" w:space="0" w:color="auto"/>
        <w:left w:val="none" w:sz="0" w:space="0" w:color="auto"/>
        <w:bottom w:val="none" w:sz="0" w:space="0" w:color="auto"/>
        <w:right w:val="none" w:sz="0" w:space="0" w:color="auto"/>
      </w:divBdr>
    </w:div>
    <w:div w:id="1720662339">
      <w:bodyDiv w:val="1"/>
      <w:marLeft w:val="0"/>
      <w:marRight w:val="0"/>
      <w:marTop w:val="0"/>
      <w:marBottom w:val="0"/>
      <w:divBdr>
        <w:top w:val="none" w:sz="0" w:space="0" w:color="auto"/>
        <w:left w:val="none" w:sz="0" w:space="0" w:color="auto"/>
        <w:bottom w:val="none" w:sz="0" w:space="0" w:color="auto"/>
        <w:right w:val="none" w:sz="0" w:space="0" w:color="auto"/>
      </w:divBdr>
    </w:div>
    <w:div w:id="1755473893">
      <w:bodyDiv w:val="1"/>
      <w:marLeft w:val="0"/>
      <w:marRight w:val="0"/>
      <w:marTop w:val="0"/>
      <w:marBottom w:val="0"/>
      <w:divBdr>
        <w:top w:val="none" w:sz="0" w:space="0" w:color="auto"/>
        <w:left w:val="none" w:sz="0" w:space="0" w:color="auto"/>
        <w:bottom w:val="none" w:sz="0" w:space="0" w:color="auto"/>
        <w:right w:val="none" w:sz="0" w:space="0" w:color="auto"/>
      </w:divBdr>
    </w:div>
    <w:div w:id="1771268158">
      <w:bodyDiv w:val="1"/>
      <w:marLeft w:val="0"/>
      <w:marRight w:val="0"/>
      <w:marTop w:val="0"/>
      <w:marBottom w:val="0"/>
      <w:divBdr>
        <w:top w:val="none" w:sz="0" w:space="0" w:color="auto"/>
        <w:left w:val="none" w:sz="0" w:space="0" w:color="auto"/>
        <w:bottom w:val="none" w:sz="0" w:space="0" w:color="auto"/>
        <w:right w:val="none" w:sz="0" w:space="0" w:color="auto"/>
      </w:divBdr>
    </w:div>
    <w:div w:id="1797289847">
      <w:bodyDiv w:val="1"/>
      <w:marLeft w:val="0"/>
      <w:marRight w:val="0"/>
      <w:marTop w:val="0"/>
      <w:marBottom w:val="0"/>
      <w:divBdr>
        <w:top w:val="none" w:sz="0" w:space="0" w:color="auto"/>
        <w:left w:val="none" w:sz="0" w:space="0" w:color="auto"/>
        <w:bottom w:val="none" w:sz="0" w:space="0" w:color="auto"/>
        <w:right w:val="none" w:sz="0" w:space="0" w:color="auto"/>
      </w:divBdr>
    </w:div>
    <w:div w:id="1920477896">
      <w:bodyDiv w:val="1"/>
      <w:marLeft w:val="0"/>
      <w:marRight w:val="0"/>
      <w:marTop w:val="0"/>
      <w:marBottom w:val="0"/>
      <w:divBdr>
        <w:top w:val="none" w:sz="0" w:space="0" w:color="auto"/>
        <w:left w:val="none" w:sz="0" w:space="0" w:color="auto"/>
        <w:bottom w:val="none" w:sz="0" w:space="0" w:color="auto"/>
        <w:right w:val="none" w:sz="0" w:space="0" w:color="auto"/>
      </w:divBdr>
      <w:divsChild>
        <w:div w:id="713235521">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923686021">
      <w:bodyDiv w:val="1"/>
      <w:marLeft w:val="0"/>
      <w:marRight w:val="0"/>
      <w:marTop w:val="0"/>
      <w:marBottom w:val="0"/>
      <w:divBdr>
        <w:top w:val="none" w:sz="0" w:space="0" w:color="auto"/>
        <w:left w:val="none" w:sz="0" w:space="0" w:color="auto"/>
        <w:bottom w:val="none" w:sz="0" w:space="0" w:color="auto"/>
        <w:right w:val="none" w:sz="0" w:space="0" w:color="auto"/>
      </w:divBdr>
    </w:div>
    <w:div w:id="1931426695">
      <w:bodyDiv w:val="1"/>
      <w:marLeft w:val="0"/>
      <w:marRight w:val="0"/>
      <w:marTop w:val="0"/>
      <w:marBottom w:val="0"/>
      <w:divBdr>
        <w:top w:val="none" w:sz="0" w:space="0" w:color="auto"/>
        <w:left w:val="none" w:sz="0" w:space="0" w:color="auto"/>
        <w:bottom w:val="none" w:sz="0" w:space="0" w:color="auto"/>
        <w:right w:val="none" w:sz="0" w:space="0" w:color="auto"/>
      </w:divBdr>
    </w:div>
    <w:div w:id="1931621970">
      <w:bodyDiv w:val="1"/>
      <w:marLeft w:val="0"/>
      <w:marRight w:val="0"/>
      <w:marTop w:val="0"/>
      <w:marBottom w:val="0"/>
      <w:divBdr>
        <w:top w:val="none" w:sz="0" w:space="0" w:color="auto"/>
        <w:left w:val="none" w:sz="0" w:space="0" w:color="auto"/>
        <w:bottom w:val="none" w:sz="0" w:space="0" w:color="auto"/>
        <w:right w:val="none" w:sz="0" w:space="0" w:color="auto"/>
      </w:divBdr>
    </w:div>
    <w:div w:id="1943224596">
      <w:bodyDiv w:val="1"/>
      <w:marLeft w:val="0"/>
      <w:marRight w:val="0"/>
      <w:marTop w:val="0"/>
      <w:marBottom w:val="0"/>
      <w:divBdr>
        <w:top w:val="none" w:sz="0" w:space="0" w:color="auto"/>
        <w:left w:val="none" w:sz="0" w:space="0" w:color="auto"/>
        <w:bottom w:val="none" w:sz="0" w:space="0" w:color="auto"/>
        <w:right w:val="none" w:sz="0" w:space="0" w:color="auto"/>
      </w:divBdr>
    </w:div>
    <w:div w:id="1957133494">
      <w:bodyDiv w:val="1"/>
      <w:marLeft w:val="0"/>
      <w:marRight w:val="0"/>
      <w:marTop w:val="0"/>
      <w:marBottom w:val="0"/>
      <w:divBdr>
        <w:top w:val="none" w:sz="0" w:space="0" w:color="auto"/>
        <w:left w:val="none" w:sz="0" w:space="0" w:color="auto"/>
        <w:bottom w:val="none" w:sz="0" w:space="0" w:color="auto"/>
        <w:right w:val="none" w:sz="0" w:space="0" w:color="auto"/>
      </w:divBdr>
    </w:div>
    <w:div w:id="1979415201">
      <w:bodyDiv w:val="1"/>
      <w:marLeft w:val="0"/>
      <w:marRight w:val="0"/>
      <w:marTop w:val="0"/>
      <w:marBottom w:val="0"/>
      <w:divBdr>
        <w:top w:val="none" w:sz="0" w:space="0" w:color="auto"/>
        <w:left w:val="none" w:sz="0" w:space="0" w:color="auto"/>
        <w:bottom w:val="none" w:sz="0" w:space="0" w:color="auto"/>
        <w:right w:val="none" w:sz="0" w:space="0" w:color="auto"/>
      </w:divBdr>
    </w:div>
    <w:div w:id="2010593733">
      <w:bodyDiv w:val="1"/>
      <w:marLeft w:val="0"/>
      <w:marRight w:val="0"/>
      <w:marTop w:val="0"/>
      <w:marBottom w:val="0"/>
      <w:divBdr>
        <w:top w:val="none" w:sz="0" w:space="0" w:color="auto"/>
        <w:left w:val="none" w:sz="0" w:space="0" w:color="auto"/>
        <w:bottom w:val="none" w:sz="0" w:space="0" w:color="auto"/>
        <w:right w:val="none" w:sz="0" w:space="0" w:color="auto"/>
      </w:divBdr>
    </w:div>
    <w:div w:id="206879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Dia241</b:Tag>
    <b:SourceType>InternetSite</b:SourceType>
    <b:Guid>{BEB07F9D-6E4C-4814-AA9A-6C0867AB242E}</b:Guid>
    <b:Author>
      <b:Author>
        <b:Corporate>Diabetes UK</b:Corporate>
      </b:Author>
    </b:Author>
    <b:Title>How many people in the UK have diabetes?</b:Title>
    <b:Year>2024</b:Year>
    <b:YearAccessed>2025</b:YearAccessed>
    <b:MonthAccessed>July</b:MonthAccessed>
    <b:DayAccessed>22</b:DayAccessed>
    <b:URL>https://www.diabetes.org.uk/about-us/about-the-charity/our-strategy/statistics</b:URL>
    <b:RefOrder>7</b:RefOrder>
  </b:Source>
  <b:Source>
    <b:Tag>Wij21</b:Tag>
    <b:SourceType>JournalArticle</b:SourceType>
    <b:Guid>{D3E328F6-C20B-4D8C-B240-143879921FD1}</b:Guid>
    <b:Author>
      <b:Author>
        <b:NameList>
          <b:Person>
            <b:Last>Wijayaratna</b:Last>
            <b:First>S.</b:First>
          </b:Person>
          <b:Person>
            <b:Last>Lee</b:Last>
            <b:First>A.</b:First>
          </b:Person>
          <b:Person>
            <b:Last>Park</b:Last>
            <b:First>H.Y.</b:First>
          </b:Person>
          <b:Person>
            <b:Last>Jo</b:Last>
            <b:First>E.</b:First>
          </b:Person>
          <b:Person>
            <b:Last>Wu</b:Last>
            <b:First>F.</b:First>
          </b:Person>
          <b:Person>
            <b:Last>Bagg</b:Last>
            <b:First>W.</b:First>
          </b:Person>
          <b:Person>
            <b:Last>Cundy</b:Last>
            <b:First>T.</b:First>
          </b:Person>
        </b:NameList>
      </b:Author>
    </b:Author>
    <b:Title>Socioeconomic status and risk factors for complications in young people with type 1 or type 2 diabetes: a cross-sectional study</b:Title>
    <b:Year>2021</b:Year>
    <b:JournalName>BMJ Open Diabetes Research &amp; Care</b:JournalName>
    <b:Volume>9</b:Volume>
    <b:Issue>2</b:Issue>
    <b:RefOrder>8</b:RefOrder>
  </b:Source>
  <b:Source>
    <b:Tag>Gha241</b:Tag>
    <b:SourceType>JournalArticle</b:SourceType>
    <b:Guid>{1CA27E4A-69F6-46D6-BDD5-58A21FDE3A25}</b:Guid>
    <b:Author>
      <b:Author>
        <b:NameList>
          <b:Person>
            <b:Last>Gharacheh</b:Last>
            <b:First>L.</b:First>
          </b:Person>
          <b:Person>
            <b:Last>Amini-Rarani</b:Last>
            <b:First>M.</b:First>
          </b:Person>
          <b:Person>
            <b:Last>Torabipour</b:Last>
            <b:First>A.</b:First>
          </b:Person>
          <b:Person>
            <b:Last>Karimi</b:Last>
            <b:First>S.</b:First>
          </b:Person>
        </b:NameList>
      </b:Author>
    </b:Author>
    <b:Title>A scoping review of possible solutions for decreasing socioeconomic inequalities in Type 2 diabetes mellitus</b:Title>
    <b:JournalName>International Journal of Preventive Medicine</b:JournalName>
    <b:Year>2024</b:Year>
    <b:Pages>5</b:Pages>
    <b:Volume>15</b:Volume>
    <b:RefOrder>9</b:RefOrder>
  </b:Source>
  <b:Source>
    <b:Tag>Cle244</b:Tag>
    <b:SourceType>InternetSite</b:SourceType>
    <b:Guid>{335A32C3-86D2-4621-8783-76C5A5943EC2}</b:Guid>
    <b:Author>
      <b:Author>
        <b:Corporate>Cleveland Clinic</b:Corporate>
      </b:Author>
    </b:Author>
    <b:Title>Type 2 Diabetes</b:Title>
    <b:Year>2024</b:Year>
    <b:YearAccessed>2025</b:YearAccessed>
    <b:MonthAccessed>July</b:MonthAccessed>
    <b:DayAccessed>22</b:DayAccessed>
    <b:URL>https://my.clevelandclinic.org/health/diseases/21501-type-2-diabetes</b:URL>
    <b:RefOrder>1</b:RefOrder>
  </b:Source>
  <b:Source>
    <b:Tag>WHO252</b:Tag>
    <b:SourceType>InternetSite</b:SourceType>
    <b:Guid>{B8C131C5-EE18-495F-BE63-71FB01A453DB}</b:Guid>
    <b:Author>
      <b:Author>
        <b:Corporate>WHO</b:Corporate>
      </b:Author>
    </b:Author>
    <b:Title>Obesity</b:Title>
    <b:Year>2025</b:Year>
    <b:YearAccessed>2025</b:YearAccessed>
    <b:MonthAccessed>July</b:MonthAccessed>
    <b:DayAccessed>22</b:DayAccessed>
    <b:URL>https://www.who.int/health-topics/obesity#tab=tab_1</b:URL>
    <b:RefOrder>2</b:RefOrder>
  </b:Source>
  <b:Source>
    <b:Tag>Beu22</b:Tag>
    <b:SourceType>JournalArticle</b:SourceType>
    <b:Guid>{9042D6B9-EA46-4B79-B97C-9E34204FFBA4}</b:Guid>
    <b:Author>
      <b:Author>
        <b:NameList>
          <b:Person>
            <b:Last>Beulens</b:Last>
            <b:First>J.W.</b:First>
          </b:Person>
          <b:Person>
            <b:Last>Pinho</b:Last>
            <b:First>M.G.</b:First>
          </b:Person>
          <b:Person>
            <b:Last>Abreu</b:Last>
            <b:First>T.C.</b:First>
          </b:Person>
          <b:Person>
            <b:Last>den Braver</b:Last>
            <b:First>N.R.</b:First>
          </b:Person>
          <b:Person>
            <b:Last>Lam</b:Last>
            <b:First>T.M.</b:First>
          </b:Person>
          <b:Person>
            <b:Last>Huss</b:Last>
            <b:First>A.</b:First>
          </b:Person>
          <b:Person>
            <b:Last>Vlaanderen</b:Last>
            <b:First>J.</b:First>
          </b:Person>
          <b:Person>
            <b:Last>Sonnenschein</b:Last>
            <b:First>T.</b:First>
          </b:Person>
          <b:Person>
            <b:Last>Siddiqui</b:Last>
            <b:First>N.Z.</b:First>
          </b:Person>
          <b:Person>
            <b:Last>Yuan</b:Last>
            <b:First>Z.</b:First>
            <b:Middle>Kerckhoffs, J.</b:Middle>
          </b:Person>
        </b:NameList>
      </b:Author>
    </b:Author>
    <b:Title>Environmental risk factors of type 2 diabetes—an exposome approach</b:Title>
    <b:Year>2022</b:Year>
    <b:JournalName>Diabetologia</b:JournalName>
    <b:Pages>263-274</b:Pages>
    <b:Volume>65</b:Volume>
    <b:Issue>2</b:Issue>
    <b:RefOrder>3</b:RefOrder>
  </b:Source>
  <b:Source>
    <b:Tag>Dia251</b:Tag>
    <b:SourceType>InternetSite</b:SourceType>
    <b:Guid>{E5869655-FDC5-460C-88D1-D2546607B203}</b:Guid>
    <b:Title>Ethnicity and type 2 diabetes</b:Title>
    <b:Year>2025</b:Year>
    <b:Author>
      <b:Author>
        <b:Corporate>Diabetes UK</b:Corporate>
      </b:Author>
    </b:Author>
    <b:YearAccessed>2025</b:YearAccessed>
    <b:MonthAccessed>July</b:MonthAccessed>
    <b:DayAccessed>22</b:DayAccessed>
    <b:URL>https://www.diabetes.org.uk/about-diabetes/type-2-diabetes/diabetes-ethnicity</b:URL>
    <b:RefOrder>4</b:RefOrder>
  </b:Source>
  <b:Source>
    <b:Tag>NHS2411</b:Tag>
    <b:SourceType>InternetSite</b:SourceType>
    <b:Guid>{13F4069F-9196-4D3C-8AAA-1D7B50DE893A}</b:Guid>
    <b:Author>
      <b:Author>
        <b:Corporate>NHS England</b:Corporate>
      </b:Author>
    </b:Author>
    <b:Title>NHS Diabetes Prevention Programme (NHS DPP)</b:Title>
    <b:Year>2024</b:Year>
    <b:YearAccessed>2025</b:YearAccessed>
    <b:MonthAccessed>July</b:MonthAccessed>
    <b:DayAccessed>22</b:DayAccessed>
    <b:URL>https://www.england.nhs.uk/diabetes/diabetes-prevention/</b:URL>
    <b:RefOrder>5</b:RefOrder>
  </b:Source>
  <b:Source>
    <b:Tag>Jia241</b:Tag>
    <b:SourceType>JournalArticle</b:SourceType>
    <b:Guid>{EE4F8FAD-E0F4-4D05-946F-2D3EDD5CF429}</b:Guid>
    <b:Author>
      <b:Author>
        <b:NameList>
          <b:Person>
            <b:Last>Jiao</b:Last>
            <b:First>L.</b:First>
          </b:Person>
        </b:NameList>
      </b:Author>
    </b:Author>
    <b:Title>Social determinants of health, diet, and health outcome</b:Title>
    <b:Year>2024</b:Year>
    <b:JournalName>Nutrients</b:JournalName>
    <b:Pages>3642</b:Pages>
    <b:Volume>16</b:Volume>
    <b:Issue>21</b:Issue>
    <b:RefOrder>10</b:RefOrder>
  </b:Source>
  <b:Source>
    <b:Tag>Van211</b:Tag>
    <b:SourceType>JournalArticle</b:SourceType>
    <b:Guid>{62F08390-DAF2-4791-8E06-E3F5F4171360}</b:Guid>
    <b:Author>
      <b:Author>
        <b:NameList>
          <b:Person>
            <b:Last>Van Wilder</b:Last>
            <b:First>L.</b:First>
          </b:Person>
          <b:Person>
            <b:Last>Pype</b:Last>
            <b:First>P.</b:First>
          </b:Person>
          <b:Person>
            <b:Last>Mertens</b:Last>
            <b:First>F.</b:First>
          </b:Person>
          <b:Person>
            <b:Last>Rammant</b:Last>
            <b:First>E.</b:First>
          </b:Person>
          <b:Person>
            <b:Last>Clays</b:Last>
            <b:First>E.</b:First>
          </b:Person>
          <b:Person>
            <b:Last>Devleesschauwer</b:Last>
            <b:First>B.</b:First>
          </b:Person>
          <b:Person>
            <b:Last>Boeckxstaens</b:Last>
            <b:First>P.</b:First>
          </b:Person>
          <b:Person>
            <b:Last>De Smedt</b:Last>
            <b:First>D.</b:First>
          </b:Person>
        </b:NameList>
      </b:Author>
    </b:Author>
    <b:Title>Living with a chronic disease: insights from patients with a low socioeconomic status</b:Title>
    <b:JournalName>BMC family practice</b:JournalName>
    <b:Year>2021</b:Year>
    <b:Pages>233</b:Pages>
    <b:Volume>22</b:Volume>
    <b:Issue>11</b:Issue>
    <b:RefOrder>11</b:RefOrder>
  </b:Source>
  <b:Source>
    <b:Tag>Bel21</b:Tag>
    <b:SourceType>JournalArticle</b:SourceType>
    <b:Guid>{4FEEFE1C-37F5-4AF7-BD7B-AE286E71F9E3}</b:Guid>
    <b:Author>
      <b:Author>
        <b:NameList>
          <b:Person>
            <b:Last>Bellary</b:Last>
            <b:First>S.</b:First>
          </b:Person>
          <b:Person>
            <b:Last>Kyrou</b:Last>
            <b:First>I.</b:First>
          </b:Person>
          <b:Person>
            <b:Last>Brown</b:Last>
            <b:First>J.E.</b:First>
          </b:Person>
          <b:Person>
            <b:Last>Bailey</b:Last>
            <b:First>C.J.</b:First>
          </b:Person>
        </b:NameList>
      </b:Author>
    </b:Author>
    <b:Title>Type 2 diabetes mellitus in older adults: clinical considerations and management</b:Title>
    <b:JournalName> Nature Reviews Endocrinology</b:JournalName>
    <b:Year>2021</b:Year>
    <b:Pages>534-548</b:Pages>
    <b:Volume>17</b:Volume>
    <b:Issue>9</b:Issue>
    <b:RefOrder>12</b:RefOrder>
  </b:Source>
  <b:Source>
    <b:Tag>NHE24</b:Tag>
    <b:SourceType>InternetSite</b:SourceType>
    <b:Guid>{564759E9-E157-4B7C-840C-14D1573BFD60}</b:Guid>
    <b:Title>NHS identifies over half a million more people at risk of type 2 diabetes in a Year</b:Title>
    <b:Year>2024</b:Year>
    <b:Author>
      <b:Author>
        <b:Corporate>NH England</b:Corporate>
      </b:Author>
    </b:Author>
    <b:YearAccessed>2025</b:YearAccessed>
    <b:MonthAccessed>July</b:MonthAccessed>
    <b:DayAccessed>22</b:DayAccessed>
    <b:URL>https://www.england.nhs.uk/2024/06/nhs-identifies-over-half-a-million-more-people-at-risk-of-type-2-diabetes-in-a-year/</b:URL>
    <b:RefOrder>13</b:RefOrder>
  </b:Source>
  <b:Source>
    <b:Tag>Ahm212</b:Tag>
    <b:SourceType>JournalArticle</b:SourceType>
    <b:Guid>{3038EB0B-39C6-40C8-8E5C-774A94A9D45F}</b:Guid>
    <b:Author>
      <b:Author>
        <b:NameList>
          <b:Person>
            <b:Last>Ahmed</b:Last>
            <b:First>K.</b:First>
          </b:Person>
          <b:Person>
            <b:Last>Hashim</b:Last>
            <b:First>S.</b:First>
          </b:Person>
          <b:Person>
            <b:Last>Khankhara</b:Last>
            <b:First>M.</b:First>
          </b:Person>
          <b:Person>
            <b:Last>Said</b:Last>
            <b:First>I.</b:First>
          </b:Person>
          <b:Person>
            <b:Last>Shandakumar</b:Last>
            <b:First>A.T.</b:First>
          </b:Person>
          <b:Person>
            <b:Last>Zaman</b:Last>
            <b:First>S.</b:First>
          </b:Person>
          <b:Person>
            <b:Last>Veiga</b:Last>
            <b:First>A.</b:First>
          </b:Person>
        </b:NameList>
      </b:Author>
    </b:Author>
    <b:Title>What drives general practitioners in the UK to improve the quality of care? A systematic literature review</b:Title>
    <b:Year>2021</b:Year>
    <b:JournalName>BMJ Open Quality</b:JournalName>
    <b:Pages>e001127</b:Pages>
    <b:Volume>10</b:Volume>
    <b:Issue>1</b:Issue>
    <b:RefOrder>14</b:RefOrder>
  </b:Source>
  <b:Source>
    <b:Tag>Lev23</b:Tag>
    <b:SourceType>JournalArticle</b:SourceType>
    <b:Guid>{779F0938-5A5A-4DA3-AEB4-E0EFCD67BAB8}</b:Guid>
    <b:Author>
      <b:Author>
        <b:NameList>
          <b:Person>
            <b:Last>Levi</b:Last>
            <b:First>R.</b:First>
          </b:Person>
          <b:Person>
            <b:Last>Bleich</b:Last>
            <b:First>S.N.</b:First>
          </b:Person>
          <b:Person>
            <b:Last>Seligman</b:Last>
            <b:First>H.K.</b:First>
          </b:Person>
        </b:NameList>
      </b:Author>
    </b:Author>
    <b:Title>Food insecurity and diabetes: overview of intersections and potential dual solutions</b:Title>
    <b:JournalName>Diabetes Care</b:JournalName>
    <b:Year>2023</b:Year>
    <b:Pages>1599-1608</b:Pages>
    <b:Volume>46</b:Volume>
    <b:Issue>9</b:Issue>
    <b:RefOrder>15</b:RefOrder>
  </b:Source>
  <b:Source>
    <b:Tag>Dia232</b:Tag>
    <b:SourceType>InternetSite</b:SourceType>
    <b:Guid>{60FD54B7-7073-4C49-B980-0BBA2BCD8A37}</b:Guid>
    <b:Author>
      <b:Author>
        <b:Corporate>Diabetes UK</b:Corporate>
      </b:Author>
    </b:Author>
    <b:Title>Professors Roy Taylor and Mike Lean awarded 2024 Rank Prize for Nutrition</b:Title>
    <b:Year>2023</b:Year>
    <b:YearAccessed>2025</b:YearAccessed>
    <b:MonthAccessed>July</b:MonthAccessed>
    <b:DayAccessed>2023</b:DayAccessed>
    <b:URL>https://www.diabetes.org.uk/about-us/news-and-views/professors-awarded-2024-rank-prize-nutrition</b:URL>
    <b:RefOrder>16</b:RefOrder>
  </b:Source>
  <b:Source>
    <b:Tag>ENG20</b:Tag>
    <b:SourceType>Report</b:SourceType>
    <b:Guid>{A9E3B30B-E93B-4BF9-8262-80F92CECABCE}</b:Guid>
    <b:Author>
      <b:Author>
        <b:Corporate>Health org </b:Corporate>
      </b:Author>
    </b:Author>
    <b:Title>HEALTH EQUITY IN ENGLAND</b:Title>
    <b:Year>2020</b:Year>
    <b:Publisher>Health org</b:Publisher>
    <b:RefOrder>17</b:RefOrder>
  </b:Source>
  <b:Source>
    <b:Tag>Gup192</b:Tag>
    <b:SourceType>JournalArticle</b:SourceType>
    <b:Guid>{A6DE7E0D-D1D4-4C23-B214-940A1FF5688F}</b:Guid>
    <b:Author>
      <b:Author>
        <b:NameList>
          <b:Person>
            <b:Last>Gupta</b:Last>
            <b:First>S.</b:First>
          </b:Person>
          <b:Person>
            <b:Last>Hawk</b:Last>
            <b:First>T.</b:First>
          </b:Person>
          <b:Person>
            <b:Last>Aggarwal</b:Last>
            <b:First>A.</b:First>
          </b:Person>
          <b:Person>
            <b:Last>Drewnowski</b:Last>
            <b:First>A.</b:First>
          </b:Person>
        </b:NameList>
      </b:Author>
    </b:Author>
    <b:Title>Characterizing ultra-processed foods by energy density, nutrient density, and cost</b:Title>
    <b:Year>2019</b:Year>
    <b:JournalName>Frontiers in nutrition</b:JournalName>
    <b:Pages>70</b:Pages>
    <b:Volume>6</b:Volume>
    <b:RefOrder>18</b:RefOrder>
  </b:Source>
  <b:Source>
    <b:Tag>Anu20</b:Tag>
    <b:SourceType>JournalArticle</b:SourceType>
    <b:Guid>{F6102D5D-77A7-468A-8375-8E834D918ECC}</b:Guid>
    <b:Author>
      <b:Author>
        <b:NameList>
          <b:Person>
            <b:Last>Anuar</b:Last>
            <b:First>H.</b:First>
          </b:Person>
          <b:Person>
            <b:Last>Shah</b:Last>
            <b:First>S.A.</b:First>
          </b:Person>
          <b:Person>
            <b:Last>Gafor</b:Last>
            <b:First>H.</b:First>
          </b:Person>
          <b:Person>
            <b:Last>Mahmood</b:Last>
            <b:First>M.I.</b:First>
          </b:Person>
          <b:Person>
            <b:Last>Ghazi</b:Last>
            <b:First>H.F.</b:First>
          </b:Person>
        </b:NameList>
      </b:Author>
    </b:Author>
    <b:Title>Usage of Health Belief Model (HBM) in health behavior: A systematic review</b:Title>
    <b:JournalName>Malaysian Journal of Medicine and Health Sciences</b:JournalName>
    <b:Year>2020</b:Year>
    <b:Pages>2636-9346</b:Pages>
    <b:Volume>16</b:Volume>
    <b:Issue>11</b:Issue>
    <b:RefOrder>6</b:RefOrder>
  </b:Source>
  <b:Source>
    <b:Tag>Bat25</b:Tag>
    <b:SourceType>JournalArticle</b:SourceType>
    <b:Guid>{6DE82E23-E126-4E68-B1AF-4CC1370F085F}</b:Guid>
    <b:Author>
      <b:Author>
        <b:NameList>
          <b:Person>
            <b:Last>Batalha</b:Last>
            <b:First>A.P.D.B.</b:First>
          </b:Person>
          <b:Person>
            <b:Last>Marcal</b:Last>
            <b:First>I.R.</b:First>
          </b:Person>
          <b:Person>
            <b:Last>Main</b:Last>
            <b:First>E.</b:First>
          </b:Person>
          <b:Person>
            <b:Last>Ghisi</b:Last>
            <b:First>G.L.D.M.</b:First>
          </b:Person>
        </b:NameList>
      </b:Author>
    </b:Author>
    <b:Title>Barriers to physical activity in women from ethnic minority groups: a systematic review</b:Title>
    <b:JournalName>BMC Women's Health</b:JournalName>
    <b:Year>2025</b:Year>
    <b:Pages>330</b:Pages>
    <b:Volume>25</b:Volume>
    <b:Issue>1</b:Issue>
    <b:RefOrder>19</b:RefOrder>
  </b:Source>
  <b:Source>
    <b:Tag>Mat23</b:Tag>
    <b:SourceType>JournalArticle</b:SourceType>
    <b:Guid>{0351E23C-1E0C-48CC-B91A-ECC1D7689577}</b:Guid>
    <b:Author>
      <b:Author>
        <b:NameList>
          <b:Person>
            <b:Last>Mathis</b:Last>
            <b:First>B.J.</b:First>
          </b:Person>
          <b:Person>
            <b:Last>Tanaka</b:Last>
            <b:First>K.</b:First>
          </b:Person>
          <b:Person>
            <b:Last>Hiramatsu</b:Last>
            <b:First>Y.</b:First>
          </b:Person>
        </b:NameList>
      </b:Author>
    </b:Author>
    <b:Title>Obesity vs. metabolically healthy obesity in East Asia</b:Title>
    <b:JournalName>Encyclopedia</b:JournalName>
    <b:Year>2023</b:Year>
    <b:Pages>730-745</b:Pages>
    <b:Volume>3</b:Volume>
    <b:Issue>2</b:Issue>
    <b:RefOrder>20</b:RefOrder>
  </b:Source>
</b:Sources>
</file>

<file path=customXml/itemProps1.xml><?xml version="1.0" encoding="utf-8"?>
<ds:datastoreItem xmlns:ds="http://schemas.openxmlformats.org/officeDocument/2006/customXml" ds:itemID="{A4A39A77-1825-41A6-8E29-0B267ADEE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3809</Words>
  <Characters>21712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Ahmad (2233030)</dc:creator>
  <cp:keywords/>
  <dc:description/>
  <cp:lastModifiedBy>Mohammad Ahmad (2233030)</cp:lastModifiedBy>
  <cp:revision>17</cp:revision>
  <dcterms:created xsi:type="dcterms:W3CDTF">2025-07-29T23:46:00Z</dcterms:created>
  <dcterms:modified xsi:type="dcterms:W3CDTF">2025-07-30T00:18:00Z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fc7495ac-d10b-4e21-b525-70e33b0e45bb</vt:lpwstr>
  </property>
</Properties>
</file>