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BCEB1B" w14:textId="77777777" w:rsidR="00006CB0" w:rsidRDefault="00006CB0"/>
    <w:p w14:paraId="60B257B1" w14:textId="12B5B431" w:rsidR="0044085E" w:rsidRPr="00A85BFE" w:rsidRDefault="0044085E" w:rsidP="0044085E">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773B7888" wp14:editId="3F8BDE0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p>
    <w:p w14:paraId="34DB0E9F" w14:textId="77777777" w:rsidR="0044085E" w:rsidRPr="00A406E5" w:rsidRDefault="0044085E" w:rsidP="0044085E">
      <w:pPr>
        <w:rPr>
          <w:rFonts w:ascii="Arial" w:hAnsi="Arial" w:cs="Arial"/>
        </w:rPr>
      </w:pPr>
    </w:p>
    <w:tbl>
      <w:tblPr>
        <w:tblpPr w:leftFromText="180" w:rightFromText="180" w:vertAnchor="text" w:horzAnchor="margin" w:tblpY="456"/>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D1E68" w:rsidRPr="00A406E5" w14:paraId="42107601" w14:textId="77777777" w:rsidTr="00DD1E68">
        <w:tc>
          <w:tcPr>
            <w:tcW w:w="2093" w:type="dxa"/>
          </w:tcPr>
          <w:p w14:paraId="0540D70D" w14:textId="77777777" w:rsidR="00DD1E68" w:rsidRPr="00A406E5" w:rsidRDefault="00DD1E68" w:rsidP="00DD1E68">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386D19C" w14:textId="77777777" w:rsidR="00DD1E68" w:rsidRPr="00A406E5" w:rsidRDefault="00DD1E68" w:rsidP="00DD1E68">
            <w:pPr>
              <w:spacing w:before="120" w:after="120"/>
              <w:jc w:val="both"/>
              <w:rPr>
                <w:rFonts w:ascii="Arial" w:hAnsi="Arial" w:cs="Arial"/>
                <w:b/>
                <w:sz w:val="22"/>
                <w:szCs w:val="22"/>
              </w:rPr>
            </w:pPr>
            <w:r>
              <w:rPr>
                <w:rFonts w:ascii="Arial" w:hAnsi="Arial" w:cs="Arial"/>
                <w:b/>
                <w:sz w:val="22"/>
                <w:szCs w:val="22"/>
              </w:rPr>
              <w:t>Kwasi Asiedu</w:t>
            </w:r>
          </w:p>
        </w:tc>
        <w:tc>
          <w:tcPr>
            <w:tcW w:w="2268" w:type="dxa"/>
            <w:shd w:val="clear" w:color="auto" w:fill="D9D9D9" w:themeFill="background1" w:themeFillShade="D9"/>
          </w:tcPr>
          <w:p w14:paraId="062416E1" w14:textId="77777777" w:rsidR="00DD1E68" w:rsidRPr="00A406E5" w:rsidRDefault="00DD1E68" w:rsidP="00DD1E68">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318E7AF9" w14:textId="77777777" w:rsidR="00DD1E68" w:rsidRPr="00A406E5" w:rsidRDefault="00DD1E68" w:rsidP="00DD1E68">
            <w:pPr>
              <w:spacing w:before="120" w:after="120"/>
              <w:jc w:val="both"/>
              <w:rPr>
                <w:rFonts w:ascii="Arial" w:hAnsi="Arial" w:cs="Arial"/>
                <w:b/>
                <w:sz w:val="22"/>
                <w:szCs w:val="22"/>
              </w:rPr>
            </w:pPr>
          </w:p>
        </w:tc>
      </w:tr>
      <w:tr w:rsidR="00DD1E68" w:rsidRPr="00A406E5" w14:paraId="6F34B80D" w14:textId="77777777" w:rsidTr="00DD1E68">
        <w:tc>
          <w:tcPr>
            <w:tcW w:w="2093" w:type="dxa"/>
          </w:tcPr>
          <w:p w14:paraId="0C8BCC26" w14:textId="77777777" w:rsidR="00DD1E68" w:rsidRPr="00A406E5" w:rsidRDefault="00DD1E68" w:rsidP="00DD1E68">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2381BA" w14:textId="77777777" w:rsidR="00DD1E68" w:rsidRPr="00A406E5" w:rsidRDefault="00DD1E68" w:rsidP="00DD1E68">
            <w:pPr>
              <w:spacing w:before="120" w:after="120"/>
              <w:jc w:val="both"/>
              <w:rPr>
                <w:rFonts w:ascii="Arial" w:eastAsia="Arial" w:hAnsi="Arial" w:cs="Arial"/>
                <w:b/>
                <w:bCs/>
                <w:sz w:val="22"/>
                <w:szCs w:val="22"/>
              </w:rPr>
            </w:pPr>
            <w:r>
              <w:rPr>
                <w:rFonts w:ascii="Arial" w:eastAsia="Arial" w:hAnsi="Arial" w:cs="Arial"/>
                <w:b/>
                <w:bCs/>
                <w:sz w:val="22"/>
                <w:szCs w:val="22"/>
              </w:rPr>
              <w:t xml:space="preserve">Certificate of Higher Education Skills for the Workplace </w:t>
            </w:r>
            <w:r>
              <w:rPr>
                <w:rFonts w:ascii="Arial" w:eastAsia="Arial" w:hAnsi="Arial" w:cs="Arial"/>
                <w:b/>
                <w:bCs/>
                <w:sz w:val="22"/>
                <w:szCs w:val="22"/>
              </w:rPr>
              <w:br/>
              <w:t>(Health and Social Care)</w:t>
            </w:r>
          </w:p>
        </w:tc>
      </w:tr>
      <w:tr w:rsidR="00DD1E68" w:rsidRPr="00A406E5" w14:paraId="451CBE90" w14:textId="77777777" w:rsidTr="00DD1E68">
        <w:tc>
          <w:tcPr>
            <w:tcW w:w="2093" w:type="dxa"/>
          </w:tcPr>
          <w:p w14:paraId="5485B1C0" w14:textId="77777777" w:rsidR="00DD1E68" w:rsidRPr="00A406E5" w:rsidRDefault="00DD1E68" w:rsidP="00DD1E6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2800E34D" w14:textId="77777777" w:rsidR="00DD1E68" w:rsidRPr="00A406E5" w:rsidRDefault="00DD1E68" w:rsidP="00DD1E68">
            <w:pPr>
              <w:spacing w:before="120" w:after="120"/>
              <w:jc w:val="both"/>
              <w:rPr>
                <w:rFonts w:ascii="Arial" w:eastAsia="Arial" w:hAnsi="Arial" w:cs="Arial"/>
                <w:b/>
                <w:bCs/>
                <w:color w:val="000000" w:themeColor="text1"/>
                <w:sz w:val="22"/>
                <w:szCs w:val="22"/>
              </w:rPr>
            </w:pPr>
            <w:r>
              <w:rPr>
                <w:rFonts w:ascii="Arial" w:eastAsia="Arial" w:hAnsi="Arial" w:cs="Arial"/>
                <w:b/>
                <w:bCs/>
                <w:color w:val="000000" w:themeColor="text1"/>
                <w:sz w:val="22"/>
                <w:szCs w:val="22"/>
              </w:rPr>
              <w:t>Psychology in Health and Social Care</w:t>
            </w:r>
          </w:p>
        </w:tc>
      </w:tr>
      <w:tr w:rsidR="00DD1E68" w:rsidRPr="00A406E5" w14:paraId="748ABFD6" w14:textId="77777777" w:rsidTr="00DD1E68">
        <w:tc>
          <w:tcPr>
            <w:tcW w:w="2093" w:type="dxa"/>
          </w:tcPr>
          <w:p w14:paraId="7AC77FFD" w14:textId="77777777" w:rsidR="00DD1E68" w:rsidRPr="00A406E5" w:rsidRDefault="00DD1E68" w:rsidP="00DD1E6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285F968" w14:textId="77777777" w:rsidR="00DD1E68" w:rsidRPr="00A406E5" w:rsidRDefault="00DD1E68" w:rsidP="00DD1E68">
            <w:pPr>
              <w:spacing w:before="120" w:after="120"/>
              <w:jc w:val="both"/>
              <w:rPr>
                <w:rFonts w:ascii="Arial" w:eastAsia="Arial" w:hAnsi="Arial" w:cs="Arial"/>
                <w:b/>
                <w:bCs/>
                <w:sz w:val="22"/>
                <w:szCs w:val="22"/>
              </w:rPr>
            </w:pPr>
            <w:r>
              <w:rPr>
                <w:rFonts w:ascii="Arial" w:eastAsia="Arial" w:hAnsi="Arial" w:cs="Arial"/>
                <w:b/>
                <w:bCs/>
                <w:sz w:val="22"/>
                <w:szCs w:val="22"/>
              </w:rPr>
              <w:t>LCHS4010</w:t>
            </w:r>
          </w:p>
        </w:tc>
        <w:tc>
          <w:tcPr>
            <w:tcW w:w="2268" w:type="dxa"/>
            <w:shd w:val="clear" w:color="auto" w:fill="D9D9D9" w:themeFill="background1" w:themeFillShade="D9"/>
          </w:tcPr>
          <w:p w14:paraId="78BDE537" w14:textId="77777777" w:rsidR="00DD1E68" w:rsidRPr="00DD1E68" w:rsidRDefault="00DD1E68" w:rsidP="00DD1E68">
            <w:pPr>
              <w:rPr>
                <w:b/>
                <w:bCs/>
              </w:rPr>
            </w:pPr>
            <w:r w:rsidRPr="00DD1E68">
              <w:rPr>
                <w:b/>
                <w:bCs/>
              </w:rPr>
              <w:t>Contribution to Overall Module Assessment (%):</w:t>
            </w:r>
          </w:p>
        </w:tc>
        <w:tc>
          <w:tcPr>
            <w:tcW w:w="2268" w:type="dxa"/>
          </w:tcPr>
          <w:p w14:paraId="280F7867" w14:textId="77777777" w:rsidR="00DD1E68" w:rsidRPr="00A406E5" w:rsidRDefault="00DD1E68" w:rsidP="00DD1E68">
            <w:pPr>
              <w:spacing w:before="120" w:after="120"/>
              <w:jc w:val="both"/>
              <w:rPr>
                <w:rFonts w:ascii="Arial" w:eastAsia="Arial" w:hAnsi="Arial" w:cs="Arial"/>
                <w:sz w:val="22"/>
                <w:szCs w:val="22"/>
              </w:rPr>
            </w:pPr>
            <w:r w:rsidRPr="788F5422">
              <w:rPr>
                <w:rFonts w:ascii="Arial" w:eastAsia="Arial" w:hAnsi="Arial" w:cs="Arial"/>
                <w:color w:val="000000" w:themeColor="text1"/>
                <w:sz w:val="22"/>
                <w:szCs w:val="22"/>
              </w:rPr>
              <w:t>50%</w:t>
            </w:r>
          </w:p>
        </w:tc>
      </w:tr>
      <w:tr w:rsidR="00DD1E68" w:rsidRPr="00A406E5" w14:paraId="7A0E66D5" w14:textId="77777777" w:rsidTr="00DD1E68">
        <w:tc>
          <w:tcPr>
            <w:tcW w:w="2093" w:type="dxa"/>
          </w:tcPr>
          <w:p w14:paraId="09EE6C55" w14:textId="77777777" w:rsidR="00DD1E68" w:rsidRPr="00A406E5" w:rsidRDefault="00DD1E68" w:rsidP="00DD1E68">
            <w:pPr>
              <w:spacing w:before="120" w:after="120"/>
              <w:jc w:val="both"/>
              <w:rPr>
                <w:rFonts w:ascii="Arial" w:hAnsi="Arial" w:cs="Arial"/>
                <w:b/>
                <w:bCs/>
                <w:sz w:val="22"/>
                <w:szCs w:val="22"/>
              </w:rPr>
            </w:pPr>
            <w:r w:rsidRPr="30821BFF">
              <w:rPr>
                <w:rFonts w:ascii="Arial" w:eastAsia="Arial" w:hAnsi="Arial" w:cs="Arial"/>
                <w:b/>
                <w:bCs/>
                <w:color w:val="000000" w:themeColor="text1"/>
                <w:sz w:val="22"/>
                <w:szCs w:val="22"/>
              </w:rPr>
              <w:t>Module Leads</w:t>
            </w:r>
            <w:r w:rsidRPr="30821BFF">
              <w:rPr>
                <w:rFonts w:ascii="Arial" w:hAnsi="Arial" w:cs="Arial"/>
                <w:b/>
                <w:bCs/>
                <w:sz w:val="22"/>
                <w:szCs w:val="22"/>
              </w:rPr>
              <w:t>:</w:t>
            </w:r>
          </w:p>
        </w:tc>
        <w:tc>
          <w:tcPr>
            <w:tcW w:w="3293" w:type="dxa"/>
          </w:tcPr>
          <w:p w14:paraId="1ABEA876" w14:textId="77777777" w:rsidR="00DD1E68" w:rsidRPr="00A406E5" w:rsidRDefault="00DD1E68" w:rsidP="00DD1E68">
            <w:pPr>
              <w:spacing w:before="120" w:after="120"/>
              <w:rPr>
                <w:rFonts w:ascii="Arial" w:eastAsia="Arial" w:hAnsi="Arial" w:cs="Arial"/>
                <w:color w:val="000000" w:themeColor="text1"/>
                <w:sz w:val="22"/>
                <w:szCs w:val="22"/>
              </w:rPr>
            </w:pPr>
            <w:r>
              <w:rPr>
                <w:rFonts w:ascii="Arial" w:eastAsia="Arial" w:hAnsi="Arial" w:cs="Arial"/>
                <w:color w:val="000000" w:themeColor="text1"/>
                <w:sz w:val="22"/>
                <w:szCs w:val="22"/>
              </w:rPr>
              <w:t>Neale Haddon</w:t>
            </w:r>
          </w:p>
        </w:tc>
        <w:tc>
          <w:tcPr>
            <w:tcW w:w="2268" w:type="dxa"/>
            <w:shd w:val="clear" w:color="auto" w:fill="D9D9D9" w:themeFill="background1" w:themeFillShade="D9"/>
          </w:tcPr>
          <w:p w14:paraId="1F517775" w14:textId="77777777" w:rsidR="00DD1E68" w:rsidRPr="00A406E5" w:rsidRDefault="00DD1E68" w:rsidP="00DD1E68">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3608D03" w14:textId="77777777" w:rsidR="00DD1E68" w:rsidRPr="00A406E5" w:rsidRDefault="00DD1E68" w:rsidP="00DD1E68">
            <w:pPr>
              <w:spacing w:before="120" w:after="120"/>
              <w:rPr>
                <w:rFonts w:ascii="Arial" w:eastAsia="Arial" w:hAnsi="Arial" w:cs="Arial"/>
                <w:color w:val="000000" w:themeColor="text1"/>
                <w:sz w:val="22"/>
                <w:szCs w:val="22"/>
              </w:rPr>
            </w:pPr>
            <w:r>
              <w:rPr>
                <w:rFonts w:ascii="Arial" w:eastAsia="Arial" w:hAnsi="Arial" w:cs="Arial"/>
                <w:color w:val="000000" w:themeColor="text1"/>
                <w:sz w:val="22"/>
                <w:szCs w:val="22"/>
              </w:rPr>
              <w:t>Besty Jose</w:t>
            </w:r>
            <w:r w:rsidRPr="004D5BEC">
              <w:rPr>
                <w:rFonts w:ascii="Arial" w:eastAsia="Arial" w:hAnsi="Arial" w:cs="Arial"/>
                <w:color w:val="000000" w:themeColor="text1"/>
                <w:sz w:val="22"/>
                <w:szCs w:val="22"/>
              </w:rPr>
              <w:t xml:space="preserve"> </w:t>
            </w:r>
          </w:p>
        </w:tc>
      </w:tr>
      <w:tr w:rsidR="00DD1E68" w:rsidRPr="00A406E5" w14:paraId="2272945F" w14:textId="77777777" w:rsidTr="00DD1E68">
        <w:tc>
          <w:tcPr>
            <w:tcW w:w="2093" w:type="dxa"/>
          </w:tcPr>
          <w:p w14:paraId="158BE2CE" w14:textId="77777777" w:rsidR="00DD1E68" w:rsidRPr="00A406E5" w:rsidRDefault="00DD1E68" w:rsidP="00DD1E6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288C231" w14:textId="25FD93AF" w:rsidR="00DD1E68" w:rsidRPr="00A406E5" w:rsidRDefault="00DD1E68" w:rsidP="00DD1E68">
            <w:pPr>
              <w:spacing w:before="120" w:after="120" w:line="259" w:lineRule="auto"/>
              <w:jc w:val="both"/>
              <w:rPr>
                <w:rFonts w:ascii="Arial" w:eastAsia="Arial" w:hAnsi="Arial" w:cs="Arial"/>
                <w:b/>
                <w:bCs/>
                <w:color w:val="000000" w:themeColor="text1"/>
                <w:sz w:val="22"/>
                <w:szCs w:val="22"/>
              </w:rPr>
            </w:pPr>
            <w:r>
              <w:rPr>
                <w:rFonts w:ascii="Arial" w:eastAsia="Arial" w:hAnsi="Arial" w:cs="Arial"/>
                <w:b/>
                <w:bCs/>
                <w:color w:val="000000" w:themeColor="text1"/>
                <w:sz w:val="22"/>
                <w:szCs w:val="22"/>
              </w:rPr>
              <w:t xml:space="preserve">Assessment 2: </w:t>
            </w:r>
            <w:r>
              <w:rPr>
                <w:rFonts w:ascii="Arial" w:eastAsia="Arial" w:hAnsi="Arial" w:cs="Arial"/>
                <w:b/>
                <w:bCs/>
                <w:color w:val="000000" w:themeColor="text1"/>
                <w:sz w:val="22"/>
                <w:szCs w:val="22"/>
              </w:rPr>
              <w:t>Bibliography &amp; Report</w:t>
            </w:r>
            <w:r w:rsidRPr="021FD4AF">
              <w:rPr>
                <w:rFonts w:ascii="Arial" w:eastAsia="Arial" w:hAnsi="Arial" w:cs="Arial"/>
                <w:b/>
                <w:bCs/>
                <w:color w:val="000000" w:themeColor="text1"/>
                <w:sz w:val="22"/>
                <w:szCs w:val="22"/>
              </w:rPr>
              <w:t xml:space="preserve"> </w:t>
            </w:r>
          </w:p>
        </w:tc>
        <w:tc>
          <w:tcPr>
            <w:tcW w:w="2268" w:type="dxa"/>
          </w:tcPr>
          <w:p w14:paraId="438EA4F9" w14:textId="77777777" w:rsidR="00DD1E68" w:rsidRPr="00A406E5" w:rsidRDefault="00DD1E68" w:rsidP="00DD1E6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25BAFC2" w14:textId="77777777" w:rsidR="00DD1E68" w:rsidRPr="00A406E5" w:rsidRDefault="00DD1E68" w:rsidP="00DD1E68">
            <w:pPr>
              <w:spacing w:before="120" w:after="120" w:line="259" w:lineRule="auto"/>
              <w:jc w:val="both"/>
            </w:pPr>
            <w:r>
              <w:t>1500 words</w:t>
            </w:r>
          </w:p>
        </w:tc>
      </w:tr>
    </w:tbl>
    <w:p w14:paraId="7AD5B805" w14:textId="77777777" w:rsidR="0044085E" w:rsidRPr="00A406E5" w:rsidRDefault="0044085E" w:rsidP="0044085E">
      <w:pPr>
        <w:jc w:val="center"/>
        <w:rPr>
          <w:rFonts w:ascii="Arial" w:hAnsi="Arial" w:cs="Arial"/>
          <w:b/>
          <w:i/>
          <w:sz w:val="32"/>
        </w:rPr>
      </w:pPr>
    </w:p>
    <w:p w14:paraId="20E7E324" w14:textId="77777777" w:rsidR="000A3BB9" w:rsidRDefault="000A3BB9"/>
    <w:sdt>
      <w:sdtPr>
        <w:id w:val="-825903932"/>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4A4DDEFE" w14:textId="2DC1D0BB" w:rsidR="00DD1E68" w:rsidRDefault="00DD1E68">
          <w:pPr>
            <w:pStyle w:val="TOCHeading"/>
          </w:pPr>
          <w:r>
            <w:t>Table of Contents</w:t>
          </w:r>
        </w:p>
        <w:p w14:paraId="09EEE058" w14:textId="22C655E5" w:rsidR="00DD1E68" w:rsidRDefault="00DD1E68">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4051000" w:history="1">
            <w:r w:rsidRPr="00D244C6">
              <w:rPr>
                <w:rStyle w:val="Hyperlink"/>
                <w:noProof/>
              </w:rPr>
              <w:t>Source 1: Bowlby’s Attachment Theory</w:t>
            </w:r>
            <w:r>
              <w:rPr>
                <w:noProof/>
                <w:webHidden/>
              </w:rPr>
              <w:tab/>
            </w:r>
            <w:r>
              <w:rPr>
                <w:noProof/>
                <w:webHidden/>
              </w:rPr>
              <w:fldChar w:fldCharType="begin"/>
            </w:r>
            <w:r>
              <w:rPr>
                <w:noProof/>
                <w:webHidden/>
              </w:rPr>
              <w:instrText xml:space="preserve"> PAGEREF _Toc224051000 \h </w:instrText>
            </w:r>
            <w:r>
              <w:rPr>
                <w:noProof/>
                <w:webHidden/>
              </w:rPr>
            </w:r>
            <w:r>
              <w:rPr>
                <w:noProof/>
                <w:webHidden/>
              </w:rPr>
              <w:fldChar w:fldCharType="separate"/>
            </w:r>
            <w:r>
              <w:rPr>
                <w:noProof/>
                <w:webHidden/>
              </w:rPr>
              <w:t>2</w:t>
            </w:r>
            <w:r>
              <w:rPr>
                <w:noProof/>
                <w:webHidden/>
              </w:rPr>
              <w:fldChar w:fldCharType="end"/>
            </w:r>
          </w:hyperlink>
        </w:p>
        <w:p w14:paraId="2C21343C" w14:textId="1C9CF3AA" w:rsidR="00DD1E68" w:rsidRDefault="00DD1E68">
          <w:pPr>
            <w:pStyle w:val="TOC1"/>
            <w:tabs>
              <w:tab w:val="right" w:leader="dot" w:pos="9016"/>
            </w:tabs>
            <w:rPr>
              <w:rFonts w:eastAsiaTheme="minorEastAsia"/>
              <w:b w:val="0"/>
              <w:bCs w:val="0"/>
              <w:i w:val="0"/>
              <w:iCs w:val="0"/>
              <w:noProof/>
              <w:lang w:eastAsia="en-GB"/>
            </w:rPr>
          </w:pPr>
          <w:hyperlink w:anchor="_Toc224051001" w:history="1">
            <w:r w:rsidRPr="00D244C6">
              <w:rPr>
                <w:rStyle w:val="Hyperlink"/>
                <w:noProof/>
              </w:rPr>
              <w:t>Source 2: Attachment in Caregiving Contexts</w:t>
            </w:r>
            <w:r>
              <w:rPr>
                <w:noProof/>
                <w:webHidden/>
              </w:rPr>
              <w:tab/>
            </w:r>
            <w:r>
              <w:rPr>
                <w:noProof/>
                <w:webHidden/>
              </w:rPr>
              <w:fldChar w:fldCharType="begin"/>
            </w:r>
            <w:r>
              <w:rPr>
                <w:noProof/>
                <w:webHidden/>
              </w:rPr>
              <w:instrText xml:space="preserve"> PAGEREF _Toc224051001 \h </w:instrText>
            </w:r>
            <w:r>
              <w:rPr>
                <w:noProof/>
                <w:webHidden/>
              </w:rPr>
            </w:r>
            <w:r>
              <w:rPr>
                <w:noProof/>
                <w:webHidden/>
              </w:rPr>
              <w:fldChar w:fldCharType="separate"/>
            </w:r>
            <w:r>
              <w:rPr>
                <w:noProof/>
                <w:webHidden/>
              </w:rPr>
              <w:t>2</w:t>
            </w:r>
            <w:r>
              <w:rPr>
                <w:noProof/>
                <w:webHidden/>
              </w:rPr>
              <w:fldChar w:fldCharType="end"/>
            </w:r>
          </w:hyperlink>
        </w:p>
        <w:p w14:paraId="10DDB858" w14:textId="48ADF7AA" w:rsidR="00DD1E68" w:rsidRDefault="00DD1E68">
          <w:pPr>
            <w:pStyle w:val="TOC1"/>
            <w:tabs>
              <w:tab w:val="right" w:leader="dot" w:pos="9016"/>
            </w:tabs>
            <w:rPr>
              <w:rFonts w:eastAsiaTheme="minorEastAsia"/>
              <w:b w:val="0"/>
              <w:bCs w:val="0"/>
              <w:i w:val="0"/>
              <w:iCs w:val="0"/>
              <w:noProof/>
              <w:lang w:eastAsia="en-GB"/>
            </w:rPr>
          </w:pPr>
          <w:hyperlink w:anchor="_Toc224051002" w:history="1">
            <w:r w:rsidRPr="00D244C6">
              <w:rPr>
                <w:rStyle w:val="Hyperlink"/>
                <w:noProof/>
              </w:rPr>
              <w:t>Source 3: Positive Psychology and Positivity</w:t>
            </w:r>
            <w:r>
              <w:rPr>
                <w:noProof/>
                <w:webHidden/>
              </w:rPr>
              <w:tab/>
            </w:r>
            <w:r>
              <w:rPr>
                <w:noProof/>
                <w:webHidden/>
              </w:rPr>
              <w:fldChar w:fldCharType="begin"/>
            </w:r>
            <w:r>
              <w:rPr>
                <w:noProof/>
                <w:webHidden/>
              </w:rPr>
              <w:instrText xml:space="preserve"> PAGEREF _Toc224051002 \h </w:instrText>
            </w:r>
            <w:r>
              <w:rPr>
                <w:noProof/>
                <w:webHidden/>
              </w:rPr>
            </w:r>
            <w:r>
              <w:rPr>
                <w:noProof/>
                <w:webHidden/>
              </w:rPr>
              <w:fldChar w:fldCharType="separate"/>
            </w:r>
            <w:r>
              <w:rPr>
                <w:noProof/>
                <w:webHidden/>
              </w:rPr>
              <w:t>3</w:t>
            </w:r>
            <w:r>
              <w:rPr>
                <w:noProof/>
                <w:webHidden/>
              </w:rPr>
              <w:fldChar w:fldCharType="end"/>
            </w:r>
          </w:hyperlink>
        </w:p>
        <w:p w14:paraId="24F5B394" w14:textId="70B5BC5D" w:rsidR="00DD1E68" w:rsidRDefault="00DD1E68">
          <w:pPr>
            <w:pStyle w:val="TOC1"/>
            <w:tabs>
              <w:tab w:val="right" w:leader="dot" w:pos="9016"/>
            </w:tabs>
            <w:rPr>
              <w:rFonts w:eastAsiaTheme="minorEastAsia"/>
              <w:b w:val="0"/>
              <w:bCs w:val="0"/>
              <w:i w:val="0"/>
              <w:iCs w:val="0"/>
              <w:noProof/>
              <w:lang w:eastAsia="en-GB"/>
            </w:rPr>
          </w:pPr>
          <w:hyperlink w:anchor="_Toc224051003" w:history="1">
            <w:r w:rsidRPr="00D244C6">
              <w:rPr>
                <w:rStyle w:val="Hyperlink"/>
                <w:noProof/>
              </w:rPr>
              <w:t>Source 4: Positive Psychology Interventions</w:t>
            </w:r>
            <w:r>
              <w:rPr>
                <w:noProof/>
                <w:webHidden/>
              </w:rPr>
              <w:tab/>
            </w:r>
            <w:r>
              <w:rPr>
                <w:noProof/>
                <w:webHidden/>
              </w:rPr>
              <w:fldChar w:fldCharType="begin"/>
            </w:r>
            <w:r>
              <w:rPr>
                <w:noProof/>
                <w:webHidden/>
              </w:rPr>
              <w:instrText xml:space="preserve"> PAGEREF _Toc224051003 \h </w:instrText>
            </w:r>
            <w:r>
              <w:rPr>
                <w:noProof/>
                <w:webHidden/>
              </w:rPr>
            </w:r>
            <w:r>
              <w:rPr>
                <w:noProof/>
                <w:webHidden/>
              </w:rPr>
              <w:fldChar w:fldCharType="separate"/>
            </w:r>
            <w:r>
              <w:rPr>
                <w:noProof/>
                <w:webHidden/>
              </w:rPr>
              <w:t>3</w:t>
            </w:r>
            <w:r>
              <w:rPr>
                <w:noProof/>
                <w:webHidden/>
              </w:rPr>
              <w:fldChar w:fldCharType="end"/>
            </w:r>
          </w:hyperlink>
        </w:p>
        <w:p w14:paraId="00F703AB" w14:textId="6159D16F" w:rsidR="00DD1E68" w:rsidRDefault="00DD1E68">
          <w:pPr>
            <w:pStyle w:val="TOC1"/>
            <w:tabs>
              <w:tab w:val="right" w:leader="dot" w:pos="9016"/>
            </w:tabs>
            <w:rPr>
              <w:rFonts w:eastAsiaTheme="minorEastAsia"/>
              <w:b w:val="0"/>
              <w:bCs w:val="0"/>
              <w:i w:val="0"/>
              <w:iCs w:val="0"/>
              <w:noProof/>
              <w:lang w:eastAsia="en-GB"/>
            </w:rPr>
          </w:pPr>
          <w:hyperlink w:anchor="_Toc224051004" w:history="1">
            <w:r w:rsidRPr="00D244C6">
              <w:rPr>
                <w:rStyle w:val="Hyperlink"/>
                <w:noProof/>
              </w:rPr>
              <w:t>Application of Positive Psychology Theory</w:t>
            </w:r>
            <w:r>
              <w:rPr>
                <w:noProof/>
                <w:webHidden/>
              </w:rPr>
              <w:tab/>
            </w:r>
            <w:r>
              <w:rPr>
                <w:noProof/>
                <w:webHidden/>
              </w:rPr>
              <w:fldChar w:fldCharType="begin"/>
            </w:r>
            <w:r>
              <w:rPr>
                <w:noProof/>
                <w:webHidden/>
              </w:rPr>
              <w:instrText xml:space="preserve"> PAGEREF _Toc224051004 \h </w:instrText>
            </w:r>
            <w:r>
              <w:rPr>
                <w:noProof/>
                <w:webHidden/>
              </w:rPr>
            </w:r>
            <w:r>
              <w:rPr>
                <w:noProof/>
                <w:webHidden/>
              </w:rPr>
              <w:fldChar w:fldCharType="separate"/>
            </w:r>
            <w:r>
              <w:rPr>
                <w:noProof/>
                <w:webHidden/>
              </w:rPr>
              <w:t>4</w:t>
            </w:r>
            <w:r>
              <w:rPr>
                <w:noProof/>
                <w:webHidden/>
              </w:rPr>
              <w:fldChar w:fldCharType="end"/>
            </w:r>
          </w:hyperlink>
        </w:p>
        <w:p w14:paraId="1F5474DD" w14:textId="06EE74CC" w:rsidR="00DD1E68" w:rsidRDefault="00DD1E68">
          <w:pPr>
            <w:pStyle w:val="TOC1"/>
            <w:tabs>
              <w:tab w:val="right" w:leader="dot" w:pos="9016"/>
            </w:tabs>
            <w:rPr>
              <w:rFonts w:eastAsiaTheme="minorEastAsia"/>
              <w:b w:val="0"/>
              <w:bCs w:val="0"/>
              <w:i w:val="0"/>
              <w:iCs w:val="0"/>
              <w:noProof/>
              <w:lang w:eastAsia="en-GB"/>
            </w:rPr>
          </w:pPr>
          <w:hyperlink w:anchor="_Toc224051005" w:history="1">
            <w:r w:rsidRPr="00D244C6">
              <w:rPr>
                <w:rStyle w:val="Hyperlink"/>
                <w:noProof/>
              </w:rPr>
              <w:t>Real-World Case Example</w:t>
            </w:r>
            <w:r>
              <w:rPr>
                <w:noProof/>
                <w:webHidden/>
              </w:rPr>
              <w:tab/>
            </w:r>
            <w:r>
              <w:rPr>
                <w:noProof/>
                <w:webHidden/>
              </w:rPr>
              <w:fldChar w:fldCharType="begin"/>
            </w:r>
            <w:r>
              <w:rPr>
                <w:noProof/>
                <w:webHidden/>
              </w:rPr>
              <w:instrText xml:space="preserve"> PAGEREF _Toc224051005 \h </w:instrText>
            </w:r>
            <w:r>
              <w:rPr>
                <w:noProof/>
                <w:webHidden/>
              </w:rPr>
            </w:r>
            <w:r>
              <w:rPr>
                <w:noProof/>
                <w:webHidden/>
              </w:rPr>
              <w:fldChar w:fldCharType="separate"/>
            </w:r>
            <w:r>
              <w:rPr>
                <w:noProof/>
                <w:webHidden/>
              </w:rPr>
              <w:t>4</w:t>
            </w:r>
            <w:r>
              <w:rPr>
                <w:noProof/>
                <w:webHidden/>
              </w:rPr>
              <w:fldChar w:fldCharType="end"/>
            </w:r>
          </w:hyperlink>
        </w:p>
        <w:p w14:paraId="06140F8B" w14:textId="71D3702F" w:rsidR="00DD1E68" w:rsidRDefault="00DD1E68">
          <w:pPr>
            <w:pStyle w:val="TOC1"/>
            <w:tabs>
              <w:tab w:val="right" w:leader="dot" w:pos="9016"/>
            </w:tabs>
            <w:rPr>
              <w:rFonts w:eastAsiaTheme="minorEastAsia"/>
              <w:b w:val="0"/>
              <w:bCs w:val="0"/>
              <w:i w:val="0"/>
              <w:iCs w:val="0"/>
              <w:noProof/>
              <w:lang w:eastAsia="en-GB"/>
            </w:rPr>
          </w:pPr>
          <w:hyperlink w:anchor="_Toc224051006" w:history="1">
            <w:r w:rsidRPr="00D244C6">
              <w:rPr>
                <w:rStyle w:val="Hyperlink"/>
                <w:noProof/>
              </w:rPr>
              <w:t>Challenges and Strategies</w:t>
            </w:r>
            <w:r>
              <w:rPr>
                <w:noProof/>
                <w:webHidden/>
              </w:rPr>
              <w:tab/>
            </w:r>
            <w:r>
              <w:rPr>
                <w:noProof/>
                <w:webHidden/>
              </w:rPr>
              <w:fldChar w:fldCharType="begin"/>
            </w:r>
            <w:r>
              <w:rPr>
                <w:noProof/>
                <w:webHidden/>
              </w:rPr>
              <w:instrText xml:space="preserve"> PAGEREF _Toc224051006 \h </w:instrText>
            </w:r>
            <w:r>
              <w:rPr>
                <w:noProof/>
                <w:webHidden/>
              </w:rPr>
            </w:r>
            <w:r>
              <w:rPr>
                <w:noProof/>
                <w:webHidden/>
              </w:rPr>
              <w:fldChar w:fldCharType="separate"/>
            </w:r>
            <w:r>
              <w:rPr>
                <w:noProof/>
                <w:webHidden/>
              </w:rPr>
              <w:t>5</w:t>
            </w:r>
            <w:r>
              <w:rPr>
                <w:noProof/>
                <w:webHidden/>
              </w:rPr>
              <w:fldChar w:fldCharType="end"/>
            </w:r>
          </w:hyperlink>
        </w:p>
        <w:p w14:paraId="4AA4EA86" w14:textId="71615F3C" w:rsidR="00DD1E68" w:rsidRDefault="00DD1E68">
          <w:pPr>
            <w:pStyle w:val="TOC1"/>
            <w:tabs>
              <w:tab w:val="right" w:leader="dot" w:pos="9016"/>
            </w:tabs>
            <w:rPr>
              <w:rFonts w:eastAsiaTheme="minorEastAsia"/>
              <w:b w:val="0"/>
              <w:bCs w:val="0"/>
              <w:i w:val="0"/>
              <w:iCs w:val="0"/>
              <w:noProof/>
              <w:lang w:eastAsia="en-GB"/>
            </w:rPr>
          </w:pPr>
          <w:hyperlink w:anchor="_Toc224051007" w:history="1">
            <w:r w:rsidRPr="00D244C6">
              <w:rPr>
                <w:rStyle w:val="Hyperlink"/>
                <w:noProof/>
              </w:rPr>
              <w:t>Reference list</w:t>
            </w:r>
            <w:r>
              <w:rPr>
                <w:noProof/>
                <w:webHidden/>
              </w:rPr>
              <w:tab/>
            </w:r>
            <w:r>
              <w:rPr>
                <w:noProof/>
                <w:webHidden/>
              </w:rPr>
              <w:fldChar w:fldCharType="begin"/>
            </w:r>
            <w:r>
              <w:rPr>
                <w:noProof/>
                <w:webHidden/>
              </w:rPr>
              <w:instrText xml:space="preserve"> PAGEREF _Toc224051007 \h </w:instrText>
            </w:r>
            <w:r>
              <w:rPr>
                <w:noProof/>
                <w:webHidden/>
              </w:rPr>
            </w:r>
            <w:r>
              <w:rPr>
                <w:noProof/>
                <w:webHidden/>
              </w:rPr>
              <w:fldChar w:fldCharType="separate"/>
            </w:r>
            <w:r>
              <w:rPr>
                <w:noProof/>
                <w:webHidden/>
              </w:rPr>
              <w:t>6</w:t>
            </w:r>
            <w:r>
              <w:rPr>
                <w:noProof/>
                <w:webHidden/>
              </w:rPr>
              <w:fldChar w:fldCharType="end"/>
            </w:r>
          </w:hyperlink>
        </w:p>
        <w:p w14:paraId="28709C41" w14:textId="33C60084" w:rsidR="00DD1E68" w:rsidRDefault="00DD1E68">
          <w:r>
            <w:rPr>
              <w:b/>
              <w:bCs/>
              <w:noProof/>
            </w:rPr>
            <w:fldChar w:fldCharType="end"/>
          </w:r>
        </w:p>
      </w:sdtContent>
    </w:sdt>
    <w:p w14:paraId="0A5F590C" w14:textId="77777777" w:rsidR="000A3BB9" w:rsidRDefault="000A3BB9"/>
    <w:p w14:paraId="102D8A56" w14:textId="77777777" w:rsidR="00DD1E68" w:rsidRDefault="00DD1E68"/>
    <w:p w14:paraId="081EDF3C" w14:textId="77777777" w:rsidR="00DD1E68" w:rsidRDefault="00DD1E68"/>
    <w:p w14:paraId="7C2BADE7" w14:textId="77777777" w:rsidR="00C25AF5" w:rsidRDefault="00C25AF5"/>
    <w:p w14:paraId="5EB8B335" w14:textId="2702ED86" w:rsidR="00C25AF5" w:rsidRDefault="00C25AF5" w:rsidP="00C25AF5">
      <w:pPr>
        <w:pStyle w:val="Title"/>
      </w:pPr>
      <w:r>
        <w:lastRenderedPageBreak/>
        <w:t>Part A</w:t>
      </w:r>
    </w:p>
    <w:p w14:paraId="5011A70D" w14:textId="77777777" w:rsidR="00282416" w:rsidRDefault="00282416" w:rsidP="00282416">
      <w:pPr>
        <w:pStyle w:val="Heading1"/>
      </w:pPr>
      <w:bookmarkStart w:id="0" w:name="_Toc224051000"/>
      <w:r>
        <w:t>Source 1: Bowlby’s Attachment Theory</w:t>
      </w:r>
      <w:bookmarkEnd w:id="0"/>
    </w:p>
    <w:p w14:paraId="50426C52" w14:textId="35A42699" w:rsidR="00282416" w:rsidRDefault="00282416" w:rsidP="00282416">
      <w:r>
        <w:t xml:space="preserve">Rodway, C. and Spencer, R. (2025) ‘Attachment in old age: a fundamental pillar for public health and wellbeing’, International Journal of Public Health, 70, p. 1607770. Available at: </w:t>
      </w:r>
      <w:hyperlink r:id="rId6" w:history="1">
        <w:r w:rsidRPr="00C9317A">
          <w:rPr>
            <w:rStyle w:val="Hyperlink"/>
          </w:rPr>
          <w:t>https://pmc.ncbi.nlm.nih.gov/articles/PMC12133602/</w:t>
        </w:r>
      </w:hyperlink>
      <w:r>
        <w:t xml:space="preserve"> </w:t>
      </w:r>
      <w:r>
        <w:t xml:space="preserve"> </w:t>
      </w:r>
    </w:p>
    <w:p w14:paraId="1F427463" w14:textId="4969712D" w:rsidR="00282416" w:rsidRDefault="00B2461B" w:rsidP="00282416">
      <w:r w:rsidRPr="00B2461B">
        <w:t xml:space="preserve">The application of Bowlby's attachment theory to elderly persons is examined in this article. The authors contend that having stable attachment types from an </w:t>
      </w:r>
      <w:proofErr w:type="gramStart"/>
      <w:r w:rsidRPr="00B2461B">
        <w:t>early age aids</w:t>
      </w:r>
      <w:proofErr w:type="gramEnd"/>
      <w:r w:rsidRPr="00B2461B">
        <w:t xml:space="preserve"> in stress management and health maintenance in later life. They examine research demonstrating that strong ties improve mental health and reduce feelings of loneliness in older adults. The impact of connection on public health, such as lowering depression in care settings, is one of the key discoveries. The study urges medical practitioners to evaluate attachment when assisting senior citizens.</w:t>
      </w:r>
    </w:p>
    <w:p w14:paraId="5377B156" w14:textId="6A163B69" w:rsidR="00282416" w:rsidRDefault="00B2461B" w:rsidP="00282416">
      <w:r w:rsidRPr="00B2461B">
        <w:t>This publication has a lot to say about health and social services for senior citizens. It makes a clear connection between Bowlby's theories and practical care, such fostering trust in residential homes to enhance wellness. Its emphasis on public health is a positive, although it could use more actual examples from care facilities in the United Kingdom. In general, it clarifies for carers the need of emotional ties in avoiding solitude.</w:t>
      </w:r>
    </w:p>
    <w:p w14:paraId="31DB1300" w14:textId="77777777" w:rsidR="00282416" w:rsidRDefault="00282416" w:rsidP="00282416">
      <w:pPr>
        <w:pStyle w:val="Heading1"/>
      </w:pPr>
      <w:bookmarkStart w:id="1" w:name="_Toc224051001"/>
      <w:r>
        <w:t>Source 2: Attachment in Caregiving Contexts</w:t>
      </w:r>
      <w:bookmarkEnd w:id="1"/>
    </w:p>
    <w:p w14:paraId="3C74A9E9" w14:textId="68D09D47" w:rsidR="00282416" w:rsidRDefault="00282416" w:rsidP="00282416">
      <w:r>
        <w:t xml:space="preserve">Monin, J.K., Schulz, R., Feeney, B.C. and Beach, S.R. (2013) ‘Caregiving spouses’ attachment orientations and the physical and mental health of individuals with Alzheimer’s disease’, Aging &amp; Mental Health, 17(5), pp. 587–594. Available at: </w:t>
      </w:r>
      <w:hyperlink r:id="rId7" w:history="1">
        <w:r w:rsidRPr="00C9317A">
          <w:rPr>
            <w:rStyle w:val="Hyperlink"/>
          </w:rPr>
          <w:t>https://pmc.ncbi.nlm.nih.gov/articles/PMC3596494/</w:t>
        </w:r>
      </w:hyperlink>
      <w:r>
        <w:t xml:space="preserve"> </w:t>
      </w:r>
      <w:r>
        <w:t xml:space="preserve"> </w:t>
      </w:r>
    </w:p>
    <w:p w14:paraId="69B19DCC" w14:textId="77777777" w:rsidR="00B2461B" w:rsidRDefault="00B2461B" w:rsidP="00B2461B">
      <w:r>
        <w:t>The impact of spouses' attachment styles on Alzheimer's patient care is investigated. According to Bowlby's hypothesis, patients' physical and mental health improves when carers have a stable attachment style. Data from 178 couples reveals a connection between increased patient suffering and worried attachment in caretakers. Research indicates that providing caretakers with attachment training can lower health risks.</w:t>
      </w:r>
    </w:p>
    <w:p w14:paraId="431D1E24" w14:textId="5DFF9817" w:rsidR="00282416" w:rsidRDefault="00B2461B" w:rsidP="00B2461B">
      <w:r>
        <w:t>This is helpful in the health and social care sectors for residential homes where employees serve as "attachment figures" for senior citizens suffering from dementia. It draws attention to the dangers of inadequate attachment matching, which is pertinent to UK care training. The emphasis on spouses rather than professional carers is a drawback, but it provides explicit methods for staff introspection.</w:t>
      </w:r>
      <w:r w:rsidR="00282416">
        <w:t xml:space="preserve">  </w:t>
      </w:r>
    </w:p>
    <w:p w14:paraId="4F1A19C1" w14:textId="77777777" w:rsidR="00282416" w:rsidRDefault="00282416" w:rsidP="00282416">
      <w:pPr>
        <w:pStyle w:val="Heading1"/>
      </w:pPr>
      <w:bookmarkStart w:id="2" w:name="_Toc224051002"/>
      <w:r>
        <w:lastRenderedPageBreak/>
        <w:t>Source 3: Positive Psychology and Positivity</w:t>
      </w:r>
      <w:bookmarkEnd w:id="2"/>
    </w:p>
    <w:p w14:paraId="375AD050" w14:textId="767E51DF" w:rsidR="00282416" w:rsidRDefault="00282416" w:rsidP="00282416">
      <w:r>
        <w:t xml:space="preserve">Meeks, S., Van Haitsma, K., </w:t>
      </w:r>
      <w:proofErr w:type="spellStart"/>
      <w:r>
        <w:t>Kostiwa</w:t>
      </w:r>
      <w:proofErr w:type="spellEnd"/>
      <w:r>
        <w:t>, I. and Murrell, S.A. (2012) ‘Positivity and well-being among community-residing elders and nursing home residents: what is the optimal affect balance?’, The Journals of Gerontology: Series B, Psychological Sciences and Social Sciences, 67</w:t>
      </w:r>
      <w:proofErr w:type="gramStart"/>
      <w:r>
        <w:t>B(</w:t>
      </w:r>
      <w:proofErr w:type="gramEnd"/>
      <w:r>
        <w:t xml:space="preserve">4), pp. 460–467. Available at: </w:t>
      </w:r>
      <w:hyperlink r:id="rId8" w:history="1">
        <w:r w:rsidRPr="00C9317A">
          <w:rPr>
            <w:rStyle w:val="Hyperlink"/>
          </w:rPr>
          <w:t>https://pmc.ncbi.nlm.nih.gov/articles/PMC3391076/</w:t>
        </w:r>
      </w:hyperlink>
      <w:r>
        <w:t xml:space="preserve"> </w:t>
      </w:r>
      <w:r>
        <w:t xml:space="preserve"> </w:t>
      </w:r>
    </w:p>
    <w:p w14:paraId="79C824F9" w14:textId="77777777" w:rsidR="00B2461B" w:rsidRDefault="00B2461B" w:rsidP="00B2461B">
      <w:r>
        <w:t>This study examines positive psychology theories on the well-being of senior citizens. It finds that a 3:1 ratio of happy to negative emotions predicts the best level of life satisfaction when comparing community elders with residents of nursing homes. Gratitude exercises and other positive psychology techniques improve this equilibrium. The findings indicate that therapies that boost happiness are most beneficial to residents of nursing homes.</w:t>
      </w:r>
    </w:p>
    <w:p w14:paraId="54CDDDFA" w14:textId="0E3F541B" w:rsidR="00282416" w:rsidRDefault="00B2461B" w:rsidP="00B2461B">
      <w:r>
        <w:t>This source serves as a guide for social workers about wellness initiatives in assisted living facilities, such as group activities that promote happy feelings. It supports NICE's mental health recommendations and is pertinent to residential care in the UK. The limited sample size is a drawback, but the data is solid for real-world application.</w:t>
      </w:r>
      <w:r w:rsidR="00282416">
        <w:t xml:space="preserve">  </w:t>
      </w:r>
    </w:p>
    <w:p w14:paraId="78C9A592" w14:textId="77777777" w:rsidR="00282416" w:rsidRDefault="00282416" w:rsidP="00282416">
      <w:pPr>
        <w:pStyle w:val="Heading1"/>
      </w:pPr>
      <w:bookmarkStart w:id="3" w:name="_Toc224051003"/>
      <w:r>
        <w:t>Source 4: Positive Psychology Interventions</w:t>
      </w:r>
      <w:bookmarkEnd w:id="3"/>
    </w:p>
    <w:p w14:paraId="6AE1C580" w14:textId="0E41D975" w:rsidR="00282416" w:rsidRDefault="00282416" w:rsidP="00282416">
      <w:proofErr w:type="spellStart"/>
      <w:r>
        <w:t>Jeste</w:t>
      </w:r>
      <w:proofErr w:type="spellEnd"/>
      <w:r>
        <w:t xml:space="preserve">, D.V., Palmer, B.W., Depp, C.A., Glorioso, D.K., Daly, R. and Rettew, D.C. (2021) ‘Positive psychiatry interventions in geriatric mental health’, Current Opinion in Psychiatry, 34(2), pp. 113–121. Available at: </w:t>
      </w:r>
      <w:hyperlink r:id="rId9" w:history="1">
        <w:r w:rsidRPr="00C9317A">
          <w:rPr>
            <w:rStyle w:val="Hyperlink"/>
          </w:rPr>
          <w:t>https://pmc.ncbi.nlm.nih.gov/articles/PMC7904105/</w:t>
        </w:r>
      </w:hyperlink>
      <w:r>
        <w:t xml:space="preserve"> </w:t>
      </w:r>
      <w:r>
        <w:t xml:space="preserve"> </w:t>
      </w:r>
    </w:p>
    <w:p w14:paraId="5C518165" w14:textId="77777777" w:rsidR="00B2461B" w:rsidRDefault="00B2461B" w:rsidP="00B2461B">
      <w:r>
        <w:t>Positive psychology for the mental health of elderly individuals is reviewed in this article. It discusses treatments including strengths-based therapy and mindfulness, demonstrating improvements in coping and decreases in depression. It promotes resilience and purpose in ageing, drawing on positive psychology. Group sessions in care settings are supported by the findings.</w:t>
      </w:r>
    </w:p>
    <w:p w14:paraId="73912EF0" w14:textId="3DDDF900" w:rsidR="00C25AF5" w:rsidRDefault="00B2461B" w:rsidP="00B2461B">
      <w:r>
        <w:t>This provides evidence-based strategies to improve psychological wellbeing, which is beneficial for health professionals working in residential care. In the UK, it is consistent with person-centred care. It does not, however, have long-term data. Nevertheless, it is useful for regular practice.</w:t>
      </w:r>
    </w:p>
    <w:p w14:paraId="5FC363AB" w14:textId="55332E20" w:rsidR="00282416" w:rsidRDefault="00282416" w:rsidP="00282416">
      <w:pPr>
        <w:pStyle w:val="Title"/>
      </w:pPr>
      <w:r>
        <w:t>Part B</w:t>
      </w:r>
    </w:p>
    <w:p w14:paraId="60DEF240" w14:textId="4177385D" w:rsidR="00AD0B00" w:rsidRDefault="0044085E" w:rsidP="00AD0B00">
      <w:r w:rsidRPr="0044085E">
        <w:t xml:space="preserve">This paper describes how the bibliography's positive psychology theory might enhance the psychological well-being of senior citizens residing in general residential care facilities. A 3:1 ratio of good to negative emotions increases life happiness, according to </w:t>
      </w:r>
      <w:r w:rsidRPr="0044085E">
        <w:lastRenderedPageBreak/>
        <w:t>Meeks et al. (2012). The goal is to direct health and social care workers in their daily use of this philosophy.</w:t>
      </w:r>
    </w:p>
    <w:p w14:paraId="64006880" w14:textId="6C9FB59F" w:rsidR="00AD0B00" w:rsidRDefault="00AD0B00" w:rsidP="00AD0B00">
      <w:pPr>
        <w:pStyle w:val="Heading1"/>
      </w:pPr>
      <w:bookmarkStart w:id="4" w:name="_Toc224051004"/>
      <w:r>
        <w:t>Application of Positive Psychology Theory</w:t>
      </w:r>
      <w:bookmarkEnd w:id="4"/>
    </w:p>
    <w:p w14:paraId="7EB5DBE0" w14:textId="2D6712A1" w:rsidR="00AD0B00" w:rsidRDefault="0044085E" w:rsidP="00AD0B00">
      <w:r w:rsidRPr="0044085E">
        <w:t>Building strengths like thankfulness, optimism, and purpose takes precedence over solving difficulties, according to positive psychology theory. According to Meeks et al. (2012), elderly residents of nursing homes who experience more positive emotions (such as joy and contentment) than negative ones (such as grief and rage) report feeling better. The "positivity ratio"—aiming for three pleasant emotions for every negative one through easy activities—is a crucial concept.</w:t>
      </w:r>
    </w:p>
    <w:p w14:paraId="09E36BCD" w14:textId="790E159E" w:rsidR="00AD0B00" w:rsidRDefault="0044085E" w:rsidP="00AD0B00">
      <w:r w:rsidRPr="0044085E">
        <w:t xml:space="preserve">Staff members in residential care can put this into practice by beginning daily routines with "Three Good Things" exercises. Residents jot down or discuss three pleasant experiences from their day, such as taking a sunny stroll or having tea with a friend. This is corroborated by </w:t>
      </w:r>
      <w:proofErr w:type="spellStart"/>
      <w:r w:rsidRPr="0044085E">
        <w:t>Jeste</w:t>
      </w:r>
      <w:proofErr w:type="spellEnd"/>
      <w:r w:rsidRPr="0044085E">
        <w:t xml:space="preserve"> et al. (2021), who show that these therapies lower depression in older populations by 20–30%. Quieter residents benefit from one-on-one conversations, while twice-weekly group sessions foster social ties. Support is made more individualised by staff training on identifying strengths (such as former interests). This eventually fosters a positive home culture that is in line with the UK Care Quality Commission's mental health objectives. Reduced loneliness and improved sleep are two outcomes that directly enhance quality of life.</w:t>
      </w:r>
    </w:p>
    <w:p w14:paraId="07AA0F59" w14:textId="2B4B7C11" w:rsidR="00AD0B00" w:rsidRDefault="00AD0B00" w:rsidP="00AD0B00">
      <w:pPr>
        <w:pStyle w:val="Heading1"/>
      </w:pPr>
      <w:r>
        <w:t xml:space="preserve"> </w:t>
      </w:r>
      <w:bookmarkStart w:id="5" w:name="_Toc224051005"/>
      <w:r>
        <w:t>Real-World Case Example</w:t>
      </w:r>
      <w:bookmarkEnd w:id="5"/>
    </w:p>
    <w:p w14:paraId="221B8487" w14:textId="1F30563F" w:rsidR="00AD0B00" w:rsidRDefault="0044085E" w:rsidP="00AD0B00">
      <w:r w:rsidRPr="0044085E">
        <w:t>Think about Mrs. Patel, an 82-year-old widow residing in a Birmingham general residential care facility. Feeling depressed and alone after losing her husband, she moved in following a hip fracture. She scored poorly on wellness evaluations and was in a bad mood, talking about discomfort and missing family.</w:t>
      </w:r>
    </w:p>
    <w:p w14:paraId="14B7F58E" w14:textId="73699425" w:rsidR="00AD0B00" w:rsidRDefault="0044085E" w:rsidP="00AD0B00">
      <w:r w:rsidRPr="0044085E">
        <w:t>Employees used Meeks et al. (2012) to apply positive psychology. In the lounge, they set up a "Gratitude Corner" with questions like "Name one thing you're thankful for today." Mrs. Patel began to grin as she recalled cooking with her late husband. She used her experience as a community singer to teach Hindi songs to others through weekly "Strengths Circle" meetings. Her positive ratio increased from 1:1 to around 3:1 in just two months. Her Geriatric Depression Scale score decreased from 14/15 to 5/15, she went on garden walks, and she laughed more.</w:t>
      </w:r>
    </w:p>
    <w:p w14:paraId="7053F923" w14:textId="55BD156E" w:rsidR="00AD0B00" w:rsidRDefault="0044085E" w:rsidP="00AD0B00">
      <w:r w:rsidRPr="0044085E">
        <w:t xml:space="preserve">This example demonstrates tangible benefits: Mrs. Patel made friends, ate more, and slept better. Employees reported fewer calls for minor ailments, giving others more time. It is consistent with the findings of </w:t>
      </w:r>
      <w:proofErr w:type="spellStart"/>
      <w:r w:rsidRPr="0044085E">
        <w:t>Jeste</w:t>
      </w:r>
      <w:proofErr w:type="spellEnd"/>
      <w:r w:rsidRPr="0044085E">
        <w:t xml:space="preserve"> et al. (2021) regarding group therapies that increase resilience in assisted living facilities.</w:t>
      </w:r>
      <w:r w:rsidR="00AD0B00">
        <w:t xml:space="preserve">  </w:t>
      </w:r>
    </w:p>
    <w:p w14:paraId="6089A887" w14:textId="74061DD0" w:rsidR="00AD0B00" w:rsidRDefault="00AD0B00" w:rsidP="00AD0B00">
      <w:pPr>
        <w:pStyle w:val="Heading1"/>
      </w:pPr>
      <w:bookmarkStart w:id="6" w:name="_Toc224051006"/>
      <w:r>
        <w:lastRenderedPageBreak/>
        <w:t>Challenges and Strategies</w:t>
      </w:r>
      <w:bookmarkEnd w:id="6"/>
    </w:p>
    <w:p w14:paraId="1C1323C7" w14:textId="73130167" w:rsidR="00AD0B00" w:rsidRDefault="0044085E" w:rsidP="00AD0B00">
      <w:r w:rsidRPr="0044085E">
        <w:t xml:space="preserve">Residents' resistance is one issue, particularly for those who have dementia or a lifelong pessimistic view. Nursing home patients frequently have fixed low positive ratios </w:t>
      </w:r>
      <w:proofErr w:type="gramStart"/>
      <w:r w:rsidRPr="0044085E">
        <w:t>as a result of</w:t>
      </w:r>
      <w:proofErr w:type="gramEnd"/>
      <w:r w:rsidRPr="0044085E">
        <w:t xml:space="preserve"> losses like bereavement or mobility problems, according to Meeks et al. (2012). Staff dissatisfaction and limited engagement may result from some people dismissing activities as "silly." Barriers in varied UK families are exacerbated by cultural differences, such as Mrs. Patel's initial timidity in groups.</w:t>
      </w:r>
    </w:p>
    <w:p w14:paraId="01558FA6" w14:textId="77777777" w:rsidR="0044085E" w:rsidRDefault="0044085E" w:rsidP="0044085E">
      <w:r>
        <w:t>Gradual, person-centred introduction with staff modelling is one tactic. Teach carers to incorporate activities organically, such as asking, "What made you smile today?" during meals rather than formal sessions. Residents who are reluctant should be paired with their successful counterparts since social proof is effective, according to positive psychology. Use straightforward charts (weekly mood smiles/frowns) to monitor progress and encourage buy-in. Use sensory assistance for dementia, such as pictures or music associated with happy memories.</w:t>
      </w:r>
    </w:p>
    <w:p w14:paraId="0E55FF7A" w14:textId="4A747672" w:rsidR="00282416" w:rsidRDefault="0044085E" w:rsidP="0044085E">
      <w:r>
        <w:t xml:space="preserve">Aim for 70% participation in monthly audits. Involve families in home reinforcement if necessary. Long-term wellness is sustained by this economical way of overcoming opposition. </w:t>
      </w:r>
      <w:proofErr w:type="spellStart"/>
      <w:r>
        <w:t>Jeste</w:t>
      </w:r>
      <w:proofErr w:type="spellEnd"/>
      <w:r>
        <w:t xml:space="preserve"> et al. (2021) provide evidence that customised strategies work when general techniques don't.</w:t>
      </w:r>
    </w:p>
    <w:p w14:paraId="378602F0" w14:textId="77777777" w:rsidR="00DD1E68" w:rsidRDefault="00DD1E68" w:rsidP="0044085E"/>
    <w:p w14:paraId="3DFA9A50" w14:textId="77777777" w:rsidR="00DD1E68" w:rsidRDefault="00DD1E68" w:rsidP="0044085E"/>
    <w:p w14:paraId="232D9A25" w14:textId="77777777" w:rsidR="00DD1E68" w:rsidRDefault="00DD1E68" w:rsidP="0044085E"/>
    <w:p w14:paraId="56ACACAF" w14:textId="77777777" w:rsidR="00DD1E68" w:rsidRDefault="00DD1E68" w:rsidP="0044085E"/>
    <w:p w14:paraId="61FF6A74" w14:textId="77777777" w:rsidR="00DD1E68" w:rsidRDefault="00DD1E68" w:rsidP="0044085E"/>
    <w:p w14:paraId="4C804136" w14:textId="77777777" w:rsidR="00DD1E68" w:rsidRDefault="00DD1E68" w:rsidP="0044085E"/>
    <w:p w14:paraId="1E1B7A1E" w14:textId="77777777" w:rsidR="00DD1E68" w:rsidRDefault="00DD1E68" w:rsidP="0044085E"/>
    <w:p w14:paraId="16FA3C98" w14:textId="77777777" w:rsidR="00DD1E68" w:rsidRDefault="00DD1E68" w:rsidP="0044085E"/>
    <w:p w14:paraId="44C0341B" w14:textId="77777777" w:rsidR="00DD1E68" w:rsidRDefault="00DD1E68" w:rsidP="0044085E"/>
    <w:p w14:paraId="4E7BFCA8" w14:textId="77777777" w:rsidR="00DD1E68" w:rsidRDefault="00DD1E68" w:rsidP="0044085E"/>
    <w:p w14:paraId="2577491D" w14:textId="77777777" w:rsidR="00DD1E68" w:rsidRDefault="00DD1E68" w:rsidP="0044085E"/>
    <w:p w14:paraId="6E2AA594" w14:textId="77777777" w:rsidR="00DD1E68" w:rsidRPr="00282416" w:rsidRDefault="00DD1E68" w:rsidP="0044085E"/>
    <w:p w14:paraId="097209AC" w14:textId="7C713E6F" w:rsidR="000A3BB9" w:rsidRDefault="000A3BB9" w:rsidP="000A3BB9">
      <w:pPr>
        <w:pStyle w:val="Heading1"/>
      </w:pPr>
      <w:bookmarkStart w:id="7" w:name="_Toc224051007"/>
      <w:r>
        <w:lastRenderedPageBreak/>
        <w:t>Reference list</w:t>
      </w:r>
      <w:bookmarkEnd w:id="7"/>
    </w:p>
    <w:p w14:paraId="087DD56A" w14:textId="77777777" w:rsidR="000A3BB9" w:rsidRDefault="000A3BB9" w:rsidP="000A3BB9">
      <w:r>
        <w:t>Bowlby, J. (1988) A secure base: Parent-child attachment and healthy human development. New York: Basic Books.</w:t>
      </w:r>
    </w:p>
    <w:p w14:paraId="5E70E9B8" w14:textId="77777777" w:rsidR="000A3BB9" w:rsidRDefault="000A3BB9" w:rsidP="000A3BB9">
      <w:r>
        <w:t>Danquah, A.N. and Berry, K. (eds.) (2014) Attachment theory in adult mental health: A guide to clinical practice. London: Routledge.</w:t>
      </w:r>
    </w:p>
    <w:p w14:paraId="2CC32A1C" w14:textId="77777777" w:rsidR="000A3BB9" w:rsidRDefault="000A3BB9" w:rsidP="000A3BB9">
      <w:r>
        <w:t xml:space="preserve">Holmes, J. (2013) John Bowlby and attachment theory. 2nd </w:t>
      </w:r>
      <w:proofErr w:type="spellStart"/>
      <w:r>
        <w:t>edn</w:t>
      </w:r>
      <w:proofErr w:type="spellEnd"/>
      <w:r>
        <w:t>. Hove: Routledge.</w:t>
      </w:r>
    </w:p>
    <w:p w14:paraId="4770C71B" w14:textId="0F01557E" w:rsidR="00C25AF5" w:rsidRDefault="00C25AF5" w:rsidP="000A3BB9">
      <w:proofErr w:type="spellStart"/>
      <w:r w:rsidRPr="00C25AF5">
        <w:t>Jeste</w:t>
      </w:r>
      <w:proofErr w:type="spellEnd"/>
      <w:r w:rsidRPr="00C25AF5">
        <w:t xml:space="preserve">, D.V., Palmer, B.W., Depp, C.A., Glorioso, D.K., Daly, R. and Rettew, D.C. (2021) ‘Positive psychiatry interventions in geriatric mental health’, Current Opinion in Psychiatry, 34(2), pp. 113–121. Available at: </w:t>
      </w:r>
      <w:hyperlink r:id="rId10" w:history="1">
        <w:r w:rsidRPr="00C9317A">
          <w:rPr>
            <w:rStyle w:val="Hyperlink"/>
          </w:rPr>
          <w:t>https://pmc.ncbi.nlm.nih.gov/articles/P</w:t>
        </w:r>
        <w:r w:rsidRPr="00C9317A">
          <w:rPr>
            <w:rStyle w:val="Hyperlink"/>
          </w:rPr>
          <w:t>M</w:t>
        </w:r>
        <w:r w:rsidRPr="00C9317A">
          <w:rPr>
            <w:rStyle w:val="Hyperlink"/>
          </w:rPr>
          <w:t>C7904105/</w:t>
        </w:r>
      </w:hyperlink>
      <w:r>
        <w:t xml:space="preserve"> </w:t>
      </w:r>
    </w:p>
    <w:p w14:paraId="09477AA3" w14:textId="4A0D78F6" w:rsidR="000A3BB9" w:rsidRDefault="000A3BB9" w:rsidP="000A3BB9">
      <w:r>
        <w:t xml:space="preserve">Meeks, S., Van Haitsma, K., </w:t>
      </w:r>
      <w:proofErr w:type="spellStart"/>
      <w:r>
        <w:t>Kostiwa</w:t>
      </w:r>
      <w:proofErr w:type="spellEnd"/>
      <w:r>
        <w:t>, I. and Murrell, S.A. (2012) ‘Positivity and well-being among community-residing elders and nursing home residents: what is the optimal affect balance?’</w:t>
      </w:r>
      <w:r w:rsidR="00C25AF5">
        <w:t xml:space="preserve"> </w:t>
      </w:r>
      <w:r>
        <w:t xml:space="preserve">Available at: </w:t>
      </w:r>
      <w:hyperlink r:id="rId11" w:history="1">
        <w:r w:rsidR="00C25AF5" w:rsidRPr="00C9317A">
          <w:rPr>
            <w:rStyle w:val="Hyperlink"/>
          </w:rPr>
          <w:t>https://pmc.ncbi.nlm.nih.gov/articl</w:t>
        </w:r>
        <w:r w:rsidR="00C25AF5" w:rsidRPr="00C9317A">
          <w:rPr>
            <w:rStyle w:val="Hyperlink"/>
          </w:rPr>
          <w:t>e</w:t>
        </w:r>
        <w:r w:rsidR="00C25AF5" w:rsidRPr="00C9317A">
          <w:rPr>
            <w:rStyle w:val="Hyperlink"/>
          </w:rPr>
          <w:t>s/PMC3391076/</w:t>
        </w:r>
      </w:hyperlink>
      <w:r w:rsidR="00C25AF5">
        <w:t xml:space="preserve"> </w:t>
      </w:r>
      <w:r>
        <w:t xml:space="preserve"> </w:t>
      </w:r>
    </w:p>
    <w:p w14:paraId="16386E1F" w14:textId="77777777" w:rsidR="000A3BB9" w:rsidRDefault="000A3BB9" w:rsidP="000A3BB9">
      <w:r>
        <w:t xml:space="preserve">Mikulincer, M. and Shaver, P.R. (2016) Attachment in adulthood: Structure, dynamics, and change. 2nd </w:t>
      </w:r>
      <w:proofErr w:type="spellStart"/>
      <w:r>
        <w:t>edn</w:t>
      </w:r>
      <w:proofErr w:type="spellEnd"/>
      <w:r>
        <w:t>. New York: Guilford Press.</w:t>
      </w:r>
    </w:p>
    <w:p w14:paraId="0DE569DD" w14:textId="2518F15E" w:rsidR="000A3BB9" w:rsidRDefault="000A3BB9" w:rsidP="000A3BB9">
      <w:r>
        <w:t xml:space="preserve">Monin, J.K., Schulz, R., Feeney, B.C. and Beach, S.R. (2013) ‘Caregiving spouses’ attachment orientations and the physical and mental health of individuals with Alzheimer’s disease’, Aging &amp; Mental Health, 17(5), pp. 587–594. Available at: </w:t>
      </w:r>
      <w:hyperlink r:id="rId12" w:history="1">
        <w:r w:rsidR="00C25AF5" w:rsidRPr="00C9317A">
          <w:rPr>
            <w:rStyle w:val="Hyperlink"/>
          </w:rPr>
          <w:t>https://pmc.ncbi.nlm.nih.gov/a</w:t>
        </w:r>
        <w:r w:rsidR="00C25AF5" w:rsidRPr="00C9317A">
          <w:rPr>
            <w:rStyle w:val="Hyperlink"/>
          </w:rPr>
          <w:t>r</w:t>
        </w:r>
        <w:r w:rsidR="00C25AF5" w:rsidRPr="00C9317A">
          <w:rPr>
            <w:rStyle w:val="Hyperlink"/>
          </w:rPr>
          <w:t>ticles/PMC3596494/</w:t>
        </w:r>
      </w:hyperlink>
      <w:r w:rsidR="00C25AF5">
        <w:t xml:space="preserve"> </w:t>
      </w:r>
      <w:r>
        <w:t xml:space="preserve"> </w:t>
      </w:r>
    </w:p>
    <w:p w14:paraId="2E8FD1E1" w14:textId="03A50029" w:rsidR="000A3BB9" w:rsidRDefault="000A3BB9" w:rsidP="000A3BB9">
      <w:r>
        <w:t xml:space="preserve">Rodway, C. and Spencer, R. (2025) ‘Attachment in old age: a fundamental pillar for public health and wellbeing’, International Journal of Public Health, 70, p. 1607770. Available at: </w:t>
      </w:r>
      <w:hyperlink r:id="rId13" w:history="1">
        <w:r w:rsidR="00C25AF5" w:rsidRPr="00C9317A">
          <w:rPr>
            <w:rStyle w:val="Hyperlink"/>
          </w:rPr>
          <w:t>https://pmc.ncbi.nlm.nih.gov/ar</w:t>
        </w:r>
        <w:r w:rsidR="00C25AF5" w:rsidRPr="00C9317A">
          <w:rPr>
            <w:rStyle w:val="Hyperlink"/>
          </w:rPr>
          <w:t>t</w:t>
        </w:r>
        <w:r w:rsidR="00C25AF5" w:rsidRPr="00C9317A">
          <w:rPr>
            <w:rStyle w:val="Hyperlink"/>
          </w:rPr>
          <w:t>icles/PMC12133602/</w:t>
        </w:r>
      </w:hyperlink>
      <w:r w:rsidR="00C25AF5">
        <w:t xml:space="preserve"> </w:t>
      </w:r>
      <w:r>
        <w:t xml:space="preserve"> </w:t>
      </w:r>
    </w:p>
    <w:sectPr w:rsidR="000A3B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BB9"/>
    <w:rsid w:val="00006CB0"/>
    <w:rsid w:val="000A3BB9"/>
    <w:rsid w:val="000D6484"/>
    <w:rsid w:val="00282416"/>
    <w:rsid w:val="0044085E"/>
    <w:rsid w:val="00630EBC"/>
    <w:rsid w:val="006A5DBA"/>
    <w:rsid w:val="007E5E8A"/>
    <w:rsid w:val="00872261"/>
    <w:rsid w:val="00892B46"/>
    <w:rsid w:val="00AD0B00"/>
    <w:rsid w:val="00B2461B"/>
    <w:rsid w:val="00C25AF5"/>
    <w:rsid w:val="00DA40EF"/>
    <w:rsid w:val="00DD1E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B94A1"/>
  <w15:chartTrackingRefBased/>
  <w15:docId w15:val="{12F7A8DA-0B16-724C-9EB3-ACFFA2FD5B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3B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3B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3B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3B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3B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3B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3B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3B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3B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3B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3B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3B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3B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3B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3B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3B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3B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3BB9"/>
    <w:rPr>
      <w:rFonts w:eastAsiaTheme="majorEastAsia" w:cstheme="majorBidi"/>
      <w:color w:val="272727" w:themeColor="text1" w:themeTint="D8"/>
    </w:rPr>
  </w:style>
  <w:style w:type="paragraph" w:styleId="Title">
    <w:name w:val="Title"/>
    <w:basedOn w:val="Normal"/>
    <w:next w:val="Normal"/>
    <w:link w:val="TitleChar"/>
    <w:uiPriority w:val="10"/>
    <w:qFormat/>
    <w:rsid w:val="000A3B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3B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3B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3B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3BB9"/>
    <w:pPr>
      <w:spacing w:before="160"/>
      <w:jc w:val="center"/>
    </w:pPr>
    <w:rPr>
      <w:i/>
      <w:iCs/>
      <w:color w:val="404040" w:themeColor="text1" w:themeTint="BF"/>
    </w:rPr>
  </w:style>
  <w:style w:type="character" w:customStyle="1" w:styleId="QuoteChar">
    <w:name w:val="Quote Char"/>
    <w:basedOn w:val="DefaultParagraphFont"/>
    <w:link w:val="Quote"/>
    <w:uiPriority w:val="29"/>
    <w:rsid w:val="000A3BB9"/>
    <w:rPr>
      <w:i/>
      <w:iCs/>
      <w:color w:val="404040" w:themeColor="text1" w:themeTint="BF"/>
    </w:rPr>
  </w:style>
  <w:style w:type="paragraph" w:styleId="ListParagraph">
    <w:name w:val="List Paragraph"/>
    <w:basedOn w:val="Normal"/>
    <w:uiPriority w:val="34"/>
    <w:qFormat/>
    <w:rsid w:val="000A3BB9"/>
    <w:pPr>
      <w:ind w:left="720"/>
      <w:contextualSpacing/>
    </w:pPr>
  </w:style>
  <w:style w:type="character" w:styleId="IntenseEmphasis">
    <w:name w:val="Intense Emphasis"/>
    <w:basedOn w:val="DefaultParagraphFont"/>
    <w:uiPriority w:val="21"/>
    <w:qFormat/>
    <w:rsid w:val="000A3BB9"/>
    <w:rPr>
      <w:i/>
      <w:iCs/>
      <w:color w:val="0F4761" w:themeColor="accent1" w:themeShade="BF"/>
    </w:rPr>
  </w:style>
  <w:style w:type="paragraph" w:styleId="IntenseQuote">
    <w:name w:val="Intense Quote"/>
    <w:basedOn w:val="Normal"/>
    <w:next w:val="Normal"/>
    <w:link w:val="IntenseQuoteChar"/>
    <w:uiPriority w:val="30"/>
    <w:qFormat/>
    <w:rsid w:val="000A3B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3BB9"/>
    <w:rPr>
      <w:i/>
      <w:iCs/>
      <w:color w:val="0F4761" w:themeColor="accent1" w:themeShade="BF"/>
    </w:rPr>
  </w:style>
  <w:style w:type="character" w:styleId="IntenseReference">
    <w:name w:val="Intense Reference"/>
    <w:basedOn w:val="DefaultParagraphFont"/>
    <w:uiPriority w:val="32"/>
    <w:qFormat/>
    <w:rsid w:val="000A3BB9"/>
    <w:rPr>
      <w:b/>
      <w:bCs/>
      <w:smallCaps/>
      <w:color w:val="0F4761" w:themeColor="accent1" w:themeShade="BF"/>
      <w:spacing w:val="5"/>
    </w:rPr>
  </w:style>
  <w:style w:type="character" w:styleId="Hyperlink">
    <w:name w:val="Hyperlink"/>
    <w:basedOn w:val="DefaultParagraphFont"/>
    <w:uiPriority w:val="99"/>
    <w:unhideWhenUsed/>
    <w:rsid w:val="00C25AF5"/>
    <w:rPr>
      <w:color w:val="467886" w:themeColor="hyperlink"/>
      <w:u w:val="single"/>
    </w:rPr>
  </w:style>
  <w:style w:type="character" w:styleId="UnresolvedMention">
    <w:name w:val="Unresolved Mention"/>
    <w:basedOn w:val="DefaultParagraphFont"/>
    <w:uiPriority w:val="99"/>
    <w:semiHidden/>
    <w:unhideWhenUsed/>
    <w:rsid w:val="00C25AF5"/>
    <w:rPr>
      <w:color w:val="605E5C"/>
      <w:shd w:val="clear" w:color="auto" w:fill="E1DFDD"/>
    </w:rPr>
  </w:style>
  <w:style w:type="character" w:styleId="FollowedHyperlink">
    <w:name w:val="FollowedHyperlink"/>
    <w:basedOn w:val="DefaultParagraphFont"/>
    <w:uiPriority w:val="99"/>
    <w:semiHidden/>
    <w:unhideWhenUsed/>
    <w:rsid w:val="00C25AF5"/>
    <w:rPr>
      <w:color w:val="96607D" w:themeColor="followedHyperlink"/>
      <w:u w:val="single"/>
    </w:rPr>
  </w:style>
  <w:style w:type="paragraph" w:styleId="NoSpacing">
    <w:name w:val="No Spacing"/>
    <w:uiPriority w:val="1"/>
    <w:qFormat/>
    <w:rsid w:val="00282416"/>
    <w:pPr>
      <w:spacing w:after="0" w:line="240" w:lineRule="auto"/>
    </w:pPr>
  </w:style>
  <w:style w:type="paragraph" w:styleId="Header">
    <w:name w:val="header"/>
    <w:basedOn w:val="Normal"/>
    <w:link w:val="HeaderChar"/>
    <w:rsid w:val="0044085E"/>
    <w:pPr>
      <w:tabs>
        <w:tab w:val="center" w:pos="4153"/>
        <w:tab w:val="right" w:pos="8306"/>
      </w:tabs>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HeaderChar">
    <w:name w:val="Header Char"/>
    <w:basedOn w:val="DefaultParagraphFont"/>
    <w:link w:val="Header"/>
    <w:rsid w:val="0044085E"/>
    <w:rPr>
      <w:rFonts w:ascii="Times New Roman" w:eastAsia="Times New Roman" w:hAnsi="Times New Roman" w:cs="Times New Roman"/>
      <w:kern w:val="0"/>
      <w:sz w:val="20"/>
      <w:szCs w:val="20"/>
      <w:lang w:eastAsia="en-GB"/>
      <w14:ligatures w14:val="none"/>
    </w:rPr>
  </w:style>
  <w:style w:type="paragraph" w:styleId="TOCHeading">
    <w:name w:val="TOC Heading"/>
    <w:basedOn w:val="Heading1"/>
    <w:next w:val="Normal"/>
    <w:uiPriority w:val="39"/>
    <w:unhideWhenUsed/>
    <w:qFormat/>
    <w:rsid w:val="00DD1E68"/>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DD1E68"/>
    <w:pPr>
      <w:spacing w:before="120" w:after="0"/>
      <w:ind w:left="240"/>
    </w:pPr>
    <w:rPr>
      <w:b/>
      <w:bCs/>
      <w:sz w:val="22"/>
      <w:szCs w:val="22"/>
    </w:rPr>
  </w:style>
  <w:style w:type="paragraph" w:styleId="TOC1">
    <w:name w:val="toc 1"/>
    <w:basedOn w:val="Normal"/>
    <w:next w:val="Normal"/>
    <w:autoRedefine/>
    <w:uiPriority w:val="39"/>
    <w:unhideWhenUsed/>
    <w:rsid w:val="00DD1E68"/>
    <w:pPr>
      <w:spacing w:before="120" w:after="0"/>
    </w:pPr>
    <w:rPr>
      <w:b/>
      <w:bCs/>
      <w:i/>
      <w:iCs/>
    </w:rPr>
  </w:style>
  <w:style w:type="paragraph" w:styleId="TOC3">
    <w:name w:val="toc 3"/>
    <w:basedOn w:val="Normal"/>
    <w:next w:val="Normal"/>
    <w:autoRedefine/>
    <w:uiPriority w:val="39"/>
    <w:semiHidden/>
    <w:unhideWhenUsed/>
    <w:rsid w:val="00DD1E68"/>
    <w:pPr>
      <w:spacing w:after="0"/>
      <w:ind w:left="480"/>
    </w:pPr>
    <w:rPr>
      <w:sz w:val="20"/>
      <w:szCs w:val="20"/>
    </w:rPr>
  </w:style>
  <w:style w:type="paragraph" w:styleId="TOC4">
    <w:name w:val="toc 4"/>
    <w:basedOn w:val="Normal"/>
    <w:next w:val="Normal"/>
    <w:autoRedefine/>
    <w:uiPriority w:val="39"/>
    <w:semiHidden/>
    <w:unhideWhenUsed/>
    <w:rsid w:val="00DD1E68"/>
    <w:pPr>
      <w:spacing w:after="0"/>
      <w:ind w:left="720"/>
    </w:pPr>
    <w:rPr>
      <w:sz w:val="20"/>
      <w:szCs w:val="20"/>
    </w:rPr>
  </w:style>
  <w:style w:type="paragraph" w:styleId="TOC5">
    <w:name w:val="toc 5"/>
    <w:basedOn w:val="Normal"/>
    <w:next w:val="Normal"/>
    <w:autoRedefine/>
    <w:uiPriority w:val="39"/>
    <w:semiHidden/>
    <w:unhideWhenUsed/>
    <w:rsid w:val="00DD1E68"/>
    <w:pPr>
      <w:spacing w:after="0"/>
      <w:ind w:left="960"/>
    </w:pPr>
    <w:rPr>
      <w:sz w:val="20"/>
      <w:szCs w:val="20"/>
    </w:rPr>
  </w:style>
  <w:style w:type="paragraph" w:styleId="TOC6">
    <w:name w:val="toc 6"/>
    <w:basedOn w:val="Normal"/>
    <w:next w:val="Normal"/>
    <w:autoRedefine/>
    <w:uiPriority w:val="39"/>
    <w:semiHidden/>
    <w:unhideWhenUsed/>
    <w:rsid w:val="00DD1E68"/>
    <w:pPr>
      <w:spacing w:after="0"/>
      <w:ind w:left="1200"/>
    </w:pPr>
    <w:rPr>
      <w:sz w:val="20"/>
      <w:szCs w:val="20"/>
    </w:rPr>
  </w:style>
  <w:style w:type="paragraph" w:styleId="TOC7">
    <w:name w:val="toc 7"/>
    <w:basedOn w:val="Normal"/>
    <w:next w:val="Normal"/>
    <w:autoRedefine/>
    <w:uiPriority w:val="39"/>
    <w:semiHidden/>
    <w:unhideWhenUsed/>
    <w:rsid w:val="00DD1E68"/>
    <w:pPr>
      <w:spacing w:after="0"/>
      <w:ind w:left="1440"/>
    </w:pPr>
    <w:rPr>
      <w:sz w:val="20"/>
      <w:szCs w:val="20"/>
    </w:rPr>
  </w:style>
  <w:style w:type="paragraph" w:styleId="TOC8">
    <w:name w:val="toc 8"/>
    <w:basedOn w:val="Normal"/>
    <w:next w:val="Normal"/>
    <w:autoRedefine/>
    <w:uiPriority w:val="39"/>
    <w:semiHidden/>
    <w:unhideWhenUsed/>
    <w:rsid w:val="00DD1E68"/>
    <w:pPr>
      <w:spacing w:after="0"/>
      <w:ind w:left="1680"/>
    </w:pPr>
    <w:rPr>
      <w:sz w:val="20"/>
      <w:szCs w:val="20"/>
    </w:rPr>
  </w:style>
  <w:style w:type="paragraph" w:styleId="TOC9">
    <w:name w:val="toc 9"/>
    <w:basedOn w:val="Normal"/>
    <w:next w:val="Normal"/>
    <w:autoRedefine/>
    <w:uiPriority w:val="39"/>
    <w:semiHidden/>
    <w:unhideWhenUsed/>
    <w:rsid w:val="00DD1E68"/>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mc.ncbi.nlm.nih.gov/articles/PMC3391076/" TargetMode="External"/><Relationship Id="rId13" Type="http://schemas.openxmlformats.org/officeDocument/2006/relationships/hyperlink" Target="https://pmc.ncbi.nlm.nih.gov/articles/PMC12133602/" TargetMode="External"/><Relationship Id="rId3" Type="http://schemas.openxmlformats.org/officeDocument/2006/relationships/webSettings" Target="webSettings.xml"/><Relationship Id="rId7" Type="http://schemas.openxmlformats.org/officeDocument/2006/relationships/hyperlink" Target="https://pmc.ncbi.nlm.nih.gov/articles/PMC3596494/" TargetMode="External"/><Relationship Id="rId12" Type="http://schemas.openxmlformats.org/officeDocument/2006/relationships/hyperlink" Target="https://pmc.ncbi.nlm.nih.gov/articles/PMC3596494/"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mc.ncbi.nlm.nih.gov/articles/PMC12133602/" TargetMode="External"/><Relationship Id="rId11" Type="http://schemas.openxmlformats.org/officeDocument/2006/relationships/hyperlink" Target="https://pmc.ncbi.nlm.nih.gov/articles/PMC3391076/" TargetMode="External"/><Relationship Id="rId5" Type="http://schemas.openxmlformats.org/officeDocument/2006/relationships/image" Target="cid:image001.png@01D0EA4A.2BD679A0" TargetMode="External"/><Relationship Id="rId15" Type="http://schemas.openxmlformats.org/officeDocument/2006/relationships/theme" Target="theme/theme1.xml"/><Relationship Id="rId10" Type="http://schemas.openxmlformats.org/officeDocument/2006/relationships/hyperlink" Target="https://pmc.ncbi.nlm.nih.gov/articles/PMC7904105/" TargetMode="External"/><Relationship Id="rId4" Type="http://schemas.openxmlformats.org/officeDocument/2006/relationships/image" Target="media/image1.png"/><Relationship Id="rId9" Type="http://schemas.openxmlformats.org/officeDocument/2006/relationships/hyperlink" Target="https://pmc.ncbi.nlm.nih.gov/articles/PMC7904105/"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TotalTime>
  <Pages>6</Pages>
  <Words>1828</Words>
  <Characters>10423</Characters>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2026-03-10T13:15:00Z</dcterms:created>
  <dcterms:modified xsi:type="dcterms:W3CDTF">2026-03-10T16:03:00Z</dcterms:modified>
</cp:coreProperties>
</file>