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646B6C" w14:textId="77777777" w:rsidR="00C6004B" w:rsidRDefault="00C6004B" w:rsidP="00811D90">
      <w:pPr>
        <w:pStyle w:val="Title"/>
      </w:pPr>
    </w:p>
    <w:p w14:paraId="04A9A3AD" w14:textId="77777777" w:rsidR="001469B2" w:rsidRDefault="001469B2" w:rsidP="001469B2">
      <w:pPr>
        <w:pStyle w:val="Title"/>
        <w:jc w:val="center"/>
      </w:pPr>
    </w:p>
    <w:p w14:paraId="7AF8D958" w14:textId="77777777" w:rsidR="001469B2" w:rsidRPr="00EC6852" w:rsidRDefault="001469B2" w:rsidP="001469B2">
      <w:pPr>
        <w:pStyle w:val="Title"/>
        <w:jc w:val="center"/>
        <w:rPr>
          <w:szCs w:val="36"/>
        </w:rPr>
      </w:pPr>
      <w:r w:rsidRPr="00EC6852">
        <w:rPr>
          <w:szCs w:val="36"/>
        </w:rPr>
        <w:t>University Of Wales</w:t>
      </w:r>
    </w:p>
    <w:p w14:paraId="37B6F955" w14:textId="77777777" w:rsidR="001469B2" w:rsidRPr="00EC6852" w:rsidRDefault="001469B2" w:rsidP="001469B2">
      <w:pPr>
        <w:pStyle w:val="Title"/>
        <w:jc w:val="center"/>
        <w:rPr>
          <w:szCs w:val="36"/>
        </w:rPr>
      </w:pPr>
      <w:r w:rsidRPr="00EC6852">
        <w:rPr>
          <w:szCs w:val="36"/>
        </w:rPr>
        <w:t>Trinity Saint David</w:t>
      </w:r>
    </w:p>
    <w:p w14:paraId="01880F2B" w14:textId="77777777" w:rsidR="001469B2" w:rsidRPr="00127270" w:rsidRDefault="001469B2" w:rsidP="001469B2">
      <w:pPr>
        <w:pStyle w:val="Title"/>
        <w:jc w:val="center"/>
      </w:pPr>
    </w:p>
    <w:p w14:paraId="5BBA9D91" w14:textId="77777777" w:rsidR="001469B2" w:rsidRPr="00127270" w:rsidRDefault="001469B2" w:rsidP="001469B2">
      <w:pPr>
        <w:pStyle w:val="Title"/>
        <w:jc w:val="center"/>
      </w:pPr>
    </w:p>
    <w:p w14:paraId="213B9F51" w14:textId="77777777" w:rsidR="001469B2" w:rsidRPr="00EC6852" w:rsidRDefault="001469B2" w:rsidP="001469B2">
      <w:pPr>
        <w:pStyle w:val="Title"/>
        <w:jc w:val="center"/>
        <w:rPr>
          <w:szCs w:val="36"/>
        </w:rPr>
      </w:pPr>
      <w:r>
        <w:rPr>
          <w:szCs w:val="36"/>
        </w:rPr>
        <w:t>Managing People</w:t>
      </w:r>
    </w:p>
    <w:p w14:paraId="075BAAFD" w14:textId="77777777" w:rsidR="001469B2" w:rsidRPr="00EC6852" w:rsidRDefault="001469B2" w:rsidP="001469B2">
      <w:pPr>
        <w:pStyle w:val="Title"/>
        <w:jc w:val="center"/>
        <w:rPr>
          <w:szCs w:val="36"/>
        </w:rPr>
      </w:pPr>
      <w:r>
        <w:rPr>
          <w:szCs w:val="36"/>
        </w:rPr>
        <w:t>(LCBB5004</w:t>
      </w:r>
      <w:r w:rsidRPr="00EC6852">
        <w:rPr>
          <w:szCs w:val="36"/>
        </w:rPr>
        <w:t>)</w:t>
      </w:r>
    </w:p>
    <w:p w14:paraId="62BB671A" w14:textId="058D209C" w:rsidR="001469B2" w:rsidRPr="00EC6852" w:rsidRDefault="001469B2" w:rsidP="001469B2">
      <w:pPr>
        <w:pStyle w:val="Title"/>
        <w:jc w:val="center"/>
        <w:rPr>
          <w:szCs w:val="36"/>
          <w:u w:val="single"/>
        </w:rPr>
      </w:pPr>
      <w:r>
        <w:rPr>
          <w:szCs w:val="36"/>
          <w:u w:val="single"/>
        </w:rPr>
        <w:t>Assignment 2</w:t>
      </w:r>
    </w:p>
    <w:p w14:paraId="4A6F3D51" w14:textId="77777777" w:rsidR="001469B2" w:rsidRPr="00CD5D0B" w:rsidRDefault="001469B2" w:rsidP="001469B2">
      <w:pPr>
        <w:jc w:val="center"/>
        <w:rPr>
          <w:sz w:val="28"/>
          <w:szCs w:val="28"/>
        </w:rPr>
      </w:pPr>
    </w:p>
    <w:p w14:paraId="28902358" w14:textId="77777777" w:rsidR="001469B2" w:rsidRPr="00CD5D0B" w:rsidRDefault="001469B2" w:rsidP="001469B2">
      <w:pPr>
        <w:jc w:val="center"/>
        <w:rPr>
          <w:b/>
          <w:sz w:val="28"/>
          <w:szCs w:val="28"/>
        </w:rPr>
      </w:pPr>
      <w:r>
        <w:rPr>
          <w:b/>
          <w:sz w:val="28"/>
          <w:szCs w:val="28"/>
        </w:rPr>
        <w:t xml:space="preserve">Name: </w:t>
      </w:r>
      <w:proofErr w:type="spellStart"/>
      <w:r>
        <w:rPr>
          <w:b/>
          <w:sz w:val="28"/>
          <w:szCs w:val="28"/>
        </w:rPr>
        <w:t>Vanya</w:t>
      </w:r>
      <w:proofErr w:type="spellEnd"/>
      <w:r>
        <w:rPr>
          <w:b/>
          <w:sz w:val="28"/>
          <w:szCs w:val="28"/>
        </w:rPr>
        <w:t xml:space="preserve"> </w:t>
      </w:r>
      <w:proofErr w:type="spellStart"/>
      <w:r>
        <w:rPr>
          <w:b/>
          <w:sz w:val="28"/>
          <w:szCs w:val="28"/>
        </w:rPr>
        <w:t>Nikolova</w:t>
      </w:r>
      <w:proofErr w:type="spellEnd"/>
    </w:p>
    <w:p w14:paraId="3CA8B56B" w14:textId="77777777" w:rsidR="001469B2" w:rsidRPr="00CD5D0B" w:rsidRDefault="001469B2" w:rsidP="001469B2">
      <w:pPr>
        <w:jc w:val="center"/>
        <w:rPr>
          <w:b/>
          <w:sz w:val="28"/>
          <w:szCs w:val="28"/>
        </w:rPr>
      </w:pPr>
      <w:r>
        <w:rPr>
          <w:b/>
          <w:sz w:val="28"/>
          <w:szCs w:val="28"/>
        </w:rPr>
        <w:t>Student Number: 1920484</w:t>
      </w:r>
    </w:p>
    <w:p w14:paraId="2F44AA88" w14:textId="77777777" w:rsidR="001469B2" w:rsidRPr="00CD5D0B" w:rsidRDefault="001469B2" w:rsidP="001469B2">
      <w:pPr>
        <w:jc w:val="center"/>
        <w:rPr>
          <w:b/>
          <w:sz w:val="28"/>
          <w:szCs w:val="28"/>
        </w:rPr>
      </w:pPr>
      <w:r>
        <w:rPr>
          <w:b/>
          <w:sz w:val="28"/>
          <w:szCs w:val="28"/>
        </w:rPr>
        <w:t>Module Title: Managing People</w:t>
      </w:r>
      <w:r w:rsidRPr="00CD5D0B">
        <w:rPr>
          <w:b/>
          <w:sz w:val="28"/>
          <w:szCs w:val="28"/>
        </w:rPr>
        <w:t xml:space="preserve"> </w:t>
      </w:r>
    </w:p>
    <w:p w14:paraId="784EE304" w14:textId="77777777" w:rsidR="001469B2" w:rsidRDefault="001469B2" w:rsidP="001469B2">
      <w:pPr>
        <w:jc w:val="center"/>
        <w:rPr>
          <w:b/>
          <w:sz w:val="28"/>
          <w:szCs w:val="28"/>
        </w:rPr>
      </w:pPr>
      <w:r>
        <w:rPr>
          <w:b/>
          <w:sz w:val="28"/>
          <w:szCs w:val="28"/>
        </w:rPr>
        <w:t xml:space="preserve">Module Lecturer: Charles </w:t>
      </w:r>
      <w:proofErr w:type="spellStart"/>
      <w:r>
        <w:rPr>
          <w:b/>
          <w:sz w:val="28"/>
          <w:szCs w:val="28"/>
        </w:rPr>
        <w:t>Oham</w:t>
      </w:r>
      <w:proofErr w:type="spellEnd"/>
    </w:p>
    <w:p w14:paraId="00C18390" w14:textId="77777777" w:rsidR="00811D90" w:rsidRPr="00CD5D0B" w:rsidRDefault="00811D90" w:rsidP="00811D90">
      <w:pPr>
        <w:jc w:val="center"/>
        <w:rPr>
          <w:b/>
          <w:sz w:val="28"/>
          <w:szCs w:val="28"/>
        </w:rPr>
      </w:pPr>
      <w:r w:rsidRPr="00CD5D0B">
        <w:rPr>
          <w:b/>
          <w:sz w:val="28"/>
          <w:szCs w:val="28"/>
        </w:rPr>
        <w:t xml:space="preserve">Assignment Title: </w:t>
      </w:r>
    </w:p>
    <w:p w14:paraId="2FA2F97D" w14:textId="40961422" w:rsidR="007818A9" w:rsidRDefault="00811D90" w:rsidP="00811D90">
      <w:pPr>
        <w:jc w:val="center"/>
        <w:rPr>
          <w:b/>
          <w:sz w:val="28"/>
          <w:szCs w:val="28"/>
        </w:rPr>
      </w:pPr>
      <w:r>
        <w:rPr>
          <w:b/>
          <w:sz w:val="28"/>
          <w:szCs w:val="28"/>
        </w:rPr>
        <w:t>Employee Engagement in Tesco</w:t>
      </w:r>
    </w:p>
    <w:p w14:paraId="1A4A03CF" w14:textId="77777777" w:rsidR="007818A9" w:rsidRDefault="007818A9" w:rsidP="001469B2">
      <w:pPr>
        <w:jc w:val="center"/>
        <w:rPr>
          <w:b/>
          <w:sz w:val="28"/>
          <w:szCs w:val="28"/>
        </w:rPr>
      </w:pPr>
    </w:p>
    <w:p w14:paraId="18914216" w14:textId="7DA04686" w:rsidR="000C3D68" w:rsidRDefault="000C3D68">
      <w:pPr>
        <w:spacing w:before="0" w:after="200" w:line="276" w:lineRule="auto"/>
        <w:jc w:val="left"/>
        <w:rPr>
          <w:b/>
        </w:rPr>
      </w:pPr>
    </w:p>
    <w:sdt>
      <w:sdtPr>
        <w:rPr>
          <w:rFonts w:asciiTheme="minorHAnsi" w:eastAsiaTheme="minorHAnsi" w:hAnsiTheme="minorHAnsi" w:cs="Times New Roman"/>
          <w:b w:val="0"/>
          <w:bCs w:val="0"/>
          <w:color w:val="auto"/>
          <w:sz w:val="24"/>
          <w:szCs w:val="24"/>
          <w:lang w:val="en-GB" w:eastAsia="en-US"/>
        </w:rPr>
        <w:id w:val="2105065157"/>
        <w:docPartObj>
          <w:docPartGallery w:val="Table of Contents"/>
          <w:docPartUnique/>
        </w:docPartObj>
      </w:sdtPr>
      <w:sdtEndPr>
        <w:rPr>
          <w:noProof/>
        </w:rPr>
      </w:sdtEndPr>
      <w:sdtContent>
        <w:p w14:paraId="17A1174B" w14:textId="77777777" w:rsidR="000C3D68" w:rsidRDefault="000C3D68">
          <w:pPr>
            <w:pStyle w:val="TOCHeading"/>
          </w:pPr>
          <w:r>
            <w:t>Contents</w:t>
          </w:r>
        </w:p>
        <w:p w14:paraId="1A074ECC" w14:textId="77777777" w:rsidR="000C3D68" w:rsidRDefault="000C3D68">
          <w:pPr>
            <w:pStyle w:val="TOC1"/>
            <w:tabs>
              <w:tab w:val="right" w:leader="dot" w:pos="9016"/>
            </w:tabs>
            <w:rPr>
              <w:noProof/>
            </w:rPr>
          </w:pPr>
          <w:r>
            <w:fldChar w:fldCharType="begin"/>
          </w:r>
          <w:r>
            <w:instrText xml:space="preserve"> TOC \o "1-3" \h \z \u </w:instrText>
          </w:r>
          <w:r>
            <w:fldChar w:fldCharType="separate"/>
          </w:r>
          <w:hyperlink w:anchor="_Toc77930028" w:history="1">
            <w:r w:rsidRPr="005F34B8">
              <w:rPr>
                <w:rStyle w:val="Hyperlink"/>
                <w:noProof/>
              </w:rPr>
              <w:t>INTRODUCTION</w:t>
            </w:r>
            <w:r>
              <w:rPr>
                <w:noProof/>
                <w:webHidden/>
              </w:rPr>
              <w:tab/>
            </w:r>
            <w:r>
              <w:rPr>
                <w:noProof/>
                <w:webHidden/>
              </w:rPr>
              <w:fldChar w:fldCharType="begin"/>
            </w:r>
            <w:r>
              <w:rPr>
                <w:noProof/>
                <w:webHidden/>
              </w:rPr>
              <w:instrText xml:space="preserve"> PAGEREF _Toc77930028 \h </w:instrText>
            </w:r>
            <w:r>
              <w:rPr>
                <w:noProof/>
                <w:webHidden/>
              </w:rPr>
            </w:r>
            <w:r>
              <w:rPr>
                <w:noProof/>
                <w:webHidden/>
              </w:rPr>
              <w:fldChar w:fldCharType="separate"/>
            </w:r>
            <w:r>
              <w:rPr>
                <w:noProof/>
                <w:webHidden/>
              </w:rPr>
              <w:t>3</w:t>
            </w:r>
            <w:r>
              <w:rPr>
                <w:noProof/>
                <w:webHidden/>
              </w:rPr>
              <w:fldChar w:fldCharType="end"/>
            </w:r>
          </w:hyperlink>
        </w:p>
        <w:p w14:paraId="2566A494" w14:textId="77777777" w:rsidR="000C3D68" w:rsidRDefault="00066390">
          <w:pPr>
            <w:pStyle w:val="TOC1"/>
            <w:tabs>
              <w:tab w:val="right" w:leader="dot" w:pos="9016"/>
            </w:tabs>
            <w:rPr>
              <w:noProof/>
            </w:rPr>
          </w:pPr>
          <w:hyperlink w:anchor="_Toc77930029" w:history="1">
            <w:r w:rsidR="000C3D68" w:rsidRPr="005F34B8">
              <w:rPr>
                <w:rStyle w:val="Hyperlink"/>
                <w:noProof/>
              </w:rPr>
              <w:t>CONCEPT AND DRIVERS OF EMPLOYEE ENGAGEMENT</w:t>
            </w:r>
            <w:r w:rsidR="000C3D68">
              <w:rPr>
                <w:noProof/>
                <w:webHidden/>
              </w:rPr>
              <w:tab/>
            </w:r>
            <w:r w:rsidR="000C3D68">
              <w:rPr>
                <w:noProof/>
                <w:webHidden/>
              </w:rPr>
              <w:fldChar w:fldCharType="begin"/>
            </w:r>
            <w:r w:rsidR="000C3D68">
              <w:rPr>
                <w:noProof/>
                <w:webHidden/>
              </w:rPr>
              <w:instrText xml:space="preserve"> PAGEREF _Toc77930029 \h </w:instrText>
            </w:r>
            <w:r w:rsidR="000C3D68">
              <w:rPr>
                <w:noProof/>
                <w:webHidden/>
              </w:rPr>
            </w:r>
            <w:r w:rsidR="000C3D68">
              <w:rPr>
                <w:noProof/>
                <w:webHidden/>
              </w:rPr>
              <w:fldChar w:fldCharType="separate"/>
            </w:r>
            <w:r w:rsidR="000C3D68">
              <w:rPr>
                <w:noProof/>
                <w:webHidden/>
              </w:rPr>
              <w:t>4</w:t>
            </w:r>
            <w:r w:rsidR="000C3D68">
              <w:rPr>
                <w:noProof/>
                <w:webHidden/>
              </w:rPr>
              <w:fldChar w:fldCharType="end"/>
            </w:r>
          </w:hyperlink>
        </w:p>
        <w:p w14:paraId="6DC48BA4" w14:textId="77777777" w:rsidR="000C3D68" w:rsidRDefault="00066390">
          <w:pPr>
            <w:pStyle w:val="TOC1"/>
            <w:tabs>
              <w:tab w:val="right" w:leader="dot" w:pos="9016"/>
            </w:tabs>
            <w:rPr>
              <w:noProof/>
            </w:rPr>
          </w:pPr>
          <w:hyperlink w:anchor="_Toc77930030" w:history="1">
            <w:r w:rsidR="000C3D68" w:rsidRPr="005F34B8">
              <w:rPr>
                <w:rStyle w:val="Hyperlink"/>
                <w:noProof/>
              </w:rPr>
              <w:t>EVALUATION OF DIAGNOSTIC TOOLS TO MEASURE ENGAGEMENT</w:t>
            </w:r>
            <w:r w:rsidR="000C3D68">
              <w:rPr>
                <w:noProof/>
                <w:webHidden/>
              </w:rPr>
              <w:tab/>
            </w:r>
            <w:r w:rsidR="000C3D68">
              <w:rPr>
                <w:noProof/>
                <w:webHidden/>
              </w:rPr>
              <w:fldChar w:fldCharType="begin"/>
            </w:r>
            <w:r w:rsidR="000C3D68">
              <w:rPr>
                <w:noProof/>
                <w:webHidden/>
              </w:rPr>
              <w:instrText xml:space="preserve"> PAGEREF _Toc77930030 \h </w:instrText>
            </w:r>
            <w:r w:rsidR="000C3D68">
              <w:rPr>
                <w:noProof/>
                <w:webHidden/>
              </w:rPr>
            </w:r>
            <w:r w:rsidR="000C3D68">
              <w:rPr>
                <w:noProof/>
                <w:webHidden/>
              </w:rPr>
              <w:fldChar w:fldCharType="separate"/>
            </w:r>
            <w:r w:rsidR="000C3D68">
              <w:rPr>
                <w:noProof/>
                <w:webHidden/>
              </w:rPr>
              <w:t>6</w:t>
            </w:r>
            <w:r w:rsidR="000C3D68">
              <w:rPr>
                <w:noProof/>
                <w:webHidden/>
              </w:rPr>
              <w:fldChar w:fldCharType="end"/>
            </w:r>
          </w:hyperlink>
        </w:p>
        <w:p w14:paraId="282E1687" w14:textId="77777777" w:rsidR="000C3D68" w:rsidRDefault="00066390">
          <w:pPr>
            <w:pStyle w:val="TOC1"/>
            <w:tabs>
              <w:tab w:val="right" w:leader="dot" w:pos="9016"/>
            </w:tabs>
            <w:rPr>
              <w:noProof/>
            </w:rPr>
          </w:pPr>
          <w:hyperlink w:anchor="_Toc77930031" w:history="1">
            <w:r w:rsidR="000C3D68" w:rsidRPr="005F34B8">
              <w:rPr>
                <w:rStyle w:val="Hyperlink"/>
                <w:noProof/>
              </w:rPr>
              <w:t>EMPLOYEE VALUE PROPOSITION FROM THE IDEAS AND ANALYSIS INCLUDING STRATEGIES TO RAISE LEVELS OF ENGAGEMENT</w:t>
            </w:r>
            <w:r w:rsidR="000C3D68">
              <w:rPr>
                <w:noProof/>
                <w:webHidden/>
              </w:rPr>
              <w:tab/>
            </w:r>
            <w:r w:rsidR="000C3D68">
              <w:rPr>
                <w:noProof/>
                <w:webHidden/>
              </w:rPr>
              <w:fldChar w:fldCharType="begin"/>
            </w:r>
            <w:r w:rsidR="000C3D68">
              <w:rPr>
                <w:noProof/>
                <w:webHidden/>
              </w:rPr>
              <w:instrText xml:space="preserve"> PAGEREF _Toc77930031 \h </w:instrText>
            </w:r>
            <w:r w:rsidR="000C3D68">
              <w:rPr>
                <w:noProof/>
                <w:webHidden/>
              </w:rPr>
            </w:r>
            <w:r w:rsidR="000C3D68">
              <w:rPr>
                <w:noProof/>
                <w:webHidden/>
              </w:rPr>
              <w:fldChar w:fldCharType="separate"/>
            </w:r>
            <w:r w:rsidR="000C3D68">
              <w:rPr>
                <w:noProof/>
                <w:webHidden/>
              </w:rPr>
              <w:t>9</w:t>
            </w:r>
            <w:r w:rsidR="000C3D68">
              <w:rPr>
                <w:noProof/>
                <w:webHidden/>
              </w:rPr>
              <w:fldChar w:fldCharType="end"/>
            </w:r>
          </w:hyperlink>
        </w:p>
        <w:p w14:paraId="0B230DF1" w14:textId="77777777" w:rsidR="000C3D68" w:rsidRDefault="00066390">
          <w:pPr>
            <w:pStyle w:val="TOC1"/>
            <w:tabs>
              <w:tab w:val="right" w:leader="dot" w:pos="9016"/>
            </w:tabs>
            <w:rPr>
              <w:noProof/>
            </w:rPr>
          </w:pPr>
          <w:hyperlink w:anchor="_Toc77930032" w:history="1">
            <w:r w:rsidR="000C3D68" w:rsidRPr="005F34B8">
              <w:rPr>
                <w:rStyle w:val="Hyperlink"/>
                <w:noProof/>
              </w:rPr>
              <w:t>REFERENCE</w:t>
            </w:r>
            <w:r w:rsidR="000C3D68">
              <w:rPr>
                <w:noProof/>
                <w:webHidden/>
              </w:rPr>
              <w:tab/>
            </w:r>
            <w:r w:rsidR="000C3D68">
              <w:rPr>
                <w:noProof/>
                <w:webHidden/>
              </w:rPr>
              <w:fldChar w:fldCharType="begin"/>
            </w:r>
            <w:r w:rsidR="000C3D68">
              <w:rPr>
                <w:noProof/>
                <w:webHidden/>
              </w:rPr>
              <w:instrText xml:space="preserve"> PAGEREF _Toc77930032 \h </w:instrText>
            </w:r>
            <w:r w:rsidR="000C3D68">
              <w:rPr>
                <w:noProof/>
                <w:webHidden/>
              </w:rPr>
            </w:r>
            <w:r w:rsidR="000C3D68">
              <w:rPr>
                <w:noProof/>
                <w:webHidden/>
              </w:rPr>
              <w:fldChar w:fldCharType="separate"/>
            </w:r>
            <w:r w:rsidR="000C3D68">
              <w:rPr>
                <w:noProof/>
                <w:webHidden/>
              </w:rPr>
              <w:t>13</w:t>
            </w:r>
            <w:r w:rsidR="000C3D68">
              <w:rPr>
                <w:noProof/>
                <w:webHidden/>
              </w:rPr>
              <w:fldChar w:fldCharType="end"/>
            </w:r>
          </w:hyperlink>
        </w:p>
        <w:p w14:paraId="5ADA824F" w14:textId="77777777" w:rsidR="000C3D68" w:rsidRDefault="000C3D68">
          <w:r>
            <w:rPr>
              <w:b/>
              <w:bCs/>
              <w:noProof/>
            </w:rPr>
            <w:fldChar w:fldCharType="end"/>
          </w:r>
        </w:p>
      </w:sdtContent>
    </w:sdt>
    <w:p w14:paraId="0BC5ED8A" w14:textId="77777777" w:rsidR="00C6004B" w:rsidRDefault="00C6004B">
      <w:pPr>
        <w:spacing w:before="0" w:after="200" w:line="276" w:lineRule="auto"/>
        <w:jc w:val="left"/>
        <w:rPr>
          <w:b/>
        </w:rPr>
      </w:pPr>
      <w:r>
        <w:rPr>
          <w:b/>
        </w:rPr>
        <w:br w:type="page"/>
      </w:r>
    </w:p>
    <w:p w14:paraId="43367CA2" w14:textId="77777777" w:rsidR="00C6004B" w:rsidRDefault="00C6004B" w:rsidP="00C6004B">
      <w:pPr>
        <w:pStyle w:val="Heading1"/>
      </w:pPr>
      <w:bookmarkStart w:id="0" w:name="_Toc77930028"/>
      <w:r>
        <w:lastRenderedPageBreak/>
        <w:t>INTRODUCTION</w:t>
      </w:r>
      <w:bookmarkEnd w:id="0"/>
    </w:p>
    <w:p w14:paraId="1C5820DB" w14:textId="77777777" w:rsidR="00C6004B" w:rsidRDefault="00C6004B" w:rsidP="00C6004B">
      <w:pPr>
        <w:rPr>
          <w:b/>
        </w:rPr>
      </w:pPr>
      <w:r>
        <w:t>In second assessment an in-depth report will be developed that involves concepts and drivers of the employee engagement, later evaluation of diagnostic tools will be done to measure the employee engagement at workplace. After that an employee value proposition will be analysed and strategies will be identified that help the company in rising levels of the employee engagement at workplace. For this study Tesco Company has been taken into consideration in order to achieve the learning objective of this study.</w:t>
      </w:r>
      <w:r>
        <w:rPr>
          <w:b/>
        </w:rPr>
        <w:br w:type="page"/>
      </w:r>
    </w:p>
    <w:p w14:paraId="6DA7F61F" w14:textId="77777777" w:rsidR="00C6004B" w:rsidRDefault="00C6004B" w:rsidP="00C6004B">
      <w:pPr>
        <w:pStyle w:val="Heading1"/>
      </w:pPr>
      <w:bookmarkStart w:id="1" w:name="_Toc77891261"/>
      <w:bookmarkStart w:id="2" w:name="_Toc77930029"/>
      <w:r>
        <w:lastRenderedPageBreak/>
        <w:t>CONCEPT AND DRIVERS OF EMPLOYEE ENGAGEMENT</w:t>
      </w:r>
      <w:bookmarkEnd w:id="1"/>
      <w:bookmarkEnd w:id="2"/>
      <w:r>
        <w:t xml:space="preserve"> </w:t>
      </w:r>
    </w:p>
    <w:p w14:paraId="5F99E318" w14:textId="77777777" w:rsidR="00C6004B" w:rsidRDefault="00C6004B" w:rsidP="00C6004B">
      <w:r w:rsidRPr="00C14E63">
        <w:t xml:space="preserve">Employees need to understand what inspires and motivates them to be interested with their work in a personal way to enhance their involvement. Employee participation is nonetheless not ubiquitous. </w:t>
      </w:r>
      <w:r>
        <w:t>Tesco</w:t>
      </w:r>
      <w:r w:rsidRPr="00C14E63">
        <w:t xml:space="preserve"> can distinguish across organisations and even between several employee groups in one company. Drivers can also change over time or for external reasons (like an economic depression or public health crisis).</w:t>
      </w:r>
      <w:r>
        <w:t xml:space="preserve"> It is particularly useful to return to the foundations and capture the variables which enable individuals to focus and to do their best amid times of fast economic, social, and technical changes (</w:t>
      </w:r>
      <w:proofErr w:type="spellStart"/>
      <w:r>
        <w:t>Barik</w:t>
      </w:r>
      <w:proofErr w:type="spellEnd"/>
      <w:r w:rsidRPr="00AE2CCD">
        <w:t xml:space="preserve"> and </w:t>
      </w:r>
      <w:proofErr w:type="spellStart"/>
      <w:r w:rsidRPr="00AE2CCD">
        <w:t>Kochar</w:t>
      </w:r>
      <w:proofErr w:type="spellEnd"/>
      <w:r w:rsidRPr="00AE2CCD">
        <w:t>, 2017</w:t>
      </w:r>
      <w:r>
        <w:t>). The dedication of the employees generally depends on their wish:</w:t>
      </w:r>
    </w:p>
    <w:p w14:paraId="2DA9F5D9" w14:textId="77777777" w:rsidR="00C6004B" w:rsidRDefault="00C6004B" w:rsidP="00C6004B">
      <w:pPr>
        <w:pStyle w:val="ListParagraph"/>
        <w:numPr>
          <w:ilvl w:val="0"/>
          <w:numId w:val="1"/>
        </w:numPr>
      </w:pPr>
      <w:r>
        <w:t>A major task</w:t>
      </w:r>
    </w:p>
    <w:p w14:paraId="6C494F69" w14:textId="77777777" w:rsidR="00C6004B" w:rsidRDefault="00C6004B" w:rsidP="00C6004B">
      <w:pPr>
        <w:pStyle w:val="ListParagraph"/>
        <w:numPr>
          <w:ilvl w:val="0"/>
          <w:numId w:val="1"/>
        </w:numPr>
      </w:pPr>
      <w:r>
        <w:t>Career development</w:t>
      </w:r>
    </w:p>
    <w:p w14:paraId="53785738" w14:textId="0821695C" w:rsidR="00C6004B" w:rsidRDefault="00066390" w:rsidP="00C6004B">
      <w:pPr>
        <w:pStyle w:val="ListParagraph"/>
        <w:numPr>
          <w:ilvl w:val="0"/>
          <w:numId w:val="1"/>
        </w:numPr>
      </w:pPr>
      <w:proofErr w:type="gramStart"/>
      <w:r>
        <w:t xml:space="preserve">Empowerment </w:t>
      </w:r>
      <w:r w:rsidR="00C6004B">
        <w:t xml:space="preserve"> Appearance</w:t>
      </w:r>
      <w:proofErr w:type="gramEnd"/>
    </w:p>
    <w:p w14:paraId="4AB6E4B9" w14:textId="77777777" w:rsidR="00C6004B" w:rsidRDefault="00C6004B" w:rsidP="00C6004B">
      <w:pPr>
        <w:pStyle w:val="ListParagraph"/>
        <w:numPr>
          <w:ilvl w:val="0"/>
          <w:numId w:val="1"/>
        </w:numPr>
      </w:pPr>
      <w:r>
        <w:t>Leadership connections are established</w:t>
      </w:r>
    </w:p>
    <w:p w14:paraId="65715DD4" w14:textId="77777777" w:rsidR="00C6004B" w:rsidRDefault="00C6004B" w:rsidP="00C6004B">
      <w:r w:rsidRPr="00C14E63">
        <w:t xml:space="preserve">Although our working techniques are influenced by technologies and other contemporary practise, certain recurrent factors are the same. For a current approach to </w:t>
      </w:r>
      <w:r>
        <w:t>Company</w:t>
      </w:r>
      <w:r w:rsidRPr="00C14E63">
        <w:t xml:space="preserve"> staff, a more personalised approach to these aspects is required. Exploring employee involvement drivers, how </w:t>
      </w:r>
      <w:r>
        <w:t>Tesco</w:t>
      </w:r>
      <w:r w:rsidRPr="00C14E63">
        <w:t xml:space="preserve"> can determine </w:t>
      </w:r>
      <w:r>
        <w:t>Company</w:t>
      </w:r>
      <w:r w:rsidRPr="00C14E63">
        <w:t xml:space="preserve"> organization's top drivers, and how the information can be used to promote employee engagement</w:t>
      </w:r>
      <w:r>
        <w:t xml:space="preserve"> (</w:t>
      </w:r>
      <w:proofErr w:type="spellStart"/>
      <w:r>
        <w:t>Barik</w:t>
      </w:r>
      <w:proofErr w:type="spellEnd"/>
      <w:r w:rsidRPr="00AE2CCD">
        <w:t xml:space="preserve"> and </w:t>
      </w:r>
      <w:proofErr w:type="spellStart"/>
      <w:r w:rsidRPr="00AE2CCD">
        <w:t>Kochar</w:t>
      </w:r>
      <w:proofErr w:type="spellEnd"/>
      <w:r w:rsidRPr="00AE2CCD">
        <w:t>, 2017</w:t>
      </w:r>
      <w:r>
        <w:t>)</w:t>
      </w:r>
      <w:r w:rsidRPr="00C14E63">
        <w:t>.</w:t>
      </w:r>
      <w:r>
        <w:t xml:space="preserve"> Many drivers often affect drivers of employee involvement, for example:</w:t>
      </w:r>
    </w:p>
    <w:p w14:paraId="492978F0" w14:textId="77777777" w:rsidR="00C6004B" w:rsidRDefault="00C6004B" w:rsidP="00C6004B">
      <w:r w:rsidRPr="0095781A">
        <w:rPr>
          <w:b/>
        </w:rPr>
        <w:t>Organizational culture:</w:t>
      </w:r>
      <w:r>
        <w:t xml:space="preserve"> A culture in an organisation embraces the faiths and practices in which it is shaped. Within the company's commitment and culture, culture has an enormous impact on drivers and staff involvement and the prevalent leadership and management practices. In an organisation recognised for innovation, for example, its capacity to talk and share innovative ideas can be linked to engaging drivers. Otherwise, collaborative and executive leaders may be part of an operational efficiency-driven organisational culture (</w:t>
      </w:r>
      <w:proofErr w:type="spellStart"/>
      <w:r>
        <w:t>Lubis</w:t>
      </w:r>
      <w:proofErr w:type="spellEnd"/>
      <w:r w:rsidRPr="00AE2CCD">
        <w:t xml:space="preserve"> and </w:t>
      </w:r>
      <w:proofErr w:type="spellStart"/>
      <w:r w:rsidRPr="00AE2CCD">
        <w:t>Hanum</w:t>
      </w:r>
      <w:proofErr w:type="spellEnd"/>
      <w:r w:rsidRPr="00AE2CCD">
        <w:t>, 2020</w:t>
      </w:r>
      <w:r>
        <w:t>).</w:t>
      </w:r>
    </w:p>
    <w:p w14:paraId="571170BE" w14:textId="77777777" w:rsidR="00C6004B" w:rsidRDefault="00C6004B" w:rsidP="00C6004B">
      <w:r w:rsidRPr="00A135FC">
        <w:rPr>
          <w:b/>
        </w:rPr>
        <w:t>Employee voice:</w:t>
      </w:r>
      <w:r>
        <w:t xml:space="preserve"> A competent employee has a voice. When views are requested, employees should be heard and visibly applied. 'Participation in success' is the voice of an employee </w:t>
      </w:r>
      <w:r>
        <w:lastRenderedPageBreak/>
        <w:t>who represents the true degree of involvement in an organisation and in this respect the Company should identify the mechanisms in place to provide the employee with an adequate platform. It could be a multi-channel process, in most cases including coaching, one-to-one meetings, group meetings, newsletters and conversation with people through technology and social media (</w:t>
      </w:r>
      <w:proofErr w:type="spellStart"/>
      <w:r>
        <w:t>Barik</w:t>
      </w:r>
      <w:proofErr w:type="spellEnd"/>
      <w:r w:rsidRPr="00AE2CCD">
        <w:t xml:space="preserve"> and </w:t>
      </w:r>
      <w:proofErr w:type="spellStart"/>
      <w:r w:rsidRPr="00AE2CCD">
        <w:t>Kochar</w:t>
      </w:r>
      <w:proofErr w:type="spellEnd"/>
      <w:r w:rsidRPr="00AE2CCD">
        <w:t>, 2017</w:t>
      </w:r>
      <w:r>
        <w:t>).</w:t>
      </w:r>
    </w:p>
    <w:p w14:paraId="531F15E5" w14:textId="77777777" w:rsidR="00C6004B" w:rsidRDefault="00C6004B" w:rsidP="00C6004B">
      <w:r w:rsidRPr="00F83979">
        <w:rPr>
          <w:b/>
        </w:rPr>
        <w:t>Leadership:</w:t>
      </w:r>
      <w:r>
        <w:t xml:space="preserve"> </w:t>
      </w:r>
      <w:r w:rsidRPr="00F83979">
        <w:t>Leaders must be seen and contacted in the front line with their staff. While the study changes somewhat from one engagement driver to another, the effects of leadership are widely accepted. Few of us have contact with our Board of Directors or th</w:t>
      </w:r>
      <w:r>
        <w:t xml:space="preserve">e CEO or the major influencers </w:t>
      </w:r>
      <w:r w:rsidRPr="00F83979">
        <w:t xml:space="preserve">Unemployed in </w:t>
      </w:r>
      <w:r>
        <w:t xml:space="preserve">a company. Therefore, </w:t>
      </w:r>
      <w:r w:rsidRPr="00F83979">
        <w:t>can do is interact with our immediate employer, our fellow members and our team</w:t>
      </w:r>
      <w:r>
        <w:t xml:space="preserve"> (</w:t>
      </w:r>
      <w:proofErr w:type="spellStart"/>
      <w:r>
        <w:t>Barik</w:t>
      </w:r>
      <w:proofErr w:type="spellEnd"/>
      <w:r w:rsidRPr="00AE2CCD">
        <w:t xml:space="preserve"> and </w:t>
      </w:r>
      <w:proofErr w:type="spellStart"/>
      <w:r w:rsidRPr="00AE2CCD">
        <w:t>Kochar</w:t>
      </w:r>
      <w:proofErr w:type="spellEnd"/>
      <w:r w:rsidRPr="00AE2CCD">
        <w:t>, 2017</w:t>
      </w:r>
      <w:r>
        <w:t>)</w:t>
      </w:r>
      <w:r w:rsidRPr="00F83979">
        <w:t>.</w:t>
      </w:r>
      <w:r>
        <w:t xml:space="preserve"> </w:t>
      </w:r>
    </w:p>
    <w:p w14:paraId="6A97C91B" w14:textId="77777777" w:rsidR="00C6004B" w:rsidRDefault="00C6004B" w:rsidP="00C6004B">
      <w:r w:rsidRPr="00F83979">
        <w:rPr>
          <w:b/>
        </w:rPr>
        <w:t>Engaging line managers:</w:t>
      </w:r>
      <w:r>
        <w:t xml:space="preserve"> Studies demonstrate that the line manager differs significantly in the level of commitment. Gregory may be most crucial to emphasise that leaders participate while the involvement from the top of an organisation may begin (</w:t>
      </w:r>
      <w:proofErr w:type="spellStart"/>
      <w:r>
        <w:t>Barik</w:t>
      </w:r>
      <w:proofErr w:type="spellEnd"/>
      <w:r w:rsidRPr="00AE2CCD">
        <w:t xml:space="preserve"> and </w:t>
      </w:r>
      <w:proofErr w:type="spellStart"/>
      <w:r w:rsidRPr="00AE2CCD">
        <w:t>Kochar</w:t>
      </w:r>
      <w:proofErr w:type="spellEnd"/>
      <w:r w:rsidRPr="00AE2CCD">
        <w:t>, 2017</w:t>
      </w:r>
      <w:r>
        <w:t>). The research shows that this deception is generally the result of the rejection of five essential principles:</w:t>
      </w:r>
    </w:p>
    <w:p w14:paraId="5C0B059F" w14:textId="77777777" w:rsidR="00C6004B" w:rsidRDefault="00C6004B" w:rsidP="00C6004B">
      <w:pPr>
        <w:pStyle w:val="ListParagraph"/>
        <w:numPr>
          <w:ilvl w:val="0"/>
          <w:numId w:val="2"/>
        </w:numPr>
      </w:pPr>
      <w:r>
        <w:t>Line supervisors lead the participation of their employees.</w:t>
      </w:r>
    </w:p>
    <w:p w14:paraId="2DE3856C" w14:textId="77777777" w:rsidR="00C6004B" w:rsidRDefault="00C6004B" w:rsidP="00C6004B">
      <w:pPr>
        <w:pStyle w:val="ListParagraph"/>
        <w:numPr>
          <w:ilvl w:val="0"/>
          <w:numId w:val="2"/>
        </w:numPr>
      </w:pPr>
      <w:r>
        <w:t>Oversight staff will adequately prepare for open team dialogues.</w:t>
      </w:r>
    </w:p>
    <w:p w14:paraId="0C823FDA" w14:textId="77777777" w:rsidR="00C6004B" w:rsidRDefault="00C6004B" w:rsidP="00C6004B">
      <w:pPr>
        <w:pStyle w:val="ListParagraph"/>
        <w:numPr>
          <w:ilvl w:val="0"/>
          <w:numId w:val="2"/>
        </w:numPr>
      </w:pPr>
      <w:r>
        <w:t>Customer rallying teams.</w:t>
      </w:r>
    </w:p>
    <w:p w14:paraId="7BD849D6" w14:textId="77777777" w:rsidR="00C6004B" w:rsidRDefault="00C6004B" w:rsidP="00C6004B">
      <w:pPr>
        <w:pStyle w:val="ListParagraph"/>
        <w:numPr>
          <w:ilvl w:val="0"/>
          <w:numId w:val="2"/>
        </w:numPr>
      </w:pPr>
      <w:r>
        <w:t>Commitment techniques are suited to different areas of work.</w:t>
      </w:r>
    </w:p>
    <w:p w14:paraId="33958710" w14:textId="77777777" w:rsidR="00C6004B" w:rsidRDefault="00C6004B" w:rsidP="00C6004B">
      <w:pPr>
        <w:pStyle w:val="ListParagraph"/>
        <w:numPr>
          <w:ilvl w:val="0"/>
          <w:numId w:val="2"/>
        </w:numPr>
      </w:pPr>
      <w:r>
        <w:t>The company is not concerned with actions, but with discourse.</w:t>
      </w:r>
    </w:p>
    <w:p w14:paraId="0A6B2F15" w14:textId="77777777" w:rsidR="00C6004B" w:rsidRPr="006F2EDD" w:rsidRDefault="00C6004B" w:rsidP="00C6004B">
      <w:r w:rsidRPr="000F4DE3">
        <w:rPr>
          <w:b/>
        </w:rPr>
        <w:t>Integrity:</w:t>
      </w:r>
      <w:r>
        <w:t xml:space="preserve"> </w:t>
      </w:r>
      <w:r w:rsidRPr="000F4DE3">
        <w:t xml:space="preserve">The behaviour of all companies leading to employee confidence and integrity is compatible with the defined values. </w:t>
      </w:r>
      <w:r>
        <w:t>That is t</w:t>
      </w:r>
      <w:r w:rsidRPr="000F4DE3">
        <w:t>he wider the distance, the greater the lack of confidence. In the Engaging for Success study "engaged associations have strong, real principles with unambiguous evidence of mutual respect for trust and justice, understanding, and complying – between employers and employees – with bilateral agreements and obligations</w:t>
      </w:r>
      <w:r>
        <w:t xml:space="preserve"> (</w:t>
      </w:r>
      <w:proofErr w:type="spellStart"/>
      <w:r>
        <w:t>Barik</w:t>
      </w:r>
      <w:proofErr w:type="spellEnd"/>
      <w:r w:rsidRPr="00AE2CCD">
        <w:t xml:space="preserve"> and </w:t>
      </w:r>
      <w:proofErr w:type="spellStart"/>
      <w:r w:rsidRPr="00AE2CCD">
        <w:t>Kochar</w:t>
      </w:r>
      <w:proofErr w:type="spellEnd"/>
      <w:r w:rsidRPr="00AE2CCD">
        <w:t>, 2017</w:t>
      </w:r>
      <w:r>
        <w:t>)</w:t>
      </w:r>
      <w:r w:rsidRPr="000F4DE3">
        <w:t>.</w:t>
      </w:r>
    </w:p>
    <w:p w14:paraId="4CF9E9EE" w14:textId="77777777" w:rsidR="00C6004B" w:rsidRDefault="00C6004B" w:rsidP="00C6004B">
      <w:pPr>
        <w:pStyle w:val="Heading1"/>
      </w:pPr>
      <w:bookmarkStart w:id="3" w:name="_Toc77891262"/>
      <w:bookmarkStart w:id="4" w:name="_Toc77930030"/>
      <w:r>
        <w:lastRenderedPageBreak/>
        <w:t>EVALUATION OF DIAGNOSTIC TOOLS TO MEASURE ENGAGEMENT</w:t>
      </w:r>
      <w:bookmarkEnd w:id="3"/>
      <w:bookmarkEnd w:id="4"/>
      <w:r>
        <w:t xml:space="preserve"> </w:t>
      </w:r>
    </w:p>
    <w:p w14:paraId="2A903D3C" w14:textId="77777777" w:rsidR="00C6004B" w:rsidRDefault="00C6004B" w:rsidP="00C6004B">
      <w:r>
        <w:t>Use the following tools and ways to enhance employee engagement or participation at workplace:</w:t>
      </w:r>
    </w:p>
    <w:p w14:paraId="7A89DE3E" w14:textId="77777777" w:rsidR="00C6004B" w:rsidRDefault="00C6004B" w:rsidP="00C6004B">
      <w:pPr>
        <w:pStyle w:val="ListParagraph"/>
        <w:numPr>
          <w:ilvl w:val="0"/>
          <w:numId w:val="3"/>
        </w:numPr>
      </w:pPr>
      <w:r w:rsidRPr="000F4DE3">
        <w:rPr>
          <w:b/>
        </w:rPr>
        <w:t>Instruments to communicate employee experience and involvem</w:t>
      </w:r>
      <w:r>
        <w:rPr>
          <w:b/>
        </w:rPr>
        <w:t xml:space="preserve">ent opportunities: </w:t>
      </w:r>
      <w:r>
        <w:t>without staff surveys, no engagement software is complete. However, the only instrument that Tesco should employ is not an annual engagement survey. Search for resources, including yearly pulse and lifetime survey alternatives for staff participation. Between annual commitment surveys, much can happen. Pulses allow fast bulk mass feedback in real time (without the hoopla of a larger, annual survey). These studies help increase communication, transparency and confidence (</w:t>
      </w:r>
      <w:r w:rsidRPr="00A75415">
        <w:t>Bridger</w:t>
      </w:r>
      <w:r>
        <w:t>, 2018).</w:t>
      </w:r>
    </w:p>
    <w:p w14:paraId="161FDA40" w14:textId="77777777" w:rsidR="00C6004B" w:rsidRPr="00282B8B" w:rsidRDefault="00C6004B" w:rsidP="00C6004B">
      <w:pPr>
        <w:pStyle w:val="ListParagraph"/>
        <w:numPr>
          <w:ilvl w:val="0"/>
          <w:numId w:val="3"/>
        </w:numPr>
        <w:rPr>
          <w:b/>
        </w:rPr>
      </w:pPr>
      <w:r w:rsidRPr="00282B8B">
        <w:rPr>
          <w:b/>
        </w:rPr>
        <w:t>Instruments for constructive debat</w:t>
      </w:r>
      <w:r>
        <w:rPr>
          <w:b/>
        </w:rPr>
        <w:t>e:</w:t>
      </w:r>
    </w:p>
    <w:p w14:paraId="5F04881D" w14:textId="77777777" w:rsidR="00C6004B" w:rsidRDefault="00C6004B" w:rsidP="00C6004B">
      <w:pPr>
        <w:pStyle w:val="ListParagraph"/>
      </w:pPr>
      <w:r>
        <w:t xml:space="preserve"> Single-on-one sessions give employees and managers the opportunity to discuss topics not covered by the weekly list. It is time to discuss about learning and development, career progress and work happiness. For instance, software is available to manage the administration elements of one-on-one. Allow discussion of links to achievements and upcoming papers (</w:t>
      </w:r>
      <w:r w:rsidRPr="00A75415">
        <w:t>Bridger</w:t>
      </w:r>
      <w:r>
        <w:t>, 2018).</w:t>
      </w:r>
    </w:p>
    <w:p w14:paraId="4BE6A996" w14:textId="77777777" w:rsidR="00C6004B" w:rsidRPr="00282B8B" w:rsidRDefault="00C6004B" w:rsidP="00C6004B">
      <w:pPr>
        <w:pStyle w:val="ListParagraph"/>
        <w:numPr>
          <w:ilvl w:val="0"/>
          <w:numId w:val="3"/>
        </w:numPr>
        <w:rPr>
          <w:b/>
        </w:rPr>
      </w:pPr>
      <w:r w:rsidRPr="00282B8B">
        <w:rPr>
          <w:b/>
        </w:rPr>
        <w:t>Instruments for continuous feedback</w:t>
      </w:r>
      <w:r>
        <w:rPr>
          <w:b/>
        </w:rPr>
        <w:t>:</w:t>
      </w:r>
      <w:r w:rsidRPr="00282B8B">
        <w:rPr>
          <w:b/>
        </w:rPr>
        <w:t xml:space="preserve"> </w:t>
      </w:r>
    </w:p>
    <w:p w14:paraId="6B04AC4B" w14:textId="77777777" w:rsidR="00C6004B" w:rsidRDefault="00C6004B" w:rsidP="00C6004B">
      <w:pPr>
        <w:pStyle w:val="ListParagraph"/>
      </w:pPr>
      <w:r>
        <w:t>Improved feedback depends on better performance. However, it's not easy to receive feedback (and receive). Make sure the correct instruments provide Company colleagues with feedback. Management groups can develop into more powerful coaches and employees with the correct tools for feedback. Use feedback methods such as a 360 retroactive loop to help everyone realise their strengths and limitations, including individuals, supervisors and reporting directly (</w:t>
      </w:r>
      <w:r w:rsidRPr="00A75415">
        <w:t>Bridger</w:t>
      </w:r>
      <w:r>
        <w:t>, 2018).</w:t>
      </w:r>
    </w:p>
    <w:p w14:paraId="2D529A0E" w14:textId="77777777" w:rsidR="00C6004B" w:rsidRPr="00282B8B" w:rsidRDefault="00C6004B" w:rsidP="00C6004B">
      <w:pPr>
        <w:pStyle w:val="ListParagraph"/>
        <w:numPr>
          <w:ilvl w:val="0"/>
          <w:numId w:val="3"/>
        </w:numPr>
        <w:rPr>
          <w:b/>
        </w:rPr>
      </w:pPr>
      <w:r w:rsidRPr="00282B8B">
        <w:rPr>
          <w:b/>
        </w:rPr>
        <w:t>Instruments for identifying and achieving essential objectives:</w:t>
      </w:r>
    </w:p>
    <w:p w14:paraId="54ECD8A3" w14:textId="77777777" w:rsidR="00C6004B" w:rsidRDefault="00C6004B" w:rsidP="00C6004B">
      <w:pPr>
        <w:pStyle w:val="ListParagraph"/>
      </w:pPr>
      <w:r>
        <w:t xml:space="preserve">In order to succeed, Tesco must point the entire organisation in the same direction. However, if Tesco don't know anyone, it is tough to achieve Company goals. But if Tesco know it like that The aims </w:t>
      </w:r>
      <w:proofErr w:type="gramStart"/>
      <w:r>
        <w:t>of  Workplace</w:t>
      </w:r>
      <w:proofErr w:type="gramEnd"/>
      <w:r>
        <w:t xml:space="preserve"> can enhance the success of Company company's vision for every person and team — cascade targets, visible public authority and weekly progress tracking. Our Platform allows Tesco, for a fully </w:t>
      </w:r>
      <w:r>
        <w:lastRenderedPageBreak/>
        <w:t>integrated campaign, to link Company goals to other key areas of commitment, such as recognition, success and one-off talks (</w:t>
      </w:r>
      <w:r w:rsidRPr="00A75415">
        <w:t>Bridger</w:t>
      </w:r>
      <w:r>
        <w:t>, 2018).</w:t>
      </w:r>
    </w:p>
    <w:p w14:paraId="1D3FBEFB" w14:textId="77777777" w:rsidR="00C6004B" w:rsidRPr="0076674F" w:rsidRDefault="00C6004B" w:rsidP="00C6004B">
      <w:pPr>
        <w:rPr>
          <w:b/>
        </w:rPr>
      </w:pPr>
      <w:r w:rsidRPr="0076674F">
        <w:rPr>
          <w:b/>
        </w:rPr>
        <w:t>MEASURE CULTURE AND ENGAGEMENT AT WORKPLACE:</w:t>
      </w:r>
    </w:p>
    <w:p w14:paraId="318E6DE3" w14:textId="77777777" w:rsidR="00C6004B" w:rsidRPr="00282B8B" w:rsidRDefault="00C6004B" w:rsidP="00C6004B">
      <w:pPr>
        <w:rPr>
          <w:b/>
        </w:rPr>
      </w:pPr>
      <w:r w:rsidRPr="00282B8B">
        <w:rPr>
          <w:b/>
        </w:rPr>
        <w:t>Measure</w:t>
      </w:r>
      <w:r>
        <w:rPr>
          <w:b/>
        </w:rPr>
        <w:t xml:space="preserve"> the organization's involvement:</w:t>
      </w:r>
    </w:p>
    <w:p w14:paraId="401A7AFA" w14:textId="77777777" w:rsidR="00C6004B" w:rsidRDefault="00C6004B" w:rsidP="00C6004B">
      <w:r>
        <w:t>Tesco may develop a foundation throughout Company enterprise perhaps the most famous measurement. The strengths and possibilities Tesco enjoy are examined at a high degree. In addition, the individual groups and teams and future inquiries will have an indicator. The right tool: yearly interview (</w:t>
      </w:r>
      <w:r w:rsidRPr="00A75415">
        <w:t>Bridger</w:t>
      </w:r>
      <w:r>
        <w:t>, 2018).</w:t>
      </w:r>
    </w:p>
    <w:p w14:paraId="52EC96AC" w14:textId="77777777" w:rsidR="00C6004B" w:rsidRPr="0076674F" w:rsidRDefault="00C6004B" w:rsidP="00C6004B">
      <w:pPr>
        <w:rPr>
          <w:b/>
        </w:rPr>
      </w:pPr>
      <w:r w:rsidRPr="0076674F">
        <w:rPr>
          <w:b/>
        </w:rPr>
        <w:t xml:space="preserve">Measure </w:t>
      </w:r>
      <w:r>
        <w:rPr>
          <w:b/>
        </w:rPr>
        <w:t>intergroup and team involvement:</w:t>
      </w:r>
    </w:p>
    <w:p w14:paraId="595D13C2" w14:textId="77777777" w:rsidR="00C6004B" w:rsidRDefault="00C6004B" w:rsidP="00C6004B">
      <w:r>
        <w:t xml:space="preserve">Tesco should classify them in meaningful ways and alert Company organisation when Tesco have corporate data. Consider how Company firm works and splits employees into more specialised groupings, such as departments, offices, positions or sites. Identify locations where more specific topics need to be digested thoroughly. The right instruments: research on annual commitment, pulse and </w:t>
      </w:r>
      <w:proofErr w:type="gramStart"/>
      <w:r>
        <w:t>life-cycle</w:t>
      </w:r>
      <w:proofErr w:type="gramEnd"/>
      <w:r>
        <w:t xml:space="preserve"> research, feedback cycles (</w:t>
      </w:r>
      <w:r w:rsidRPr="00A75415">
        <w:t>Bridger</w:t>
      </w:r>
      <w:r>
        <w:t>, 2018).</w:t>
      </w:r>
    </w:p>
    <w:p w14:paraId="62CBDA0F" w14:textId="77777777" w:rsidR="00C6004B" w:rsidRPr="0076674F" w:rsidRDefault="00C6004B" w:rsidP="00C6004B">
      <w:pPr>
        <w:rPr>
          <w:b/>
        </w:rPr>
      </w:pPr>
      <w:r w:rsidRPr="0076674F">
        <w:rPr>
          <w:b/>
        </w:rPr>
        <w:t>Make individual</w:t>
      </w:r>
      <w:r>
        <w:rPr>
          <w:b/>
        </w:rPr>
        <w:t xml:space="preserve"> measurements of the commitment:</w:t>
      </w:r>
    </w:p>
    <w:p w14:paraId="41795075" w14:textId="77777777" w:rsidR="00C6004B" w:rsidRDefault="00C6004B" w:rsidP="00C6004B">
      <w:r>
        <w:t xml:space="preserve">Tesco must involve people within a given group or team. Managers are crucial for an engagement mission here. Tesco cannot just rely on surveys for individual perceptions to be collected and analysed. Tesco must be always up to date with what is going on at a specific level with Company supervisors. The right tools: feedback, one-on-one meetings, metrics for talent review, objective monitoring, </w:t>
      </w:r>
      <w:proofErr w:type="gramStart"/>
      <w:r>
        <w:t>recognition</w:t>
      </w:r>
      <w:proofErr w:type="gramEnd"/>
      <w:r>
        <w:t xml:space="preserve"> (</w:t>
      </w:r>
      <w:r w:rsidRPr="00A75415">
        <w:t>Bridger</w:t>
      </w:r>
      <w:r>
        <w:t>, 2018).</w:t>
      </w:r>
    </w:p>
    <w:p w14:paraId="66107EA1" w14:textId="77777777" w:rsidR="00C6004B" w:rsidRPr="0076674F" w:rsidRDefault="00C6004B" w:rsidP="00C6004B">
      <w:pPr>
        <w:rPr>
          <w:b/>
        </w:rPr>
      </w:pPr>
      <w:r w:rsidRPr="0076674F">
        <w:rPr>
          <w:b/>
        </w:rPr>
        <w:t>Measuring the institutional relationship at workplace:</w:t>
      </w:r>
    </w:p>
    <w:p w14:paraId="21D6D66F" w14:textId="77777777" w:rsidR="00C6004B" w:rsidRDefault="00C6004B" w:rsidP="00C6004B">
      <w:r>
        <w:t>This is the connection of Company to staff. It covers key feelings and perspectives on procedures and standards, objectives, company visions, management, technology, equity and more. High-level issues to be handled are understood.</w:t>
      </w:r>
    </w:p>
    <w:p w14:paraId="49ED2209" w14:textId="77777777" w:rsidR="00C6004B" w:rsidRPr="0076674F" w:rsidRDefault="00C6004B" w:rsidP="00C6004B">
      <w:pPr>
        <w:rPr>
          <w:b/>
        </w:rPr>
      </w:pPr>
      <w:r w:rsidRPr="0076674F">
        <w:rPr>
          <w:b/>
        </w:rPr>
        <w:lastRenderedPageBreak/>
        <w:t>M</w:t>
      </w:r>
      <w:r>
        <w:rPr>
          <w:b/>
        </w:rPr>
        <w:t>ake vertical connector measures:</w:t>
      </w:r>
    </w:p>
    <w:p w14:paraId="293F9893" w14:textId="77777777" w:rsidR="00C6004B" w:rsidRPr="006F2EDD" w:rsidRDefault="00C6004B" w:rsidP="00C6004B">
      <w:r>
        <w:t>The link between the boss and employee is vertical in both respects. For clear communication, guidance and feedback, employees rely on their supervisors. Managers depend on employees to succeed in their work and help create their team's reputation. Measure Tesco strong and tough teams by this relationship (</w:t>
      </w:r>
      <w:r w:rsidRPr="00A75415">
        <w:t>Bridger</w:t>
      </w:r>
      <w:r>
        <w:t>, 2018).</w:t>
      </w:r>
    </w:p>
    <w:p w14:paraId="07CD0910" w14:textId="77777777" w:rsidR="00D1074F" w:rsidRDefault="00D1074F" w:rsidP="00C6004B">
      <w:pPr>
        <w:spacing w:before="0" w:after="200" w:line="276" w:lineRule="auto"/>
        <w:jc w:val="left"/>
      </w:pPr>
    </w:p>
    <w:p w14:paraId="5FE14D21" w14:textId="77777777" w:rsidR="00C6004B" w:rsidRDefault="00C6004B" w:rsidP="00C6004B">
      <w:pPr>
        <w:spacing w:before="0" w:after="200" w:line="276" w:lineRule="auto"/>
        <w:jc w:val="left"/>
        <w:rPr>
          <w:rFonts w:eastAsiaTheme="majorEastAsia" w:cstheme="majorBidi"/>
          <w:b/>
          <w:bCs/>
          <w:color w:val="365F91" w:themeColor="accent1" w:themeShade="BF"/>
          <w:sz w:val="28"/>
          <w:szCs w:val="28"/>
        </w:rPr>
      </w:pPr>
      <w:r>
        <w:br w:type="page"/>
      </w:r>
    </w:p>
    <w:p w14:paraId="6158CC2B" w14:textId="77777777" w:rsidR="00C6004B" w:rsidRDefault="00C6004B" w:rsidP="00C6004B">
      <w:pPr>
        <w:pStyle w:val="Heading1"/>
      </w:pPr>
      <w:bookmarkStart w:id="5" w:name="_Toc77891263"/>
      <w:bookmarkStart w:id="6" w:name="_Toc77930031"/>
      <w:r>
        <w:lastRenderedPageBreak/>
        <w:t>EMPLOYEE VALUE PROPOSITION FROM THE IDEAS AND ANALYSIS INCLUDING STRATEGIES TO RAISE LEVELS OF ENGAGEMENT</w:t>
      </w:r>
      <w:bookmarkEnd w:id="5"/>
      <w:bookmarkEnd w:id="6"/>
    </w:p>
    <w:p w14:paraId="269D7E04" w14:textId="77777777" w:rsidR="00C6004B" w:rsidRDefault="00C6004B" w:rsidP="00C6004B">
      <w:r w:rsidRPr="00F64FFC">
        <w:rPr>
          <w:b/>
        </w:rPr>
        <w:t>EMPLOYEE VALUE PROPOSITION:</w:t>
      </w:r>
      <w:r>
        <w:t xml:space="preserve"> </w:t>
      </w:r>
      <w:r w:rsidRPr="0076674F">
        <w:t xml:space="preserve">The only incentive package for the talents, abilities and competence of employees is a declaration of employee value (EVP). </w:t>
      </w:r>
      <w:r>
        <w:t>C</w:t>
      </w:r>
      <w:r w:rsidRPr="0076674F">
        <w:t xml:space="preserve">ompany's core of an EVP is what they mean and how remarkable they are. It includes vital facts, such as a vision or a certain culture, which makes people proud and driven. </w:t>
      </w:r>
      <w:r>
        <w:t>Company</w:t>
      </w:r>
      <w:r w:rsidRPr="0076674F">
        <w:t xml:space="preserve"> EVP is original, pertinent and convincing. It's important. It's important. With all aspects of an enterprise, a major EVP helps to maintain leadership and to employ the best outside skills</w:t>
      </w:r>
      <w:r>
        <w:t xml:space="preserve"> (</w:t>
      </w:r>
      <w:proofErr w:type="spellStart"/>
      <w:r>
        <w:t>Arasanmi</w:t>
      </w:r>
      <w:proofErr w:type="spellEnd"/>
      <w:r w:rsidRPr="00A75415">
        <w:t xml:space="preserve"> and Krishna, 2019</w:t>
      </w:r>
      <w:r>
        <w:t>)</w:t>
      </w:r>
      <w:r w:rsidRPr="0076674F">
        <w:t>.</w:t>
      </w:r>
    </w:p>
    <w:p w14:paraId="02F8249E" w14:textId="77777777" w:rsidR="00C6004B" w:rsidRDefault="00C6004B" w:rsidP="00C6004B">
      <w:r w:rsidRPr="00F64FFC">
        <w:rPr>
          <w:b/>
        </w:rPr>
        <w:t>Include current views</w:t>
      </w:r>
      <w:r>
        <w:rPr>
          <w:b/>
        </w:rPr>
        <w:t xml:space="preserve">: </w:t>
      </w:r>
      <w:r>
        <w:t>Company EVP will not only create company's management into a corporate culture, it will also be the members of company team that live and nurture company value. From company concept to reality, you develop company perfect business culture. You need to learn how company current employees and potential employees feel about company brand and culture to establish a strong, trusted EVP.</w:t>
      </w:r>
      <w:r w:rsidRPr="00F64FFC">
        <w:t xml:space="preserve"> The results can be achieved by means of employee surveys, focus groups and interviews with exit personnel and feedback</w:t>
      </w:r>
      <w:r>
        <w:t xml:space="preserve"> (</w:t>
      </w:r>
      <w:proofErr w:type="spellStart"/>
      <w:r>
        <w:t>Arasanmi</w:t>
      </w:r>
      <w:proofErr w:type="spellEnd"/>
      <w:r w:rsidRPr="00A75415">
        <w:t xml:space="preserve"> and Krishna, 2019</w:t>
      </w:r>
      <w:r>
        <w:t>)</w:t>
      </w:r>
      <w:r w:rsidRPr="00F64FFC">
        <w:t>.</w:t>
      </w:r>
    </w:p>
    <w:p w14:paraId="04A1679E" w14:textId="77777777" w:rsidR="00C6004B" w:rsidRPr="00F64FFC" w:rsidRDefault="00C6004B" w:rsidP="00C6004B">
      <w:pPr>
        <w:rPr>
          <w:b/>
        </w:rPr>
      </w:pPr>
      <w:r w:rsidRPr="00F64FFC">
        <w:rPr>
          <w:b/>
        </w:rPr>
        <w:t>Identify major points of sale</w:t>
      </w:r>
    </w:p>
    <w:p w14:paraId="3F10BDF1" w14:textId="77777777" w:rsidR="00C6004B" w:rsidRDefault="00C6004B" w:rsidP="00C6004B">
      <w:r>
        <w:t>Create an inter-functional team to assess company information and identify how people enjoy company most. The construction of company employers brand in company EVP shows you successfully and how this links with the value of a possible employee. Use this information to ensure that while writing out the EVP the following problems are taken into account (</w:t>
      </w:r>
      <w:proofErr w:type="spellStart"/>
      <w:r>
        <w:t>Arasanmi</w:t>
      </w:r>
      <w:proofErr w:type="spellEnd"/>
      <w:r w:rsidRPr="00A75415">
        <w:t xml:space="preserve"> and Krishna, 2019</w:t>
      </w:r>
      <w:r>
        <w:t>).</w:t>
      </w:r>
    </w:p>
    <w:p w14:paraId="00539119" w14:textId="77777777" w:rsidR="00C6004B" w:rsidRPr="00944B39" w:rsidRDefault="00C6004B" w:rsidP="00C6004B">
      <w:pPr>
        <w:rPr>
          <w:b/>
        </w:rPr>
      </w:pPr>
      <w:r w:rsidRPr="00944B39">
        <w:rPr>
          <w:b/>
        </w:rPr>
        <w:t>Alignment of insurance</w:t>
      </w:r>
    </w:p>
    <w:p w14:paraId="20F22C5F" w14:textId="77777777" w:rsidR="00C6004B" w:rsidRDefault="00C6004B" w:rsidP="00C6004B">
      <w:r>
        <w:t xml:space="preserve">Current employees are company most potent source of publicity and play a major role in the acquisition of talent. Company employees require the image that they can sell outside their offices and develop brand messengers in everyday reality. Enter the EVP into induction plans, bonus schemes, internal communication, legislation and business plans so that you </w:t>
      </w:r>
      <w:r>
        <w:lastRenderedPageBreak/>
        <w:t>can represent company firm in company daily behaviour. Every year check company EVP to verify that company employees' changing experience is reflected (</w:t>
      </w:r>
      <w:proofErr w:type="spellStart"/>
      <w:r>
        <w:t>Arasanmi</w:t>
      </w:r>
      <w:proofErr w:type="spellEnd"/>
      <w:r w:rsidRPr="00A75415">
        <w:t xml:space="preserve"> and Krishna, 2019</w:t>
      </w:r>
      <w:r>
        <w:t>).</w:t>
      </w:r>
    </w:p>
    <w:p w14:paraId="059D0C83" w14:textId="77777777" w:rsidR="00C6004B" w:rsidRPr="00944B39" w:rsidRDefault="00C6004B" w:rsidP="00C6004B">
      <w:pPr>
        <w:rPr>
          <w:b/>
        </w:rPr>
      </w:pPr>
      <w:r w:rsidRPr="00944B39">
        <w:rPr>
          <w:b/>
        </w:rPr>
        <w:t>STRATEGIES TO RAISE LEVELS OF EMPLOYEE ENGAGEMENT</w:t>
      </w:r>
    </w:p>
    <w:p w14:paraId="74F5B0D7" w14:textId="77777777" w:rsidR="00C6004B" w:rsidRDefault="00C6004B" w:rsidP="00C6004B">
      <w:r>
        <w:t>Here are six ways in which HR experts can make their work and organisation.</w:t>
      </w:r>
    </w:p>
    <w:p w14:paraId="108E0B3D" w14:textId="77777777" w:rsidR="00C6004B" w:rsidRPr="00944B39" w:rsidRDefault="00C6004B" w:rsidP="00C6004B">
      <w:pPr>
        <w:pStyle w:val="ListParagraph"/>
        <w:numPr>
          <w:ilvl w:val="0"/>
          <w:numId w:val="4"/>
        </w:numPr>
        <w:rPr>
          <w:b/>
        </w:rPr>
      </w:pPr>
      <w:r w:rsidRPr="00944B39">
        <w:rPr>
          <w:b/>
        </w:rPr>
        <w:t xml:space="preserve"> Communicate routinely and consistently</w:t>
      </w:r>
      <w:r>
        <w:rPr>
          <w:b/>
        </w:rPr>
        <w:t>:</w:t>
      </w:r>
      <w:r w:rsidRPr="00944B39">
        <w:rPr>
          <w:b/>
        </w:rPr>
        <w:t xml:space="preserve"> </w:t>
      </w:r>
      <w:r>
        <w:t xml:space="preserve">As organisations grow, employee ties can be reinforced and deteriorated, and before too late, departments function separately. You probably have to communicate with businesses if you do not have a specialist internal communication team (perhaps with help from company marketing team). </w:t>
      </w:r>
      <w:r w:rsidRPr="00944B39">
        <w:t>Managers that run remotely or run remote teams will be much more intentionally obliged to communicate. For example, you will counsel managers to use their digital platforms in full (for example, Slack, Microsoft teams and Facebook workplaces)</w:t>
      </w:r>
      <w:r>
        <w:t xml:space="preserve"> (</w:t>
      </w:r>
      <w:proofErr w:type="spellStart"/>
      <w:r w:rsidRPr="00A75415">
        <w:t>Parke</w:t>
      </w:r>
      <w:proofErr w:type="spellEnd"/>
      <w:r>
        <w:t xml:space="preserve"> et al., 2018)</w:t>
      </w:r>
      <w:r w:rsidRPr="00944B39">
        <w:t>.</w:t>
      </w:r>
    </w:p>
    <w:p w14:paraId="3451E2A0" w14:textId="77777777" w:rsidR="00C6004B" w:rsidRPr="00221897" w:rsidRDefault="00C6004B" w:rsidP="00C6004B">
      <w:pPr>
        <w:pStyle w:val="ListParagraph"/>
        <w:numPr>
          <w:ilvl w:val="0"/>
          <w:numId w:val="4"/>
        </w:numPr>
        <w:rPr>
          <w:b/>
        </w:rPr>
      </w:pPr>
      <w:r w:rsidRPr="00944B39">
        <w:rPr>
          <w:b/>
        </w:rPr>
        <w:t>Good health investment</w:t>
      </w:r>
      <w:r>
        <w:rPr>
          <w:b/>
        </w:rPr>
        <w:t xml:space="preserve">: </w:t>
      </w:r>
      <w:r>
        <w:t xml:space="preserve">Dedication to success (E4S) demonstrates a strong relationship between commitment and goodness to UK staff commitment studies. Wendy Cartwright from Task Force, member of Task Force, spoke to HR Magazine in 2014: "If the commitment is strong, there is a risk of overtime burnout but not very good and the staffs are committed highly but low even if they are generally satisfied and well connected with the organization's purposes. </w:t>
      </w:r>
      <w:r w:rsidRPr="00221897">
        <w:t xml:space="preserve">The establishment of support programmes for employees, the formation of first aid experts in mental health and the promotion of adequate nutrition and training may improve the wellbeing of employees. However, </w:t>
      </w:r>
      <w:r>
        <w:t>Tesco</w:t>
      </w:r>
      <w:r w:rsidRPr="00221897">
        <w:t xml:space="preserve"> want to evaluate the culture of </w:t>
      </w:r>
      <w:r>
        <w:t>company</w:t>
      </w:r>
      <w:r w:rsidRPr="00221897">
        <w:t xml:space="preserve"> organisation and the behaviour of employees: For example, there is a "long-term" culture of workers who are often late to overwork</w:t>
      </w:r>
      <w:r>
        <w:t xml:space="preserve"> (</w:t>
      </w:r>
      <w:proofErr w:type="spellStart"/>
      <w:r w:rsidRPr="00A75415">
        <w:t>Parke</w:t>
      </w:r>
      <w:proofErr w:type="spellEnd"/>
      <w:r>
        <w:t xml:space="preserve"> et al., 2018).</w:t>
      </w:r>
    </w:p>
    <w:p w14:paraId="446FE832" w14:textId="77777777" w:rsidR="00C6004B" w:rsidRPr="00221897" w:rsidRDefault="00C6004B" w:rsidP="00C6004B">
      <w:pPr>
        <w:pStyle w:val="ListParagraph"/>
        <w:numPr>
          <w:ilvl w:val="0"/>
          <w:numId w:val="4"/>
        </w:numPr>
        <w:rPr>
          <w:b/>
        </w:rPr>
      </w:pPr>
      <w:r w:rsidRPr="00221897">
        <w:rPr>
          <w:b/>
        </w:rPr>
        <w:t xml:space="preserve">Send </w:t>
      </w:r>
      <w:r>
        <w:rPr>
          <w:b/>
        </w:rPr>
        <w:t>company</w:t>
      </w:r>
      <w:r w:rsidRPr="00221897">
        <w:rPr>
          <w:b/>
        </w:rPr>
        <w:t xml:space="preserve"> comments and answer</w:t>
      </w:r>
      <w:r>
        <w:rPr>
          <w:b/>
        </w:rPr>
        <w:t xml:space="preserve">: </w:t>
      </w:r>
      <w:r w:rsidRPr="00221897">
        <w:t xml:space="preserve">The employee's voice is one of four commitments of E4S. Senior managers are looking for, listening to and acting. Technology often helps employers to search and acquire information for their employees, for instance through anonymous online surveys, but it is not effective if leaders ignore the points of view of their people and refuse to answer. This can </w:t>
      </w:r>
      <w:r w:rsidRPr="00221897">
        <w:lastRenderedPageBreak/>
        <w:t xml:space="preserve">involve a cultural transformation that is not achievable at present for </w:t>
      </w:r>
      <w:r>
        <w:t>company</w:t>
      </w:r>
      <w:r w:rsidRPr="00221897">
        <w:t xml:space="preserve"> firm so assess why, when and how you could build official feedback channels</w:t>
      </w:r>
      <w:r>
        <w:t xml:space="preserve"> (</w:t>
      </w:r>
      <w:proofErr w:type="spellStart"/>
      <w:r w:rsidRPr="00A75415">
        <w:t>Parke</w:t>
      </w:r>
      <w:proofErr w:type="spellEnd"/>
      <w:r>
        <w:t xml:space="preserve"> et al., 2018)</w:t>
      </w:r>
      <w:r w:rsidRPr="00221897">
        <w:t>.</w:t>
      </w:r>
    </w:p>
    <w:p w14:paraId="142B985D" w14:textId="77777777" w:rsidR="00C6004B" w:rsidRPr="00992F5F" w:rsidRDefault="00C6004B" w:rsidP="00C6004B">
      <w:pPr>
        <w:pStyle w:val="ListParagraph"/>
        <w:numPr>
          <w:ilvl w:val="0"/>
          <w:numId w:val="4"/>
        </w:numPr>
        <w:rPr>
          <w:b/>
        </w:rPr>
      </w:pPr>
      <w:r w:rsidRPr="00992F5F">
        <w:rPr>
          <w:b/>
        </w:rPr>
        <w:t xml:space="preserve">Define and explain the objective of </w:t>
      </w:r>
      <w:r>
        <w:rPr>
          <w:b/>
        </w:rPr>
        <w:t>company</w:t>
      </w:r>
      <w:r w:rsidRPr="00992F5F">
        <w:rPr>
          <w:b/>
        </w:rPr>
        <w:t xml:space="preserve"> organisation</w:t>
      </w:r>
      <w:r>
        <w:rPr>
          <w:b/>
        </w:rPr>
        <w:t xml:space="preserve">: </w:t>
      </w:r>
      <w:r w:rsidRPr="00992F5F">
        <w:t xml:space="preserve">If </w:t>
      </w:r>
      <w:proofErr w:type="gramStart"/>
      <w:r w:rsidRPr="00992F5F">
        <w:t>the mission and vision of an organisation is not stated by its managers and managers</w:t>
      </w:r>
      <w:proofErr w:type="gramEnd"/>
      <w:r w:rsidRPr="00992F5F">
        <w:t xml:space="preserve">, employees learn how their activities and actions comply with its overall goals. First, challenge </w:t>
      </w:r>
      <w:r>
        <w:t>company</w:t>
      </w:r>
      <w:r w:rsidRPr="00992F5F">
        <w:t xml:space="preserve"> leaders to advance: the organization's mission remains legitimate</w:t>
      </w:r>
      <w:r>
        <w:t xml:space="preserve"> (</w:t>
      </w:r>
      <w:proofErr w:type="spellStart"/>
      <w:r w:rsidRPr="00A75415">
        <w:t>Parke</w:t>
      </w:r>
      <w:proofErr w:type="spellEnd"/>
      <w:r>
        <w:t xml:space="preserve"> et al., 2018)</w:t>
      </w:r>
      <w:r w:rsidRPr="00992F5F">
        <w:t>.</w:t>
      </w:r>
    </w:p>
    <w:p w14:paraId="6780E539" w14:textId="4359045C" w:rsidR="00C6004B" w:rsidRPr="00992F5F" w:rsidRDefault="00C6004B" w:rsidP="00C6004B">
      <w:pPr>
        <w:pStyle w:val="ListParagraph"/>
        <w:numPr>
          <w:ilvl w:val="0"/>
          <w:numId w:val="4"/>
        </w:numPr>
        <w:rPr>
          <w:b/>
        </w:rPr>
      </w:pPr>
      <w:r w:rsidRPr="00992F5F">
        <w:rPr>
          <w:b/>
        </w:rPr>
        <w:t xml:space="preserve">Enable </w:t>
      </w:r>
      <w:r>
        <w:rPr>
          <w:b/>
        </w:rPr>
        <w:t>company</w:t>
      </w:r>
      <w:r w:rsidRPr="00992F5F">
        <w:rPr>
          <w:b/>
        </w:rPr>
        <w:t xml:space="preserve"> staff</w:t>
      </w:r>
      <w:r>
        <w:rPr>
          <w:b/>
        </w:rPr>
        <w:t xml:space="preserve">: </w:t>
      </w:r>
      <w:r w:rsidRPr="00992F5F">
        <w:t>Some leaders have no skill or incapacity to use micro managers or team members in times of crisis. However, employee involvement in micromanagement is at risk. The personnel are worn out with repeated corrections and bad feed</w:t>
      </w:r>
      <w:r w:rsidR="00066390">
        <w:t>back.</w:t>
      </w:r>
      <w:bookmarkStart w:id="7" w:name="_GoBack"/>
      <w:bookmarkEnd w:id="7"/>
      <w:r w:rsidRPr="00992F5F">
        <w:t xml:space="preserve"> Closer managers are going to stifle workflows. Retention and recruitment are ultimately damaged.</w:t>
      </w:r>
      <w:r>
        <w:t xml:space="preserve"> </w:t>
      </w:r>
      <w:r w:rsidRPr="00992F5F">
        <w:t xml:space="preserve">The alternative is empowering, supporting and depending on </w:t>
      </w:r>
      <w:r>
        <w:t>company</w:t>
      </w:r>
      <w:r w:rsidRPr="00992F5F">
        <w:t xml:space="preserve"> self-employed personnel and offering further training. Talk to the manager as an HR professional if you observe micromanagement during operation. Help them to comprehend and help them to establish an action plan to empower their people and empower them. You may also help them to identify employee growth opportunities and give necessary training or resources</w:t>
      </w:r>
      <w:r>
        <w:t xml:space="preserve"> (</w:t>
      </w:r>
      <w:proofErr w:type="spellStart"/>
      <w:r w:rsidRPr="00A75415">
        <w:t>Parke</w:t>
      </w:r>
      <w:proofErr w:type="spellEnd"/>
      <w:r>
        <w:t xml:space="preserve"> et al., 2018)</w:t>
      </w:r>
      <w:r w:rsidRPr="00992F5F">
        <w:t>.</w:t>
      </w:r>
    </w:p>
    <w:p w14:paraId="56E6B9CF" w14:textId="77777777" w:rsidR="00C6004B" w:rsidRPr="00560FCF" w:rsidRDefault="00C6004B" w:rsidP="00C6004B">
      <w:pPr>
        <w:pStyle w:val="ListParagraph"/>
        <w:numPr>
          <w:ilvl w:val="0"/>
          <w:numId w:val="4"/>
        </w:numPr>
      </w:pPr>
      <w:r w:rsidRPr="00560FCF">
        <w:rPr>
          <w:b/>
        </w:rPr>
        <w:t>Identify an excellent job</w:t>
      </w:r>
      <w:r>
        <w:rPr>
          <w:b/>
        </w:rPr>
        <w:t xml:space="preserve">: </w:t>
      </w:r>
      <w:r w:rsidRPr="00560FCF">
        <w:t xml:space="preserve">Does company recognise and reward its personnel frequently, openly and willingly? Everything must be done at all levels of an association, even if </w:t>
      </w:r>
      <w:r>
        <w:t>company</w:t>
      </w:r>
      <w:r w:rsidRPr="00560FCF">
        <w:t xml:space="preserve"> management welcomes </w:t>
      </w:r>
      <w:r>
        <w:t>company</w:t>
      </w:r>
      <w:r w:rsidRPr="00560FCF">
        <w:t xml:space="preserve"> workforce. To create digital channels, to praise staff for the supplementary mile - totem is an example - or to establish incentives or awards, are fantastic approaches to increase awareness</w:t>
      </w:r>
      <w:r>
        <w:t xml:space="preserve"> (</w:t>
      </w:r>
      <w:proofErr w:type="spellStart"/>
      <w:r w:rsidRPr="00A75415">
        <w:t>Parke</w:t>
      </w:r>
      <w:proofErr w:type="spellEnd"/>
      <w:r>
        <w:t xml:space="preserve"> et al., 2018)</w:t>
      </w:r>
      <w:r w:rsidRPr="00560FCF">
        <w:t>.</w:t>
      </w:r>
      <w:r>
        <w:t xml:space="preserve"> </w:t>
      </w:r>
      <w:r w:rsidRPr="00560FCF">
        <w:t xml:space="preserve"> </w:t>
      </w:r>
    </w:p>
    <w:p w14:paraId="6C732EEF" w14:textId="77777777" w:rsidR="009D7011" w:rsidRDefault="009D7011">
      <w:pPr>
        <w:spacing w:before="0" w:after="200" w:line="276" w:lineRule="auto"/>
        <w:jc w:val="left"/>
        <w:rPr>
          <w:rFonts w:eastAsiaTheme="majorEastAsia" w:cstheme="majorBidi"/>
          <w:b/>
          <w:bCs/>
          <w:color w:val="365F91" w:themeColor="accent1" w:themeShade="BF"/>
          <w:sz w:val="28"/>
          <w:szCs w:val="28"/>
        </w:rPr>
      </w:pPr>
      <w:r>
        <w:rPr>
          <w:rFonts w:eastAsiaTheme="majorEastAsia" w:cstheme="majorBidi"/>
          <w:b/>
          <w:bCs/>
          <w:color w:val="365F91" w:themeColor="accent1" w:themeShade="BF"/>
          <w:sz w:val="28"/>
          <w:szCs w:val="28"/>
        </w:rPr>
        <w:br w:type="page"/>
      </w:r>
    </w:p>
    <w:p w14:paraId="19DC86E1" w14:textId="77777777" w:rsidR="00C6004B" w:rsidRDefault="009D7011" w:rsidP="00C6004B">
      <w:pPr>
        <w:spacing w:before="0" w:after="200" w:line="276" w:lineRule="auto"/>
        <w:jc w:val="left"/>
        <w:rPr>
          <w:rFonts w:eastAsiaTheme="majorEastAsia" w:cstheme="majorBidi"/>
          <w:b/>
          <w:bCs/>
          <w:color w:val="365F91" w:themeColor="accent1" w:themeShade="BF"/>
          <w:sz w:val="28"/>
          <w:szCs w:val="28"/>
        </w:rPr>
      </w:pPr>
      <w:r>
        <w:rPr>
          <w:rFonts w:eastAsiaTheme="majorEastAsia" w:cstheme="majorBidi"/>
          <w:b/>
          <w:bCs/>
          <w:color w:val="365F91" w:themeColor="accent1" w:themeShade="BF"/>
          <w:sz w:val="28"/>
          <w:szCs w:val="28"/>
        </w:rPr>
        <w:lastRenderedPageBreak/>
        <w:t>CONCLUSION</w:t>
      </w:r>
    </w:p>
    <w:p w14:paraId="3C2F298D" w14:textId="77777777" w:rsidR="00A24FF9" w:rsidRDefault="009D7011" w:rsidP="009D7011">
      <w:r w:rsidRPr="002232F9">
        <w:t>A comprehensive report on concepts and causes of employee engagement has been created in the second evaluation,</w:t>
      </w:r>
      <w:r>
        <w:t xml:space="preserve"> </w:t>
      </w:r>
      <w:r w:rsidRPr="002232F9">
        <w:t>later assessment of gas diagnostic instruments to measure staff participation at the workplace. After that, an assessment was carried out of the proposition of employee value and the techniques that assisted the organisation in increasing employee commitment at work will be recognised. To attain the learning objective of this study, Tesco Company was taken into account.</w:t>
      </w:r>
    </w:p>
    <w:p w14:paraId="7859C875" w14:textId="77777777" w:rsidR="00A24FF9" w:rsidRDefault="00A24FF9" w:rsidP="00A24FF9">
      <w:r>
        <w:br w:type="page"/>
      </w:r>
    </w:p>
    <w:p w14:paraId="276C2039" w14:textId="77777777" w:rsidR="009D7011" w:rsidRDefault="00A24FF9" w:rsidP="00A24FF9">
      <w:pPr>
        <w:pStyle w:val="Heading1"/>
      </w:pPr>
      <w:bookmarkStart w:id="8" w:name="_Toc77930032"/>
      <w:r>
        <w:lastRenderedPageBreak/>
        <w:t>REFERENCE</w:t>
      </w:r>
      <w:bookmarkEnd w:id="8"/>
    </w:p>
    <w:p w14:paraId="7A1CFDF3" w14:textId="77777777" w:rsidR="003B40BA" w:rsidRPr="00907641" w:rsidRDefault="003B40BA" w:rsidP="003B40BA">
      <w:proofErr w:type="spellStart"/>
      <w:r w:rsidRPr="00907641">
        <w:t>Arasanmi</w:t>
      </w:r>
      <w:proofErr w:type="spellEnd"/>
      <w:r w:rsidRPr="00907641">
        <w:t>, C.N. and Krishna, A. (2019). Linking the employee value proposition (EVP) to employee behavioural outcomes. </w:t>
      </w:r>
      <w:r w:rsidRPr="00907641">
        <w:rPr>
          <w:i/>
          <w:iCs/>
        </w:rPr>
        <w:t>Industrial and Commercial Training</w:t>
      </w:r>
      <w:r w:rsidRPr="00907641">
        <w:t>.</w:t>
      </w:r>
    </w:p>
    <w:p w14:paraId="45474BE9" w14:textId="77777777" w:rsidR="003B40BA" w:rsidRPr="00907641" w:rsidRDefault="003B40BA" w:rsidP="003B40BA">
      <w:proofErr w:type="spellStart"/>
      <w:r w:rsidRPr="00907641">
        <w:t>Barik</w:t>
      </w:r>
      <w:proofErr w:type="spellEnd"/>
      <w:r w:rsidRPr="00907641">
        <w:t xml:space="preserve">, S. and </w:t>
      </w:r>
      <w:proofErr w:type="spellStart"/>
      <w:r w:rsidRPr="00907641">
        <w:t>Kochar</w:t>
      </w:r>
      <w:proofErr w:type="spellEnd"/>
      <w:r w:rsidRPr="00907641">
        <w:t>, A. (2017). Antecedents and consequences of employee engagement: A literature review. </w:t>
      </w:r>
      <w:proofErr w:type="gramStart"/>
      <w:r w:rsidRPr="00907641">
        <w:rPr>
          <w:i/>
          <w:iCs/>
        </w:rPr>
        <w:t>International Journal of Latest Technology in Engineering, Management &amp; Applied Science</w:t>
      </w:r>
      <w:r w:rsidRPr="00907641">
        <w:t>, </w:t>
      </w:r>
      <w:r w:rsidRPr="00907641">
        <w:rPr>
          <w:i/>
          <w:iCs/>
        </w:rPr>
        <w:t>6</w:t>
      </w:r>
      <w:r w:rsidRPr="00907641">
        <w:t>(4), pp.33-38.</w:t>
      </w:r>
      <w:proofErr w:type="gramEnd"/>
    </w:p>
    <w:p w14:paraId="5B381491" w14:textId="77777777" w:rsidR="003B40BA" w:rsidRPr="00907641" w:rsidRDefault="003B40BA" w:rsidP="003B40BA">
      <w:proofErr w:type="gramStart"/>
      <w:r w:rsidRPr="00907641">
        <w:t>Bridger, E. (2018).</w:t>
      </w:r>
      <w:proofErr w:type="gramEnd"/>
      <w:r w:rsidRPr="00907641">
        <w:t> </w:t>
      </w:r>
      <w:r w:rsidRPr="00907641">
        <w:rPr>
          <w:i/>
          <w:iCs/>
        </w:rPr>
        <w:t>Employee engagement: a practical introduction</w:t>
      </w:r>
      <w:r w:rsidRPr="00907641">
        <w:t xml:space="preserve">. </w:t>
      </w:r>
      <w:proofErr w:type="spellStart"/>
      <w:proofErr w:type="gramStart"/>
      <w:r w:rsidRPr="00907641">
        <w:t>Kogan</w:t>
      </w:r>
      <w:proofErr w:type="spellEnd"/>
      <w:r w:rsidRPr="00907641">
        <w:t xml:space="preserve"> Page Publishers.</w:t>
      </w:r>
      <w:proofErr w:type="gramEnd"/>
    </w:p>
    <w:p w14:paraId="1179E03C" w14:textId="77777777" w:rsidR="003B40BA" w:rsidRPr="00907641" w:rsidRDefault="003B40BA" w:rsidP="003B40BA">
      <w:proofErr w:type="spellStart"/>
      <w:r w:rsidRPr="00907641">
        <w:t>Lubis</w:t>
      </w:r>
      <w:proofErr w:type="spellEnd"/>
      <w:r w:rsidRPr="00907641">
        <w:t xml:space="preserve">, F.R. and </w:t>
      </w:r>
      <w:proofErr w:type="spellStart"/>
      <w:r w:rsidRPr="00907641">
        <w:t>Hanum</w:t>
      </w:r>
      <w:proofErr w:type="spellEnd"/>
      <w:r w:rsidRPr="00907641">
        <w:t xml:space="preserve">, F. (2020), December. Organizational culture. </w:t>
      </w:r>
      <w:proofErr w:type="gramStart"/>
      <w:r w:rsidRPr="00907641">
        <w:t>In </w:t>
      </w:r>
      <w:r w:rsidRPr="00907641">
        <w:rPr>
          <w:i/>
          <w:iCs/>
        </w:rPr>
        <w:t>2nd Yogyakarta international conference on educational management/administration and pedagogy (YICEMAP 2019).</w:t>
      </w:r>
      <w:proofErr w:type="gramEnd"/>
      <w:r w:rsidRPr="00907641">
        <w:rPr>
          <w:i/>
          <w:iCs/>
        </w:rPr>
        <w:t xml:space="preserve"> Atlantis Press</w:t>
      </w:r>
      <w:r w:rsidRPr="00907641">
        <w:t> (pp. 88-91)</w:t>
      </w:r>
      <w:proofErr w:type="gramStart"/>
      <w:r w:rsidRPr="00907641">
        <w:t>.30</w:t>
      </w:r>
      <w:proofErr w:type="gramEnd"/>
    </w:p>
    <w:p w14:paraId="0B9C244F" w14:textId="77777777" w:rsidR="003B40BA" w:rsidRPr="00907641" w:rsidRDefault="003B40BA" w:rsidP="003B40BA">
      <w:proofErr w:type="spellStart"/>
      <w:proofErr w:type="gramStart"/>
      <w:r w:rsidRPr="00907641">
        <w:t>Parke</w:t>
      </w:r>
      <w:proofErr w:type="spellEnd"/>
      <w:r w:rsidRPr="00907641">
        <w:t xml:space="preserve">, M.R., </w:t>
      </w:r>
      <w:proofErr w:type="spellStart"/>
      <w:r w:rsidRPr="00907641">
        <w:t>Weinhardt</w:t>
      </w:r>
      <w:proofErr w:type="spellEnd"/>
      <w:r w:rsidRPr="00907641">
        <w:t xml:space="preserve">, J.M., Brodsky, A., </w:t>
      </w:r>
      <w:proofErr w:type="spellStart"/>
      <w:r w:rsidRPr="00907641">
        <w:t>Tangirala</w:t>
      </w:r>
      <w:proofErr w:type="spellEnd"/>
      <w:r w:rsidRPr="00907641">
        <w:t xml:space="preserve">, S. and </w:t>
      </w:r>
      <w:proofErr w:type="spellStart"/>
      <w:r w:rsidRPr="00907641">
        <w:t>DeVoe</w:t>
      </w:r>
      <w:proofErr w:type="spellEnd"/>
      <w:r w:rsidRPr="00907641">
        <w:t>, S.E. (2018).</w:t>
      </w:r>
      <w:proofErr w:type="gramEnd"/>
      <w:r w:rsidRPr="00907641">
        <w:t xml:space="preserve"> When daily planning improves employee performance: The importance of planning type, engagement, and interruptions. </w:t>
      </w:r>
      <w:r w:rsidRPr="00907641">
        <w:rPr>
          <w:i/>
          <w:iCs/>
        </w:rPr>
        <w:t>Journal of Applied Psychology</w:t>
      </w:r>
      <w:r w:rsidRPr="00907641">
        <w:t>, </w:t>
      </w:r>
      <w:r w:rsidRPr="00907641">
        <w:rPr>
          <w:i/>
          <w:iCs/>
        </w:rPr>
        <w:t>103</w:t>
      </w:r>
      <w:r w:rsidRPr="00907641">
        <w:t>(3), p.300.</w:t>
      </w:r>
    </w:p>
    <w:p w14:paraId="00299B42" w14:textId="77777777" w:rsidR="00A24FF9" w:rsidRPr="00A24FF9" w:rsidRDefault="00A24FF9" w:rsidP="00A24FF9"/>
    <w:sectPr w:rsidR="00A24FF9" w:rsidRPr="00A24FF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F2BB0E" w14:textId="77777777" w:rsidR="002F5A05" w:rsidRDefault="002F5A05" w:rsidP="000C3D68">
      <w:pPr>
        <w:spacing w:before="0" w:after="0" w:line="240" w:lineRule="auto"/>
      </w:pPr>
      <w:r>
        <w:separator/>
      </w:r>
    </w:p>
  </w:endnote>
  <w:endnote w:type="continuationSeparator" w:id="0">
    <w:p w14:paraId="4D5D15C3" w14:textId="77777777" w:rsidR="002F5A05" w:rsidRDefault="002F5A05" w:rsidP="000C3D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8639264"/>
      <w:docPartObj>
        <w:docPartGallery w:val="Page Numbers (Bottom of Page)"/>
        <w:docPartUnique/>
      </w:docPartObj>
    </w:sdtPr>
    <w:sdtEndPr>
      <w:rPr>
        <w:noProof/>
      </w:rPr>
    </w:sdtEndPr>
    <w:sdtContent>
      <w:p w14:paraId="441E3FC3" w14:textId="77777777" w:rsidR="000C3D68" w:rsidRDefault="000C3D68">
        <w:pPr>
          <w:pStyle w:val="Footer"/>
          <w:jc w:val="center"/>
        </w:pPr>
        <w:r>
          <w:fldChar w:fldCharType="begin"/>
        </w:r>
        <w:r>
          <w:instrText xml:space="preserve"> PAGE   \* MERGEFORMAT </w:instrText>
        </w:r>
        <w:r>
          <w:fldChar w:fldCharType="separate"/>
        </w:r>
        <w:r w:rsidR="00066390">
          <w:rPr>
            <w:noProof/>
          </w:rPr>
          <w:t>11</w:t>
        </w:r>
        <w:r>
          <w:rPr>
            <w:noProof/>
          </w:rPr>
          <w:fldChar w:fldCharType="end"/>
        </w:r>
      </w:p>
    </w:sdtContent>
  </w:sdt>
  <w:p w14:paraId="5781044A" w14:textId="77777777" w:rsidR="000C3D68" w:rsidRDefault="000C3D6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EBCC530" w14:textId="77777777" w:rsidR="002F5A05" w:rsidRDefault="002F5A05" w:rsidP="000C3D68">
      <w:pPr>
        <w:spacing w:before="0" w:after="0" w:line="240" w:lineRule="auto"/>
      </w:pPr>
      <w:r>
        <w:separator/>
      </w:r>
    </w:p>
  </w:footnote>
  <w:footnote w:type="continuationSeparator" w:id="0">
    <w:p w14:paraId="0558A517" w14:textId="77777777" w:rsidR="002F5A05" w:rsidRDefault="002F5A05" w:rsidP="000C3D68">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8298E"/>
    <w:multiLevelType w:val="hybridMultilevel"/>
    <w:tmpl w:val="0A3027DA"/>
    <w:lvl w:ilvl="0" w:tplc="4B1E26BA">
      <w:start w:val="1"/>
      <w:numFmt w:val="decimal"/>
      <w:lvlText w:val="%1."/>
      <w:lvlJc w:val="left"/>
      <w:pPr>
        <w:ind w:left="720" w:hanging="360"/>
      </w:pPr>
      <w:rPr>
        <w:rFonts w:hint="default"/>
      </w:rPr>
    </w:lvl>
    <w:lvl w:ilvl="1" w:tplc="280495E8" w:tentative="1">
      <w:start w:val="1"/>
      <w:numFmt w:val="lowerLetter"/>
      <w:lvlText w:val="%2."/>
      <w:lvlJc w:val="left"/>
      <w:pPr>
        <w:ind w:left="1440" w:hanging="360"/>
      </w:pPr>
    </w:lvl>
    <w:lvl w:ilvl="2" w:tplc="648012B2" w:tentative="1">
      <w:start w:val="1"/>
      <w:numFmt w:val="lowerRoman"/>
      <w:lvlText w:val="%3."/>
      <w:lvlJc w:val="right"/>
      <w:pPr>
        <w:ind w:left="2160" w:hanging="180"/>
      </w:pPr>
    </w:lvl>
    <w:lvl w:ilvl="3" w:tplc="92D0A1AA" w:tentative="1">
      <w:start w:val="1"/>
      <w:numFmt w:val="decimal"/>
      <w:lvlText w:val="%4."/>
      <w:lvlJc w:val="left"/>
      <w:pPr>
        <w:ind w:left="2880" w:hanging="360"/>
      </w:pPr>
    </w:lvl>
    <w:lvl w:ilvl="4" w:tplc="7D7A150A" w:tentative="1">
      <w:start w:val="1"/>
      <w:numFmt w:val="lowerLetter"/>
      <w:lvlText w:val="%5."/>
      <w:lvlJc w:val="left"/>
      <w:pPr>
        <w:ind w:left="3600" w:hanging="360"/>
      </w:pPr>
    </w:lvl>
    <w:lvl w:ilvl="5" w:tplc="A6966688" w:tentative="1">
      <w:start w:val="1"/>
      <w:numFmt w:val="lowerRoman"/>
      <w:lvlText w:val="%6."/>
      <w:lvlJc w:val="right"/>
      <w:pPr>
        <w:ind w:left="4320" w:hanging="180"/>
      </w:pPr>
    </w:lvl>
    <w:lvl w:ilvl="6" w:tplc="D592D92C" w:tentative="1">
      <w:start w:val="1"/>
      <w:numFmt w:val="decimal"/>
      <w:lvlText w:val="%7."/>
      <w:lvlJc w:val="left"/>
      <w:pPr>
        <w:ind w:left="5040" w:hanging="360"/>
      </w:pPr>
    </w:lvl>
    <w:lvl w:ilvl="7" w:tplc="1E5AED76" w:tentative="1">
      <w:start w:val="1"/>
      <w:numFmt w:val="lowerLetter"/>
      <w:lvlText w:val="%8."/>
      <w:lvlJc w:val="left"/>
      <w:pPr>
        <w:ind w:left="5760" w:hanging="360"/>
      </w:pPr>
    </w:lvl>
    <w:lvl w:ilvl="8" w:tplc="47307416" w:tentative="1">
      <w:start w:val="1"/>
      <w:numFmt w:val="lowerRoman"/>
      <w:lvlText w:val="%9."/>
      <w:lvlJc w:val="right"/>
      <w:pPr>
        <w:ind w:left="6480" w:hanging="180"/>
      </w:pPr>
    </w:lvl>
  </w:abstractNum>
  <w:abstractNum w:abstractNumId="1">
    <w:nsid w:val="360F1AE9"/>
    <w:multiLevelType w:val="hybridMultilevel"/>
    <w:tmpl w:val="05BEC102"/>
    <w:lvl w:ilvl="0" w:tplc="4B9E7FE4">
      <w:start w:val="1"/>
      <w:numFmt w:val="decimal"/>
      <w:lvlText w:val="%1."/>
      <w:lvlJc w:val="left"/>
      <w:pPr>
        <w:ind w:left="720" w:hanging="360"/>
      </w:pPr>
      <w:rPr>
        <w:rFonts w:hint="default"/>
      </w:rPr>
    </w:lvl>
    <w:lvl w:ilvl="1" w:tplc="F0FEFB92" w:tentative="1">
      <w:start w:val="1"/>
      <w:numFmt w:val="lowerLetter"/>
      <w:lvlText w:val="%2."/>
      <w:lvlJc w:val="left"/>
      <w:pPr>
        <w:ind w:left="1440" w:hanging="360"/>
      </w:pPr>
    </w:lvl>
    <w:lvl w:ilvl="2" w:tplc="DD688EEC" w:tentative="1">
      <w:start w:val="1"/>
      <w:numFmt w:val="lowerRoman"/>
      <w:lvlText w:val="%3."/>
      <w:lvlJc w:val="right"/>
      <w:pPr>
        <w:ind w:left="2160" w:hanging="180"/>
      </w:pPr>
    </w:lvl>
    <w:lvl w:ilvl="3" w:tplc="81C8743C" w:tentative="1">
      <w:start w:val="1"/>
      <w:numFmt w:val="decimal"/>
      <w:lvlText w:val="%4."/>
      <w:lvlJc w:val="left"/>
      <w:pPr>
        <w:ind w:left="2880" w:hanging="360"/>
      </w:pPr>
    </w:lvl>
    <w:lvl w:ilvl="4" w:tplc="902696CE" w:tentative="1">
      <w:start w:val="1"/>
      <w:numFmt w:val="lowerLetter"/>
      <w:lvlText w:val="%5."/>
      <w:lvlJc w:val="left"/>
      <w:pPr>
        <w:ind w:left="3600" w:hanging="360"/>
      </w:pPr>
    </w:lvl>
    <w:lvl w:ilvl="5" w:tplc="E4622C0C" w:tentative="1">
      <w:start w:val="1"/>
      <w:numFmt w:val="lowerRoman"/>
      <w:lvlText w:val="%6."/>
      <w:lvlJc w:val="right"/>
      <w:pPr>
        <w:ind w:left="4320" w:hanging="180"/>
      </w:pPr>
    </w:lvl>
    <w:lvl w:ilvl="6" w:tplc="4E326C40" w:tentative="1">
      <w:start w:val="1"/>
      <w:numFmt w:val="decimal"/>
      <w:lvlText w:val="%7."/>
      <w:lvlJc w:val="left"/>
      <w:pPr>
        <w:ind w:left="5040" w:hanging="360"/>
      </w:pPr>
    </w:lvl>
    <w:lvl w:ilvl="7" w:tplc="4E6C1B4A" w:tentative="1">
      <w:start w:val="1"/>
      <w:numFmt w:val="lowerLetter"/>
      <w:lvlText w:val="%8."/>
      <w:lvlJc w:val="left"/>
      <w:pPr>
        <w:ind w:left="5760" w:hanging="360"/>
      </w:pPr>
    </w:lvl>
    <w:lvl w:ilvl="8" w:tplc="50206936" w:tentative="1">
      <w:start w:val="1"/>
      <w:numFmt w:val="lowerRoman"/>
      <w:lvlText w:val="%9."/>
      <w:lvlJc w:val="right"/>
      <w:pPr>
        <w:ind w:left="6480" w:hanging="180"/>
      </w:pPr>
    </w:lvl>
  </w:abstractNum>
  <w:abstractNum w:abstractNumId="2">
    <w:nsid w:val="6E690F7C"/>
    <w:multiLevelType w:val="hybridMultilevel"/>
    <w:tmpl w:val="578AE572"/>
    <w:lvl w:ilvl="0" w:tplc="64C445F2">
      <w:start w:val="1"/>
      <w:numFmt w:val="bullet"/>
      <w:lvlText w:val=""/>
      <w:lvlJc w:val="left"/>
      <w:pPr>
        <w:ind w:left="720" w:hanging="360"/>
      </w:pPr>
      <w:rPr>
        <w:rFonts w:ascii="Symbol" w:hAnsi="Symbol" w:hint="default"/>
      </w:rPr>
    </w:lvl>
    <w:lvl w:ilvl="1" w:tplc="B58EAC44" w:tentative="1">
      <w:start w:val="1"/>
      <w:numFmt w:val="bullet"/>
      <w:lvlText w:val="o"/>
      <w:lvlJc w:val="left"/>
      <w:pPr>
        <w:ind w:left="1440" w:hanging="360"/>
      </w:pPr>
      <w:rPr>
        <w:rFonts w:ascii="Courier New" w:hAnsi="Courier New" w:cs="Courier New" w:hint="default"/>
      </w:rPr>
    </w:lvl>
    <w:lvl w:ilvl="2" w:tplc="2444B0E2" w:tentative="1">
      <w:start w:val="1"/>
      <w:numFmt w:val="bullet"/>
      <w:lvlText w:val=""/>
      <w:lvlJc w:val="left"/>
      <w:pPr>
        <w:ind w:left="2160" w:hanging="360"/>
      </w:pPr>
      <w:rPr>
        <w:rFonts w:ascii="Wingdings" w:hAnsi="Wingdings" w:hint="default"/>
      </w:rPr>
    </w:lvl>
    <w:lvl w:ilvl="3" w:tplc="4028C524" w:tentative="1">
      <w:start w:val="1"/>
      <w:numFmt w:val="bullet"/>
      <w:lvlText w:val=""/>
      <w:lvlJc w:val="left"/>
      <w:pPr>
        <w:ind w:left="2880" w:hanging="360"/>
      </w:pPr>
      <w:rPr>
        <w:rFonts w:ascii="Symbol" w:hAnsi="Symbol" w:hint="default"/>
      </w:rPr>
    </w:lvl>
    <w:lvl w:ilvl="4" w:tplc="B37AD6EE" w:tentative="1">
      <w:start w:val="1"/>
      <w:numFmt w:val="bullet"/>
      <w:lvlText w:val="o"/>
      <w:lvlJc w:val="left"/>
      <w:pPr>
        <w:ind w:left="3600" w:hanging="360"/>
      </w:pPr>
      <w:rPr>
        <w:rFonts w:ascii="Courier New" w:hAnsi="Courier New" w:cs="Courier New" w:hint="default"/>
      </w:rPr>
    </w:lvl>
    <w:lvl w:ilvl="5" w:tplc="EAB0F556" w:tentative="1">
      <w:start w:val="1"/>
      <w:numFmt w:val="bullet"/>
      <w:lvlText w:val=""/>
      <w:lvlJc w:val="left"/>
      <w:pPr>
        <w:ind w:left="4320" w:hanging="360"/>
      </w:pPr>
      <w:rPr>
        <w:rFonts w:ascii="Wingdings" w:hAnsi="Wingdings" w:hint="default"/>
      </w:rPr>
    </w:lvl>
    <w:lvl w:ilvl="6" w:tplc="73CA9058" w:tentative="1">
      <w:start w:val="1"/>
      <w:numFmt w:val="bullet"/>
      <w:lvlText w:val=""/>
      <w:lvlJc w:val="left"/>
      <w:pPr>
        <w:ind w:left="5040" w:hanging="360"/>
      </w:pPr>
      <w:rPr>
        <w:rFonts w:ascii="Symbol" w:hAnsi="Symbol" w:hint="default"/>
      </w:rPr>
    </w:lvl>
    <w:lvl w:ilvl="7" w:tplc="EB189946" w:tentative="1">
      <w:start w:val="1"/>
      <w:numFmt w:val="bullet"/>
      <w:lvlText w:val="o"/>
      <w:lvlJc w:val="left"/>
      <w:pPr>
        <w:ind w:left="5760" w:hanging="360"/>
      </w:pPr>
      <w:rPr>
        <w:rFonts w:ascii="Courier New" w:hAnsi="Courier New" w:cs="Courier New" w:hint="default"/>
      </w:rPr>
    </w:lvl>
    <w:lvl w:ilvl="8" w:tplc="8154F602" w:tentative="1">
      <w:start w:val="1"/>
      <w:numFmt w:val="bullet"/>
      <w:lvlText w:val=""/>
      <w:lvlJc w:val="left"/>
      <w:pPr>
        <w:ind w:left="6480" w:hanging="360"/>
      </w:pPr>
      <w:rPr>
        <w:rFonts w:ascii="Wingdings" w:hAnsi="Wingdings" w:hint="default"/>
      </w:rPr>
    </w:lvl>
  </w:abstractNum>
  <w:abstractNum w:abstractNumId="3">
    <w:nsid w:val="70F54893"/>
    <w:multiLevelType w:val="hybridMultilevel"/>
    <w:tmpl w:val="E02A39BC"/>
    <w:lvl w:ilvl="0" w:tplc="E976F2F8">
      <w:start w:val="1"/>
      <w:numFmt w:val="bullet"/>
      <w:lvlText w:val=""/>
      <w:lvlJc w:val="left"/>
      <w:pPr>
        <w:ind w:left="720" w:hanging="360"/>
      </w:pPr>
      <w:rPr>
        <w:rFonts w:ascii="Symbol" w:hAnsi="Symbol" w:hint="default"/>
      </w:rPr>
    </w:lvl>
    <w:lvl w:ilvl="1" w:tplc="95B006A8" w:tentative="1">
      <w:start w:val="1"/>
      <w:numFmt w:val="bullet"/>
      <w:lvlText w:val="o"/>
      <w:lvlJc w:val="left"/>
      <w:pPr>
        <w:ind w:left="1440" w:hanging="360"/>
      </w:pPr>
      <w:rPr>
        <w:rFonts w:ascii="Courier New" w:hAnsi="Courier New" w:cs="Courier New" w:hint="default"/>
      </w:rPr>
    </w:lvl>
    <w:lvl w:ilvl="2" w:tplc="B9BC10B2" w:tentative="1">
      <w:start w:val="1"/>
      <w:numFmt w:val="bullet"/>
      <w:lvlText w:val=""/>
      <w:lvlJc w:val="left"/>
      <w:pPr>
        <w:ind w:left="2160" w:hanging="360"/>
      </w:pPr>
      <w:rPr>
        <w:rFonts w:ascii="Wingdings" w:hAnsi="Wingdings" w:hint="default"/>
      </w:rPr>
    </w:lvl>
    <w:lvl w:ilvl="3" w:tplc="005E6B38" w:tentative="1">
      <w:start w:val="1"/>
      <w:numFmt w:val="bullet"/>
      <w:lvlText w:val=""/>
      <w:lvlJc w:val="left"/>
      <w:pPr>
        <w:ind w:left="2880" w:hanging="360"/>
      </w:pPr>
      <w:rPr>
        <w:rFonts w:ascii="Symbol" w:hAnsi="Symbol" w:hint="default"/>
      </w:rPr>
    </w:lvl>
    <w:lvl w:ilvl="4" w:tplc="CE30892E" w:tentative="1">
      <w:start w:val="1"/>
      <w:numFmt w:val="bullet"/>
      <w:lvlText w:val="o"/>
      <w:lvlJc w:val="left"/>
      <w:pPr>
        <w:ind w:left="3600" w:hanging="360"/>
      </w:pPr>
      <w:rPr>
        <w:rFonts w:ascii="Courier New" w:hAnsi="Courier New" w:cs="Courier New" w:hint="default"/>
      </w:rPr>
    </w:lvl>
    <w:lvl w:ilvl="5" w:tplc="47169FCA" w:tentative="1">
      <w:start w:val="1"/>
      <w:numFmt w:val="bullet"/>
      <w:lvlText w:val=""/>
      <w:lvlJc w:val="left"/>
      <w:pPr>
        <w:ind w:left="4320" w:hanging="360"/>
      </w:pPr>
      <w:rPr>
        <w:rFonts w:ascii="Wingdings" w:hAnsi="Wingdings" w:hint="default"/>
      </w:rPr>
    </w:lvl>
    <w:lvl w:ilvl="6" w:tplc="7D6C2772" w:tentative="1">
      <w:start w:val="1"/>
      <w:numFmt w:val="bullet"/>
      <w:lvlText w:val=""/>
      <w:lvlJc w:val="left"/>
      <w:pPr>
        <w:ind w:left="5040" w:hanging="360"/>
      </w:pPr>
      <w:rPr>
        <w:rFonts w:ascii="Symbol" w:hAnsi="Symbol" w:hint="default"/>
      </w:rPr>
    </w:lvl>
    <w:lvl w:ilvl="7" w:tplc="AF48E09A" w:tentative="1">
      <w:start w:val="1"/>
      <w:numFmt w:val="bullet"/>
      <w:lvlText w:val="o"/>
      <w:lvlJc w:val="left"/>
      <w:pPr>
        <w:ind w:left="5760" w:hanging="360"/>
      </w:pPr>
      <w:rPr>
        <w:rFonts w:ascii="Courier New" w:hAnsi="Courier New" w:cs="Courier New" w:hint="default"/>
      </w:rPr>
    </w:lvl>
    <w:lvl w:ilvl="8" w:tplc="0D164714"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004B"/>
    <w:rsid w:val="00066390"/>
    <w:rsid w:val="000C3D68"/>
    <w:rsid w:val="000F37D6"/>
    <w:rsid w:val="001469B2"/>
    <w:rsid w:val="002F5A05"/>
    <w:rsid w:val="003008C9"/>
    <w:rsid w:val="003B40BA"/>
    <w:rsid w:val="00672FA7"/>
    <w:rsid w:val="00756DA3"/>
    <w:rsid w:val="007818A9"/>
    <w:rsid w:val="00811D90"/>
    <w:rsid w:val="00907641"/>
    <w:rsid w:val="00920A54"/>
    <w:rsid w:val="00983C35"/>
    <w:rsid w:val="009D7011"/>
    <w:rsid w:val="00A24FF9"/>
    <w:rsid w:val="00C20C01"/>
    <w:rsid w:val="00C6004B"/>
    <w:rsid w:val="00D1074F"/>
    <w:rsid w:val="00E6387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CB9F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F81BD" w:themeColor="accent1"/>
      <w:szCs w:val="26"/>
    </w:rPr>
  </w:style>
  <w:style w:type="paragraph" w:styleId="Title">
    <w:name w:val="Title"/>
    <w:basedOn w:val="Normal"/>
    <w:next w:val="Normal"/>
    <w:link w:val="TitleChar"/>
    <w:uiPriority w:val="10"/>
    <w:qFormat/>
    <w:rsid w:val="00C6004B"/>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004B"/>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6004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C6004B"/>
    <w:rPr>
      <w:rFonts w:asciiTheme="majorHAnsi" w:eastAsiaTheme="majorEastAsia" w:hAnsiTheme="majorHAnsi" w:cstheme="majorBidi"/>
      <w:i/>
      <w:iCs/>
      <w:color w:val="4F81BD" w:themeColor="accent1"/>
      <w:spacing w:val="15"/>
    </w:rPr>
  </w:style>
  <w:style w:type="paragraph" w:styleId="ListParagraph">
    <w:name w:val="List Paragraph"/>
    <w:basedOn w:val="Normal"/>
    <w:uiPriority w:val="34"/>
    <w:qFormat/>
    <w:rsid w:val="00C6004B"/>
    <w:pPr>
      <w:ind w:left="720"/>
      <w:contextualSpacing/>
    </w:pPr>
  </w:style>
  <w:style w:type="paragraph" w:styleId="Header">
    <w:name w:val="header"/>
    <w:basedOn w:val="Normal"/>
    <w:link w:val="HeaderChar"/>
    <w:uiPriority w:val="99"/>
    <w:unhideWhenUsed/>
    <w:rsid w:val="000C3D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3D68"/>
    <w:rPr>
      <w:rFonts w:asciiTheme="minorHAnsi" w:hAnsiTheme="minorHAnsi"/>
    </w:rPr>
  </w:style>
  <w:style w:type="paragraph" w:styleId="Footer">
    <w:name w:val="footer"/>
    <w:basedOn w:val="Normal"/>
    <w:link w:val="FooterChar"/>
    <w:uiPriority w:val="99"/>
    <w:unhideWhenUsed/>
    <w:rsid w:val="000C3D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3D68"/>
    <w:rPr>
      <w:rFonts w:asciiTheme="minorHAnsi" w:hAnsiTheme="minorHAnsi"/>
    </w:rPr>
  </w:style>
  <w:style w:type="paragraph" w:styleId="TOCHeading">
    <w:name w:val="TOC Heading"/>
    <w:basedOn w:val="Heading1"/>
    <w:next w:val="Normal"/>
    <w:uiPriority w:val="39"/>
    <w:semiHidden/>
    <w:unhideWhenUsed/>
    <w:qFormat/>
    <w:rsid w:val="000C3D68"/>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0C3D68"/>
    <w:pPr>
      <w:spacing w:after="100"/>
    </w:pPr>
  </w:style>
  <w:style w:type="character" w:styleId="Hyperlink">
    <w:name w:val="Hyperlink"/>
    <w:basedOn w:val="DefaultParagraphFont"/>
    <w:uiPriority w:val="99"/>
    <w:unhideWhenUsed/>
    <w:rsid w:val="000C3D68"/>
    <w:rPr>
      <w:color w:val="0000FF" w:themeColor="hyperlink"/>
      <w:u w:val="single"/>
    </w:rPr>
  </w:style>
  <w:style w:type="paragraph" w:styleId="BalloonText">
    <w:name w:val="Balloon Text"/>
    <w:basedOn w:val="Normal"/>
    <w:link w:val="BalloonTextChar"/>
    <w:uiPriority w:val="99"/>
    <w:semiHidden/>
    <w:unhideWhenUsed/>
    <w:rsid w:val="000C3D6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D68"/>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F81BD" w:themeColor="accent1"/>
      <w:szCs w:val="26"/>
    </w:rPr>
  </w:style>
  <w:style w:type="paragraph" w:styleId="Title">
    <w:name w:val="Title"/>
    <w:basedOn w:val="Normal"/>
    <w:next w:val="Normal"/>
    <w:link w:val="TitleChar"/>
    <w:uiPriority w:val="10"/>
    <w:qFormat/>
    <w:rsid w:val="00C6004B"/>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004B"/>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6004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C6004B"/>
    <w:rPr>
      <w:rFonts w:asciiTheme="majorHAnsi" w:eastAsiaTheme="majorEastAsia" w:hAnsiTheme="majorHAnsi" w:cstheme="majorBidi"/>
      <w:i/>
      <w:iCs/>
      <w:color w:val="4F81BD" w:themeColor="accent1"/>
      <w:spacing w:val="15"/>
    </w:rPr>
  </w:style>
  <w:style w:type="paragraph" w:styleId="ListParagraph">
    <w:name w:val="List Paragraph"/>
    <w:basedOn w:val="Normal"/>
    <w:uiPriority w:val="34"/>
    <w:qFormat/>
    <w:rsid w:val="00C6004B"/>
    <w:pPr>
      <w:ind w:left="720"/>
      <w:contextualSpacing/>
    </w:pPr>
  </w:style>
  <w:style w:type="paragraph" w:styleId="Header">
    <w:name w:val="header"/>
    <w:basedOn w:val="Normal"/>
    <w:link w:val="HeaderChar"/>
    <w:uiPriority w:val="99"/>
    <w:unhideWhenUsed/>
    <w:rsid w:val="000C3D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C3D68"/>
    <w:rPr>
      <w:rFonts w:asciiTheme="minorHAnsi" w:hAnsiTheme="minorHAnsi"/>
    </w:rPr>
  </w:style>
  <w:style w:type="paragraph" w:styleId="Footer">
    <w:name w:val="footer"/>
    <w:basedOn w:val="Normal"/>
    <w:link w:val="FooterChar"/>
    <w:uiPriority w:val="99"/>
    <w:unhideWhenUsed/>
    <w:rsid w:val="000C3D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3D68"/>
    <w:rPr>
      <w:rFonts w:asciiTheme="minorHAnsi" w:hAnsiTheme="minorHAnsi"/>
    </w:rPr>
  </w:style>
  <w:style w:type="paragraph" w:styleId="TOCHeading">
    <w:name w:val="TOC Heading"/>
    <w:basedOn w:val="Heading1"/>
    <w:next w:val="Normal"/>
    <w:uiPriority w:val="39"/>
    <w:semiHidden/>
    <w:unhideWhenUsed/>
    <w:qFormat/>
    <w:rsid w:val="000C3D68"/>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0C3D68"/>
    <w:pPr>
      <w:spacing w:after="100"/>
    </w:pPr>
  </w:style>
  <w:style w:type="character" w:styleId="Hyperlink">
    <w:name w:val="Hyperlink"/>
    <w:basedOn w:val="DefaultParagraphFont"/>
    <w:uiPriority w:val="99"/>
    <w:unhideWhenUsed/>
    <w:rsid w:val="000C3D68"/>
    <w:rPr>
      <w:color w:val="0000FF" w:themeColor="hyperlink"/>
      <w:u w:val="single"/>
    </w:rPr>
  </w:style>
  <w:style w:type="paragraph" w:styleId="BalloonText">
    <w:name w:val="Balloon Text"/>
    <w:basedOn w:val="Normal"/>
    <w:link w:val="BalloonTextChar"/>
    <w:uiPriority w:val="99"/>
    <w:semiHidden/>
    <w:unhideWhenUsed/>
    <w:rsid w:val="000C3D6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D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2C9659-D613-1E44-8C98-6F574EF2D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13</Pages>
  <Words>2532</Words>
  <Characters>14437</Characters>
  <Application>Microsoft Macintosh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NEW xyz</cp:lastModifiedBy>
  <cp:revision>13</cp:revision>
  <dcterms:created xsi:type="dcterms:W3CDTF">2021-07-23T04:56:00Z</dcterms:created>
  <dcterms:modified xsi:type="dcterms:W3CDTF">2021-08-25T13:25:00Z</dcterms:modified>
</cp:coreProperties>
</file>