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B89CA5" w14:textId="77777777" w:rsidR="00162BAA" w:rsidRDefault="00162BAA" w:rsidP="00DF1F3B">
      <w:pPr>
        <w:jc w:val="both"/>
        <w:rPr>
          <w:b/>
          <w:bCs/>
          <w:sz w:val="22"/>
          <w:szCs w:val="22"/>
          <w:u w:val="single"/>
        </w:rPr>
      </w:pPr>
    </w:p>
    <w:p w14:paraId="3DC4EFE1" w14:textId="77777777" w:rsidR="00162BAA" w:rsidRDefault="00162BAA" w:rsidP="00162BAA">
      <w:pPr>
        <w:pStyle w:val="NormalWeb"/>
        <w:spacing w:before="0" w:beforeAutospacing="0" w:after="0" w:afterAutospacing="0"/>
        <w:ind w:left="-180" w:right="-334"/>
      </w:pPr>
      <w:r>
        <w:rPr>
          <w:noProof/>
        </w:rPr>
        <w:drawing>
          <wp:inline distT="0" distB="0" distL="0" distR="0" wp14:anchorId="17C0386B" wp14:editId="2669C9A1">
            <wp:extent cx="1905000" cy="638175"/>
            <wp:effectExtent l="25400" t="25400" r="12700" b="9525"/>
            <wp:docPr id="1" name="Picture 1" descr="A black and white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Description automatically generated"/>
                    <pic:cNvPicPr>
                      <a:picLocks/>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4733694C" w14:textId="77777777" w:rsidR="00162BAA" w:rsidRDefault="00162BAA" w:rsidP="00162BAA">
      <w:pPr>
        <w:pStyle w:val="NormalWeb"/>
        <w:spacing w:before="0" w:beforeAutospacing="0" w:after="0" w:afterAutospacing="0"/>
        <w:ind w:left="-180" w:right="-334"/>
      </w:pPr>
    </w:p>
    <w:p w14:paraId="1A5B6B4B" w14:textId="77777777" w:rsidR="00162BAA" w:rsidRDefault="00162BAA" w:rsidP="00162BAA">
      <w:pPr>
        <w:pStyle w:val="NormalWeb"/>
        <w:spacing w:before="0" w:beforeAutospacing="0" w:after="0" w:afterAutospacing="0"/>
        <w:ind w:left="-180" w:right="-334"/>
      </w:pPr>
    </w:p>
    <w:p w14:paraId="402FD830" w14:textId="77777777" w:rsidR="00162BAA" w:rsidRDefault="00162BAA" w:rsidP="00162BAA">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06858F45" w14:textId="77777777" w:rsidR="00162BAA" w:rsidRPr="00230F35" w:rsidRDefault="00162BAA" w:rsidP="00162BAA">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CD5F7C6" w14:textId="77777777" w:rsidR="00162BAA" w:rsidRPr="00230F35" w:rsidRDefault="00162BAA" w:rsidP="00162BAA">
      <w:pPr>
        <w:rPr>
          <w:rFonts w:ascii="Arial" w:hAnsi="Arial" w:cs="Arial"/>
          <w:sz w:val="28"/>
          <w:szCs w:val="28"/>
          <w:lang w:val="cy-GB"/>
        </w:rPr>
      </w:pPr>
    </w:p>
    <w:p w14:paraId="478F3920" w14:textId="77777777" w:rsidR="00162BAA" w:rsidRDefault="00162BAA" w:rsidP="00162BAA">
      <w:pPr>
        <w:pStyle w:val="Heading3"/>
        <w:jc w:val="center"/>
        <w:rPr>
          <w:lang w:val="cy-GB"/>
        </w:rPr>
      </w:pPr>
      <w:r>
        <w:rPr>
          <w:lang w:val="cy-GB"/>
        </w:rPr>
        <w:t>THIS SHEET MUST BE THE FIRST PAGE OF THE ASSIGNMENT YOU ARE SUBMITTING  (DO NOT SEND AS A SEPARATE FILE)</w:t>
      </w:r>
    </w:p>
    <w:p w14:paraId="5C8F646E" w14:textId="77777777" w:rsidR="00162BAA" w:rsidRDefault="00162BAA" w:rsidP="00162BAA">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2266"/>
        <w:gridCol w:w="1802"/>
      </w:tblGrid>
      <w:tr w:rsidR="00162BAA" w:rsidRPr="00230F35" w14:paraId="7E61A2E4" w14:textId="77777777" w:rsidTr="008A51D7">
        <w:trPr>
          <w:trHeight w:val="614"/>
        </w:trPr>
        <w:tc>
          <w:tcPr>
            <w:tcW w:w="8856" w:type="dxa"/>
            <w:gridSpan w:val="3"/>
          </w:tcPr>
          <w:p w14:paraId="040CA7B5" w14:textId="77777777" w:rsidR="00162BAA"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p w14:paraId="748A72C3" w14:textId="77777777" w:rsidR="00162BAA" w:rsidRPr="00230F35" w:rsidRDefault="00162BAA" w:rsidP="008A51D7">
            <w:pPr>
              <w:pStyle w:val="NormalWeb"/>
              <w:spacing w:before="0" w:beforeAutospacing="0" w:after="0" w:afterAutospacing="0"/>
              <w:ind w:right="34"/>
              <w:rPr>
                <w:rFonts w:ascii="Arial" w:hAnsi="Arial" w:cs="Arial"/>
                <w:sz w:val="22"/>
                <w:szCs w:val="22"/>
              </w:rPr>
            </w:pPr>
          </w:p>
        </w:tc>
      </w:tr>
      <w:tr w:rsidR="00162BAA" w:rsidRPr="00230F35" w14:paraId="69D4FA09" w14:textId="77777777" w:rsidTr="008A51D7">
        <w:trPr>
          <w:trHeight w:val="718"/>
        </w:trPr>
        <w:tc>
          <w:tcPr>
            <w:tcW w:w="8856" w:type="dxa"/>
            <w:gridSpan w:val="3"/>
          </w:tcPr>
          <w:p w14:paraId="02B2EF01" w14:textId="77777777" w:rsidR="00162BAA"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Daisy Plummer</w:t>
            </w:r>
          </w:p>
          <w:p w14:paraId="2587BBAD" w14:textId="77777777" w:rsidR="00162BAA" w:rsidRPr="00230F35" w:rsidRDefault="00162BAA" w:rsidP="008A51D7">
            <w:pPr>
              <w:pStyle w:val="NormalWeb"/>
              <w:spacing w:before="0" w:beforeAutospacing="0" w:after="0" w:afterAutospacing="0"/>
              <w:ind w:right="34"/>
              <w:rPr>
                <w:rFonts w:ascii="Arial" w:hAnsi="Arial" w:cs="Arial"/>
                <w:sz w:val="22"/>
                <w:szCs w:val="22"/>
              </w:rPr>
            </w:pPr>
          </w:p>
          <w:p w14:paraId="6337AC2C" w14:textId="77777777" w:rsidR="00162BAA" w:rsidRPr="00230F35"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Pr="00BA1E9F">
              <w:rPr>
                <w:rFonts w:ascii="Arial" w:eastAsia="Times New Roman" w:hAnsi="Arial" w:cs="Arial"/>
                <w:sz w:val="22"/>
                <w:szCs w:val="22"/>
              </w:rPr>
              <w:t>2406954@student.uwtsd.ac.uk</w:t>
            </w:r>
          </w:p>
        </w:tc>
      </w:tr>
      <w:tr w:rsidR="00162BAA" w:rsidRPr="00230F35" w14:paraId="59D4328F" w14:textId="77777777" w:rsidTr="008A51D7">
        <w:trPr>
          <w:trHeight w:val="849"/>
        </w:trPr>
        <w:tc>
          <w:tcPr>
            <w:tcW w:w="4788" w:type="dxa"/>
          </w:tcPr>
          <w:p w14:paraId="6B38B777" w14:textId="77777777" w:rsidR="00162BAA"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p>
          <w:p w14:paraId="2A89143F" w14:textId="3AB274D4" w:rsidR="00162BAA" w:rsidRPr="00230F35" w:rsidRDefault="00162BAA" w:rsidP="008A51D7">
            <w:pPr>
              <w:pStyle w:val="NormalWeb"/>
              <w:spacing w:before="0" w:beforeAutospacing="0" w:after="0" w:afterAutospacing="0"/>
              <w:ind w:right="34"/>
              <w:rPr>
                <w:rFonts w:ascii="Arial" w:hAnsi="Arial" w:cs="Arial"/>
                <w:sz w:val="22"/>
                <w:szCs w:val="22"/>
              </w:rPr>
            </w:pPr>
            <w:r>
              <w:rPr>
                <w:rFonts w:ascii="Arial" w:hAnsi="Arial" w:cs="Arial"/>
                <w:sz w:val="22"/>
                <w:szCs w:val="22"/>
              </w:rPr>
              <w:t>HPCA7016</w:t>
            </w:r>
          </w:p>
          <w:p w14:paraId="67DA7AB8" w14:textId="77777777" w:rsidR="00162BAA" w:rsidRPr="00230F35" w:rsidRDefault="00162BAA" w:rsidP="008A51D7">
            <w:pPr>
              <w:pStyle w:val="NormalWeb"/>
              <w:spacing w:before="0" w:beforeAutospacing="0" w:after="0" w:afterAutospacing="0"/>
              <w:ind w:right="34"/>
              <w:rPr>
                <w:rFonts w:ascii="Arial" w:hAnsi="Arial" w:cs="Arial"/>
                <w:sz w:val="22"/>
                <w:szCs w:val="22"/>
              </w:rPr>
            </w:pPr>
          </w:p>
          <w:p w14:paraId="6C4F5666" w14:textId="77777777" w:rsidR="00162BAA"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43A2C9C6" w14:textId="034795ED" w:rsidR="00162BAA" w:rsidRDefault="00162BAA" w:rsidP="008A51D7">
            <w:pPr>
              <w:pStyle w:val="NormalWeb"/>
              <w:spacing w:before="0" w:beforeAutospacing="0" w:after="0" w:afterAutospacing="0"/>
              <w:ind w:right="34"/>
              <w:rPr>
                <w:rFonts w:ascii="Arial" w:hAnsi="Arial" w:cs="Arial"/>
                <w:sz w:val="22"/>
                <w:szCs w:val="22"/>
              </w:rPr>
            </w:pPr>
            <w:r>
              <w:rPr>
                <w:rFonts w:ascii="Arial" w:hAnsi="Arial" w:cs="Arial"/>
                <w:sz w:val="22"/>
                <w:szCs w:val="22"/>
              </w:rPr>
              <w:t>Researching Contemporary Cosmologies</w:t>
            </w:r>
          </w:p>
          <w:p w14:paraId="07A9AF19" w14:textId="77777777" w:rsidR="00162BAA" w:rsidRPr="00230F35" w:rsidRDefault="00162BAA" w:rsidP="008A51D7">
            <w:pPr>
              <w:pStyle w:val="NormalWeb"/>
              <w:spacing w:before="0" w:beforeAutospacing="0" w:after="0" w:afterAutospacing="0"/>
              <w:ind w:right="34"/>
              <w:rPr>
                <w:rFonts w:ascii="Arial" w:hAnsi="Arial" w:cs="Arial"/>
                <w:sz w:val="22"/>
                <w:szCs w:val="22"/>
              </w:rPr>
            </w:pPr>
          </w:p>
        </w:tc>
        <w:tc>
          <w:tcPr>
            <w:tcW w:w="2266" w:type="dxa"/>
          </w:tcPr>
          <w:p w14:paraId="13AF0B08" w14:textId="77777777" w:rsidR="00162BAA"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D46E72E" w14:textId="77777777" w:rsidR="00162BAA" w:rsidRDefault="00162BAA" w:rsidP="008A51D7">
            <w:pPr>
              <w:pStyle w:val="NormalWeb"/>
              <w:spacing w:before="0" w:beforeAutospacing="0" w:after="0" w:afterAutospacing="0"/>
              <w:ind w:right="34"/>
              <w:rPr>
                <w:rFonts w:ascii="Arial" w:hAnsi="Arial" w:cs="Arial"/>
                <w:sz w:val="22"/>
                <w:szCs w:val="22"/>
              </w:rPr>
            </w:pPr>
          </w:p>
          <w:p w14:paraId="641FAF2B" w14:textId="77777777" w:rsidR="00162BAA" w:rsidRPr="00BA1E9F" w:rsidRDefault="00162BAA" w:rsidP="008A51D7">
            <w:pPr>
              <w:pStyle w:val="NormalWeb"/>
              <w:spacing w:before="0" w:beforeAutospacing="0" w:after="0" w:afterAutospacing="0"/>
              <w:ind w:right="34"/>
              <w:rPr>
                <w:rFonts w:ascii="Arial" w:hAnsi="Arial" w:cs="Arial"/>
                <w:sz w:val="22"/>
                <w:szCs w:val="22"/>
              </w:rPr>
            </w:pPr>
            <w:r w:rsidRPr="00BA1E9F">
              <w:rPr>
                <w:rFonts w:ascii="Arial" w:hAnsi="Arial" w:cs="Arial"/>
                <w:sz w:val="22"/>
                <w:szCs w:val="22"/>
              </w:rPr>
              <w:t>2406954</w:t>
            </w:r>
          </w:p>
        </w:tc>
        <w:tc>
          <w:tcPr>
            <w:tcW w:w="1802" w:type="dxa"/>
          </w:tcPr>
          <w:p w14:paraId="2E8FEE32" w14:textId="77777777" w:rsidR="00162BAA" w:rsidRPr="00230F35"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2B1CB61" w14:textId="77777777" w:rsidR="00162BAA" w:rsidRPr="00230F35"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162BAA" w:rsidRPr="00230F35" w14:paraId="453FB0F0" w14:textId="77777777" w:rsidTr="008A51D7">
        <w:trPr>
          <w:trHeight w:val="1139"/>
        </w:trPr>
        <w:tc>
          <w:tcPr>
            <w:tcW w:w="8856" w:type="dxa"/>
            <w:gridSpan w:val="3"/>
          </w:tcPr>
          <w:p w14:paraId="3CA48E7C" w14:textId="77777777" w:rsidR="00162BAA" w:rsidRPr="007F4B67" w:rsidRDefault="00162BAA" w:rsidP="008A51D7">
            <w:pPr>
              <w:jc w:val="both"/>
              <w:rPr>
                <w:rFonts w:ascii="Arial" w:hAnsi="Arial" w:cs="Arial"/>
              </w:rPr>
            </w:pPr>
            <w:r w:rsidRPr="00230F35">
              <w:rPr>
                <w:rFonts w:ascii="Arial" w:hAnsi="Arial" w:cs="Arial"/>
                <w:sz w:val="22"/>
                <w:szCs w:val="22"/>
              </w:rPr>
              <w:t>Assignment title:</w:t>
            </w:r>
            <w:r>
              <w:rPr>
                <w:rFonts w:ascii="Arial" w:hAnsi="Arial" w:cs="Arial"/>
                <w:sz w:val="22"/>
                <w:szCs w:val="22"/>
              </w:rPr>
              <w:t xml:space="preserve"> </w:t>
            </w:r>
            <w:r w:rsidRPr="00BA1E9F">
              <w:rPr>
                <w:rFonts w:ascii="Arial" w:hAnsi="Arial" w:cs="Arial"/>
              </w:rPr>
              <w:t>A Critical Comparison of Two Secondary Sources</w:t>
            </w:r>
          </w:p>
          <w:p w14:paraId="0FFB1287" w14:textId="77777777" w:rsidR="00162BAA" w:rsidRDefault="00162BAA" w:rsidP="008A51D7">
            <w:pPr>
              <w:pStyle w:val="NormalWeb"/>
              <w:spacing w:before="0" w:beforeAutospacing="0" w:after="0" w:afterAutospacing="0"/>
              <w:ind w:right="34"/>
              <w:rPr>
                <w:rFonts w:ascii="Arial" w:hAnsi="Arial" w:cs="Arial"/>
                <w:sz w:val="22"/>
                <w:szCs w:val="22"/>
              </w:rPr>
            </w:pPr>
          </w:p>
          <w:p w14:paraId="2E02729A" w14:textId="77777777" w:rsidR="00162BAA" w:rsidRDefault="00162BAA" w:rsidP="008A51D7">
            <w:pPr>
              <w:pStyle w:val="NormalWeb"/>
              <w:spacing w:before="0" w:beforeAutospacing="0" w:after="0" w:afterAutospacing="0"/>
              <w:ind w:right="34"/>
              <w:rPr>
                <w:rFonts w:ascii="Arial" w:hAnsi="Arial" w:cs="Arial"/>
                <w:sz w:val="22"/>
                <w:szCs w:val="22"/>
              </w:rPr>
            </w:pPr>
          </w:p>
          <w:p w14:paraId="2EF34235" w14:textId="77777777" w:rsidR="00162BAA" w:rsidRPr="00230F35"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17th March 2025</w:t>
            </w:r>
          </w:p>
        </w:tc>
      </w:tr>
      <w:tr w:rsidR="00162BAA" w:rsidRPr="00230F35" w14:paraId="6E53C020" w14:textId="77777777" w:rsidTr="008A51D7">
        <w:trPr>
          <w:trHeight w:val="978"/>
        </w:trPr>
        <w:tc>
          <w:tcPr>
            <w:tcW w:w="8856" w:type="dxa"/>
            <w:gridSpan w:val="3"/>
            <w:tcBorders>
              <w:bottom w:val="single" w:sz="4" w:space="0" w:color="000000"/>
            </w:tcBorders>
          </w:tcPr>
          <w:p w14:paraId="3773BE2E" w14:textId="77777777" w:rsidR="00162BAA" w:rsidRPr="00230F35" w:rsidRDefault="00162BAA" w:rsidP="008A51D7">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st</w:t>
            </w:r>
            <w:r>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Pr>
                <w:rFonts w:ascii="Arial" w:hAnsi="Arial" w:cs="Arial"/>
                <w:sz w:val="22"/>
                <w:szCs w:val="22"/>
              </w:rPr>
              <w:t>X</w:t>
            </w:r>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0"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1"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2"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3"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162BAA" w:rsidRPr="00230F35" w14:paraId="23CD5846" w14:textId="77777777" w:rsidTr="008A51D7">
        <w:trPr>
          <w:trHeight w:val="978"/>
        </w:trPr>
        <w:tc>
          <w:tcPr>
            <w:tcW w:w="8856" w:type="dxa"/>
            <w:gridSpan w:val="3"/>
            <w:shd w:val="clear" w:color="auto" w:fill="D9D9D9"/>
          </w:tcPr>
          <w:p w14:paraId="1DFE8E87" w14:textId="77777777" w:rsidR="00162BAA" w:rsidRPr="00230F35"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9AE911B" w14:textId="77777777" w:rsidR="00162BAA" w:rsidRDefault="00162BAA" w:rsidP="008A51D7">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Daisy Plummer</w:t>
            </w:r>
            <w:r w:rsidRPr="00230F35">
              <w:rPr>
                <w:rFonts w:ascii="Arial" w:hAnsi="Arial" w:cs="Arial"/>
                <w:sz w:val="22"/>
                <w:szCs w:val="22"/>
              </w:rPr>
              <w:t>…………………………………………………</w:t>
            </w:r>
          </w:p>
          <w:p w14:paraId="49019E43" w14:textId="77777777" w:rsidR="00162BAA" w:rsidRDefault="00162BAA" w:rsidP="008A51D7">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ED0992">
              <w:rPr>
                <w:noProof/>
              </w:rPr>
              <w:drawing>
                <wp:inline distT="0" distB="0" distL="0" distR="0" wp14:anchorId="11EF9267" wp14:editId="2ED0221B">
                  <wp:extent cx="228600" cy="228600"/>
                  <wp:effectExtent l="0" t="0" r="0" b="0"/>
                  <wp:docPr id="2" name="Picture 1" descr="A green check mark on a white backgroun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A green check mark on a white background&#10;&#10;Description automatically generated"/>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28600" cy="228600"/>
                          </a:xfrm>
                          <a:prstGeom prst="rect">
                            <a:avLst/>
                          </a:prstGeom>
                          <a:noFill/>
                          <a:ln>
                            <a:noFill/>
                          </a:ln>
                        </pic:spPr>
                      </pic:pic>
                    </a:graphicData>
                  </a:graphic>
                </wp:inline>
              </w:drawing>
            </w:r>
          </w:p>
          <w:p w14:paraId="5E2147EE" w14:textId="77777777" w:rsidR="00162BAA" w:rsidRDefault="00162BAA" w:rsidP="008A51D7">
            <w:pPr>
              <w:pStyle w:val="NormalWeb"/>
              <w:spacing w:before="0" w:beforeAutospacing="0" w:after="0" w:afterAutospacing="0"/>
              <w:ind w:right="34"/>
              <w:rPr>
                <w:rFonts w:ascii="Calibri" w:hAnsi="Calibri" w:cs="Tahoma"/>
                <w:b/>
                <w:sz w:val="24"/>
                <w:szCs w:val="24"/>
              </w:rPr>
            </w:pPr>
            <w:r>
              <w:rPr>
                <w:rFonts w:ascii="Calibri" w:hAnsi="Calibri" w:cs="Tahoma"/>
                <w:b/>
                <w:sz w:val="24"/>
                <w:szCs w:val="24"/>
              </w:rPr>
              <w:t>(as a substitute for your signature) to confirm that you agree to the above declaration.</w:t>
            </w:r>
          </w:p>
          <w:p w14:paraId="3DD15C43" w14:textId="77777777" w:rsidR="00162BAA" w:rsidRPr="00230F35" w:rsidRDefault="00162BAA" w:rsidP="008A51D7">
            <w:pPr>
              <w:pStyle w:val="NormalWeb"/>
              <w:spacing w:before="0" w:beforeAutospacing="0" w:after="0" w:afterAutospacing="0"/>
              <w:ind w:right="34"/>
              <w:rPr>
                <w:rFonts w:ascii="Arial" w:hAnsi="Arial" w:cs="Arial"/>
                <w:sz w:val="22"/>
                <w:szCs w:val="22"/>
              </w:rPr>
            </w:pPr>
          </w:p>
        </w:tc>
      </w:tr>
    </w:tbl>
    <w:p w14:paraId="4696BAC7" w14:textId="77777777" w:rsidR="00162BAA" w:rsidRDefault="00162BAA" w:rsidP="00DF1F3B">
      <w:pPr>
        <w:jc w:val="both"/>
        <w:rPr>
          <w:b/>
          <w:bCs/>
          <w:sz w:val="22"/>
          <w:szCs w:val="22"/>
          <w:u w:val="single"/>
        </w:rPr>
      </w:pPr>
    </w:p>
    <w:p w14:paraId="49B0256B" w14:textId="77777777" w:rsidR="00162BAA" w:rsidRDefault="00162BAA" w:rsidP="00DF1F3B">
      <w:pPr>
        <w:jc w:val="both"/>
        <w:rPr>
          <w:b/>
          <w:bCs/>
          <w:sz w:val="22"/>
          <w:szCs w:val="22"/>
          <w:u w:val="single"/>
        </w:rPr>
      </w:pPr>
    </w:p>
    <w:p w14:paraId="40D8B2E4" w14:textId="77777777" w:rsidR="00162BAA" w:rsidRDefault="00162BAA" w:rsidP="00DF1F3B">
      <w:pPr>
        <w:jc w:val="both"/>
        <w:rPr>
          <w:b/>
          <w:bCs/>
          <w:sz w:val="22"/>
          <w:szCs w:val="22"/>
          <w:u w:val="single"/>
        </w:rPr>
      </w:pPr>
    </w:p>
    <w:p w14:paraId="29FBE0D0" w14:textId="77777777" w:rsidR="00162BAA" w:rsidRDefault="00162BAA" w:rsidP="00DF1F3B">
      <w:pPr>
        <w:jc w:val="both"/>
        <w:rPr>
          <w:b/>
          <w:bCs/>
          <w:sz w:val="22"/>
          <w:szCs w:val="22"/>
          <w:u w:val="single"/>
        </w:rPr>
      </w:pPr>
    </w:p>
    <w:p w14:paraId="094F27E5" w14:textId="77777777" w:rsidR="00162BAA" w:rsidRDefault="00162BAA" w:rsidP="00DF1F3B">
      <w:pPr>
        <w:jc w:val="both"/>
        <w:rPr>
          <w:b/>
          <w:bCs/>
          <w:sz w:val="22"/>
          <w:szCs w:val="22"/>
          <w:u w:val="single"/>
        </w:rPr>
      </w:pPr>
    </w:p>
    <w:p w14:paraId="4BE65A43" w14:textId="77777777" w:rsidR="00162BAA" w:rsidRDefault="00162BAA" w:rsidP="00DF1F3B">
      <w:pPr>
        <w:jc w:val="both"/>
        <w:rPr>
          <w:b/>
          <w:bCs/>
          <w:sz w:val="22"/>
          <w:szCs w:val="22"/>
          <w:u w:val="single"/>
        </w:rPr>
      </w:pPr>
    </w:p>
    <w:p w14:paraId="2582C048" w14:textId="77777777" w:rsidR="00162BAA" w:rsidRDefault="00162BAA" w:rsidP="00DF1F3B">
      <w:pPr>
        <w:jc w:val="both"/>
        <w:rPr>
          <w:b/>
          <w:bCs/>
          <w:sz w:val="22"/>
          <w:szCs w:val="22"/>
          <w:u w:val="single"/>
        </w:rPr>
      </w:pPr>
    </w:p>
    <w:p w14:paraId="2FA647D8" w14:textId="77777777" w:rsidR="00162BAA" w:rsidRDefault="00162BAA" w:rsidP="00DF1F3B">
      <w:pPr>
        <w:jc w:val="both"/>
        <w:rPr>
          <w:b/>
          <w:bCs/>
          <w:sz w:val="22"/>
          <w:szCs w:val="22"/>
          <w:u w:val="single"/>
        </w:rPr>
      </w:pPr>
    </w:p>
    <w:p w14:paraId="5641BA32" w14:textId="77777777" w:rsidR="00162BAA" w:rsidRDefault="00162BAA" w:rsidP="00DF1F3B">
      <w:pPr>
        <w:jc w:val="both"/>
        <w:rPr>
          <w:b/>
          <w:bCs/>
          <w:sz w:val="22"/>
          <w:szCs w:val="22"/>
          <w:u w:val="single"/>
        </w:rPr>
      </w:pPr>
    </w:p>
    <w:p w14:paraId="069BBFFC" w14:textId="77777777" w:rsidR="00162BAA" w:rsidRDefault="00162BAA" w:rsidP="00DF1F3B">
      <w:pPr>
        <w:jc w:val="both"/>
        <w:rPr>
          <w:b/>
          <w:bCs/>
          <w:sz w:val="22"/>
          <w:szCs w:val="22"/>
          <w:u w:val="single"/>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211"/>
        <w:gridCol w:w="1557"/>
        <w:gridCol w:w="2088"/>
      </w:tblGrid>
      <w:tr w:rsidR="00162BAA" w:rsidRPr="00001C3B" w14:paraId="62B409C2" w14:textId="77777777" w:rsidTr="008A51D7">
        <w:trPr>
          <w:trHeight w:val="3972"/>
        </w:trPr>
        <w:tc>
          <w:tcPr>
            <w:tcW w:w="8856" w:type="dxa"/>
            <w:gridSpan w:val="3"/>
          </w:tcPr>
          <w:p w14:paraId="7233D566" w14:textId="77777777" w:rsidR="00162BAA" w:rsidRPr="00116CE6" w:rsidRDefault="00162BAA" w:rsidP="008A51D7">
            <w:pPr>
              <w:rPr>
                <w:rFonts w:ascii="Arial" w:hAnsi="Arial"/>
              </w:rPr>
            </w:pPr>
            <w:r w:rsidRPr="00116CE6">
              <w:rPr>
                <w:rFonts w:ascii="Arial" w:hAnsi="Arial"/>
                <w:b/>
              </w:rPr>
              <w:lastRenderedPageBreak/>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162BAA" w:rsidRPr="00116CE6" w14:paraId="09B14D12" w14:textId="77777777" w:rsidTr="008A51D7">
              <w:tc>
                <w:tcPr>
                  <w:tcW w:w="6970" w:type="dxa"/>
                </w:tcPr>
                <w:p w14:paraId="498EA995" w14:textId="77777777" w:rsidR="00162BAA" w:rsidRPr="00116CE6" w:rsidRDefault="00162BAA" w:rsidP="008A51D7">
                  <w:pPr>
                    <w:rPr>
                      <w:rFonts w:ascii="Arial" w:hAnsi="Arial"/>
                      <w:sz w:val="20"/>
                      <w:szCs w:val="20"/>
                    </w:rPr>
                  </w:pPr>
                </w:p>
                <w:p w14:paraId="010C98D1" w14:textId="77777777" w:rsidR="00162BAA" w:rsidRPr="00116CE6" w:rsidRDefault="00162BAA" w:rsidP="008A51D7">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5B4F3BAD" w14:textId="77777777" w:rsidR="00162BAA" w:rsidRPr="00116CE6" w:rsidRDefault="00162BAA" w:rsidP="008A51D7">
                  <w:pPr>
                    <w:rPr>
                      <w:rFonts w:ascii="Arial" w:hAnsi="Arial"/>
                      <w:sz w:val="20"/>
                      <w:szCs w:val="20"/>
                    </w:rPr>
                  </w:pPr>
                </w:p>
              </w:tc>
            </w:tr>
            <w:tr w:rsidR="00162BAA" w:rsidRPr="00116CE6" w14:paraId="713D5D88" w14:textId="77777777" w:rsidTr="008A51D7">
              <w:tc>
                <w:tcPr>
                  <w:tcW w:w="6970" w:type="dxa"/>
                </w:tcPr>
                <w:p w14:paraId="71E655B9" w14:textId="77777777" w:rsidR="00162BAA" w:rsidRPr="00116CE6" w:rsidRDefault="00162BAA" w:rsidP="008A51D7">
                  <w:pPr>
                    <w:rPr>
                      <w:rFonts w:ascii="Arial" w:hAnsi="Arial"/>
                      <w:sz w:val="20"/>
                      <w:szCs w:val="20"/>
                    </w:rPr>
                  </w:pPr>
                </w:p>
                <w:p w14:paraId="2C737E2A" w14:textId="77777777" w:rsidR="00162BAA" w:rsidRPr="00116CE6" w:rsidRDefault="00162BAA" w:rsidP="008A51D7">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65BBD092" w14:textId="77777777" w:rsidR="00162BAA" w:rsidRPr="00116CE6" w:rsidRDefault="00162BAA" w:rsidP="008A51D7">
                  <w:pPr>
                    <w:rPr>
                      <w:rFonts w:ascii="Arial" w:hAnsi="Arial"/>
                      <w:sz w:val="20"/>
                      <w:szCs w:val="20"/>
                    </w:rPr>
                  </w:pPr>
                </w:p>
              </w:tc>
            </w:tr>
            <w:tr w:rsidR="00162BAA" w:rsidRPr="00116CE6" w14:paraId="01D6DC2A" w14:textId="77777777" w:rsidTr="008A51D7">
              <w:tc>
                <w:tcPr>
                  <w:tcW w:w="6970" w:type="dxa"/>
                </w:tcPr>
                <w:p w14:paraId="5A3A2B35" w14:textId="77777777" w:rsidR="00162BAA" w:rsidRPr="00116CE6" w:rsidRDefault="00162BAA" w:rsidP="008A51D7">
                  <w:pPr>
                    <w:rPr>
                      <w:rFonts w:ascii="Arial" w:hAnsi="Arial"/>
                      <w:sz w:val="20"/>
                      <w:szCs w:val="20"/>
                    </w:rPr>
                  </w:pPr>
                </w:p>
                <w:p w14:paraId="04987363" w14:textId="77777777" w:rsidR="00162BAA" w:rsidRPr="00116CE6" w:rsidRDefault="00162BAA" w:rsidP="008A51D7">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78F5C5A" w14:textId="77777777" w:rsidR="00162BAA" w:rsidRPr="00116CE6" w:rsidRDefault="00162BAA" w:rsidP="008A51D7">
                  <w:pPr>
                    <w:rPr>
                      <w:rFonts w:ascii="Arial" w:hAnsi="Arial"/>
                      <w:sz w:val="20"/>
                      <w:szCs w:val="20"/>
                    </w:rPr>
                  </w:pPr>
                </w:p>
              </w:tc>
            </w:tr>
            <w:tr w:rsidR="00162BAA" w:rsidRPr="00116CE6" w14:paraId="4139E825" w14:textId="77777777" w:rsidTr="008A51D7">
              <w:tc>
                <w:tcPr>
                  <w:tcW w:w="6970" w:type="dxa"/>
                </w:tcPr>
                <w:p w14:paraId="2AC8E737" w14:textId="77777777" w:rsidR="00162BAA" w:rsidRDefault="00162BAA" w:rsidP="008A51D7">
                  <w:pPr>
                    <w:rPr>
                      <w:rFonts w:ascii="Arial" w:hAnsi="Arial"/>
                      <w:sz w:val="20"/>
                      <w:szCs w:val="20"/>
                    </w:rPr>
                  </w:pPr>
                </w:p>
                <w:p w14:paraId="785AE60C" w14:textId="77777777" w:rsidR="00162BAA" w:rsidRPr="00022345" w:rsidRDefault="00162BAA" w:rsidP="008A51D7">
                  <w:pPr>
                    <w:rPr>
                      <w:rFonts w:ascii="Arial" w:hAnsi="Arial"/>
                      <w:b/>
                      <w:sz w:val="20"/>
                      <w:szCs w:val="20"/>
                    </w:rPr>
                  </w:pPr>
                  <w:r w:rsidRPr="00022345">
                    <w:rPr>
                      <w:rFonts w:ascii="Arial" w:hAnsi="Arial"/>
                      <w:b/>
                      <w:sz w:val="20"/>
                      <w:szCs w:val="20"/>
                    </w:rPr>
                    <w:t>Final Mark</w:t>
                  </w:r>
                </w:p>
                <w:p w14:paraId="52384CA0" w14:textId="77777777" w:rsidR="00162BAA" w:rsidRPr="00116CE6" w:rsidRDefault="00162BAA" w:rsidP="008A51D7">
                  <w:pPr>
                    <w:rPr>
                      <w:rFonts w:ascii="Arial" w:hAnsi="Arial"/>
                      <w:sz w:val="20"/>
                      <w:szCs w:val="20"/>
                    </w:rPr>
                  </w:pPr>
                </w:p>
              </w:tc>
              <w:tc>
                <w:tcPr>
                  <w:tcW w:w="1660" w:type="dxa"/>
                </w:tcPr>
                <w:p w14:paraId="54E0701D" w14:textId="77777777" w:rsidR="00162BAA" w:rsidRPr="00116CE6" w:rsidRDefault="00162BAA" w:rsidP="008A51D7">
                  <w:pPr>
                    <w:rPr>
                      <w:rFonts w:ascii="Arial" w:hAnsi="Arial"/>
                      <w:sz w:val="20"/>
                      <w:szCs w:val="20"/>
                    </w:rPr>
                  </w:pPr>
                </w:p>
              </w:tc>
            </w:tr>
          </w:tbl>
          <w:p w14:paraId="658BA496" w14:textId="77777777" w:rsidR="00162BAA" w:rsidRDefault="00162BAA" w:rsidP="008A51D7">
            <w:pPr>
              <w:pStyle w:val="NormalWeb"/>
              <w:spacing w:before="0" w:beforeAutospacing="0" w:after="0" w:afterAutospacing="0"/>
              <w:ind w:left="142" w:right="34"/>
              <w:rPr>
                <w:rFonts w:ascii="Arial" w:hAnsi="Arial" w:cs="Arial"/>
                <w:b/>
                <w:sz w:val="22"/>
                <w:szCs w:val="22"/>
              </w:rPr>
            </w:pPr>
          </w:p>
          <w:p w14:paraId="393603D5" w14:textId="77777777" w:rsidR="00162BAA" w:rsidRPr="00230F35" w:rsidRDefault="00162BAA" w:rsidP="008A51D7">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83DC716" w14:textId="77777777" w:rsidR="00162BAA" w:rsidRDefault="00162BAA" w:rsidP="008A51D7">
            <w:pPr>
              <w:pStyle w:val="NormalWeb"/>
              <w:spacing w:before="0" w:beforeAutospacing="0" w:after="0" w:afterAutospacing="0"/>
              <w:rPr>
                <w:rFonts w:ascii="Arial" w:hAnsi="Arial" w:cs="Arial"/>
                <w:b/>
                <w:sz w:val="22"/>
                <w:szCs w:val="22"/>
              </w:rPr>
            </w:pPr>
          </w:p>
          <w:p w14:paraId="250B867D" w14:textId="77777777" w:rsidR="00162BAA" w:rsidRDefault="00162BAA" w:rsidP="008A51D7">
            <w:pPr>
              <w:pStyle w:val="NormalWeb"/>
              <w:spacing w:before="0" w:beforeAutospacing="0" w:after="0" w:afterAutospacing="0"/>
              <w:rPr>
                <w:rFonts w:ascii="Arial" w:hAnsi="Arial" w:cs="Arial"/>
                <w:b/>
                <w:sz w:val="22"/>
                <w:szCs w:val="22"/>
              </w:rPr>
            </w:pPr>
          </w:p>
          <w:p w14:paraId="463327AD" w14:textId="77777777" w:rsidR="00162BAA" w:rsidRDefault="00162BAA" w:rsidP="008A51D7">
            <w:pPr>
              <w:pStyle w:val="NormalWeb"/>
              <w:spacing w:before="0" w:beforeAutospacing="0" w:after="0" w:afterAutospacing="0"/>
              <w:rPr>
                <w:rFonts w:ascii="Arial" w:hAnsi="Arial" w:cs="Arial"/>
                <w:b/>
                <w:sz w:val="22"/>
                <w:szCs w:val="22"/>
              </w:rPr>
            </w:pPr>
          </w:p>
          <w:p w14:paraId="3385EF84" w14:textId="77777777" w:rsidR="00162BAA" w:rsidRDefault="00162BAA" w:rsidP="008A51D7">
            <w:pPr>
              <w:pStyle w:val="NormalWeb"/>
              <w:spacing w:before="0" w:beforeAutospacing="0" w:after="0" w:afterAutospacing="0"/>
              <w:rPr>
                <w:rFonts w:ascii="Arial" w:hAnsi="Arial" w:cs="Arial"/>
                <w:b/>
                <w:sz w:val="22"/>
                <w:szCs w:val="22"/>
              </w:rPr>
            </w:pPr>
          </w:p>
          <w:p w14:paraId="3442625C" w14:textId="77777777" w:rsidR="00162BAA" w:rsidRPr="00230F35" w:rsidRDefault="00162BAA" w:rsidP="008A51D7">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71C4413B" w14:textId="77777777" w:rsidR="00162BAA" w:rsidRDefault="00162BAA" w:rsidP="008A51D7">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11075E29" w14:textId="77777777" w:rsidR="00162BAA" w:rsidRPr="00001C3B" w:rsidRDefault="00162BAA" w:rsidP="008A51D7">
            <w:pPr>
              <w:pStyle w:val="NormalWeb"/>
              <w:rPr>
                <w:rFonts w:ascii="Arial" w:hAnsi="Arial" w:cs="Arial"/>
                <w:sz w:val="22"/>
                <w:szCs w:val="22"/>
              </w:rPr>
            </w:pPr>
          </w:p>
        </w:tc>
      </w:tr>
      <w:tr w:rsidR="00162BAA" w:rsidRPr="00230F35" w14:paraId="74080A46" w14:textId="77777777" w:rsidTr="008A51D7">
        <w:trPr>
          <w:trHeight w:val="492"/>
        </w:trPr>
        <w:tc>
          <w:tcPr>
            <w:tcW w:w="6768" w:type="dxa"/>
            <w:gridSpan w:val="2"/>
          </w:tcPr>
          <w:p w14:paraId="2FE74087" w14:textId="77777777" w:rsidR="00162BAA" w:rsidRPr="00230F35" w:rsidRDefault="00162BAA" w:rsidP="008A51D7">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tcPr>
          <w:p w14:paraId="55A347D8" w14:textId="77777777" w:rsidR="00162BAA" w:rsidRPr="00230F35" w:rsidRDefault="00162BAA" w:rsidP="008A51D7">
            <w:pPr>
              <w:pStyle w:val="NormalWeb"/>
              <w:spacing w:after="0"/>
              <w:ind w:left="142" w:right="34"/>
              <w:rPr>
                <w:rFonts w:ascii="Arial" w:hAnsi="Arial" w:cs="Arial"/>
                <w:sz w:val="22"/>
                <w:szCs w:val="22"/>
              </w:rPr>
            </w:pPr>
            <w:r w:rsidRPr="00230F35">
              <w:rPr>
                <w:rFonts w:ascii="Arial" w:hAnsi="Arial" w:cs="Arial"/>
                <w:sz w:val="22"/>
                <w:szCs w:val="22"/>
              </w:rPr>
              <w:t>Date:</w:t>
            </w:r>
          </w:p>
        </w:tc>
      </w:tr>
      <w:tr w:rsidR="00162BAA" w:rsidRPr="00230F35" w14:paraId="7E29A6E7" w14:textId="77777777" w:rsidTr="008A51D7">
        <w:tc>
          <w:tcPr>
            <w:tcW w:w="8856" w:type="dxa"/>
            <w:gridSpan w:val="3"/>
          </w:tcPr>
          <w:p w14:paraId="737F1357" w14:textId="77777777" w:rsidR="00162BAA" w:rsidRDefault="00162BAA" w:rsidP="008A51D7">
            <w:pPr>
              <w:pStyle w:val="NormalWeb"/>
              <w:spacing w:before="0" w:beforeAutospacing="0" w:after="0" w:afterAutospacing="0"/>
              <w:ind w:right="-334"/>
              <w:rPr>
                <w:rFonts w:ascii="Arial" w:hAnsi="Arial" w:cs="Arial"/>
                <w:b/>
                <w:bCs/>
                <w:sz w:val="22"/>
                <w:szCs w:val="22"/>
              </w:rPr>
            </w:pPr>
          </w:p>
          <w:p w14:paraId="6D15F0CE" w14:textId="77777777" w:rsidR="00162BAA" w:rsidRPr="00230F35" w:rsidRDefault="00162BAA" w:rsidP="008A51D7">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DC406F1" w14:textId="77777777" w:rsidR="00162BAA" w:rsidRPr="00230F35" w:rsidRDefault="00162BAA" w:rsidP="008A51D7">
            <w:pPr>
              <w:pStyle w:val="NormalWeb"/>
              <w:spacing w:before="0" w:beforeAutospacing="0" w:after="0" w:afterAutospacing="0"/>
              <w:ind w:right="-334"/>
              <w:rPr>
                <w:rFonts w:ascii="Arial" w:hAnsi="Arial" w:cs="Arial"/>
                <w:b/>
                <w:bCs/>
                <w:sz w:val="22"/>
                <w:szCs w:val="22"/>
              </w:rPr>
            </w:pPr>
          </w:p>
          <w:p w14:paraId="644B5258"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8A2F17B"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5E16CAA8"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2B697A1B"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087E26F1"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6AA8A9D0"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63878E97"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627624A0"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6967EBEF" w14:textId="77777777" w:rsidR="00162BAA" w:rsidRDefault="00162BAA" w:rsidP="008A51D7">
            <w:pPr>
              <w:pStyle w:val="NormalWeb"/>
              <w:spacing w:before="0" w:beforeAutospacing="0" w:after="0" w:afterAutospacing="0"/>
              <w:ind w:right="-334"/>
              <w:rPr>
                <w:rFonts w:ascii="Arial" w:hAnsi="Arial" w:cs="Arial"/>
                <w:bCs/>
                <w:sz w:val="22"/>
                <w:szCs w:val="22"/>
              </w:rPr>
            </w:pPr>
          </w:p>
          <w:p w14:paraId="0787F504"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05CF562D"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tc>
      </w:tr>
      <w:tr w:rsidR="00162BAA" w:rsidRPr="00230F35" w14:paraId="24CD1A77" w14:textId="77777777" w:rsidTr="008A51D7">
        <w:trPr>
          <w:trHeight w:val="720"/>
        </w:trPr>
        <w:tc>
          <w:tcPr>
            <w:tcW w:w="5211" w:type="dxa"/>
          </w:tcPr>
          <w:p w14:paraId="1EF4F2B7"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2"/>
          </w:tcPr>
          <w:p w14:paraId="361027A1"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162BAA" w:rsidRPr="00230F35" w14:paraId="0023060F" w14:textId="77777777" w:rsidTr="008A51D7">
        <w:trPr>
          <w:trHeight w:val="720"/>
        </w:trPr>
        <w:tc>
          <w:tcPr>
            <w:tcW w:w="8856" w:type="dxa"/>
            <w:gridSpan w:val="3"/>
          </w:tcPr>
          <w:p w14:paraId="6B7D0BF0" w14:textId="77777777" w:rsidR="00162BAA" w:rsidRPr="00B34964" w:rsidRDefault="00162BAA" w:rsidP="008A51D7">
            <w:pPr>
              <w:rPr>
                <w:rFonts w:ascii="Arial" w:hAnsi="Arial" w:cs="Arial"/>
                <w:b/>
                <w:sz w:val="22"/>
                <w:szCs w:val="22"/>
              </w:rPr>
            </w:pPr>
            <w:r w:rsidRPr="00B34964">
              <w:rPr>
                <w:rFonts w:ascii="Arial" w:hAnsi="Arial" w:cs="Arial"/>
                <w:b/>
                <w:sz w:val="22"/>
                <w:szCs w:val="22"/>
              </w:rPr>
              <w:t>External Examiner’s comments (if relevant)</w:t>
            </w:r>
          </w:p>
          <w:p w14:paraId="373FE5AF"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295B28D7"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293A97C6"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47DD4E56"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1013170E"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47683772"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0423F592"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72909DC1"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0B79E57E"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p w14:paraId="5E65BD7B" w14:textId="77777777" w:rsidR="00162BAA" w:rsidRPr="00230F35" w:rsidRDefault="00162BAA" w:rsidP="008A51D7">
            <w:pPr>
              <w:pStyle w:val="NormalWeb"/>
              <w:spacing w:before="0" w:beforeAutospacing="0" w:after="0" w:afterAutospacing="0"/>
              <w:ind w:right="-334"/>
              <w:rPr>
                <w:rFonts w:ascii="Arial" w:hAnsi="Arial" w:cs="Arial"/>
                <w:bCs/>
                <w:sz w:val="22"/>
                <w:szCs w:val="22"/>
              </w:rPr>
            </w:pPr>
          </w:p>
        </w:tc>
      </w:tr>
      <w:tr w:rsidR="00162BAA" w:rsidRPr="00230F35" w14:paraId="04AC892A" w14:textId="77777777" w:rsidTr="008A51D7">
        <w:trPr>
          <w:trHeight w:val="720"/>
        </w:trPr>
        <w:tc>
          <w:tcPr>
            <w:tcW w:w="5211" w:type="dxa"/>
          </w:tcPr>
          <w:p w14:paraId="5AAC0FEA" w14:textId="77777777" w:rsidR="00162BAA" w:rsidRPr="00230F35" w:rsidRDefault="00162BAA" w:rsidP="008A51D7">
            <w:pPr>
              <w:rPr>
                <w:rFonts w:ascii="Arial" w:hAnsi="Arial" w:cs="Arial"/>
                <w:sz w:val="22"/>
                <w:szCs w:val="22"/>
              </w:rPr>
            </w:pPr>
            <w:r w:rsidRPr="00230F35">
              <w:rPr>
                <w:rFonts w:ascii="Arial" w:hAnsi="Arial" w:cs="Arial"/>
                <w:sz w:val="22"/>
                <w:szCs w:val="22"/>
              </w:rPr>
              <w:t>External Examiner’s Signature:</w:t>
            </w:r>
          </w:p>
        </w:tc>
        <w:tc>
          <w:tcPr>
            <w:tcW w:w="3645" w:type="dxa"/>
            <w:gridSpan w:val="2"/>
          </w:tcPr>
          <w:p w14:paraId="15EB7321" w14:textId="77777777" w:rsidR="00162BAA" w:rsidRPr="00230F35" w:rsidRDefault="00162BAA" w:rsidP="008A51D7">
            <w:pPr>
              <w:rPr>
                <w:rFonts w:ascii="Arial" w:hAnsi="Arial" w:cs="Arial"/>
                <w:sz w:val="22"/>
                <w:szCs w:val="22"/>
              </w:rPr>
            </w:pPr>
            <w:r w:rsidRPr="00230F35">
              <w:rPr>
                <w:rFonts w:ascii="Arial" w:hAnsi="Arial" w:cs="Arial"/>
                <w:sz w:val="22"/>
                <w:szCs w:val="22"/>
              </w:rPr>
              <w:t>Date:</w:t>
            </w:r>
          </w:p>
        </w:tc>
      </w:tr>
    </w:tbl>
    <w:p w14:paraId="2DBEF32D" w14:textId="77777777" w:rsidR="00162BAA" w:rsidRDefault="00162BAA" w:rsidP="00DF1F3B">
      <w:pPr>
        <w:jc w:val="both"/>
        <w:rPr>
          <w:b/>
          <w:bCs/>
          <w:sz w:val="22"/>
          <w:szCs w:val="22"/>
          <w:u w:val="single"/>
        </w:rPr>
      </w:pPr>
    </w:p>
    <w:p w14:paraId="66956310" w14:textId="0B894F96" w:rsidR="00DF1F3B" w:rsidRPr="00B24227" w:rsidRDefault="00DF1F3B" w:rsidP="00DF1F3B">
      <w:pPr>
        <w:jc w:val="both"/>
        <w:rPr>
          <w:sz w:val="22"/>
          <w:szCs w:val="22"/>
          <w:u w:val="single"/>
        </w:rPr>
      </w:pPr>
      <w:r w:rsidRPr="00B24227">
        <w:rPr>
          <w:b/>
          <w:bCs/>
          <w:sz w:val="22"/>
          <w:szCs w:val="22"/>
          <w:u w:val="single"/>
        </w:rPr>
        <w:lastRenderedPageBreak/>
        <w:t>A Critical Comparison of Two Secondary Sources</w:t>
      </w:r>
    </w:p>
    <w:p w14:paraId="48496849" w14:textId="6B102CD9" w:rsidR="00AE0496" w:rsidRDefault="00AE0496"/>
    <w:p w14:paraId="1DA243BF" w14:textId="71ADEF1D" w:rsidR="00D91074" w:rsidRPr="0019270A" w:rsidRDefault="00D91074">
      <w:pPr>
        <w:rPr>
          <w:bCs/>
          <w:sz w:val="22"/>
          <w:szCs w:val="22"/>
        </w:rPr>
      </w:pPr>
      <w:r>
        <w:rPr>
          <w:bCs/>
          <w:sz w:val="22"/>
          <w:szCs w:val="22"/>
        </w:rPr>
        <w:tab/>
        <w:t>This essay compares T.L. Brink's research paper 'Inconsistency of Belief among Roman Catholic Girls: Concerning Religion, Astrology, Reincarnation,'</w:t>
      </w:r>
      <w:r>
        <w:rPr>
          <w:rStyle w:val="FootnoteReference"/>
          <w:bCs/>
          <w:sz w:val="22"/>
          <w:szCs w:val="22"/>
        </w:rPr>
        <w:footnoteReference w:id="1"/>
      </w:r>
      <w:r>
        <w:rPr>
          <w:bCs/>
          <w:sz w:val="22"/>
          <w:szCs w:val="22"/>
        </w:rPr>
        <w:t xml:space="preserve"> with that of Tony Walter and Helen Waterhouse, entitled 'A Very Private Belief: Reincarnation in Contemporary England.'</w:t>
      </w:r>
      <w:r>
        <w:rPr>
          <w:rStyle w:val="FootnoteReference"/>
          <w:bCs/>
          <w:sz w:val="22"/>
          <w:szCs w:val="22"/>
        </w:rPr>
        <w:footnoteReference w:id="2"/>
      </w:r>
      <w:r>
        <w:rPr>
          <w:bCs/>
          <w:sz w:val="22"/>
          <w:szCs w:val="22"/>
        </w:rPr>
        <w:t xml:space="preserve"> </w:t>
      </w:r>
      <w:r w:rsidRPr="0019270A">
        <w:rPr>
          <w:bCs/>
          <w:sz w:val="22"/>
          <w:szCs w:val="22"/>
        </w:rPr>
        <w:t>After contextualising each paper, this comparison will critically examine the research methodologies used in each project, the ethical considerations of the researchers and how they structured their papers and presented their findings</w:t>
      </w:r>
      <w:r w:rsidR="0019270A">
        <w:rPr>
          <w:bCs/>
          <w:sz w:val="22"/>
          <w:szCs w:val="22"/>
        </w:rPr>
        <w:t>, before concluding.</w:t>
      </w:r>
    </w:p>
    <w:p w14:paraId="22F646B6" w14:textId="16AA2E7C" w:rsidR="003B7BD3" w:rsidRDefault="00D91074">
      <w:pPr>
        <w:rPr>
          <w:bCs/>
          <w:sz w:val="22"/>
          <w:szCs w:val="22"/>
        </w:rPr>
      </w:pPr>
      <w:r w:rsidRPr="00D91074">
        <w:rPr>
          <w:bCs/>
          <w:sz w:val="22"/>
          <w:szCs w:val="22"/>
        </w:rPr>
        <w:tab/>
        <w:t>T. L. Brink is Professor of Psychology and Religious Studies at Crafton Hills College</w:t>
      </w:r>
      <w:r>
        <w:rPr>
          <w:bCs/>
          <w:sz w:val="22"/>
          <w:szCs w:val="22"/>
        </w:rPr>
        <w:t>,</w:t>
      </w:r>
      <w:r w:rsidRPr="00D91074">
        <w:rPr>
          <w:bCs/>
          <w:sz w:val="22"/>
          <w:szCs w:val="22"/>
        </w:rPr>
        <w:t xml:space="preserve"> California.</w:t>
      </w:r>
      <w:r w:rsidRPr="00D91074">
        <w:rPr>
          <w:rStyle w:val="FootnoteReference"/>
          <w:bCs/>
          <w:sz w:val="22"/>
          <w:szCs w:val="22"/>
        </w:rPr>
        <w:footnoteReference w:id="3"/>
      </w:r>
      <w:r>
        <w:rPr>
          <w:bCs/>
          <w:sz w:val="22"/>
          <w:szCs w:val="22"/>
        </w:rPr>
        <w:t xml:space="preserve"> </w:t>
      </w:r>
      <w:r w:rsidR="003B7BD3">
        <w:rPr>
          <w:bCs/>
          <w:sz w:val="22"/>
          <w:szCs w:val="22"/>
        </w:rPr>
        <w:t xml:space="preserve">'Inconsistency of Belief' was published </w:t>
      </w:r>
      <w:r w:rsidR="003B7BD3" w:rsidRPr="00D91074">
        <w:rPr>
          <w:bCs/>
          <w:sz w:val="22"/>
          <w:szCs w:val="22"/>
        </w:rPr>
        <w:t>forty-seven years ago in 1978</w:t>
      </w:r>
      <w:r w:rsidR="00861FA6">
        <w:rPr>
          <w:bCs/>
          <w:sz w:val="22"/>
          <w:szCs w:val="22"/>
        </w:rPr>
        <w:t xml:space="preserve">, in the </w:t>
      </w:r>
      <w:r w:rsidR="00861FA6" w:rsidRPr="00921E94">
        <w:rPr>
          <w:bCs/>
          <w:sz w:val="22"/>
          <w:szCs w:val="22"/>
        </w:rPr>
        <w:t>Review of Religious Research</w:t>
      </w:r>
      <w:r w:rsidR="00861FA6">
        <w:rPr>
          <w:bCs/>
          <w:i/>
          <w:iCs/>
          <w:sz w:val="22"/>
          <w:szCs w:val="22"/>
        </w:rPr>
        <w:t xml:space="preserve">, </w:t>
      </w:r>
      <w:r w:rsidR="00861FA6" w:rsidRPr="00AA1073">
        <w:rPr>
          <w:bCs/>
          <w:sz w:val="22"/>
          <w:szCs w:val="22"/>
        </w:rPr>
        <w:t>a</w:t>
      </w:r>
      <w:r w:rsidR="00861FA6">
        <w:rPr>
          <w:bCs/>
          <w:sz w:val="22"/>
          <w:szCs w:val="22"/>
        </w:rPr>
        <w:t>n academic</w:t>
      </w:r>
      <w:r w:rsidR="00861FA6" w:rsidRPr="00AA1073">
        <w:rPr>
          <w:bCs/>
          <w:sz w:val="22"/>
          <w:szCs w:val="22"/>
        </w:rPr>
        <w:t xml:space="preserve"> journal </w:t>
      </w:r>
      <w:r w:rsidR="00861FA6">
        <w:rPr>
          <w:bCs/>
          <w:sz w:val="22"/>
          <w:szCs w:val="22"/>
        </w:rPr>
        <w:t>that discusses methods, findings and uses of religious research.</w:t>
      </w:r>
      <w:r w:rsidR="00861FA6">
        <w:rPr>
          <w:rStyle w:val="FootnoteReference"/>
          <w:bCs/>
          <w:sz w:val="22"/>
          <w:szCs w:val="22"/>
        </w:rPr>
        <w:footnoteReference w:id="4"/>
      </w:r>
      <w:r w:rsidR="00861FA6">
        <w:rPr>
          <w:bCs/>
          <w:sz w:val="22"/>
          <w:szCs w:val="22"/>
        </w:rPr>
        <w:t xml:space="preserve"> </w:t>
      </w:r>
      <w:r w:rsidR="006C2BCC">
        <w:rPr>
          <w:bCs/>
          <w:sz w:val="22"/>
          <w:szCs w:val="22"/>
        </w:rPr>
        <w:t xml:space="preserve">At the time Brink was affiliated to the College of Notre Dame, a private Catholic University. </w:t>
      </w:r>
      <w:r w:rsidR="003B7BD3">
        <w:rPr>
          <w:bCs/>
          <w:sz w:val="22"/>
          <w:szCs w:val="22"/>
        </w:rPr>
        <w:t>The paper set out to test a hypothesis that 'adolescent girls will show an acceptance of only one of three belief sets (Roman Catholic, astrology, reincarnation) accompanied by a rejection of the others' as Brink claimed that simultaneous belief in any of these three is 'logically incompatible.'</w:t>
      </w:r>
      <w:r w:rsidR="003B7BD3">
        <w:rPr>
          <w:rStyle w:val="FootnoteReference"/>
          <w:bCs/>
          <w:sz w:val="22"/>
          <w:szCs w:val="22"/>
        </w:rPr>
        <w:footnoteReference w:id="5"/>
      </w:r>
      <w:r w:rsidR="003B7BD3">
        <w:rPr>
          <w:bCs/>
          <w:sz w:val="22"/>
          <w:szCs w:val="22"/>
        </w:rPr>
        <w:t xml:space="preserve"> </w:t>
      </w:r>
    </w:p>
    <w:p w14:paraId="770B08D5" w14:textId="55E0418F" w:rsidR="003B7BD3" w:rsidRDefault="003B7BD3">
      <w:pPr>
        <w:rPr>
          <w:bCs/>
          <w:sz w:val="22"/>
          <w:szCs w:val="22"/>
        </w:rPr>
      </w:pPr>
      <w:r>
        <w:rPr>
          <w:bCs/>
          <w:sz w:val="22"/>
          <w:szCs w:val="22"/>
        </w:rPr>
        <w:tab/>
        <w:t xml:space="preserve">The second paper 'A Very Private Belief: Reincarnation in Contemporary England' was co-authored. </w:t>
      </w:r>
      <w:r w:rsidRPr="00D91074">
        <w:rPr>
          <w:bCs/>
          <w:sz w:val="22"/>
          <w:szCs w:val="22"/>
        </w:rPr>
        <w:t>Helen Waterhouse is affiliated to The Open University</w:t>
      </w:r>
      <w:r w:rsidR="003334D1">
        <w:rPr>
          <w:bCs/>
          <w:sz w:val="22"/>
          <w:szCs w:val="22"/>
        </w:rPr>
        <w:t xml:space="preserve">. </w:t>
      </w:r>
      <w:r w:rsidRPr="00D91074">
        <w:rPr>
          <w:bCs/>
          <w:sz w:val="22"/>
          <w:szCs w:val="22"/>
        </w:rPr>
        <w:t>Tony Walter is Professor Emeritus of Death Studies at the University of Bath, although</w:t>
      </w:r>
      <w:r>
        <w:rPr>
          <w:bCs/>
          <w:sz w:val="22"/>
          <w:szCs w:val="22"/>
        </w:rPr>
        <w:t xml:space="preserve"> </w:t>
      </w:r>
      <w:r w:rsidRPr="00D91074">
        <w:rPr>
          <w:bCs/>
          <w:sz w:val="22"/>
          <w:szCs w:val="22"/>
        </w:rPr>
        <w:t>he was Lecturer in Sociology at The University of Readin</w:t>
      </w:r>
      <w:r>
        <w:rPr>
          <w:bCs/>
          <w:sz w:val="22"/>
          <w:szCs w:val="22"/>
        </w:rPr>
        <w:t>g,</w:t>
      </w:r>
      <w:r w:rsidRPr="00D91074">
        <w:rPr>
          <w:bCs/>
          <w:sz w:val="22"/>
          <w:szCs w:val="22"/>
        </w:rPr>
        <w:t xml:space="preserve"> when he and Waterhouse wrote </w:t>
      </w:r>
      <w:r w:rsidR="006C2BCC">
        <w:rPr>
          <w:bCs/>
          <w:sz w:val="22"/>
          <w:szCs w:val="22"/>
        </w:rPr>
        <w:t xml:space="preserve">'A Very Private Belief' </w:t>
      </w:r>
      <w:r>
        <w:rPr>
          <w:bCs/>
          <w:sz w:val="22"/>
          <w:szCs w:val="22"/>
        </w:rPr>
        <w:t xml:space="preserve">in 1999. </w:t>
      </w:r>
      <w:r w:rsidR="00F33DD3">
        <w:rPr>
          <w:bCs/>
          <w:sz w:val="22"/>
          <w:szCs w:val="22"/>
        </w:rPr>
        <w:t>It was published in the Sociology of Religion, an academic journal with the aim of advancing scholarship in that area</w:t>
      </w:r>
      <w:r w:rsidR="00E87148">
        <w:rPr>
          <w:bCs/>
          <w:sz w:val="22"/>
          <w:szCs w:val="22"/>
        </w:rPr>
        <w:t>.</w:t>
      </w:r>
      <w:r w:rsidR="0070128D">
        <w:rPr>
          <w:rStyle w:val="FootnoteReference"/>
          <w:bCs/>
          <w:sz w:val="22"/>
          <w:szCs w:val="22"/>
        </w:rPr>
        <w:footnoteReference w:id="6"/>
      </w:r>
      <w:r w:rsidR="00F33DD3">
        <w:rPr>
          <w:bCs/>
          <w:sz w:val="22"/>
          <w:szCs w:val="22"/>
        </w:rPr>
        <w:t xml:space="preserve"> The co-authors</w:t>
      </w:r>
      <w:r>
        <w:rPr>
          <w:bCs/>
          <w:sz w:val="22"/>
          <w:szCs w:val="22"/>
        </w:rPr>
        <w:t xml:space="preserve"> explained that Waterhouse analysed the data from a religious studies perspective and Walter from a sociological perspective.</w:t>
      </w:r>
      <w:r>
        <w:rPr>
          <w:rStyle w:val="FootnoteReference"/>
          <w:bCs/>
          <w:sz w:val="22"/>
          <w:szCs w:val="22"/>
        </w:rPr>
        <w:footnoteReference w:id="7"/>
      </w:r>
      <w:r>
        <w:rPr>
          <w:bCs/>
          <w:sz w:val="22"/>
          <w:szCs w:val="22"/>
        </w:rPr>
        <w:t xml:space="preserve"> </w:t>
      </w:r>
      <w:r w:rsidR="00F33DD3">
        <w:rPr>
          <w:bCs/>
          <w:sz w:val="22"/>
          <w:szCs w:val="22"/>
        </w:rPr>
        <w:t>They wanted to explore the meaning of reincarnation and</w:t>
      </w:r>
      <w:r w:rsidR="00D21841">
        <w:rPr>
          <w:bCs/>
          <w:sz w:val="22"/>
          <w:szCs w:val="22"/>
        </w:rPr>
        <w:t>,</w:t>
      </w:r>
      <w:r w:rsidR="00F33DD3">
        <w:rPr>
          <w:bCs/>
          <w:sz w:val="22"/>
          <w:szCs w:val="22"/>
        </w:rPr>
        <w:t xml:space="preserve"> like Brink</w:t>
      </w:r>
      <w:r w:rsidR="00D21841">
        <w:rPr>
          <w:bCs/>
          <w:sz w:val="22"/>
          <w:szCs w:val="22"/>
        </w:rPr>
        <w:t>,</w:t>
      </w:r>
      <w:r w:rsidR="00F33DD3">
        <w:rPr>
          <w:bCs/>
          <w:sz w:val="22"/>
          <w:szCs w:val="22"/>
        </w:rPr>
        <w:t xml:space="preserve"> pointed out in their introduction that </w:t>
      </w:r>
      <w:r>
        <w:rPr>
          <w:bCs/>
          <w:sz w:val="22"/>
          <w:szCs w:val="22"/>
        </w:rPr>
        <w:t>'the doctrine of reincarnation' is incompatible with the Christian belief system.</w:t>
      </w:r>
      <w:r>
        <w:rPr>
          <w:rStyle w:val="FootnoteReference"/>
          <w:bCs/>
          <w:sz w:val="22"/>
          <w:szCs w:val="22"/>
        </w:rPr>
        <w:footnoteReference w:id="8"/>
      </w:r>
      <w:r>
        <w:rPr>
          <w:bCs/>
          <w:sz w:val="22"/>
          <w:szCs w:val="22"/>
        </w:rPr>
        <w:t xml:space="preserve"> This essay will now compare the research methodologies each paper undertook to investigate their </w:t>
      </w:r>
      <w:r w:rsidR="003334D1">
        <w:rPr>
          <w:bCs/>
          <w:sz w:val="22"/>
          <w:szCs w:val="22"/>
        </w:rPr>
        <w:t>related</w:t>
      </w:r>
      <w:r>
        <w:rPr>
          <w:bCs/>
          <w:sz w:val="22"/>
          <w:szCs w:val="22"/>
        </w:rPr>
        <w:t xml:space="preserve"> </w:t>
      </w:r>
      <w:r w:rsidR="00F33DD3">
        <w:rPr>
          <w:bCs/>
          <w:sz w:val="22"/>
          <w:szCs w:val="22"/>
        </w:rPr>
        <w:t>areas of focus</w:t>
      </w:r>
      <w:r>
        <w:rPr>
          <w:bCs/>
          <w:sz w:val="22"/>
          <w:szCs w:val="22"/>
        </w:rPr>
        <w:t>.</w:t>
      </w:r>
    </w:p>
    <w:p w14:paraId="314D30A6" w14:textId="77777777" w:rsidR="00286ECC" w:rsidRDefault="00286ECC">
      <w:pPr>
        <w:rPr>
          <w:bCs/>
          <w:sz w:val="22"/>
          <w:szCs w:val="22"/>
        </w:rPr>
      </w:pPr>
    </w:p>
    <w:p w14:paraId="14C1FF78" w14:textId="77777777" w:rsidR="0019270A" w:rsidRDefault="00B261AE" w:rsidP="00B261AE">
      <w:pPr>
        <w:rPr>
          <w:bCs/>
          <w:sz w:val="22"/>
          <w:szCs w:val="22"/>
        </w:rPr>
      </w:pPr>
      <w:r>
        <w:rPr>
          <w:bCs/>
          <w:sz w:val="22"/>
          <w:szCs w:val="22"/>
        </w:rPr>
        <w:t>RESEARCH METHODOLOGIES</w:t>
      </w:r>
    </w:p>
    <w:p w14:paraId="677282D6" w14:textId="77777777" w:rsidR="00841C9C" w:rsidRDefault="0019270A" w:rsidP="00B261AE">
      <w:pPr>
        <w:rPr>
          <w:bCs/>
          <w:sz w:val="22"/>
          <w:szCs w:val="22"/>
        </w:rPr>
      </w:pPr>
      <w:r>
        <w:rPr>
          <w:bCs/>
          <w:sz w:val="22"/>
          <w:szCs w:val="22"/>
        </w:rPr>
        <w:tab/>
      </w:r>
    </w:p>
    <w:p w14:paraId="0789A938" w14:textId="7A9A9B47" w:rsidR="00B261AE" w:rsidRDefault="00841C9C" w:rsidP="00B261AE">
      <w:pPr>
        <w:rPr>
          <w:bCs/>
          <w:sz w:val="22"/>
          <w:szCs w:val="22"/>
        </w:rPr>
      </w:pPr>
      <w:r>
        <w:rPr>
          <w:bCs/>
          <w:sz w:val="22"/>
          <w:szCs w:val="22"/>
        </w:rPr>
        <w:tab/>
      </w:r>
      <w:r w:rsidR="008200F3">
        <w:rPr>
          <w:bCs/>
          <w:sz w:val="22"/>
          <w:szCs w:val="22"/>
        </w:rPr>
        <w:t xml:space="preserve">Brink </w:t>
      </w:r>
      <w:r w:rsidR="004D2E1A">
        <w:rPr>
          <w:bCs/>
          <w:sz w:val="22"/>
          <w:szCs w:val="22"/>
        </w:rPr>
        <w:t>took a positivist approach</w:t>
      </w:r>
      <w:r w:rsidR="008415E3">
        <w:rPr>
          <w:bCs/>
          <w:sz w:val="22"/>
          <w:szCs w:val="22"/>
        </w:rPr>
        <w:t xml:space="preserve"> </w:t>
      </w:r>
      <w:r w:rsidR="0019270A">
        <w:rPr>
          <w:bCs/>
          <w:sz w:val="22"/>
          <w:szCs w:val="22"/>
        </w:rPr>
        <w:t>and submitted</w:t>
      </w:r>
      <w:r w:rsidR="004D2E1A">
        <w:rPr>
          <w:bCs/>
          <w:sz w:val="22"/>
          <w:szCs w:val="22"/>
        </w:rPr>
        <w:t xml:space="preserve"> a hypothesis to empirical test</w:t>
      </w:r>
      <w:r w:rsidR="008415E3">
        <w:rPr>
          <w:bCs/>
          <w:sz w:val="22"/>
          <w:szCs w:val="22"/>
        </w:rPr>
        <w:t>.</w:t>
      </w:r>
      <w:r w:rsidR="008415E3">
        <w:rPr>
          <w:rStyle w:val="FootnoteReference"/>
          <w:bCs/>
          <w:sz w:val="22"/>
          <w:szCs w:val="22"/>
        </w:rPr>
        <w:footnoteReference w:id="9"/>
      </w:r>
      <w:r w:rsidR="008415E3">
        <w:rPr>
          <w:bCs/>
          <w:sz w:val="22"/>
          <w:szCs w:val="22"/>
        </w:rPr>
        <w:t xml:space="preserve"> Brink</w:t>
      </w:r>
      <w:r w:rsidR="004D2E1A">
        <w:rPr>
          <w:bCs/>
          <w:sz w:val="22"/>
          <w:szCs w:val="22"/>
        </w:rPr>
        <w:t xml:space="preserve"> </w:t>
      </w:r>
      <w:r w:rsidR="008200F3">
        <w:rPr>
          <w:bCs/>
          <w:sz w:val="22"/>
          <w:szCs w:val="22"/>
        </w:rPr>
        <w:t>conducted quantitative research through a closed yes/no questionnaire amongst 227 Catholic schoolgirls</w:t>
      </w:r>
      <w:r>
        <w:rPr>
          <w:bCs/>
          <w:sz w:val="22"/>
          <w:szCs w:val="22"/>
        </w:rPr>
        <w:t>, which</w:t>
      </w:r>
      <w:r w:rsidR="00EB73D9">
        <w:rPr>
          <w:bCs/>
          <w:sz w:val="22"/>
          <w:szCs w:val="22"/>
        </w:rPr>
        <w:t xml:space="preserve"> </w:t>
      </w:r>
      <w:r>
        <w:rPr>
          <w:bCs/>
          <w:sz w:val="22"/>
          <w:szCs w:val="22"/>
        </w:rPr>
        <w:t>h</w:t>
      </w:r>
      <w:r w:rsidR="00EB73D9">
        <w:rPr>
          <w:bCs/>
          <w:sz w:val="22"/>
          <w:szCs w:val="22"/>
        </w:rPr>
        <w:t>e distributed during a mandatory</w:t>
      </w:r>
      <w:r w:rsidR="00DE4725">
        <w:rPr>
          <w:bCs/>
          <w:sz w:val="22"/>
          <w:szCs w:val="22"/>
        </w:rPr>
        <w:t xml:space="preserve"> </w:t>
      </w:r>
      <w:r>
        <w:rPr>
          <w:bCs/>
          <w:sz w:val="22"/>
          <w:szCs w:val="22"/>
        </w:rPr>
        <w:t xml:space="preserve">religion </w:t>
      </w:r>
      <w:r w:rsidR="00EB73D9">
        <w:rPr>
          <w:bCs/>
          <w:sz w:val="22"/>
          <w:szCs w:val="22"/>
        </w:rPr>
        <w:t xml:space="preserve">class at a Catholic girls' high school. </w:t>
      </w:r>
      <w:r w:rsidR="008200F3">
        <w:rPr>
          <w:bCs/>
          <w:sz w:val="22"/>
          <w:szCs w:val="22"/>
        </w:rPr>
        <w:t xml:space="preserve">Walter and </w:t>
      </w:r>
      <w:r w:rsidR="000C1474">
        <w:rPr>
          <w:bCs/>
          <w:sz w:val="22"/>
          <w:szCs w:val="22"/>
        </w:rPr>
        <w:t>Water</w:t>
      </w:r>
      <w:r w:rsidR="008200F3">
        <w:rPr>
          <w:bCs/>
          <w:sz w:val="22"/>
          <w:szCs w:val="22"/>
        </w:rPr>
        <w:t>house</w:t>
      </w:r>
      <w:r w:rsidR="006C2BCC">
        <w:rPr>
          <w:bCs/>
          <w:sz w:val="22"/>
          <w:szCs w:val="22"/>
        </w:rPr>
        <w:t>, on the other hand,</w:t>
      </w:r>
      <w:r w:rsidR="008200F3">
        <w:rPr>
          <w:bCs/>
          <w:sz w:val="22"/>
          <w:szCs w:val="22"/>
        </w:rPr>
        <w:t xml:space="preserve"> undertook a qualitative open-ended interview-based approach with 30 interviews with adults and 3 group interviews with schoolchildren aged 11-18 years.</w:t>
      </w:r>
      <w:r w:rsidR="0019270A">
        <w:rPr>
          <w:bCs/>
          <w:sz w:val="22"/>
          <w:szCs w:val="22"/>
        </w:rPr>
        <w:t xml:space="preserve"> They did not delineate the denominations of Christianity amongst their sample</w:t>
      </w:r>
      <w:r w:rsidR="00D21841">
        <w:rPr>
          <w:bCs/>
          <w:sz w:val="22"/>
          <w:szCs w:val="22"/>
        </w:rPr>
        <w:t>,</w:t>
      </w:r>
      <w:r w:rsidR="0019270A">
        <w:rPr>
          <w:bCs/>
          <w:sz w:val="22"/>
          <w:szCs w:val="22"/>
        </w:rPr>
        <w:t xml:space="preserve"> other than to say it included 'a number of Quakers.'</w:t>
      </w:r>
      <w:r w:rsidR="0019270A">
        <w:rPr>
          <w:rStyle w:val="FootnoteReference"/>
          <w:bCs/>
          <w:sz w:val="22"/>
          <w:szCs w:val="22"/>
        </w:rPr>
        <w:footnoteReference w:id="10"/>
      </w:r>
      <w:r w:rsidR="0019270A">
        <w:rPr>
          <w:bCs/>
          <w:sz w:val="22"/>
          <w:szCs w:val="22"/>
        </w:rPr>
        <w:t xml:space="preserve"> </w:t>
      </w:r>
      <w:r w:rsidR="008200F3">
        <w:rPr>
          <w:bCs/>
          <w:sz w:val="22"/>
          <w:szCs w:val="22"/>
        </w:rPr>
        <w:t xml:space="preserve">Walter and Waterhouse reviewed existing quantitative survey data about belief in reincarnation and </w:t>
      </w:r>
      <w:r w:rsidR="0019270A">
        <w:rPr>
          <w:bCs/>
          <w:sz w:val="22"/>
          <w:szCs w:val="22"/>
        </w:rPr>
        <w:t>then</w:t>
      </w:r>
      <w:r w:rsidR="008200F3">
        <w:rPr>
          <w:bCs/>
          <w:sz w:val="22"/>
          <w:szCs w:val="22"/>
        </w:rPr>
        <w:t xml:space="preserve"> conducted</w:t>
      </w:r>
      <w:r w:rsidR="00B261AE">
        <w:rPr>
          <w:bCs/>
          <w:sz w:val="22"/>
          <w:szCs w:val="22"/>
        </w:rPr>
        <w:t xml:space="preserve"> intensive, small-scale</w:t>
      </w:r>
      <w:r w:rsidR="008200F3">
        <w:rPr>
          <w:bCs/>
          <w:sz w:val="22"/>
          <w:szCs w:val="22"/>
        </w:rPr>
        <w:t xml:space="preserve"> interviews to 'elicit the </w:t>
      </w:r>
      <w:r w:rsidR="008200F3">
        <w:rPr>
          <w:bCs/>
          <w:sz w:val="22"/>
          <w:szCs w:val="22"/>
        </w:rPr>
        <w:lastRenderedPageBreak/>
        <w:t>meaning' of reincarnation</w:t>
      </w:r>
      <w:r w:rsidR="00362318">
        <w:rPr>
          <w:bCs/>
          <w:sz w:val="22"/>
          <w:szCs w:val="22"/>
        </w:rPr>
        <w:t xml:space="preserve"> due to the questions</w:t>
      </w:r>
      <w:r w:rsidR="0019270A">
        <w:rPr>
          <w:bCs/>
          <w:sz w:val="22"/>
          <w:szCs w:val="22"/>
        </w:rPr>
        <w:t xml:space="preserve"> </w:t>
      </w:r>
      <w:r w:rsidR="00362318">
        <w:rPr>
          <w:bCs/>
          <w:sz w:val="22"/>
          <w:szCs w:val="22"/>
        </w:rPr>
        <w:t>raised</w:t>
      </w:r>
      <w:r w:rsidR="008200F3">
        <w:rPr>
          <w:bCs/>
          <w:sz w:val="22"/>
          <w:szCs w:val="22"/>
        </w:rPr>
        <w:t>.</w:t>
      </w:r>
      <w:r w:rsidR="0021575A">
        <w:rPr>
          <w:rStyle w:val="FootnoteReference"/>
          <w:bCs/>
          <w:sz w:val="22"/>
          <w:szCs w:val="22"/>
        </w:rPr>
        <w:footnoteReference w:id="11"/>
      </w:r>
      <w:r w:rsidR="00B261AE">
        <w:rPr>
          <w:bCs/>
          <w:sz w:val="22"/>
          <w:szCs w:val="22"/>
        </w:rPr>
        <w:t xml:space="preserve"> </w:t>
      </w:r>
      <w:r w:rsidR="00EB73D9">
        <w:rPr>
          <w:bCs/>
          <w:sz w:val="22"/>
          <w:szCs w:val="22"/>
        </w:rPr>
        <w:t>Interviewees were recruited via existing contacts, calls for volunteers on the radio and the ensuing word of mouth post interviews.</w:t>
      </w:r>
      <w:r w:rsidR="0070128D">
        <w:rPr>
          <w:rStyle w:val="FootnoteReference"/>
          <w:bCs/>
          <w:sz w:val="22"/>
          <w:szCs w:val="22"/>
        </w:rPr>
        <w:footnoteReference w:id="12"/>
      </w:r>
      <w:r w:rsidR="00EB73D9">
        <w:rPr>
          <w:bCs/>
          <w:sz w:val="22"/>
          <w:szCs w:val="22"/>
        </w:rPr>
        <w:t xml:space="preserve"> The researchers </w:t>
      </w:r>
      <w:r w:rsidR="00362318">
        <w:rPr>
          <w:bCs/>
          <w:sz w:val="22"/>
          <w:szCs w:val="22"/>
        </w:rPr>
        <w:t xml:space="preserve">attempted to </w:t>
      </w:r>
      <w:r w:rsidR="00EB73D9">
        <w:rPr>
          <w:bCs/>
          <w:sz w:val="22"/>
          <w:szCs w:val="22"/>
        </w:rPr>
        <w:t xml:space="preserve">exclude anyone whose religion or worldview explicitly involved a belief in reincarnation because they wanted to understand </w:t>
      </w:r>
      <w:r w:rsidR="00E87148">
        <w:rPr>
          <w:bCs/>
          <w:sz w:val="22"/>
          <w:szCs w:val="22"/>
        </w:rPr>
        <w:t>its</w:t>
      </w:r>
      <w:r w:rsidR="00EB73D9">
        <w:rPr>
          <w:bCs/>
          <w:sz w:val="22"/>
          <w:szCs w:val="22"/>
        </w:rPr>
        <w:t xml:space="preserve"> meaning for those not required to believe in it.</w:t>
      </w:r>
      <w:r w:rsidR="0070128D">
        <w:rPr>
          <w:rStyle w:val="FootnoteReference"/>
          <w:bCs/>
          <w:sz w:val="22"/>
          <w:szCs w:val="22"/>
        </w:rPr>
        <w:footnoteReference w:id="13"/>
      </w:r>
      <w:r w:rsidR="00EB73D9">
        <w:rPr>
          <w:bCs/>
          <w:sz w:val="22"/>
          <w:szCs w:val="22"/>
        </w:rPr>
        <w:t xml:space="preserve"> </w:t>
      </w:r>
      <w:r w:rsidR="0019270A">
        <w:rPr>
          <w:bCs/>
          <w:sz w:val="22"/>
          <w:szCs w:val="22"/>
        </w:rPr>
        <w:t xml:space="preserve">Neither paper </w:t>
      </w:r>
      <w:r w:rsidR="006F2ECE">
        <w:rPr>
          <w:bCs/>
          <w:sz w:val="22"/>
          <w:szCs w:val="22"/>
        </w:rPr>
        <w:t>explored</w:t>
      </w:r>
      <w:r w:rsidR="0019270A">
        <w:rPr>
          <w:bCs/>
          <w:sz w:val="22"/>
          <w:szCs w:val="22"/>
        </w:rPr>
        <w:t xml:space="preserve"> definition</w:t>
      </w:r>
      <w:r w:rsidR="006F2ECE">
        <w:rPr>
          <w:bCs/>
          <w:sz w:val="22"/>
          <w:szCs w:val="22"/>
        </w:rPr>
        <w:t>s</w:t>
      </w:r>
      <w:r w:rsidR="00A65DD4">
        <w:rPr>
          <w:bCs/>
          <w:sz w:val="22"/>
          <w:szCs w:val="22"/>
        </w:rPr>
        <w:t xml:space="preserve"> or the meaning</w:t>
      </w:r>
      <w:r w:rsidR="0019270A">
        <w:rPr>
          <w:bCs/>
          <w:sz w:val="22"/>
          <w:szCs w:val="22"/>
        </w:rPr>
        <w:t xml:space="preserve"> of belief</w:t>
      </w:r>
      <w:r w:rsidR="00C63357">
        <w:rPr>
          <w:bCs/>
          <w:sz w:val="22"/>
          <w:szCs w:val="22"/>
        </w:rPr>
        <w:t xml:space="preserve"> beforehand</w:t>
      </w:r>
      <w:r w:rsidR="0019270A">
        <w:rPr>
          <w:bCs/>
          <w:sz w:val="22"/>
          <w:szCs w:val="22"/>
        </w:rPr>
        <w:t xml:space="preserve">. </w:t>
      </w:r>
      <w:r w:rsidR="00C63357">
        <w:rPr>
          <w:bCs/>
          <w:sz w:val="22"/>
          <w:szCs w:val="22"/>
        </w:rPr>
        <w:t>However</w:t>
      </w:r>
      <w:r w:rsidR="0019270A">
        <w:rPr>
          <w:bCs/>
          <w:sz w:val="22"/>
          <w:szCs w:val="22"/>
        </w:rPr>
        <w:t>, within their findings on the nature of belief</w:t>
      </w:r>
      <w:r>
        <w:rPr>
          <w:bCs/>
          <w:sz w:val="22"/>
          <w:szCs w:val="22"/>
        </w:rPr>
        <w:t>,</w:t>
      </w:r>
      <w:r w:rsidR="0019270A">
        <w:rPr>
          <w:bCs/>
          <w:sz w:val="22"/>
          <w:szCs w:val="22"/>
        </w:rPr>
        <w:t xml:space="preserve"> Walter and Waterhouse concluded that attempting 'to categorize belief in reincarnation into the categories </w:t>
      </w:r>
      <w:r w:rsidR="0019270A" w:rsidRPr="00EB73D9">
        <w:rPr>
          <w:bCs/>
          <w:i/>
          <w:iCs/>
          <w:sz w:val="22"/>
          <w:szCs w:val="22"/>
        </w:rPr>
        <w:t>yes-don't know-no</w:t>
      </w:r>
      <w:r w:rsidR="0019270A">
        <w:rPr>
          <w:bCs/>
          <w:i/>
          <w:iCs/>
          <w:sz w:val="22"/>
          <w:szCs w:val="22"/>
        </w:rPr>
        <w:t xml:space="preserve"> </w:t>
      </w:r>
      <w:r w:rsidR="0019270A" w:rsidRPr="00EB73D9">
        <w:rPr>
          <w:bCs/>
          <w:sz w:val="22"/>
          <w:szCs w:val="22"/>
        </w:rPr>
        <w:t xml:space="preserve">bears little </w:t>
      </w:r>
      <w:r w:rsidR="0019270A">
        <w:rPr>
          <w:bCs/>
          <w:sz w:val="22"/>
          <w:szCs w:val="22"/>
        </w:rPr>
        <w:t>relationship to the way in which people think and talk about the concept.'</w:t>
      </w:r>
      <w:r w:rsidR="00921E94">
        <w:rPr>
          <w:rStyle w:val="FootnoteReference"/>
          <w:bCs/>
          <w:sz w:val="22"/>
          <w:szCs w:val="22"/>
        </w:rPr>
        <w:footnoteReference w:id="14"/>
      </w:r>
      <w:r w:rsidR="0019270A">
        <w:rPr>
          <w:bCs/>
          <w:sz w:val="22"/>
          <w:szCs w:val="22"/>
        </w:rPr>
        <w:t xml:space="preserve"> </w:t>
      </w:r>
      <w:r w:rsidR="0021575A">
        <w:rPr>
          <w:bCs/>
          <w:sz w:val="22"/>
          <w:szCs w:val="22"/>
        </w:rPr>
        <w:t xml:space="preserve">Brink conceded that his survey </w:t>
      </w:r>
      <w:r w:rsidR="000C1474">
        <w:rPr>
          <w:bCs/>
          <w:sz w:val="22"/>
          <w:szCs w:val="22"/>
        </w:rPr>
        <w:t>'</w:t>
      </w:r>
      <w:r w:rsidR="0021575A">
        <w:rPr>
          <w:bCs/>
          <w:sz w:val="22"/>
          <w:szCs w:val="22"/>
        </w:rPr>
        <w:t>raises more questions than it answers.'</w:t>
      </w:r>
      <w:r w:rsidR="0021575A">
        <w:rPr>
          <w:rStyle w:val="FootnoteReference"/>
          <w:bCs/>
          <w:sz w:val="22"/>
          <w:szCs w:val="22"/>
        </w:rPr>
        <w:footnoteReference w:id="15"/>
      </w:r>
      <w:r w:rsidR="0021575A">
        <w:rPr>
          <w:bCs/>
          <w:sz w:val="22"/>
          <w:szCs w:val="22"/>
        </w:rPr>
        <w:t xml:space="preserve"> </w:t>
      </w:r>
      <w:r w:rsidR="00EB73D9">
        <w:rPr>
          <w:bCs/>
          <w:sz w:val="22"/>
          <w:szCs w:val="22"/>
        </w:rPr>
        <w:t>Alan Bryman, Professor of Social Research at Loughborough University, explained that conventions deem that the</w:t>
      </w:r>
      <w:r w:rsidR="006C2BCC">
        <w:rPr>
          <w:bCs/>
          <w:sz w:val="22"/>
          <w:szCs w:val="22"/>
        </w:rPr>
        <w:t xml:space="preserve"> positivist </w:t>
      </w:r>
      <w:r w:rsidR="00EB73D9">
        <w:rPr>
          <w:bCs/>
          <w:sz w:val="22"/>
          <w:szCs w:val="22"/>
        </w:rPr>
        <w:t>position</w:t>
      </w:r>
      <w:r w:rsidR="006C2BCC">
        <w:rPr>
          <w:bCs/>
          <w:sz w:val="22"/>
          <w:szCs w:val="22"/>
        </w:rPr>
        <w:t xml:space="preserve"> 'rule</w:t>
      </w:r>
      <w:r w:rsidR="00EB73D9">
        <w:rPr>
          <w:bCs/>
          <w:sz w:val="22"/>
          <w:szCs w:val="22"/>
        </w:rPr>
        <w:t>s</w:t>
      </w:r>
      <w:r w:rsidR="006C2BCC">
        <w:rPr>
          <w:bCs/>
          <w:sz w:val="22"/>
          <w:szCs w:val="22"/>
        </w:rPr>
        <w:t xml:space="preserve"> out any possibility of incorporating metaphysical notions of 'feelings' or 'subjective experience.'</w:t>
      </w:r>
      <w:r w:rsidR="006C2BCC">
        <w:rPr>
          <w:rStyle w:val="FootnoteReference"/>
          <w:bCs/>
          <w:sz w:val="22"/>
          <w:szCs w:val="22"/>
        </w:rPr>
        <w:footnoteReference w:id="16"/>
      </w:r>
      <w:r w:rsidR="00362318">
        <w:rPr>
          <w:bCs/>
          <w:sz w:val="22"/>
          <w:szCs w:val="22"/>
        </w:rPr>
        <w:t xml:space="preserve"> </w:t>
      </w:r>
      <w:r w:rsidR="00DE4725">
        <w:rPr>
          <w:bCs/>
          <w:sz w:val="22"/>
          <w:szCs w:val="22"/>
        </w:rPr>
        <w:t>In 2004 Nicholas Campion asserted that '</w:t>
      </w:r>
      <w:r w:rsidR="00DE4725" w:rsidRPr="00EB73D9">
        <w:rPr>
          <w:bCs/>
          <w:sz w:val="22"/>
          <w:szCs w:val="22"/>
        </w:rPr>
        <w:t>a belief does not have to be true</w:t>
      </w:r>
      <w:r w:rsidR="00DE4725">
        <w:rPr>
          <w:bCs/>
          <w:sz w:val="22"/>
          <w:szCs w:val="22"/>
        </w:rPr>
        <w:t>,</w:t>
      </w:r>
      <w:r w:rsidR="00DE4725" w:rsidRPr="00EB73D9">
        <w:rPr>
          <w:bCs/>
          <w:sz w:val="22"/>
          <w:szCs w:val="22"/>
        </w:rPr>
        <w:t xml:space="preserve"> but neither is it necessarily false: it is the</w:t>
      </w:r>
      <w:r w:rsidR="00DE4725">
        <w:rPr>
          <w:bCs/>
          <w:sz w:val="22"/>
          <w:szCs w:val="22"/>
        </w:rPr>
        <w:t xml:space="preserve"> </w:t>
      </w:r>
      <w:r w:rsidR="00DE4725" w:rsidRPr="00EB73D9">
        <w:rPr>
          <w:bCs/>
          <w:sz w:val="22"/>
          <w:szCs w:val="22"/>
        </w:rPr>
        <w:t>perception of the believer which counts.</w:t>
      </w:r>
      <w:r w:rsidR="00DE4725">
        <w:rPr>
          <w:bCs/>
          <w:sz w:val="22"/>
          <w:szCs w:val="22"/>
        </w:rPr>
        <w:t>'</w:t>
      </w:r>
      <w:r w:rsidR="00DE4725">
        <w:rPr>
          <w:rStyle w:val="FootnoteReference"/>
          <w:bCs/>
          <w:sz w:val="22"/>
          <w:szCs w:val="22"/>
        </w:rPr>
        <w:footnoteReference w:id="17"/>
      </w:r>
      <w:r w:rsidR="00EB73D9">
        <w:rPr>
          <w:bCs/>
          <w:sz w:val="22"/>
          <w:szCs w:val="22"/>
        </w:rPr>
        <w:t xml:space="preserve"> </w:t>
      </w:r>
      <w:r w:rsidR="00DE4725">
        <w:rPr>
          <w:bCs/>
          <w:sz w:val="22"/>
          <w:szCs w:val="22"/>
        </w:rPr>
        <w:t>In the same year, t</w:t>
      </w:r>
      <w:r w:rsidR="00B261AE">
        <w:rPr>
          <w:bCs/>
          <w:sz w:val="22"/>
          <w:szCs w:val="22"/>
        </w:rPr>
        <w:t>wenty-six years after conducting this survey</w:t>
      </w:r>
      <w:r w:rsidR="00DE4725">
        <w:rPr>
          <w:bCs/>
          <w:sz w:val="22"/>
          <w:szCs w:val="22"/>
        </w:rPr>
        <w:t>,</w:t>
      </w:r>
      <w:r w:rsidR="00B261AE">
        <w:rPr>
          <w:bCs/>
          <w:sz w:val="22"/>
          <w:szCs w:val="22"/>
        </w:rPr>
        <w:t xml:space="preserve"> Brink published a book in which he advised that </w:t>
      </w:r>
      <w:r w:rsidR="009710D1">
        <w:rPr>
          <w:bCs/>
          <w:sz w:val="22"/>
          <w:szCs w:val="22"/>
        </w:rPr>
        <w:t xml:space="preserve">a common research mistake was 'Trying to get qualitative data with a questionnaire rather than an interview.... as </w:t>
      </w:r>
      <w:r w:rsidR="00B261AE">
        <w:rPr>
          <w:bCs/>
          <w:sz w:val="22"/>
          <w:szCs w:val="22"/>
        </w:rPr>
        <w:t xml:space="preserve">questionnaires </w:t>
      </w:r>
      <w:r w:rsidR="009710D1">
        <w:rPr>
          <w:bCs/>
          <w:sz w:val="22"/>
          <w:szCs w:val="22"/>
        </w:rPr>
        <w:t>don't yield 'rich responses</w:t>
      </w:r>
      <w:r w:rsidR="00B261AE">
        <w:rPr>
          <w:bCs/>
          <w:sz w:val="22"/>
          <w:szCs w:val="22"/>
        </w:rPr>
        <w:t>.'</w:t>
      </w:r>
      <w:r w:rsidR="00B261AE">
        <w:rPr>
          <w:rStyle w:val="FootnoteReference"/>
          <w:bCs/>
          <w:sz w:val="22"/>
          <w:szCs w:val="22"/>
        </w:rPr>
        <w:footnoteReference w:id="18"/>
      </w:r>
      <w:r w:rsidR="00B261AE">
        <w:rPr>
          <w:bCs/>
          <w:sz w:val="22"/>
          <w:szCs w:val="22"/>
        </w:rPr>
        <w:t xml:space="preserve"> </w:t>
      </w:r>
      <w:r w:rsidR="00DE4725" w:rsidRPr="00DE4725">
        <w:rPr>
          <w:bCs/>
          <w:color w:val="000000" w:themeColor="text1"/>
          <w:sz w:val="22"/>
          <w:szCs w:val="22"/>
        </w:rPr>
        <w:t>Bryman wrote that 'qualitative research presents a processual view of social life, whereas quantitative research provides a static account.'</w:t>
      </w:r>
      <w:r w:rsidR="00DE4725" w:rsidRPr="00DE4725">
        <w:rPr>
          <w:rStyle w:val="FootnoteReference"/>
          <w:bCs/>
          <w:color w:val="000000" w:themeColor="text1"/>
          <w:sz w:val="22"/>
          <w:szCs w:val="22"/>
        </w:rPr>
        <w:footnoteReference w:id="19"/>
      </w:r>
      <w:r w:rsidR="00DE4725" w:rsidRPr="00DE4725">
        <w:rPr>
          <w:bCs/>
          <w:color w:val="000000" w:themeColor="text1"/>
          <w:sz w:val="22"/>
          <w:szCs w:val="22"/>
        </w:rPr>
        <w:t xml:space="preserve"> </w:t>
      </w:r>
      <w:r w:rsidR="00DE4725">
        <w:rPr>
          <w:bCs/>
          <w:sz w:val="22"/>
          <w:szCs w:val="22"/>
        </w:rPr>
        <w:t>Brink's quantitative survey provided a static account of subjective perception</w:t>
      </w:r>
      <w:r w:rsidR="00D21841">
        <w:rPr>
          <w:bCs/>
          <w:sz w:val="22"/>
          <w:szCs w:val="22"/>
        </w:rPr>
        <w:t>s</w:t>
      </w:r>
      <w:r w:rsidR="00DE4725">
        <w:rPr>
          <w:bCs/>
          <w:sz w:val="22"/>
          <w:szCs w:val="22"/>
        </w:rPr>
        <w:t xml:space="preserve"> whereas Walter and Waterhouse's mixed methodology of quantitative survey reviews and qualitative interviews yielded richer, 'thicker description</w:t>
      </w:r>
      <w:r>
        <w:rPr>
          <w:bCs/>
          <w:sz w:val="22"/>
          <w:szCs w:val="22"/>
        </w:rPr>
        <w:t>s</w:t>
      </w:r>
      <w:r w:rsidR="00DE4725">
        <w:rPr>
          <w:bCs/>
          <w:sz w:val="22"/>
          <w:szCs w:val="22"/>
        </w:rPr>
        <w:t xml:space="preserve">' </w:t>
      </w:r>
      <w:r w:rsidR="00C63357">
        <w:rPr>
          <w:bCs/>
          <w:sz w:val="22"/>
          <w:szCs w:val="22"/>
        </w:rPr>
        <w:t>around</w:t>
      </w:r>
      <w:r w:rsidR="00DE4725">
        <w:rPr>
          <w:bCs/>
          <w:sz w:val="22"/>
          <w:szCs w:val="22"/>
        </w:rPr>
        <w:t xml:space="preserve"> reincarnation.</w:t>
      </w:r>
      <w:r w:rsidR="00DE4725">
        <w:rPr>
          <w:rStyle w:val="FootnoteReference"/>
          <w:bCs/>
          <w:sz w:val="22"/>
          <w:szCs w:val="22"/>
        </w:rPr>
        <w:footnoteReference w:id="20"/>
      </w:r>
      <w:r>
        <w:rPr>
          <w:bCs/>
          <w:sz w:val="22"/>
          <w:szCs w:val="22"/>
        </w:rPr>
        <w:t xml:space="preserve"> </w:t>
      </w:r>
      <w:r w:rsidR="00DE4725">
        <w:rPr>
          <w:bCs/>
          <w:color w:val="000000" w:themeColor="text1"/>
          <w:sz w:val="22"/>
          <w:szCs w:val="22"/>
        </w:rPr>
        <w:t xml:space="preserve">However, </w:t>
      </w:r>
      <w:r w:rsidR="0019270A">
        <w:rPr>
          <w:bCs/>
          <w:sz w:val="22"/>
          <w:szCs w:val="22"/>
        </w:rPr>
        <w:t>how t</w:t>
      </w:r>
      <w:r w:rsidR="00B261AE">
        <w:rPr>
          <w:bCs/>
          <w:sz w:val="22"/>
          <w:szCs w:val="22"/>
        </w:rPr>
        <w:t>he</w:t>
      </w:r>
      <w:r w:rsidR="0019270A">
        <w:rPr>
          <w:bCs/>
          <w:sz w:val="22"/>
          <w:szCs w:val="22"/>
        </w:rPr>
        <w:t>se</w:t>
      </w:r>
      <w:r w:rsidR="00B261AE">
        <w:rPr>
          <w:bCs/>
          <w:sz w:val="22"/>
          <w:szCs w:val="22"/>
        </w:rPr>
        <w:t xml:space="preserve"> </w:t>
      </w:r>
      <w:r w:rsidR="0019270A">
        <w:rPr>
          <w:bCs/>
          <w:sz w:val="22"/>
          <w:szCs w:val="22"/>
        </w:rPr>
        <w:t xml:space="preserve">chosen </w:t>
      </w:r>
      <w:r w:rsidR="00B261AE">
        <w:rPr>
          <w:bCs/>
          <w:sz w:val="22"/>
          <w:szCs w:val="22"/>
        </w:rPr>
        <w:t xml:space="preserve">research methodologies </w:t>
      </w:r>
      <w:r w:rsidR="0019270A">
        <w:rPr>
          <w:bCs/>
          <w:sz w:val="22"/>
          <w:szCs w:val="22"/>
        </w:rPr>
        <w:t xml:space="preserve">were undertaken </w:t>
      </w:r>
      <w:r w:rsidR="00B261AE">
        <w:rPr>
          <w:bCs/>
          <w:sz w:val="22"/>
          <w:szCs w:val="22"/>
        </w:rPr>
        <w:t>expose</w:t>
      </w:r>
      <w:r w:rsidR="00DE4725">
        <w:rPr>
          <w:bCs/>
          <w:sz w:val="22"/>
          <w:szCs w:val="22"/>
        </w:rPr>
        <w:t>d</w:t>
      </w:r>
      <w:r w:rsidR="00B261AE">
        <w:rPr>
          <w:bCs/>
          <w:sz w:val="22"/>
          <w:szCs w:val="22"/>
        </w:rPr>
        <w:t xml:space="preserve"> ethical considerations and limitations that this essay will now critique.</w:t>
      </w:r>
    </w:p>
    <w:p w14:paraId="17A18F93" w14:textId="77777777" w:rsidR="002E3D6C" w:rsidRDefault="002E3D6C" w:rsidP="00B261AE">
      <w:pPr>
        <w:rPr>
          <w:bCs/>
          <w:sz w:val="22"/>
          <w:szCs w:val="22"/>
        </w:rPr>
      </w:pPr>
    </w:p>
    <w:p w14:paraId="262F9E37" w14:textId="26DD8A24" w:rsidR="00B261AE" w:rsidRDefault="00B261AE" w:rsidP="00B261AE">
      <w:pPr>
        <w:rPr>
          <w:bCs/>
          <w:sz w:val="22"/>
          <w:szCs w:val="22"/>
        </w:rPr>
      </w:pPr>
      <w:r>
        <w:rPr>
          <w:bCs/>
          <w:sz w:val="22"/>
          <w:szCs w:val="22"/>
        </w:rPr>
        <w:t>ETHICAL CONSIDERATIONS</w:t>
      </w:r>
      <w:r w:rsidR="00253543">
        <w:rPr>
          <w:bCs/>
          <w:sz w:val="22"/>
          <w:szCs w:val="22"/>
        </w:rPr>
        <w:t xml:space="preserve"> </w:t>
      </w:r>
    </w:p>
    <w:p w14:paraId="7A3E7429" w14:textId="77777777" w:rsidR="00DE4725" w:rsidRDefault="00DE4725" w:rsidP="00B261AE">
      <w:pPr>
        <w:rPr>
          <w:bCs/>
          <w:sz w:val="22"/>
          <w:szCs w:val="22"/>
        </w:rPr>
      </w:pPr>
    </w:p>
    <w:p w14:paraId="22AE5617" w14:textId="7F051274" w:rsidR="00362318" w:rsidRDefault="00212E9C">
      <w:pPr>
        <w:rPr>
          <w:bCs/>
          <w:sz w:val="22"/>
          <w:szCs w:val="22"/>
        </w:rPr>
      </w:pPr>
      <w:r>
        <w:rPr>
          <w:bCs/>
          <w:sz w:val="22"/>
          <w:szCs w:val="22"/>
        </w:rPr>
        <w:tab/>
      </w:r>
      <w:r w:rsidR="00362318">
        <w:rPr>
          <w:bCs/>
          <w:sz w:val="22"/>
          <w:szCs w:val="22"/>
        </w:rPr>
        <w:t>The Belmont Report</w:t>
      </w:r>
      <w:r w:rsidR="0021575A">
        <w:rPr>
          <w:bCs/>
          <w:sz w:val="22"/>
          <w:szCs w:val="22"/>
        </w:rPr>
        <w:t>, written to outline ethical principles for research with people,</w:t>
      </w:r>
      <w:r w:rsidR="00362318">
        <w:rPr>
          <w:bCs/>
          <w:sz w:val="22"/>
          <w:szCs w:val="22"/>
        </w:rPr>
        <w:t xml:space="preserve"> was created in 1978</w:t>
      </w:r>
      <w:r w:rsidR="0019270A">
        <w:rPr>
          <w:bCs/>
          <w:sz w:val="22"/>
          <w:szCs w:val="22"/>
        </w:rPr>
        <w:t>,</w:t>
      </w:r>
      <w:r w:rsidR="00362318">
        <w:rPr>
          <w:bCs/>
          <w:sz w:val="22"/>
          <w:szCs w:val="22"/>
        </w:rPr>
        <w:t xml:space="preserve"> according to </w:t>
      </w:r>
      <w:proofErr w:type="spellStart"/>
      <w:r w:rsidR="00362318">
        <w:rPr>
          <w:bCs/>
          <w:sz w:val="22"/>
          <w:szCs w:val="22"/>
        </w:rPr>
        <w:t>Hennink</w:t>
      </w:r>
      <w:proofErr w:type="spellEnd"/>
      <w:r w:rsidR="00362318">
        <w:rPr>
          <w:bCs/>
          <w:sz w:val="22"/>
          <w:szCs w:val="22"/>
        </w:rPr>
        <w:t xml:space="preserve">, </w:t>
      </w:r>
      <w:proofErr w:type="spellStart"/>
      <w:r w:rsidR="00362318">
        <w:rPr>
          <w:bCs/>
          <w:sz w:val="22"/>
          <w:szCs w:val="22"/>
        </w:rPr>
        <w:t>Hutter</w:t>
      </w:r>
      <w:proofErr w:type="spellEnd"/>
      <w:r w:rsidR="00362318">
        <w:rPr>
          <w:bCs/>
          <w:sz w:val="22"/>
          <w:szCs w:val="22"/>
        </w:rPr>
        <w:t xml:space="preserve"> and Bailey</w:t>
      </w:r>
      <w:r w:rsidR="00E87148">
        <w:rPr>
          <w:bCs/>
          <w:sz w:val="22"/>
          <w:szCs w:val="22"/>
        </w:rPr>
        <w:t xml:space="preserve">, </w:t>
      </w:r>
      <w:r w:rsidR="00362318">
        <w:rPr>
          <w:bCs/>
          <w:sz w:val="22"/>
          <w:szCs w:val="22"/>
        </w:rPr>
        <w:t xml:space="preserve">in the same year that </w:t>
      </w:r>
      <w:r>
        <w:rPr>
          <w:bCs/>
          <w:sz w:val="22"/>
          <w:szCs w:val="22"/>
        </w:rPr>
        <w:t>Brink's paper was published</w:t>
      </w:r>
      <w:r w:rsidR="00841C9C">
        <w:rPr>
          <w:bCs/>
          <w:sz w:val="22"/>
          <w:szCs w:val="22"/>
        </w:rPr>
        <w:t>.</w:t>
      </w:r>
      <w:r w:rsidR="0019270A">
        <w:rPr>
          <w:rStyle w:val="FootnoteReference"/>
          <w:bCs/>
          <w:sz w:val="22"/>
          <w:szCs w:val="22"/>
        </w:rPr>
        <w:footnoteReference w:id="21"/>
      </w:r>
      <w:r w:rsidR="00362318">
        <w:rPr>
          <w:bCs/>
          <w:sz w:val="22"/>
          <w:szCs w:val="22"/>
        </w:rPr>
        <w:t xml:space="preserve"> </w:t>
      </w:r>
      <w:r>
        <w:rPr>
          <w:bCs/>
          <w:sz w:val="22"/>
          <w:szCs w:val="22"/>
        </w:rPr>
        <w:t>Brink's targeting of school children would have been deemed unethical</w:t>
      </w:r>
      <w:r w:rsidR="00841C9C">
        <w:rPr>
          <w:bCs/>
          <w:sz w:val="22"/>
          <w:szCs w:val="22"/>
        </w:rPr>
        <w:t xml:space="preserve"> d</w:t>
      </w:r>
      <w:r>
        <w:rPr>
          <w:bCs/>
          <w:sz w:val="22"/>
          <w:szCs w:val="22"/>
        </w:rPr>
        <w:t xml:space="preserve">ue to </w:t>
      </w:r>
      <w:r w:rsidR="00841C9C">
        <w:rPr>
          <w:bCs/>
          <w:sz w:val="22"/>
          <w:szCs w:val="22"/>
        </w:rPr>
        <w:t xml:space="preserve">the </w:t>
      </w:r>
      <w:r>
        <w:rPr>
          <w:bCs/>
          <w:sz w:val="22"/>
          <w:szCs w:val="22"/>
        </w:rPr>
        <w:t>respondents' diminished capacity for self-determination.</w:t>
      </w:r>
      <w:r w:rsidR="0070128D">
        <w:rPr>
          <w:rStyle w:val="FootnoteReference"/>
          <w:bCs/>
          <w:sz w:val="22"/>
          <w:szCs w:val="22"/>
        </w:rPr>
        <w:footnoteReference w:id="22"/>
      </w:r>
      <w:r>
        <w:rPr>
          <w:bCs/>
          <w:sz w:val="22"/>
          <w:szCs w:val="22"/>
        </w:rPr>
        <w:t xml:space="preserve"> Brink did not elaborate </w:t>
      </w:r>
      <w:r w:rsidR="00362318">
        <w:rPr>
          <w:bCs/>
          <w:sz w:val="22"/>
          <w:szCs w:val="22"/>
        </w:rPr>
        <w:t>upon the student</w:t>
      </w:r>
      <w:r w:rsidR="0019270A">
        <w:rPr>
          <w:bCs/>
          <w:sz w:val="22"/>
          <w:szCs w:val="22"/>
        </w:rPr>
        <w:t>s</w:t>
      </w:r>
      <w:r w:rsidR="00362318">
        <w:rPr>
          <w:bCs/>
          <w:sz w:val="22"/>
          <w:szCs w:val="22"/>
        </w:rPr>
        <w:t>' right to refuse or whether assurances of anonymity were given.</w:t>
      </w:r>
      <w:r w:rsidR="00841C9C">
        <w:rPr>
          <w:bCs/>
          <w:sz w:val="22"/>
          <w:szCs w:val="22"/>
        </w:rPr>
        <w:t xml:space="preserve"> </w:t>
      </w:r>
      <w:proofErr w:type="spellStart"/>
      <w:r w:rsidR="00841C9C">
        <w:rPr>
          <w:bCs/>
          <w:sz w:val="22"/>
          <w:szCs w:val="22"/>
        </w:rPr>
        <w:t>Hennink</w:t>
      </w:r>
      <w:proofErr w:type="spellEnd"/>
      <w:r w:rsidR="00841C9C">
        <w:rPr>
          <w:bCs/>
          <w:sz w:val="22"/>
          <w:szCs w:val="22"/>
        </w:rPr>
        <w:t xml:space="preserve">, </w:t>
      </w:r>
      <w:proofErr w:type="spellStart"/>
      <w:r w:rsidR="00841C9C">
        <w:rPr>
          <w:bCs/>
          <w:sz w:val="22"/>
          <w:szCs w:val="22"/>
        </w:rPr>
        <w:t>Hutter</w:t>
      </w:r>
      <w:proofErr w:type="spellEnd"/>
      <w:r w:rsidR="00841C9C">
        <w:rPr>
          <w:bCs/>
          <w:sz w:val="22"/>
          <w:szCs w:val="22"/>
        </w:rPr>
        <w:t xml:space="preserve"> and Bailey detailed that</w:t>
      </w:r>
      <w:r w:rsidR="0021575A">
        <w:rPr>
          <w:bCs/>
          <w:sz w:val="22"/>
          <w:szCs w:val="22"/>
        </w:rPr>
        <w:t xml:space="preserve"> the principle of</w:t>
      </w:r>
      <w:r w:rsidR="00841C9C">
        <w:rPr>
          <w:bCs/>
          <w:sz w:val="22"/>
          <w:szCs w:val="22"/>
        </w:rPr>
        <w:t xml:space="preserve"> 'Beneficence' should encompass a minimization of risk to participants and</w:t>
      </w:r>
      <w:r w:rsidR="0021575A">
        <w:rPr>
          <w:bCs/>
          <w:sz w:val="22"/>
          <w:szCs w:val="22"/>
        </w:rPr>
        <w:t xml:space="preserve"> that</w:t>
      </w:r>
      <w:r w:rsidR="00E87148">
        <w:rPr>
          <w:bCs/>
          <w:sz w:val="22"/>
          <w:szCs w:val="22"/>
        </w:rPr>
        <w:t xml:space="preserve"> </w:t>
      </w:r>
      <w:r w:rsidR="00841C9C">
        <w:rPr>
          <w:bCs/>
          <w:sz w:val="22"/>
          <w:szCs w:val="22"/>
        </w:rPr>
        <w:t>'Justice' should include non-exploitation and fair procedures.</w:t>
      </w:r>
      <w:r w:rsidR="00841C9C">
        <w:rPr>
          <w:rStyle w:val="FootnoteReference"/>
          <w:bCs/>
          <w:sz w:val="22"/>
          <w:szCs w:val="22"/>
        </w:rPr>
        <w:footnoteReference w:id="23"/>
      </w:r>
      <w:r w:rsidR="00841C9C">
        <w:rPr>
          <w:bCs/>
          <w:sz w:val="22"/>
          <w:szCs w:val="22"/>
        </w:rPr>
        <w:t xml:space="preserve"> Brink compromised these principles through conducting this questionnaire within</w:t>
      </w:r>
      <w:r w:rsidR="00D21841">
        <w:rPr>
          <w:bCs/>
          <w:sz w:val="22"/>
          <w:szCs w:val="22"/>
        </w:rPr>
        <w:t xml:space="preserve"> </w:t>
      </w:r>
      <w:r w:rsidR="00841C9C">
        <w:rPr>
          <w:bCs/>
          <w:sz w:val="22"/>
          <w:szCs w:val="22"/>
        </w:rPr>
        <w:t>a mandatory religi</w:t>
      </w:r>
      <w:r w:rsidR="0021575A">
        <w:rPr>
          <w:bCs/>
          <w:sz w:val="22"/>
          <w:szCs w:val="22"/>
        </w:rPr>
        <w:t>on</w:t>
      </w:r>
      <w:r w:rsidR="00841C9C">
        <w:rPr>
          <w:bCs/>
          <w:sz w:val="22"/>
          <w:szCs w:val="22"/>
        </w:rPr>
        <w:t xml:space="preserve"> class</w:t>
      </w:r>
      <w:r w:rsidR="00D21841">
        <w:rPr>
          <w:bCs/>
          <w:sz w:val="22"/>
          <w:szCs w:val="22"/>
        </w:rPr>
        <w:t xml:space="preserve"> in a Catholic institution</w:t>
      </w:r>
      <w:r w:rsidR="00841C9C">
        <w:rPr>
          <w:bCs/>
          <w:sz w:val="22"/>
          <w:szCs w:val="22"/>
        </w:rPr>
        <w:t xml:space="preserve">. </w:t>
      </w:r>
      <w:r>
        <w:rPr>
          <w:bCs/>
          <w:sz w:val="22"/>
          <w:szCs w:val="22"/>
        </w:rPr>
        <w:t xml:space="preserve">Brink's </w:t>
      </w:r>
      <w:r w:rsidR="00D21841">
        <w:rPr>
          <w:bCs/>
          <w:sz w:val="22"/>
          <w:szCs w:val="22"/>
        </w:rPr>
        <w:t xml:space="preserve">Catholic </w:t>
      </w:r>
      <w:r w:rsidR="0070128D">
        <w:rPr>
          <w:bCs/>
          <w:sz w:val="22"/>
          <w:szCs w:val="22"/>
        </w:rPr>
        <w:t xml:space="preserve">insider </w:t>
      </w:r>
      <w:r>
        <w:rPr>
          <w:bCs/>
          <w:sz w:val="22"/>
          <w:szCs w:val="22"/>
        </w:rPr>
        <w:t xml:space="preserve">bias is evident in </w:t>
      </w:r>
      <w:r w:rsidR="00362318">
        <w:rPr>
          <w:bCs/>
          <w:sz w:val="22"/>
          <w:szCs w:val="22"/>
        </w:rPr>
        <w:t>the construction of his</w:t>
      </w:r>
      <w:r>
        <w:rPr>
          <w:bCs/>
          <w:sz w:val="22"/>
          <w:szCs w:val="22"/>
        </w:rPr>
        <w:t xml:space="preserve"> questionnaire</w:t>
      </w:r>
      <w:r w:rsidR="00B261AE">
        <w:rPr>
          <w:bCs/>
          <w:sz w:val="22"/>
          <w:szCs w:val="22"/>
        </w:rPr>
        <w:t>.</w:t>
      </w:r>
      <w:r w:rsidR="00362318">
        <w:rPr>
          <w:bCs/>
          <w:sz w:val="22"/>
          <w:szCs w:val="22"/>
        </w:rPr>
        <w:t xml:space="preserve"> Not only was the weighting between questions regarding the three focal subjects out of balance but there was no equivalent statement 'I believe in Roman Catholicism,' as for astrology and reincarnation. This </w:t>
      </w:r>
      <w:r w:rsidR="00362318">
        <w:rPr>
          <w:bCs/>
          <w:sz w:val="22"/>
          <w:szCs w:val="22"/>
        </w:rPr>
        <w:lastRenderedPageBreak/>
        <w:t xml:space="preserve">exposed Brink's appreciation of the nuances of belief in the Catholic doctrine and </w:t>
      </w:r>
      <w:r w:rsidR="000C1474">
        <w:rPr>
          <w:bCs/>
          <w:sz w:val="22"/>
          <w:szCs w:val="22"/>
        </w:rPr>
        <w:t xml:space="preserve">a </w:t>
      </w:r>
      <w:r w:rsidR="00E87148">
        <w:rPr>
          <w:bCs/>
          <w:sz w:val="22"/>
          <w:szCs w:val="22"/>
        </w:rPr>
        <w:t>l</w:t>
      </w:r>
      <w:r w:rsidR="00362318">
        <w:rPr>
          <w:bCs/>
          <w:sz w:val="22"/>
          <w:szCs w:val="22"/>
        </w:rPr>
        <w:t xml:space="preserve">ack of consideration about other facets of belief in astrology or reincarnation. </w:t>
      </w:r>
      <w:proofErr w:type="spellStart"/>
      <w:r w:rsidR="0021575A">
        <w:rPr>
          <w:bCs/>
          <w:sz w:val="22"/>
          <w:szCs w:val="22"/>
        </w:rPr>
        <w:t>Hennink</w:t>
      </w:r>
      <w:proofErr w:type="spellEnd"/>
      <w:r w:rsidR="0021575A">
        <w:rPr>
          <w:bCs/>
          <w:sz w:val="22"/>
          <w:szCs w:val="22"/>
        </w:rPr>
        <w:t xml:space="preserve">, </w:t>
      </w:r>
      <w:proofErr w:type="spellStart"/>
      <w:r w:rsidR="0021575A">
        <w:rPr>
          <w:bCs/>
          <w:sz w:val="22"/>
          <w:szCs w:val="22"/>
        </w:rPr>
        <w:t>Hutter</w:t>
      </w:r>
      <w:proofErr w:type="spellEnd"/>
      <w:r w:rsidR="0021575A">
        <w:rPr>
          <w:bCs/>
          <w:sz w:val="22"/>
          <w:szCs w:val="22"/>
        </w:rPr>
        <w:t xml:space="preserve"> and Bailey deemed reflexivity important 'to show an understanding of the interpretive paradigm.'</w:t>
      </w:r>
      <w:r w:rsidR="0021575A">
        <w:rPr>
          <w:rStyle w:val="FootnoteReference"/>
          <w:bCs/>
          <w:sz w:val="22"/>
          <w:szCs w:val="22"/>
        </w:rPr>
        <w:footnoteReference w:id="24"/>
      </w:r>
      <w:r w:rsidR="0021575A">
        <w:rPr>
          <w:bCs/>
          <w:sz w:val="22"/>
          <w:szCs w:val="22"/>
        </w:rPr>
        <w:t xml:space="preserve"> However, </w:t>
      </w:r>
      <w:r w:rsidR="00362318">
        <w:rPr>
          <w:bCs/>
          <w:sz w:val="22"/>
          <w:szCs w:val="22"/>
        </w:rPr>
        <w:t xml:space="preserve">Brink did not reflect upon his </w:t>
      </w:r>
      <w:r w:rsidR="00504825">
        <w:rPr>
          <w:bCs/>
          <w:sz w:val="22"/>
          <w:szCs w:val="22"/>
        </w:rPr>
        <w:t xml:space="preserve">insider </w:t>
      </w:r>
      <w:r w:rsidR="00362318">
        <w:rPr>
          <w:bCs/>
          <w:sz w:val="22"/>
          <w:szCs w:val="22"/>
        </w:rPr>
        <w:t xml:space="preserve">positionality in his paper, </w:t>
      </w:r>
      <w:r w:rsidR="00921E94">
        <w:rPr>
          <w:bCs/>
          <w:sz w:val="22"/>
          <w:szCs w:val="22"/>
        </w:rPr>
        <w:t xml:space="preserve">which is all the more stark given that </w:t>
      </w:r>
      <w:r w:rsidR="00841C9C">
        <w:rPr>
          <w:bCs/>
          <w:sz w:val="22"/>
          <w:szCs w:val="22"/>
        </w:rPr>
        <w:t>he</w:t>
      </w:r>
      <w:r w:rsidR="00B261AE">
        <w:rPr>
          <w:bCs/>
          <w:sz w:val="22"/>
          <w:szCs w:val="22"/>
        </w:rPr>
        <w:t xml:space="preserve"> acknowledge</w:t>
      </w:r>
      <w:r w:rsidR="00841C9C">
        <w:rPr>
          <w:bCs/>
          <w:sz w:val="22"/>
          <w:szCs w:val="22"/>
        </w:rPr>
        <w:t>d</w:t>
      </w:r>
      <w:r w:rsidR="00B261AE">
        <w:rPr>
          <w:bCs/>
          <w:sz w:val="22"/>
          <w:szCs w:val="22"/>
        </w:rPr>
        <w:t xml:space="preserve"> </w:t>
      </w:r>
      <w:r w:rsidR="0019270A">
        <w:rPr>
          <w:bCs/>
          <w:sz w:val="22"/>
          <w:szCs w:val="22"/>
        </w:rPr>
        <w:t xml:space="preserve">the challenge of </w:t>
      </w:r>
      <w:r w:rsidR="00B261AE">
        <w:rPr>
          <w:bCs/>
          <w:sz w:val="22"/>
          <w:szCs w:val="22"/>
        </w:rPr>
        <w:t>bias and subjective preselection of data in a paper published in 1979, although this was with regards to the interpretation of history.</w:t>
      </w:r>
      <w:r w:rsidR="00B261AE">
        <w:rPr>
          <w:rStyle w:val="FootnoteReference"/>
          <w:bCs/>
          <w:sz w:val="22"/>
          <w:szCs w:val="22"/>
        </w:rPr>
        <w:footnoteReference w:id="25"/>
      </w:r>
      <w:r>
        <w:rPr>
          <w:bCs/>
          <w:sz w:val="22"/>
          <w:szCs w:val="22"/>
        </w:rPr>
        <w:t xml:space="preserve"> </w:t>
      </w:r>
    </w:p>
    <w:p w14:paraId="313C71AC" w14:textId="57942DB9" w:rsidR="00841C9C" w:rsidRDefault="00212E9C">
      <w:pPr>
        <w:rPr>
          <w:bCs/>
          <w:sz w:val="22"/>
          <w:szCs w:val="22"/>
        </w:rPr>
      </w:pPr>
      <w:r>
        <w:rPr>
          <w:bCs/>
          <w:sz w:val="22"/>
          <w:szCs w:val="22"/>
        </w:rPr>
        <w:tab/>
        <w:t xml:space="preserve">Walter and Waterhouse similarly conducted </w:t>
      </w:r>
      <w:r w:rsidR="0019270A">
        <w:rPr>
          <w:bCs/>
          <w:sz w:val="22"/>
          <w:szCs w:val="22"/>
        </w:rPr>
        <w:t xml:space="preserve">ethically problematic </w:t>
      </w:r>
      <w:r>
        <w:rPr>
          <w:bCs/>
          <w:sz w:val="22"/>
          <w:szCs w:val="22"/>
        </w:rPr>
        <w:t>research with schoolchildren</w:t>
      </w:r>
      <w:r w:rsidR="00E87148">
        <w:rPr>
          <w:bCs/>
          <w:sz w:val="22"/>
          <w:szCs w:val="22"/>
        </w:rPr>
        <w:t>. They did not</w:t>
      </w:r>
      <w:r>
        <w:rPr>
          <w:bCs/>
          <w:sz w:val="22"/>
          <w:szCs w:val="22"/>
        </w:rPr>
        <w:t xml:space="preserve"> elaborate on how the</w:t>
      </w:r>
      <w:r w:rsidR="0070128D">
        <w:rPr>
          <w:bCs/>
          <w:sz w:val="22"/>
          <w:szCs w:val="22"/>
        </w:rPr>
        <w:t>y</w:t>
      </w:r>
      <w:r w:rsidR="0019270A">
        <w:rPr>
          <w:bCs/>
          <w:sz w:val="22"/>
          <w:szCs w:val="22"/>
        </w:rPr>
        <w:t xml:space="preserve"> were</w:t>
      </w:r>
      <w:r>
        <w:rPr>
          <w:bCs/>
          <w:sz w:val="22"/>
          <w:szCs w:val="22"/>
        </w:rPr>
        <w:t xml:space="preserve"> recruited </w:t>
      </w:r>
      <w:r w:rsidR="00E87148">
        <w:rPr>
          <w:bCs/>
          <w:sz w:val="22"/>
          <w:szCs w:val="22"/>
        </w:rPr>
        <w:t>n</w:t>
      </w:r>
      <w:r w:rsidR="0019270A">
        <w:rPr>
          <w:bCs/>
          <w:sz w:val="22"/>
          <w:szCs w:val="22"/>
        </w:rPr>
        <w:t>or</w:t>
      </w:r>
      <w:r>
        <w:rPr>
          <w:bCs/>
          <w:sz w:val="22"/>
          <w:szCs w:val="22"/>
        </w:rPr>
        <w:t xml:space="preserve"> whether </w:t>
      </w:r>
      <w:r w:rsidR="0070128D">
        <w:rPr>
          <w:bCs/>
          <w:sz w:val="22"/>
          <w:szCs w:val="22"/>
        </w:rPr>
        <w:t xml:space="preserve">consent was gained. </w:t>
      </w:r>
      <w:r w:rsidR="00841C9C">
        <w:rPr>
          <w:bCs/>
          <w:sz w:val="22"/>
          <w:szCs w:val="22"/>
        </w:rPr>
        <w:t xml:space="preserve">However, </w:t>
      </w:r>
      <w:r w:rsidR="00E87148">
        <w:rPr>
          <w:bCs/>
          <w:sz w:val="22"/>
          <w:szCs w:val="22"/>
        </w:rPr>
        <w:t>aligned</w:t>
      </w:r>
      <w:r w:rsidR="00841C9C">
        <w:rPr>
          <w:bCs/>
          <w:sz w:val="22"/>
          <w:szCs w:val="22"/>
        </w:rPr>
        <w:t xml:space="preserve"> with </w:t>
      </w:r>
      <w:r w:rsidR="0021575A">
        <w:rPr>
          <w:bCs/>
          <w:sz w:val="22"/>
          <w:szCs w:val="22"/>
        </w:rPr>
        <w:t xml:space="preserve">Belmont Report </w:t>
      </w:r>
      <w:r w:rsidR="00841C9C">
        <w:rPr>
          <w:bCs/>
          <w:sz w:val="22"/>
          <w:szCs w:val="22"/>
        </w:rPr>
        <w:t>principles, the adult interviewees</w:t>
      </w:r>
      <w:r w:rsidR="002C2051">
        <w:rPr>
          <w:bCs/>
          <w:sz w:val="22"/>
          <w:szCs w:val="22"/>
        </w:rPr>
        <w:t xml:space="preserve"> were volunteers, and their anonymity </w:t>
      </w:r>
      <w:r w:rsidR="00D21841">
        <w:rPr>
          <w:bCs/>
          <w:sz w:val="22"/>
          <w:szCs w:val="22"/>
        </w:rPr>
        <w:t>was</w:t>
      </w:r>
      <w:r w:rsidR="002C2051">
        <w:rPr>
          <w:bCs/>
          <w:sz w:val="22"/>
          <w:szCs w:val="22"/>
        </w:rPr>
        <w:t xml:space="preserve"> maintained throughout the report. </w:t>
      </w:r>
      <w:r w:rsidR="00841C9C">
        <w:rPr>
          <w:bCs/>
          <w:sz w:val="22"/>
          <w:szCs w:val="22"/>
        </w:rPr>
        <w:t>The paper</w:t>
      </w:r>
      <w:r>
        <w:rPr>
          <w:bCs/>
          <w:sz w:val="22"/>
          <w:szCs w:val="22"/>
        </w:rPr>
        <w:t xml:space="preserve"> claimed that 'care was taken to let interviewees speak in their own terms, and interviewers were careful not to ask leading questions,'</w:t>
      </w:r>
      <w:r>
        <w:rPr>
          <w:rStyle w:val="FootnoteReference"/>
          <w:bCs/>
          <w:sz w:val="22"/>
          <w:szCs w:val="22"/>
        </w:rPr>
        <w:footnoteReference w:id="26"/>
      </w:r>
      <w:r>
        <w:rPr>
          <w:bCs/>
          <w:sz w:val="22"/>
          <w:szCs w:val="22"/>
        </w:rPr>
        <w:t xml:space="preserve"> however, </w:t>
      </w:r>
      <w:r w:rsidR="00841C9C">
        <w:rPr>
          <w:bCs/>
          <w:sz w:val="22"/>
          <w:szCs w:val="22"/>
        </w:rPr>
        <w:t>it was left</w:t>
      </w:r>
      <w:r>
        <w:rPr>
          <w:bCs/>
          <w:sz w:val="22"/>
          <w:szCs w:val="22"/>
        </w:rPr>
        <w:t xml:space="preserve"> unclear as to whether this was a methodological </w:t>
      </w:r>
      <w:r w:rsidR="00362318">
        <w:rPr>
          <w:bCs/>
          <w:sz w:val="22"/>
          <w:szCs w:val="22"/>
        </w:rPr>
        <w:t>or</w:t>
      </w:r>
      <w:r>
        <w:rPr>
          <w:bCs/>
          <w:sz w:val="22"/>
          <w:szCs w:val="22"/>
        </w:rPr>
        <w:t xml:space="preserve"> ethical decision. </w:t>
      </w:r>
      <w:r w:rsidR="00E87148">
        <w:rPr>
          <w:bCs/>
          <w:sz w:val="22"/>
          <w:szCs w:val="22"/>
        </w:rPr>
        <w:t xml:space="preserve">The co-authors </w:t>
      </w:r>
      <w:r>
        <w:rPr>
          <w:bCs/>
          <w:sz w:val="22"/>
          <w:szCs w:val="22"/>
        </w:rPr>
        <w:t xml:space="preserve">did not </w:t>
      </w:r>
      <w:r w:rsidR="0070128D">
        <w:rPr>
          <w:bCs/>
          <w:sz w:val="22"/>
          <w:szCs w:val="22"/>
        </w:rPr>
        <w:t>reflect upon</w:t>
      </w:r>
      <w:r>
        <w:rPr>
          <w:bCs/>
          <w:sz w:val="22"/>
          <w:szCs w:val="22"/>
        </w:rPr>
        <w:t xml:space="preserve"> </w:t>
      </w:r>
      <w:r w:rsidR="00841C9C">
        <w:rPr>
          <w:bCs/>
          <w:sz w:val="22"/>
          <w:szCs w:val="22"/>
        </w:rPr>
        <w:t>their</w:t>
      </w:r>
      <w:r w:rsidR="0070128D">
        <w:rPr>
          <w:bCs/>
          <w:sz w:val="22"/>
          <w:szCs w:val="22"/>
        </w:rPr>
        <w:t xml:space="preserve"> admitted</w:t>
      </w:r>
      <w:r w:rsidR="00841C9C">
        <w:rPr>
          <w:bCs/>
          <w:sz w:val="22"/>
          <w:szCs w:val="22"/>
        </w:rPr>
        <w:t xml:space="preserve"> academic positionality</w:t>
      </w:r>
      <w:r w:rsidR="002C2051">
        <w:rPr>
          <w:bCs/>
          <w:sz w:val="22"/>
          <w:szCs w:val="22"/>
        </w:rPr>
        <w:t xml:space="preserve"> or </w:t>
      </w:r>
      <w:r w:rsidR="00E87148">
        <w:rPr>
          <w:bCs/>
          <w:sz w:val="22"/>
          <w:szCs w:val="22"/>
        </w:rPr>
        <w:t>upon</w:t>
      </w:r>
      <w:r w:rsidR="002C2051">
        <w:rPr>
          <w:bCs/>
          <w:sz w:val="22"/>
          <w:szCs w:val="22"/>
        </w:rPr>
        <w:t xml:space="preserve"> any </w:t>
      </w:r>
      <w:r w:rsidR="00841C9C">
        <w:rPr>
          <w:bCs/>
          <w:sz w:val="22"/>
          <w:szCs w:val="22"/>
        </w:rPr>
        <w:t xml:space="preserve">other </w:t>
      </w:r>
      <w:r w:rsidR="002C2051">
        <w:rPr>
          <w:bCs/>
          <w:sz w:val="22"/>
          <w:szCs w:val="22"/>
        </w:rPr>
        <w:t>potential biases that might have influenced their research.</w:t>
      </w:r>
      <w:r w:rsidR="0019270A">
        <w:rPr>
          <w:bCs/>
          <w:sz w:val="22"/>
          <w:szCs w:val="22"/>
        </w:rPr>
        <w:t xml:space="preserve"> However, </w:t>
      </w:r>
      <w:r w:rsidR="00841C9C">
        <w:rPr>
          <w:bCs/>
          <w:sz w:val="22"/>
          <w:szCs w:val="22"/>
        </w:rPr>
        <w:t>as</w:t>
      </w:r>
      <w:r w:rsidR="0019270A">
        <w:rPr>
          <w:bCs/>
          <w:sz w:val="22"/>
          <w:szCs w:val="22"/>
        </w:rPr>
        <w:t xml:space="preserve"> </w:t>
      </w:r>
      <w:r w:rsidR="00841C9C">
        <w:rPr>
          <w:bCs/>
          <w:sz w:val="22"/>
          <w:szCs w:val="22"/>
        </w:rPr>
        <w:t>with</w:t>
      </w:r>
      <w:r w:rsidR="0019270A">
        <w:rPr>
          <w:bCs/>
          <w:sz w:val="22"/>
          <w:szCs w:val="22"/>
        </w:rPr>
        <w:t xml:space="preserve"> Brink, bias </w:t>
      </w:r>
      <w:r w:rsidR="00921E94">
        <w:rPr>
          <w:bCs/>
          <w:sz w:val="22"/>
          <w:szCs w:val="22"/>
        </w:rPr>
        <w:t>wa</w:t>
      </w:r>
      <w:r w:rsidR="0019270A">
        <w:rPr>
          <w:bCs/>
          <w:sz w:val="22"/>
          <w:szCs w:val="22"/>
        </w:rPr>
        <w:t>s evident in their questioning.</w:t>
      </w:r>
      <w:r w:rsidR="002C2051">
        <w:rPr>
          <w:bCs/>
          <w:sz w:val="22"/>
          <w:szCs w:val="22"/>
        </w:rPr>
        <w:t xml:space="preserve"> </w:t>
      </w:r>
      <w:r w:rsidR="00841C9C">
        <w:rPr>
          <w:bCs/>
          <w:sz w:val="22"/>
          <w:szCs w:val="22"/>
        </w:rPr>
        <w:t>They reported asking</w:t>
      </w:r>
      <w:r w:rsidR="0019270A">
        <w:rPr>
          <w:bCs/>
          <w:sz w:val="22"/>
          <w:szCs w:val="22"/>
        </w:rPr>
        <w:t xml:space="preserve"> respondents about their involvement </w:t>
      </w:r>
      <w:r w:rsidR="00841C9C">
        <w:rPr>
          <w:bCs/>
          <w:sz w:val="22"/>
          <w:szCs w:val="22"/>
        </w:rPr>
        <w:t xml:space="preserve">in alternative lifestyles </w:t>
      </w:r>
      <w:r w:rsidR="0019270A">
        <w:rPr>
          <w:bCs/>
          <w:sz w:val="22"/>
          <w:szCs w:val="22"/>
        </w:rPr>
        <w:t xml:space="preserve">to understand whether they were influenced by the New Age. They </w:t>
      </w:r>
      <w:r w:rsidR="00841C9C">
        <w:rPr>
          <w:bCs/>
          <w:sz w:val="22"/>
          <w:szCs w:val="22"/>
        </w:rPr>
        <w:t xml:space="preserve">did not explain their choices of indicators of an alternative lifestyle, but </w:t>
      </w:r>
      <w:r w:rsidR="00E87148">
        <w:rPr>
          <w:bCs/>
          <w:sz w:val="22"/>
          <w:szCs w:val="22"/>
        </w:rPr>
        <w:t>they</w:t>
      </w:r>
      <w:r w:rsidR="00841C9C">
        <w:rPr>
          <w:bCs/>
          <w:sz w:val="22"/>
          <w:szCs w:val="22"/>
        </w:rPr>
        <w:t xml:space="preserve"> belied personal definitions that </w:t>
      </w:r>
      <w:r w:rsidR="00E87148">
        <w:rPr>
          <w:bCs/>
          <w:sz w:val="22"/>
          <w:szCs w:val="22"/>
        </w:rPr>
        <w:t>were</w:t>
      </w:r>
      <w:r w:rsidR="00841C9C">
        <w:rPr>
          <w:bCs/>
          <w:sz w:val="22"/>
          <w:szCs w:val="22"/>
        </w:rPr>
        <w:t xml:space="preserve"> not </w:t>
      </w:r>
      <w:r w:rsidR="0070128D">
        <w:rPr>
          <w:bCs/>
          <w:sz w:val="22"/>
          <w:szCs w:val="22"/>
        </w:rPr>
        <w:t>expand</w:t>
      </w:r>
      <w:r w:rsidR="00E87148">
        <w:rPr>
          <w:bCs/>
          <w:sz w:val="22"/>
          <w:szCs w:val="22"/>
        </w:rPr>
        <w:t>ed</w:t>
      </w:r>
      <w:r w:rsidR="0070128D">
        <w:rPr>
          <w:bCs/>
          <w:sz w:val="22"/>
          <w:szCs w:val="22"/>
        </w:rPr>
        <w:t xml:space="preserve"> upon.</w:t>
      </w:r>
    </w:p>
    <w:p w14:paraId="7E32AA6C" w14:textId="003564AA" w:rsidR="00362318" w:rsidRDefault="00841C9C">
      <w:pPr>
        <w:rPr>
          <w:bCs/>
          <w:sz w:val="22"/>
          <w:szCs w:val="22"/>
        </w:rPr>
      </w:pPr>
      <w:r>
        <w:rPr>
          <w:bCs/>
          <w:sz w:val="22"/>
          <w:szCs w:val="22"/>
        </w:rPr>
        <w:tab/>
      </w:r>
      <w:r w:rsidR="00212E9C">
        <w:rPr>
          <w:bCs/>
          <w:sz w:val="22"/>
          <w:szCs w:val="22"/>
        </w:rPr>
        <w:t>Brink displayed a considerable</w:t>
      </w:r>
      <w:r w:rsidR="00362318">
        <w:rPr>
          <w:bCs/>
          <w:sz w:val="22"/>
          <w:szCs w:val="22"/>
        </w:rPr>
        <w:t xml:space="preserve"> bias and</w:t>
      </w:r>
      <w:r w:rsidR="00212E9C">
        <w:rPr>
          <w:bCs/>
          <w:sz w:val="22"/>
          <w:szCs w:val="22"/>
        </w:rPr>
        <w:t xml:space="preserve"> lack of ethics, even by the standards of his day, in his survey construction and deployment</w:t>
      </w:r>
      <w:r w:rsidR="00A42A30">
        <w:rPr>
          <w:bCs/>
          <w:sz w:val="22"/>
          <w:szCs w:val="22"/>
        </w:rPr>
        <w:t>.</w:t>
      </w:r>
      <w:r w:rsidR="00212E9C">
        <w:rPr>
          <w:bCs/>
          <w:sz w:val="22"/>
          <w:szCs w:val="22"/>
        </w:rPr>
        <w:t xml:space="preserve"> </w:t>
      </w:r>
      <w:r>
        <w:rPr>
          <w:bCs/>
          <w:sz w:val="22"/>
          <w:szCs w:val="22"/>
        </w:rPr>
        <w:t xml:space="preserve">Twenty-one years later, </w:t>
      </w:r>
      <w:r w:rsidR="00212E9C">
        <w:rPr>
          <w:bCs/>
          <w:sz w:val="22"/>
          <w:szCs w:val="22"/>
        </w:rPr>
        <w:t>Walter and Waterhouse</w:t>
      </w:r>
      <w:r w:rsidR="00A42A30">
        <w:rPr>
          <w:bCs/>
          <w:sz w:val="22"/>
          <w:szCs w:val="22"/>
        </w:rPr>
        <w:t xml:space="preserve"> </w:t>
      </w:r>
      <w:r w:rsidR="00362318">
        <w:rPr>
          <w:bCs/>
          <w:sz w:val="22"/>
          <w:szCs w:val="22"/>
        </w:rPr>
        <w:t xml:space="preserve">also displayed </w:t>
      </w:r>
      <w:r w:rsidR="0021575A">
        <w:rPr>
          <w:bCs/>
          <w:sz w:val="22"/>
          <w:szCs w:val="22"/>
        </w:rPr>
        <w:t xml:space="preserve">some </w:t>
      </w:r>
      <w:r>
        <w:rPr>
          <w:bCs/>
          <w:sz w:val="22"/>
          <w:szCs w:val="22"/>
        </w:rPr>
        <w:t>questionable</w:t>
      </w:r>
      <w:r w:rsidR="00362318">
        <w:rPr>
          <w:bCs/>
          <w:sz w:val="22"/>
          <w:szCs w:val="22"/>
        </w:rPr>
        <w:t xml:space="preserve"> ethics</w:t>
      </w:r>
      <w:r>
        <w:rPr>
          <w:bCs/>
          <w:sz w:val="22"/>
          <w:szCs w:val="22"/>
        </w:rPr>
        <w:t>, although t</w:t>
      </w:r>
      <w:r w:rsidR="00A42A30">
        <w:rPr>
          <w:bCs/>
          <w:sz w:val="22"/>
          <w:szCs w:val="22"/>
        </w:rPr>
        <w:t xml:space="preserve">hey did </w:t>
      </w:r>
      <w:r w:rsidR="0021575A">
        <w:rPr>
          <w:bCs/>
          <w:sz w:val="22"/>
          <w:szCs w:val="22"/>
        </w:rPr>
        <w:t xml:space="preserve">adhere to </w:t>
      </w:r>
      <w:r w:rsidR="00A9658D">
        <w:rPr>
          <w:bCs/>
          <w:sz w:val="22"/>
          <w:szCs w:val="22"/>
        </w:rPr>
        <w:t xml:space="preserve">other </w:t>
      </w:r>
      <w:r w:rsidR="0021575A">
        <w:rPr>
          <w:bCs/>
          <w:sz w:val="22"/>
          <w:szCs w:val="22"/>
        </w:rPr>
        <w:t xml:space="preserve">ethical principles. </w:t>
      </w:r>
      <w:r w:rsidR="0019270A">
        <w:rPr>
          <w:bCs/>
          <w:sz w:val="22"/>
          <w:szCs w:val="22"/>
        </w:rPr>
        <w:t xml:space="preserve">A lack of reflexivity </w:t>
      </w:r>
      <w:r>
        <w:rPr>
          <w:bCs/>
          <w:sz w:val="22"/>
          <w:szCs w:val="22"/>
        </w:rPr>
        <w:t>in</w:t>
      </w:r>
      <w:r w:rsidR="0019270A">
        <w:rPr>
          <w:bCs/>
          <w:sz w:val="22"/>
          <w:szCs w:val="22"/>
        </w:rPr>
        <w:t xml:space="preserve"> both research projects</w:t>
      </w:r>
      <w:r w:rsidR="0021575A">
        <w:rPr>
          <w:bCs/>
          <w:sz w:val="22"/>
          <w:szCs w:val="22"/>
        </w:rPr>
        <w:t xml:space="preserve"> revealed the authors' biases, which not only </w:t>
      </w:r>
      <w:r w:rsidR="0019270A">
        <w:rPr>
          <w:bCs/>
          <w:sz w:val="22"/>
          <w:szCs w:val="22"/>
        </w:rPr>
        <w:t>begged more questions</w:t>
      </w:r>
      <w:r w:rsidR="0021575A">
        <w:rPr>
          <w:bCs/>
          <w:sz w:val="22"/>
          <w:szCs w:val="22"/>
        </w:rPr>
        <w:t xml:space="preserve"> but also influenced </w:t>
      </w:r>
      <w:r w:rsidR="0019270A">
        <w:rPr>
          <w:bCs/>
          <w:sz w:val="22"/>
          <w:szCs w:val="22"/>
        </w:rPr>
        <w:t>the findings, which this essay will now analyse.</w:t>
      </w:r>
      <w:r w:rsidR="00A42A30">
        <w:rPr>
          <w:bCs/>
          <w:sz w:val="22"/>
          <w:szCs w:val="22"/>
        </w:rPr>
        <w:t xml:space="preserve"> </w:t>
      </w:r>
    </w:p>
    <w:p w14:paraId="0F05A146" w14:textId="77777777" w:rsidR="00A42A30" w:rsidRDefault="00A42A30">
      <w:pPr>
        <w:rPr>
          <w:bCs/>
          <w:sz w:val="22"/>
          <w:szCs w:val="22"/>
        </w:rPr>
      </w:pPr>
    </w:p>
    <w:p w14:paraId="67C2F38B" w14:textId="10AE0DCD" w:rsidR="00D91074" w:rsidRDefault="00A42A30">
      <w:pPr>
        <w:rPr>
          <w:bCs/>
          <w:sz w:val="22"/>
          <w:szCs w:val="22"/>
        </w:rPr>
      </w:pPr>
      <w:r>
        <w:rPr>
          <w:bCs/>
          <w:sz w:val="22"/>
          <w:szCs w:val="22"/>
        </w:rPr>
        <w:t>STRUCTURE, LITERATURE REVIEW AND PRESENTATION OF FINDINGS</w:t>
      </w:r>
    </w:p>
    <w:p w14:paraId="6B48FBDC" w14:textId="77777777" w:rsidR="00B261AE" w:rsidRDefault="00B261AE">
      <w:pPr>
        <w:rPr>
          <w:bCs/>
          <w:sz w:val="22"/>
          <w:szCs w:val="22"/>
        </w:rPr>
      </w:pPr>
    </w:p>
    <w:p w14:paraId="36FBFAF9" w14:textId="5C455150" w:rsidR="00976EC7" w:rsidRDefault="00976EC7">
      <w:pPr>
        <w:rPr>
          <w:bCs/>
          <w:sz w:val="22"/>
          <w:szCs w:val="22"/>
        </w:rPr>
      </w:pPr>
      <w:r>
        <w:rPr>
          <w:bCs/>
          <w:sz w:val="22"/>
          <w:szCs w:val="22"/>
        </w:rPr>
        <w:tab/>
        <w:t>Both Brink and Walter and Waterhouse beg</w:t>
      </w:r>
      <w:r w:rsidR="002E3D6C">
        <w:rPr>
          <w:bCs/>
          <w:sz w:val="22"/>
          <w:szCs w:val="22"/>
        </w:rPr>
        <w:t>an</w:t>
      </w:r>
      <w:r>
        <w:rPr>
          <w:bCs/>
          <w:sz w:val="22"/>
          <w:szCs w:val="22"/>
        </w:rPr>
        <w:t xml:space="preserve"> their papers with an abstract. Brink </w:t>
      </w:r>
      <w:r w:rsidR="002E3D6C">
        <w:rPr>
          <w:bCs/>
          <w:sz w:val="22"/>
          <w:szCs w:val="22"/>
        </w:rPr>
        <w:t>set</w:t>
      </w:r>
      <w:r>
        <w:rPr>
          <w:bCs/>
          <w:sz w:val="22"/>
          <w:szCs w:val="22"/>
        </w:rPr>
        <w:t xml:space="preserve"> his </w:t>
      </w:r>
      <w:r w:rsidR="002E3D6C">
        <w:rPr>
          <w:bCs/>
          <w:sz w:val="22"/>
          <w:szCs w:val="22"/>
        </w:rPr>
        <w:t xml:space="preserve">hypothesis up </w:t>
      </w:r>
      <w:r>
        <w:rPr>
          <w:bCs/>
          <w:sz w:val="22"/>
          <w:szCs w:val="22"/>
        </w:rPr>
        <w:t xml:space="preserve">with </w:t>
      </w:r>
      <w:r w:rsidR="0048398A">
        <w:rPr>
          <w:bCs/>
          <w:sz w:val="22"/>
          <w:szCs w:val="22"/>
        </w:rPr>
        <w:t>a</w:t>
      </w:r>
      <w:r>
        <w:rPr>
          <w:bCs/>
          <w:sz w:val="22"/>
          <w:szCs w:val="22"/>
        </w:rPr>
        <w:t xml:space="preserve"> literature</w:t>
      </w:r>
      <w:r w:rsidR="0048398A">
        <w:rPr>
          <w:bCs/>
          <w:sz w:val="22"/>
          <w:szCs w:val="22"/>
        </w:rPr>
        <w:t xml:space="preserve"> review on </w:t>
      </w:r>
      <w:r>
        <w:rPr>
          <w:bCs/>
          <w:sz w:val="22"/>
          <w:szCs w:val="22"/>
        </w:rPr>
        <w:t>cognitive consistency. He briefly explain</w:t>
      </w:r>
      <w:r w:rsidR="002E3D6C">
        <w:rPr>
          <w:bCs/>
          <w:sz w:val="22"/>
          <w:szCs w:val="22"/>
        </w:rPr>
        <w:t>ed</w:t>
      </w:r>
      <w:r>
        <w:rPr>
          <w:bCs/>
          <w:sz w:val="22"/>
          <w:szCs w:val="22"/>
        </w:rPr>
        <w:t xml:space="preserve"> his methodology and then present</w:t>
      </w:r>
      <w:r w:rsidR="002E3D6C">
        <w:rPr>
          <w:bCs/>
          <w:sz w:val="22"/>
          <w:szCs w:val="22"/>
        </w:rPr>
        <w:t>ed</w:t>
      </w:r>
      <w:r>
        <w:rPr>
          <w:bCs/>
          <w:sz w:val="22"/>
          <w:szCs w:val="22"/>
        </w:rPr>
        <w:t xml:space="preserve"> a table of the statistical findings in </w:t>
      </w:r>
      <w:r w:rsidR="00362318">
        <w:rPr>
          <w:bCs/>
          <w:sz w:val="22"/>
          <w:szCs w:val="22"/>
        </w:rPr>
        <w:t>a</w:t>
      </w:r>
      <w:r>
        <w:rPr>
          <w:bCs/>
          <w:sz w:val="22"/>
          <w:szCs w:val="22"/>
        </w:rPr>
        <w:t xml:space="preserve"> 'Procedures and Results' </w:t>
      </w:r>
      <w:r w:rsidR="00362318">
        <w:rPr>
          <w:bCs/>
          <w:sz w:val="22"/>
          <w:szCs w:val="22"/>
        </w:rPr>
        <w:t xml:space="preserve">section, </w:t>
      </w:r>
      <w:r>
        <w:rPr>
          <w:bCs/>
          <w:sz w:val="22"/>
          <w:szCs w:val="22"/>
        </w:rPr>
        <w:t>before analys</w:t>
      </w:r>
      <w:r w:rsidR="0021575A">
        <w:rPr>
          <w:bCs/>
          <w:sz w:val="22"/>
          <w:szCs w:val="22"/>
        </w:rPr>
        <w:t>ing</w:t>
      </w:r>
      <w:r>
        <w:rPr>
          <w:bCs/>
          <w:sz w:val="22"/>
          <w:szCs w:val="22"/>
        </w:rPr>
        <w:t xml:space="preserve"> them in</w:t>
      </w:r>
      <w:r w:rsidR="0021575A">
        <w:rPr>
          <w:bCs/>
          <w:sz w:val="22"/>
          <w:szCs w:val="22"/>
        </w:rPr>
        <w:t xml:space="preserve"> </w:t>
      </w:r>
      <w:r>
        <w:rPr>
          <w:bCs/>
          <w:sz w:val="22"/>
          <w:szCs w:val="22"/>
        </w:rPr>
        <w:t>'Discussion and Conclusions.' Th</w:t>
      </w:r>
      <w:r w:rsidR="00A9658D">
        <w:rPr>
          <w:bCs/>
          <w:sz w:val="22"/>
          <w:szCs w:val="22"/>
        </w:rPr>
        <w:t>is</w:t>
      </w:r>
      <w:r>
        <w:rPr>
          <w:bCs/>
          <w:sz w:val="22"/>
          <w:szCs w:val="22"/>
        </w:rPr>
        <w:t xml:space="preserve"> last section </w:t>
      </w:r>
      <w:r w:rsidR="0048398A">
        <w:rPr>
          <w:bCs/>
          <w:sz w:val="22"/>
          <w:szCs w:val="22"/>
        </w:rPr>
        <w:t xml:space="preserve">started by </w:t>
      </w:r>
      <w:r>
        <w:rPr>
          <w:bCs/>
          <w:sz w:val="22"/>
          <w:szCs w:val="22"/>
        </w:rPr>
        <w:t>conclud</w:t>
      </w:r>
      <w:r w:rsidR="0048398A">
        <w:rPr>
          <w:bCs/>
          <w:sz w:val="22"/>
          <w:szCs w:val="22"/>
        </w:rPr>
        <w:t>ing</w:t>
      </w:r>
      <w:r>
        <w:rPr>
          <w:bCs/>
          <w:sz w:val="22"/>
          <w:szCs w:val="22"/>
        </w:rPr>
        <w:t xml:space="preserve"> that the hypothesis was not confirmed and then discussed some ideas as to why</w:t>
      </w:r>
      <w:r w:rsidR="0048398A">
        <w:rPr>
          <w:bCs/>
          <w:sz w:val="22"/>
          <w:szCs w:val="22"/>
        </w:rPr>
        <w:t>.</w:t>
      </w:r>
      <w:r w:rsidR="00453382">
        <w:rPr>
          <w:bCs/>
          <w:sz w:val="22"/>
          <w:szCs w:val="22"/>
        </w:rPr>
        <w:t xml:space="preserve"> None of these ideas were that</w:t>
      </w:r>
      <w:r w:rsidR="00C63357">
        <w:rPr>
          <w:bCs/>
          <w:sz w:val="22"/>
          <w:szCs w:val="22"/>
        </w:rPr>
        <w:t xml:space="preserve"> his </w:t>
      </w:r>
      <w:r w:rsidR="00453382">
        <w:rPr>
          <w:bCs/>
          <w:sz w:val="22"/>
          <w:szCs w:val="22"/>
        </w:rPr>
        <w:t xml:space="preserve">hypothesis </w:t>
      </w:r>
      <w:r w:rsidR="00C63357">
        <w:rPr>
          <w:bCs/>
          <w:sz w:val="22"/>
          <w:szCs w:val="22"/>
        </w:rPr>
        <w:t>night be unverifiable</w:t>
      </w:r>
      <w:r w:rsidR="00453382">
        <w:rPr>
          <w:bCs/>
          <w:sz w:val="22"/>
          <w:szCs w:val="22"/>
        </w:rPr>
        <w:t>.</w:t>
      </w:r>
      <w:r w:rsidR="00984BBB">
        <w:rPr>
          <w:bCs/>
          <w:sz w:val="22"/>
          <w:szCs w:val="22"/>
        </w:rPr>
        <w:t xml:space="preserve"> </w:t>
      </w:r>
      <w:r>
        <w:rPr>
          <w:bCs/>
          <w:sz w:val="22"/>
          <w:szCs w:val="22"/>
        </w:rPr>
        <w:t xml:space="preserve">Brink's is </w:t>
      </w:r>
      <w:r w:rsidR="0019270A">
        <w:rPr>
          <w:bCs/>
          <w:sz w:val="22"/>
          <w:szCs w:val="22"/>
        </w:rPr>
        <w:t xml:space="preserve">a </w:t>
      </w:r>
      <w:r>
        <w:rPr>
          <w:bCs/>
          <w:sz w:val="22"/>
          <w:szCs w:val="22"/>
        </w:rPr>
        <w:t>well-structured paper</w:t>
      </w:r>
      <w:r w:rsidR="002E3D6C">
        <w:rPr>
          <w:bCs/>
          <w:sz w:val="22"/>
          <w:szCs w:val="22"/>
        </w:rPr>
        <w:t xml:space="preserve"> and a short one due to its </w:t>
      </w:r>
      <w:r w:rsidR="00362318">
        <w:rPr>
          <w:bCs/>
          <w:sz w:val="22"/>
          <w:szCs w:val="22"/>
        </w:rPr>
        <w:t>singular focus and restrictive methodology</w:t>
      </w:r>
      <w:r w:rsidR="002E3D6C">
        <w:rPr>
          <w:bCs/>
          <w:sz w:val="22"/>
          <w:szCs w:val="22"/>
        </w:rPr>
        <w:t xml:space="preserve">. </w:t>
      </w:r>
      <w:r w:rsidR="0048398A">
        <w:rPr>
          <w:bCs/>
          <w:sz w:val="22"/>
          <w:szCs w:val="22"/>
        </w:rPr>
        <w:t>Additional to the</w:t>
      </w:r>
      <w:r w:rsidR="002E3D6C">
        <w:rPr>
          <w:bCs/>
          <w:sz w:val="22"/>
          <w:szCs w:val="22"/>
        </w:rPr>
        <w:t xml:space="preserve"> psychological literature on cognitive functioning </w:t>
      </w:r>
      <w:r w:rsidR="0048398A">
        <w:rPr>
          <w:bCs/>
          <w:sz w:val="22"/>
          <w:szCs w:val="22"/>
        </w:rPr>
        <w:t xml:space="preserve">he also referred to </w:t>
      </w:r>
      <w:r w:rsidR="002E3D6C">
        <w:rPr>
          <w:bCs/>
          <w:sz w:val="22"/>
          <w:szCs w:val="22"/>
        </w:rPr>
        <w:t>one study on Christianity</w:t>
      </w:r>
      <w:r w:rsidR="0048398A">
        <w:rPr>
          <w:bCs/>
          <w:sz w:val="22"/>
          <w:szCs w:val="22"/>
        </w:rPr>
        <w:t>, two of his own papers on religious education</w:t>
      </w:r>
      <w:r w:rsidR="002E3D6C">
        <w:rPr>
          <w:bCs/>
          <w:sz w:val="22"/>
          <w:szCs w:val="22"/>
        </w:rPr>
        <w:t xml:space="preserve"> and one on </w:t>
      </w:r>
      <w:r w:rsidR="0070128D">
        <w:rPr>
          <w:bCs/>
          <w:sz w:val="22"/>
          <w:szCs w:val="22"/>
        </w:rPr>
        <w:t>a</w:t>
      </w:r>
      <w:r w:rsidR="002E3D6C">
        <w:rPr>
          <w:bCs/>
          <w:sz w:val="22"/>
          <w:szCs w:val="22"/>
        </w:rPr>
        <w:t>strology</w:t>
      </w:r>
      <w:r w:rsidR="0048398A">
        <w:rPr>
          <w:bCs/>
          <w:sz w:val="22"/>
          <w:szCs w:val="22"/>
        </w:rPr>
        <w:t>. H</w:t>
      </w:r>
      <w:r w:rsidR="002E3D6C">
        <w:rPr>
          <w:bCs/>
          <w:sz w:val="22"/>
          <w:szCs w:val="22"/>
        </w:rPr>
        <w:t xml:space="preserve">e did not refer to any studies on reincarnation. He did not </w:t>
      </w:r>
      <w:r w:rsidR="0048398A">
        <w:rPr>
          <w:bCs/>
          <w:sz w:val="22"/>
          <w:szCs w:val="22"/>
        </w:rPr>
        <w:t>cite any</w:t>
      </w:r>
      <w:r w:rsidR="002E3D6C">
        <w:rPr>
          <w:bCs/>
          <w:sz w:val="22"/>
          <w:szCs w:val="22"/>
        </w:rPr>
        <w:t xml:space="preserve"> definitions of belief and therefore his quantitative survey provided a 'static account' of an undefined phenomenon.</w:t>
      </w:r>
      <w:r w:rsidR="0021575A">
        <w:rPr>
          <w:rStyle w:val="FootnoteReference"/>
          <w:bCs/>
          <w:sz w:val="22"/>
          <w:szCs w:val="22"/>
        </w:rPr>
        <w:footnoteReference w:id="27"/>
      </w:r>
      <w:r w:rsidR="00C63357">
        <w:rPr>
          <w:bCs/>
          <w:sz w:val="22"/>
          <w:szCs w:val="22"/>
        </w:rPr>
        <w:t xml:space="preserve">  Brink noted that 'the most striking finding is the tendency of some subjects to report a belief in </w:t>
      </w:r>
      <w:r w:rsidR="00C63357" w:rsidRPr="00C63357">
        <w:rPr>
          <w:bCs/>
          <w:i/>
          <w:iCs/>
          <w:sz w:val="22"/>
          <w:szCs w:val="22"/>
        </w:rPr>
        <w:t>both</w:t>
      </w:r>
      <w:r w:rsidR="00C63357">
        <w:rPr>
          <w:bCs/>
          <w:sz w:val="22"/>
          <w:szCs w:val="22"/>
        </w:rPr>
        <w:t>.'</w:t>
      </w:r>
      <w:r w:rsidR="00C63357">
        <w:rPr>
          <w:rStyle w:val="FootnoteReference"/>
          <w:bCs/>
          <w:sz w:val="22"/>
          <w:szCs w:val="22"/>
        </w:rPr>
        <w:footnoteReference w:id="28"/>
      </w:r>
      <w:r w:rsidR="00C63357">
        <w:rPr>
          <w:bCs/>
          <w:sz w:val="22"/>
          <w:szCs w:val="22"/>
        </w:rPr>
        <w:t xml:space="preserve"> </w:t>
      </w:r>
    </w:p>
    <w:p w14:paraId="6A5E2CF8" w14:textId="5DAB960E" w:rsidR="00C63357" w:rsidRDefault="002E3D6C">
      <w:pPr>
        <w:rPr>
          <w:bCs/>
          <w:color w:val="000000" w:themeColor="text1"/>
          <w:sz w:val="22"/>
          <w:szCs w:val="22"/>
        </w:rPr>
      </w:pPr>
      <w:r>
        <w:rPr>
          <w:bCs/>
          <w:sz w:val="22"/>
          <w:szCs w:val="22"/>
        </w:rPr>
        <w:tab/>
        <w:t>Walter and Waterhouse followed their abstract with an introduction that stated how the</w:t>
      </w:r>
      <w:r w:rsidR="00362318">
        <w:rPr>
          <w:bCs/>
          <w:sz w:val="22"/>
          <w:szCs w:val="22"/>
        </w:rPr>
        <w:t xml:space="preserve">ir </w:t>
      </w:r>
      <w:r>
        <w:rPr>
          <w:bCs/>
          <w:sz w:val="22"/>
          <w:szCs w:val="22"/>
        </w:rPr>
        <w:t>paper was structured</w:t>
      </w:r>
      <w:r w:rsidR="0048398A">
        <w:rPr>
          <w:bCs/>
          <w:sz w:val="22"/>
          <w:szCs w:val="22"/>
        </w:rPr>
        <w:t xml:space="preserve">. Like Brink, they framed their work to explain why they conducted the </w:t>
      </w:r>
      <w:r w:rsidR="0019270A">
        <w:rPr>
          <w:bCs/>
          <w:sz w:val="22"/>
          <w:szCs w:val="22"/>
        </w:rPr>
        <w:t>research,</w:t>
      </w:r>
      <w:r w:rsidR="0048398A">
        <w:rPr>
          <w:bCs/>
          <w:sz w:val="22"/>
          <w:szCs w:val="22"/>
        </w:rPr>
        <w:t xml:space="preserve"> and they </w:t>
      </w:r>
      <w:r>
        <w:rPr>
          <w:bCs/>
          <w:sz w:val="22"/>
          <w:szCs w:val="22"/>
        </w:rPr>
        <w:t>began with a review of the existing quantitative survey data about reincarnation. Then they explained their methodology and</w:t>
      </w:r>
      <w:r w:rsidR="0048398A">
        <w:rPr>
          <w:bCs/>
          <w:sz w:val="22"/>
          <w:szCs w:val="22"/>
        </w:rPr>
        <w:t xml:space="preserve"> recruitment</w:t>
      </w:r>
      <w:r>
        <w:rPr>
          <w:bCs/>
          <w:sz w:val="22"/>
          <w:szCs w:val="22"/>
        </w:rPr>
        <w:t xml:space="preserve">. </w:t>
      </w:r>
      <w:r w:rsidR="0048398A">
        <w:rPr>
          <w:bCs/>
          <w:sz w:val="22"/>
          <w:szCs w:val="22"/>
        </w:rPr>
        <w:t>They included information on childrens' groups, which they then did not report upon, exacerbating the verbiage of the report. Then, they conducted a literature review</w:t>
      </w:r>
      <w:r w:rsidR="0019270A">
        <w:rPr>
          <w:bCs/>
          <w:sz w:val="22"/>
          <w:szCs w:val="22"/>
        </w:rPr>
        <w:t xml:space="preserve"> </w:t>
      </w:r>
      <w:r w:rsidR="0048398A">
        <w:rPr>
          <w:bCs/>
          <w:sz w:val="22"/>
          <w:szCs w:val="22"/>
        </w:rPr>
        <w:t>on the privatization of religion</w:t>
      </w:r>
      <w:r w:rsidR="00C63357">
        <w:rPr>
          <w:bCs/>
          <w:sz w:val="22"/>
          <w:szCs w:val="22"/>
        </w:rPr>
        <w:t xml:space="preserve">, which offered several definitions of the phenomenon, from following multiple religions to belief without attending church and church attendance without </w:t>
      </w:r>
      <w:r w:rsidR="00C63357">
        <w:rPr>
          <w:bCs/>
          <w:sz w:val="22"/>
          <w:szCs w:val="22"/>
        </w:rPr>
        <w:lastRenderedPageBreak/>
        <w:t>belief</w:t>
      </w:r>
      <w:r w:rsidR="0048398A">
        <w:rPr>
          <w:bCs/>
          <w:sz w:val="22"/>
          <w:szCs w:val="22"/>
        </w:rPr>
        <w:t>.</w:t>
      </w:r>
      <w:r w:rsidR="00C63357">
        <w:rPr>
          <w:rStyle w:val="FootnoteReference"/>
          <w:bCs/>
          <w:sz w:val="22"/>
          <w:szCs w:val="22"/>
        </w:rPr>
        <w:footnoteReference w:id="29"/>
      </w:r>
      <w:r w:rsidR="0048398A">
        <w:rPr>
          <w:bCs/>
          <w:sz w:val="22"/>
          <w:szCs w:val="22"/>
        </w:rPr>
        <w:t xml:space="preserve"> </w:t>
      </w:r>
      <w:r>
        <w:rPr>
          <w:bCs/>
          <w:sz w:val="22"/>
          <w:szCs w:val="22"/>
        </w:rPr>
        <w:t>The bulk of the paper was dedicated to</w:t>
      </w:r>
      <w:r w:rsidR="00921E94">
        <w:rPr>
          <w:bCs/>
          <w:sz w:val="22"/>
          <w:szCs w:val="22"/>
        </w:rPr>
        <w:t xml:space="preserve"> a</w:t>
      </w:r>
      <w:r>
        <w:rPr>
          <w:bCs/>
          <w:sz w:val="22"/>
          <w:szCs w:val="22"/>
        </w:rPr>
        <w:t xml:space="preserve"> discussion of their findings. Their qualitative research presented 'a </w:t>
      </w:r>
      <w:r w:rsidRPr="00DE4725">
        <w:rPr>
          <w:bCs/>
          <w:color w:val="000000" w:themeColor="text1"/>
          <w:sz w:val="22"/>
          <w:szCs w:val="22"/>
        </w:rPr>
        <w:t>processual view</w:t>
      </w:r>
      <w:r>
        <w:rPr>
          <w:bCs/>
          <w:color w:val="000000" w:themeColor="text1"/>
          <w:sz w:val="22"/>
          <w:szCs w:val="22"/>
        </w:rPr>
        <w:t>'</w:t>
      </w:r>
      <w:r w:rsidRPr="00DE4725">
        <w:rPr>
          <w:bCs/>
          <w:color w:val="000000" w:themeColor="text1"/>
          <w:sz w:val="22"/>
          <w:szCs w:val="22"/>
        </w:rPr>
        <w:t xml:space="preserve"> of</w:t>
      </w:r>
      <w:r>
        <w:rPr>
          <w:bCs/>
          <w:color w:val="000000" w:themeColor="text1"/>
          <w:sz w:val="22"/>
          <w:szCs w:val="22"/>
        </w:rPr>
        <w:t xml:space="preserve"> life and allowed more subjective findings, </w:t>
      </w:r>
      <w:r w:rsidR="00362318">
        <w:rPr>
          <w:bCs/>
          <w:color w:val="000000" w:themeColor="text1"/>
          <w:sz w:val="22"/>
          <w:szCs w:val="22"/>
        </w:rPr>
        <w:t>and 'thicker descriptions' to present than those of B</w:t>
      </w:r>
      <w:r>
        <w:rPr>
          <w:bCs/>
          <w:color w:val="000000" w:themeColor="text1"/>
          <w:sz w:val="22"/>
          <w:szCs w:val="22"/>
        </w:rPr>
        <w:t>rink.</w:t>
      </w:r>
      <w:r w:rsidR="00362318">
        <w:rPr>
          <w:rStyle w:val="FootnoteReference"/>
          <w:bCs/>
          <w:color w:val="000000" w:themeColor="text1"/>
          <w:sz w:val="22"/>
          <w:szCs w:val="22"/>
        </w:rPr>
        <w:footnoteReference w:id="30"/>
      </w:r>
      <w:r>
        <w:rPr>
          <w:bCs/>
          <w:color w:val="000000" w:themeColor="text1"/>
          <w:sz w:val="22"/>
          <w:szCs w:val="22"/>
        </w:rPr>
        <w:t xml:space="preserve"> They divided their </w:t>
      </w:r>
      <w:r w:rsidR="0021575A">
        <w:rPr>
          <w:bCs/>
          <w:color w:val="000000" w:themeColor="text1"/>
          <w:sz w:val="22"/>
          <w:szCs w:val="22"/>
        </w:rPr>
        <w:t>f</w:t>
      </w:r>
      <w:r>
        <w:rPr>
          <w:bCs/>
          <w:color w:val="000000" w:themeColor="text1"/>
          <w:sz w:val="22"/>
          <w:szCs w:val="22"/>
        </w:rPr>
        <w:t xml:space="preserve">indings into </w:t>
      </w:r>
      <w:r w:rsidR="00362318">
        <w:rPr>
          <w:bCs/>
          <w:color w:val="000000" w:themeColor="text1"/>
          <w:sz w:val="22"/>
          <w:szCs w:val="22"/>
        </w:rPr>
        <w:t xml:space="preserve">different </w:t>
      </w:r>
      <w:r>
        <w:rPr>
          <w:bCs/>
          <w:color w:val="000000" w:themeColor="text1"/>
          <w:sz w:val="22"/>
          <w:szCs w:val="22"/>
        </w:rPr>
        <w:t xml:space="preserve">sections </w:t>
      </w:r>
      <w:r w:rsidR="00362318">
        <w:rPr>
          <w:bCs/>
          <w:color w:val="000000" w:themeColor="text1"/>
          <w:sz w:val="22"/>
          <w:szCs w:val="22"/>
        </w:rPr>
        <w:t>and then concluded</w:t>
      </w:r>
      <w:r>
        <w:rPr>
          <w:bCs/>
          <w:color w:val="000000" w:themeColor="text1"/>
          <w:sz w:val="22"/>
          <w:szCs w:val="22"/>
        </w:rPr>
        <w:t xml:space="preserve">. </w:t>
      </w:r>
      <w:r w:rsidR="0048398A">
        <w:rPr>
          <w:bCs/>
          <w:color w:val="000000" w:themeColor="text1"/>
          <w:sz w:val="22"/>
          <w:szCs w:val="22"/>
        </w:rPr>
        <w:t xml:space="preserve">Walter and Waterhouse originally set out to answer </w:t>
      </w:r>
      <w:r w:rsidR="0048398A" w:rsidRPr="0048398A">
        <w:rPr>
          <w:bCs/>
          <w:color w:val="000000" w:themeColor="text1"/>
          <w:sz w:val="22"/>
          <w:szCs w:val="22"/>
        </w:rPr>
        <w:t xml:space="preserve">whether the </w:t>
      </w:r>
      <w:r w:rsidR="001E37B4">
        <w:rPr>
          <w:bCs/>
          <w:color w:val="000000" w:themeColor="text1"/>
          <w:sz w:val="22"/>
          <w:szCs w:val="22"/>
        </w:rPr>
        <w:t>'</w:t>
      </w:r>
      <w:r w:rsidR="0048398A" w:rsidRPr="0048398A">
        <w:rPr>
          <w:bCs/>
          <w:color w:val="000000" w:themeColor="text1"/>
          <w:sz w:val="22"/>
          <w:szCs w:val="22"/>
        </w:rPr>
        <w:t>privatization of belief makes it easier to hold beliefs not taught by one's church</w:t>
      </w:r>
      <w:r w:rsidR="0048398A">
        <w:rPr>
          <w:bCs/>
          <w:color w:val="000000" w:themeColor="text1"/>
          <w:sz w:val="22"/>
          <w:szCs w:val="22"/>
        </w:rPr>
        <w:t>.'</w:t>
      </w:r>
      <w:r w:rsidR="0070128D">
        <w:rPr>
          <w:rStyle w:val="FootnoteReference"/>
          <w:bCs/>
          <w:color w:val="000000" w:themeColor="text1"/>
          <w:sz w:val="22"/>
          <w:szCs w:val="22"/>
        </w:rPr>
        <w:footnoteReference w:id="31"/>
      </w:r>
      <w:r w:rsidR="0048398A">
        <w:rPr>
          <w:bCs/>
          <w:color w:val="000000" w:themeColor="text1"/>
          <w:sz w:val="22"/>
          <w:szCs w:val="22"/>
        </w:rPr>
        <w:t xml:space="preserve"> </w:t>
      </w:r>
      <w:r w:rsidR="00C63357">
        <w:rPr>
          <w:bCs/>
          <w:color w:val="000000" w:themeColor="text1"/>
          <w:sz w:val="22"/>
          <w:szCs w:val="22"/>
        </w:rPr>
        <w:t>They</w:t>
      </w:r>
      <w:r w:rsidR="0048398A">
        <w:rPr>
          <w:bCs/>
          <w:color w:val="000000" w:themeColor="text1"/>
          <w:sz w:val="22"/>
          <w:szCs w:val="22"/>
        </w:rPr>
        <w:t xml:space="preserve"> concluded that 'it is perfectly possible to go to church and to believe in reincarnation,' however, </w:t>
      </w:r>
      <w:r w:rsidR="00C63357">
        <w:rPr>
          <w:bCs/>
          <w:color w:val="000000" w:themeColor="text1"/>
          <w:sz w:val="22"/>
          <w:szCs w:val="22"/>
        </w:rPr>
        <w:t>they</w:t>
      </w:r>
      <w:r w:rsidR="001E37B4">
        <w:rPr>
          <w:bCs/>
          <w:color w:val="000000" w:themeColor="text1"/>
          <w:sz w:val="22"/>
          <w:szCs w:val="22"/>
        </w:rPr>
        <w:t xml:space="preserve"> were less definitive as to</w:t>
      </w:r>
      <w:r w:rsidR="0048398A">
        <w:rPr>
          <w:bCs/>
          <w:color w:val="000000" w:themeColor="text1"/>
          <w:sz w:val="22"/>
          <w:szCs w:val="22"/>
        </w:rPr>
        <w:t xml:space="preserve"> whether this </w:t>
      </w:r>
      <w:r w:rsidR="0021575A">
        <w:rPr>
          <w:bCs/>
          <w:color w:val="000000" w:themeColor="text1"/>
          <w:sz w:val="22"/>
          <w:szCs w:val="22"/>
        </w:rPr>
        <w:t>wa</w:t>
      </w:r>
      <w:r w:rsidR="0048398A">
        <w:rPr>
          <w:bCs/>
          <w:color w:val="000000" w:themeColor="text1"/>
          <w:sz w:val="22"/>
          <w:szCs w:val="22"/>
        </w:rPr>
        <w:t>s due to the privatization of religion.</w:t>
      </w:r>
      <w:r w:rsidR="0070128D">
        <w:rPr>
          <w:rStyle w:val="FootnoteReference"/>
          <w:bCs/>
          <w:color w:val="000000" w:themeColor="text1"/>
          <w:sz w:val="22"/>
          <w:szCs w:val="22"/>
        </w:rPr>
        <w:footnoteReference w:id="32"/>
      </w:r>
      <w:r w:rsidR="0048398A">
        <w:rPr>
          <w:bCs/>
          <w:color w:val="000000" w:themeColor="text1"/>
          <w:sz w:val="22"/>
          <w:szCs w:val="22"/>
        </w:rPr>
        <w:t xml:space="preserve"> </w:t>
      </w:r>
      <w:r w:rsidR="00C63357">
        <w:rPr>
          <w:bCs/>
          <w:color w:val="000000" w:themeColor="text1"/>
          <w:sz w:val="22"/>
          <w:szCs w:val="22"/>
        </w:rPr>
        <w:t>Th</w:t>
      </w:r>
      <w:r w:rsidR="0048398A">
        <w:rPr>
          <w:bCs/>
          <w:color w:val="000000" w:themeColor="text1"/>
          <w:sz w:val="22"/>
          <w:szCs w:val="22"/>
        </w:rPr>
        <w:t xml:space="preserve">ey </w:t>
      </w:r>
      <w:r w:rsidR="0019270A">
        <w:rPr>
          <w:bCs/>
          <w:color w:val="000000" w:themeColor="text1"/>
          <w:sz w:val="22"/>
          <w:szCs w:val="22"/>
        </w:rPr>
        <w:t>speculated</w:t>
      </w:r>
      <w:r w:rsidR="0048398A">
        <w:rPr>
          <w:bCs/>
          <w:color w:val="000000" w:themeColor="text1"/>
          <w:sz w:val="22"/>
          <w:szCs w:val="22"/>
        </w:rPr>
        <w:t xml:space="preserve"> that reincarnation 'may' be a kind of new church-less religion and it 'is perhaps the folk-religion of the media age'</w:t>
      </w:r>
      <w:r w:rsidR="0048398A">
        <w:rPr>
          <w:rStyle w:val="FootnoteReference"/>
          <w:bCs/>
          <w:color w:val="000000" w:themeColor="text1"/>
          <w:sz w:val="22"/>
          <w:szCs w:val="22"/>
        </w:rPr>
        <w:footnoteReference w:id="33"/>
      </w:r>
      <w:r w:rsidR="0048398A">
        <w:rPr>
          <w:bCs/>
          <w:color w:val="000000" w:themeColor="text1"/>
          <w:sz w:val="22"/>
          <w:szCs w:val="22"/>
        </w:rPr>
        <w:t xml:space="preserve"> </w:t>
      </w:r>
      <w:r w:rsidR="0019270A">
        <w:rPr>
          <w:bCs/>
          <w:color w:val="000000" w:themeColor="text1"/>
          <w:sz w:val="22"/>
          <w:szCs w:val="22"/>
        </w:rPr>
        <w:t>Therefore, in a similar vein to Brink, Walter and Waterhouse</w:t>
      </w:r>
      <w:r w:rsidR="009710D1">
        <w:rPr>
          <w:bCs/>
          <w:color w:val="000000" w:themeColor="text1"/>
          <w:sz w:val="22"/>
          <w:szCs w:val="22"/>
        </w:rPr>
        <w:t xml:space="preserve"> failed to frame one of the core foci of their research, which left them</w:t>
      </w:r>
      <w:r w:rsidR="0070128D">
        <w:rPr>
          <w:bCs/>
          <w:color w:val="000000" w:themeColor="text1"/>
          <w:sz w:val="22"/>
          <w:szCs w:val="22"/>
        </w:rPr>
        <w:t xml:space="preserve"> </w:t>
      </w:r>
      <w:r w:rsidR="0019270A">
        <w:rPr>
          <w:bCs/>
          <w:color w:val="000000" w:themeColor="text1"/>
          <w:sz w:val="22"/>
          <w:szCs w:val="22"/>
        </w:rPr>
        <w:t>conclud</w:t>
      </w:r>
      <w:r w:rsidR="009710D1">
        <w:rPr>
          <w:bCs/>
          <w:color w:val="000000" w:themeColor="text1"/>
          <w:sz w:val="22"/>
          <w:szCs w:val="22"/>
        </w:rPr>
        <w:t>ing</w:t>
      </w:r>
      <w:r w:rsidR="0019270A">
        <w:rPr>
          <w:bCs/>
          <w:color w:val="000000" w:themeColor="text1"/>
          <w:sz w:val="22"/>
          <w:szCs w:val="22"/>
        </w:rPr>
        <w:t xml:space="preserve"> with conjecture about what their findings might mean. </w:t>
      </w:r>
    </w:p>
    <w:p w14:paraId="29B2C9A1" w14:textId="77777777" w:rsidR="00D91074" w:rsidRDefault="00D91074">
      <w:pPr>
        <w:rPr>
          <w:bCs/>
          <w:sz w:val="22"/>
          <w:szCs w:val="22"/>
        </w:rPr>
      </w:pPr>
    </w:p>
    <w:p w14:paraId="2629F98B" w14:textId="16CF6187" w:rsidR="00D91074" w:rsidRDefault="00A42A30">
      <w:pPr>
        <w:rPr>
          <w:bCs/>
          <w:sz w:val="22"/>
          <w:szCs w:val="22"/>
        </w:rPr>
      </w:pPr>
      <w:r>
        <w:rPr>
          <w:bCs/>
          <w:sz w:val="22"/>
          <w:szCs w:val="22"/>
        </w:rPr>
        <w:t>CONCLUSION</w:t>
      </w:r>
    </w:p>
    <w:p w14:paraId="307211BC" w14:textId="77777777" w:rsidR="00D91074" w:rsidRDefault="00D91074">
      <w:pPr>
        <w:rPr>
          <w:bCs/>
          <w:sz w:val="22"/>
          <w:szCs w:val="22"/>
        </w:rPr>
      </w:pPr>
    </w:p>
    <w:p w14:paraId="42D4EF90" w14:textId="2993CE9B" w:rsidR="00453382" w:rsidRDefault="00DE7E28">
      <w:pPr>
        <w:rPr>
          <w:bCs/>
          <w:color w:val="000000" w:themeColor="text1"/>
          <w:sz w:val="22"/>
          <w:szCs w:val="22"/>
        </w:rPr>
      </w:pPr>
      <w:r>
        <w:rPr>
          <w:bCs/>
          <w:sz w:val="22"/>
          <w:szCs w:val="22"/>
        </w:rPr>
        <w:tab/>
        <w:t>To conclude</w:t>
      </w:r>
      <w:r w:rsidR="0048398A" w:rsidRPr="0048398A">
        <w:rPr>
          <w:bCs/>
          <w:color w:val="000000" w:themeColor="text1"/>
          <w:sz w:val="22"/>
          <w:szCs w:val="22"/>
        </w:rPr>
        <w:t xml:space="preserve"> </w:t>
      </w:r>
      <w:r w:rsidR="00984BBB">
        <w:rPr>
          <w:bCs/>
          <w:color w:val="000000" w:themeColor="text1"/>
          <w:sz w:val="22"/>
          <w:szCs w:val="22"/>
        </w:rPr>
        <w:t>b</w:t>
      </w:r>
      <w:r w:rsidR="0048398A">
        <w:rPr>
          <w:bCs/>
          <w:color w:val="000000" w:themeColor="text1"/>
          <w:sz w:val="22"/>
          <w:szCs w:val="22"/>
        </w:rPr>
        <w:t xml:space="preserve">oth Brink and Walter and Waterhouse </w:t>
      </w:r>
      <w:r w:rsidR="00984BBB">
        <w:rPr>
          <w:bCs/>
          <w:color w:val="000000" w:themeColor="text1"/>
          <w:sz w:val="22"/>
          <w:szCs w:val="22"/>
        </w:rPr>
        <w:t>conducted research into whether people c</w:t>
      </w:r>
      <w:r w:rsidR="0021575A">
        <w:rPr>
          <w:bCs/>
          <w:color w:val="000000" w:themeColor="text1"/>
          <w:sz w:val="22"/>
          <w:szCs w:val="22"/>
        </w:rPr>
        <w:t>ould</w:t>
      </w:r>
      <w:r w:rsidR="00984BBB">
        <w:rPr>
          <w:bCs/>
          <w:color w:val="000000" w:themeColor="text1"/>
          <w:sz w:val="22"/>
          <w:szCs w:val="22"/>
        </w:rPr>
        <w:t xml:space="preserve"> believe in reincarnation whilst practising Christianity, a religion that denies reincarnation. Walter and Waterhouse asked whether the privatization of religion made it easier to do so. Brink hypothesised that it was impossible to do so. Whilst Brink undertook a quantitative questionnaire, Walter and Waterhouse conducted qualitative research through small-scale, open-ended interviews. Brink conducted his research in an ethically unsound way, distributing a questionnaire to children within a mandatory setting and about a doctrine</w:t>
      </w:r>
      <w:r w:rsidR="001E37B4">
        <w:rPr>
          <w:bCs/>
          <w:color w:val="000000" w:themeColor="text1"/>
          <w:sz w:val="22"/>
          <w:szCs w:val="22"/>
        </w:rPr>
        <w:t xml:space="preserve"> </w:t>
      </w:r>
      <w:r w:rsidR="00984BBB">
        <w:rPr>
          <w:bCs/>
          <w:color w:val="000000" w:themeColor="text1"/>
          <w:sz w:val="22"/>
          <w:szCs w:val="22"/>
        </w:rPr>
        <w:t xml:space="preserve">which they were expected to adhere to by their authorities. Brink himself came from a Catholic institution but did not </w:t>
      </w:r>
      <w:r w:rsidR="0019270A">
        <w:rPr>
          <w:bCs/>
          <w:color w:val="000000" w:themeColor="text1"/>
          <w:sz w:val="22"/>
          <w:szCs w:val="22"/>
        </w:rPr>
        <w:t xml:space="preserve">acknowledge his bias. </w:t>
      </w:r>
      <w:r w:rsidR="00984BBB">
        <w:rPr>
          <w:bCs/>
          <w:color w:val="000000" w:themeColor="text1"/>
          <w:sz w:val="22"/>
          <w:szCs w:val="22"/>
        </w:rPr>
        <w:t xml:space="preserve">Walter and Waterhouse displayed more </w:t>
      </w:r>
      <w:r w:rsidR="000C1474">
        <w:rPr>
          <w:bCs/>
          <w:color w:val="000000" w:themeColor="text1"/>
          <w:sz w:val="22"/>
          <w:szCs w:val="22"/>
        </w:rPr>
        <w:t xml:space="preserve">ethical </w:t>
      </w:r>
      <w:r w:rsidR="00984BBB">
        <w:rPr>
          <w:bCs/>
          <w:color w:val="000000" w:themeColor="text1"/>
          <w:sz w:val="22"/>
          <w:szCs w:val="22"/>
        </w:rPr>
        <w:t>consideration in requesting volunteers and maintain</w:t>
      </w:r>
      <w:r w:rsidR="00C63357">
        <w:rPr>
          <w:bCs/>
          <w:color w:val="000000" w:themeColor="text1"/>
          <w:sz w:val="22"/>
          <w:szCs w:val="22"/>
        </w:rPr>
        <w:t>ed</w:t>
      </w:r>
      <w:r w:rsidR="00984BBB">
        <w:rPr>
          <w:bCs/>
          <w:color w:val="000000" w:themeColor="text1"/>
          <w:sz w:val="22"/>
          <w:szCs w:val="22"/>
        </w:rPr>
        <w:t xml:space="preserve"> their </w:t>
      </w:r>
      <w:r w:rsidR="00921E94">
        <w:rPr>
          <w:bCs/>
          <w:color w:val="000000" w:themeColor="text1"/>
          <w:sz w:val="22"/>
          <w:szCs w:val="22"/>
        </w:rPr>
        <w:t xml:space="preserve">respondents' </w:t>
      </w:r>
      <w:r w:rsidR="00984BBB">
        <w:rPr>
          <w:bCs/>
          <w:color w:val="000000" w:themeColor="text1"/>
          <w:sz w:val="22"/>
          <w:szCs w:val="22"/>
        </w:rPr>
        <w:t xml:space="preserve">anonymity, but they too conducted some </w:t>
      </w:r>
      <w:r w:rsidR="000C1474">
        <w:rPr>
          <w:bCs/>
          <w:color w:val="000000" w:themeColor="text1"/>
          <w:sz w:val="22"/>
          <w:szCs w:val="22"/>
        </w:rPr>
        <w:t>research</w:t>
      </w:r>
      <w:r w:rsidR="00984BBB">
        <w:rPr>
          <w:bCs/>
          <w:color w:val="000000" w:themeColor="text1"/>
          <w:sz w:val="22"/>
          <w:szCs w:val="22"/>
        </w:rPr>
        <w:t xml:space="preserve"> with children. Both papers were structured clearly, and both referred to relevant literature. However, neither paper </w:t>
      </w:r>
      <w:r w:rsidR="00C63357">
        <w:rPr>
          <w:bCs/>
          <w:color w:val="000000" w:themeColor="text1"/>
          <w:sz w:val="22"/>
          <w:szCs w:val="22"/>
        </w:rPr>
        <w:t xml:space="preserve">explored </w:t>
      </w:r>
      <w:r w:rsidR="00984BBB">
        <w:rPr>
          <w:bCs/>
          <w:color w:val="000000" w:themeColor="text1"/>
          <w:sz w:val="22"/>
          <w:szCs w:val="22"/>
        </w:rPr>
        <w:t>the nature of belief before they embarked upon the research. During the research</w:t>
      </w:r>
      <w:r w:rsidR="001E37B4">
        <w:rPr>
          <w:bCs/>
          <w:color w:val="000000" w:themeColor="text1"/>
          <w:sz w:val="22"/>
          <w:szCs w:val="22"/>
        </w:rPr>
        <w:t>,</w:t>
      </w:r>
      <w:r w:rsidR="00984BBB">
        <w:rPr>
          <w:bCs/>
          <w:color w:val="000000" w:themeColor="text1"/>
          <w:sz w:val="22"/>
          <w:szCs w:val="22"/>
        </w:rPr>
        <w:t xml:space="preserve"> Walter and Waterhouse concluded that belief in reincarnation cannot be categorized into multiple choice answers as Brink was trying to do, twenty-one years earlier. </w:t>
      </w:r>
      <w:r w:rsidR="001F50BB">
        <w:rPr>
          <w:bCs/>
          <w:color w:val="000000" w:themeColor="text1"/>
          <w:sz w:val="22"/>
          <w:szCs w:val="22"/>
        </w:rPr>
        <w:t xml:space="preserve">Upon his hypothesis being disproven, </w:t>
      </w:r>
      <w:r w:rsidR="00984BBB">
        <w:rPr>
          <w:bCs/>
          <w:color w:val="000000" w:themeColor="text1"/>
          <w:sz w:val="22"/>
          <w:szCs w:val="22"/>
        </w:rPr>
        <w:t xml:space="preserve">Brink did not contemplate </w:t>
      </w:r>
      <w:r w:rsidR="001F50BB">
        <w:rPr>
          <w:bCs/>
          <w:color w:val="000000" w:themeColor="text1"/>
          <w:sz w:val="22"/>
          <w:szCs w:val="22"/>
        </w:rPr>
        <w:t>its</w:t>
      </w:r>
      <w:r w:rsidR="00984BBB">
        <w:rPr>
          <w:bCs/>
          <w:color w:val="000000" w:themeColor="text1"/>
          <w:sz w:val="22"/>
          <w:szCs w:val="22"/>
        </w:rPr>
        <w:t xml:space="preserve"> validity</w:t>
      </w:r>
      <w:r w:rsidR="001E37B4">
        <w:rPr>
          <w:bCs/>
          <w:color w:val="000000" w:themeColor="text1"/>
          <w:sz w:val="22"/>
          <w:szCs w:val="22"/>
        </w:rPr>
        <w:t>,</w:t>
      </w:r>
      <w:r w:rsidR="00984BBB">
        <w:rPr>
          <w:bCs/>
          <w:color w:val="000000" w:themeColor="text1"/>
          <w:sz w:val="22"/>
          <w:szCs w:val="22"/>
        </w:rPr>
        <w:t xml:space="preserve"> </w:t>
      </w:r>
      <w:r w:rsidR="001F50BB">
        <w:rPr>
          <w:bCs/>
          <w:color w:val="000000" w:themeColor="text1"/>
          <w:sz w:val="22"/>
          <w:szCs w:val="22"/>
        </w:rPr>
        <w:t>even though he</w:t>
      </w:r>
      <w:r w:rsidR="00984BBB">
        <w:rPr>
          <w:bCs/>
          <w:color w:val="000000" w:themeColor="text1"/>
          <w:sz w:val="22"/>
          <w:szCs w:val="22"/>
        </w:rPr>
        <w:t xml:space="preserve"> noted that his results were contrary to the literature he referred to on cognitive consistency. Walter and Waterhouse</w:t>
      </w:r>
      <w:r w:rsidR="001F50BB">
        <w:rPr>
          <w:bCs/>
          <w:color w:val="000000" w:themeColor="text1"/>
          <w:sz w:val="22"/>
          <w:szCs w:val="22"/>
        </w:rPr>
        <w:t xml:space="preserve"> noted the meaningless</w:t>
      </w:r>
      <w:r w:rsidR="0019270A">
        <w:rPr>
          <w:bCs/>
          <w:color w:val="000000" w:themeColor="text1"/>
          <w:sz w:val="22"/>
          <w:szCs w:val="22"/>
        </w:rPr>
        <w:t>ness</w:t>
      </w:r>
      <w:r w:rsidR="001F50BB">
        <w:rPr>
          <w:bCs/>
          <w:color w:val="000000" w:themeColor="text1"/>
          <w:sz w:val="22"/>
          <w:szCs w:val="22"/>
        </w:rPr>
        <w:t xml:space="preserve"> of quantitively surveying belief</w:t>
      </w:r>
      <w:r w:rsidR="00C63357">
        <w:rPr>
          <w:bCs/>
          <w:color w:val="000000" w:themeColor="text1"/>
          <w:sz w:val="22"/>
          <w:szCs w:val="22"/>
        </w:rPr>
        <w:t>,</w:t>
      </w:r>
      <w:r w:rsidR="001F50BB">
        <w:rPr>
          <w:bCs/>
          <w:color w:val="000000" w:themeColor="text1"/>
          <w:sz w:val="22"/>
          <w:szCs w:val="22"/>
        </w:rPr>
        <w:t xml:space="preserve"> and the</w:t>
      </w:r>
      <w:r w:rsidR="00C63357">
        <w:rPr>
          <w:bCs/>
          <w:color w:val="000000" w:themeColor="text1"/>
          <w:sz w:val="22"/>
          <w:szCs w:val="22"/>
        </w:rPr>
        <w:t>ir</w:t>
      </w:r>
      <w:r w:rsidR="001F50BB">
        <w:rPr>
          <w:bCs/>
          <w:color w:val="000000" w:themeColor="text1"/>
          <w:sz w:val="22"/>
          <w:szCs w:val="22"/>
        </w:rPr>
        <w:t xml:space="preserve"> qualitative methodology enabled them to observe their respondents' subjective and uncertain language when asked to expound </w:t>
      </w:r>
      <w:r w:rsidR="00C63357">
        <w:rPr>
          <w:bCs/>
          <w:color w:val="000000" w:themeColor="text1"/>
          <w:sz w:val="22"/>
          <w:szCs w:val="22"/>
        </w:rPr>
        <w:t>up</w:t>
      </w:r>
      <w:r w:rsidR="001F50BB">
        <w:rPr>
          <w:bCs/>
          <w:color w:val="000000" w:themeColor="text1"/>
          <w:sz w:val="22"/>
          <w:szCs w:val="22"/>
        </w:rPr>
        <w:t xml:space="preserve">on reincarnation. </w:t>
      </w:r>
      <w:r w:rsidR="00C63357">
        <w:rPr>
          <w:bCs/>
          <w:color w:val="000000" w:themeColor="text1"/>
          <w:sz w:val="22"/>
          <w:szCs w:val="22"/>
        </w:rPr>
        <w:t>Whilst Brink</w:t>
      </w:r>
      <w:r w:rsidR="001F50BB">
        <w:rPr>
          <w:bCs/>
          <w:color w:val="000000" w:themeColor="text1"/>
          <w:sz w:val="22"/>
          <w:szCs w:val="22"/>
        </w:rPr>
        <w:t xml:space="preserve"> </w:t>
      </w:r>
      <w:r w:rsidR="00C63357">
        <w:rPr>
          <w:bCs/>
          <w:color w:val="000000" w:themeColor="text1"/>
          <w:sz w:val="22"/>
          <w:szCs w:val="22"/>
        </w:rPr>
        <w:t>did not acknowledge the subjectivity of belief, Walter and Waterhouse failed to sufficiently explore the privatization of belief and so did not acknowledge its contradictory complexity. Therefore, n</w:t>
      </w:r>
      <w:r w:rsidR="0021575A">
        <w:rPr>
          <w:bCs/>
          <w:color w:val="000000" w:themeColor="text1"/>
          <w:sz w:val="22"/>
          <w:szCs w:val="22"/>
        </w:rPr>
        <w:t xml:space="preserve">either paper </w:t>
      </w:r>
      <w:r w:rsidR="00C63357">
        <w:rPr>
          <w:bCs/>
          <w:color w:val="000000" w:themeColor="text1"/>
          <w:sz w:val="22"/>
          <w:szCs w:val="22"/>
        </w:rPr>
        <w:t xml:space="preserve">fully </w:t>
      </w:r>
      <w:r w:rsidR="0021575A">
        <w:rPr>
          <w:bCs/>
          <w:color w:val="000000" w:themeColor="text1"/>
          <w:sz w:val="22"/>
          <w:szCs w:val="22"/>
        </w:rPr>
        <w:t>achieved their original objectives</w:t>
      </w:r>
      <w:r w:rsidR="00C63357">
        <w:rPr>
          <w:bCs/>
          <w:color w:val="000000" w:themeColor="text1"/>
          <w:sz w:val="22"/>
          <w:szCs w:val="22"/>
        </w:rPr>
        <w:t>,</w:t>
      </w:r>
      <w:r w:rsidR="0021575A">
        <w:rPr>
          <w:bCs/>
          <w:color w:val="000000" w:themeColor="text1"/>
          <w:sz w:val="22"/>
          <w:szCs w:val="22"/>
        </w:rPr>
        <w:t xml:space="preserve"> and </w:t>
      </w:r>
      <w:r w:rsidR="00C63357">
        <w:rPr>
          <w:bCs/>
          <w:color w:val="000000" w:themeColor="text1"/>
          <w:sz w:val="22"/>
          <w:szCs w:val="22"/>
        </w:rPr>
        <w:t>they were left to conclude with conjecture.</w:t>
      </w:r>
    </w:p>
    <w:p w14:paraId="2568703B" w14:textId="77777777" w:rsidR="00C63357" w:rsidRDefault="00C63357">
      <w:pPr>
        <w:rPr>
          <w:bCs/>
          <w:color w:val="000000" w:themeColor="text1"/>
          <w:sz w:val="22"/>
          <w:szCs w:val="22"/>
        </w:rPr>
      </w:pPr>
    </w:p>
    <w:p w14:paraId="2E400D8B" w14:textId="77777777" w:rsidR="00C63357" w:rsidRDefault="00C63357">
      <w:pPr>
        <w:rPr>
          <w:bCs/>
          <w:color w:val="000000" w:themeColor="text1"/>
          <w:sz w:val="22"/>
          <w:szCs w:val="22"/>
        </w:rPr>
      </w:pPr>
    </w:p>
    <w:p w14:paraId="3F474B5E" w14:textId="77777777" w:rsidR="00C63357" w:rsidRDefault="00C63357">
      <w:pPr>
        <w:rPr>
          <w:bCs/>
          <w:sz w:val="22"/>
          <w:szCs w:val="22"/>
        </w:rPr>
      </w:pPr>
    </w:p>
    <w:p w14:paraId="33E9CEC7" w14:textId="77777777" w:rsidR="00504825" w:rsidRDefault="00504825">
      <w:pPr>
        <w:rPr>
          <w:bCs/>
          <w:sz w:val="22"/>
          <w:szCs w:val="22"/>
        </w:rPr>
      </w:pPr>
    </w:p>
    <w:p w14:paraId="01DE9480" w14:textId="77777777" w:rsidR="001E37B4" w:rsidRDefault="001E37B4">
      <w:pPr>
        <w:rPr>
          <w:bCs/>
          <w:sz w:val="22"/>
          <w:szCs w:val="22"/>
        </w:rPr>
      </w:pPr>
    </w:p>
    <w:p w14:paraId="305F11DB" w14:textId="77777777" w:rsidR="001E37B4" w:rsidRDefault="001E37B4">
      <w:pPr>
        <w:rPr>
          <w:bCs/>
          <w:sz w:val="22"/>
          <w:szCs w:val="22"/>
        </w:rPr>
      </w:pPr>
    </w:p>
    <w:p w14:paraId="5D157CDD" w14:textId="77777777" w:rsidR="00E31CB5" w:rsidRDefault="00E31CB5">
      <w:pPr>
        <w:rPr>
          <w:bCs/>
          <w:sz w:val="22"/>
          <w:szCs w:val="22"/>
        </w:rPr>
      </w:pPr>
    </w:p>
    <w:p w14:paraId="7D6A28B8" w14:textId="77777777" w:rsidR="00D21841" w:rsidRDefault="00D21841">
      <w:pPr>
        <w:rPr>
          <w:bCs/>
          <w:sz w:val="22"/>
          <w:szCs w:val="22"/>
        </w:rPr>
      </w:pPr>
    </w:p>
    <w:p w14:paraId="2B85AF4E" w14:textId="77777777" w:rsidR="00D21841" w:rsidRDefault="00D21841">
      <w:pPr>
        <w:rPr>
          <w:bCs/>
          <w:sz w:val="22"/>
          <w:szCs w:val="22"/>
        </w:rPr>
      </w:pPr>
    </w:p>
    <w:p w14:paraId="0383FCFA" w14:textId="77777777" w:rsidR="00D21841" w:rsidRDefault="00D21841">
      <w:pPr>
        <w:rPr>
          <w:bCs/>
          <w:sz w:val="22"/>
          <w:szCs w:val="22"/>
        </w:rPr>
      </w:pPr>
    </w:p>
    <w:p w14:paraId="24C3129E" w14:textId="77777777" w:rsidR="00784CF0" w:rsidRDefault="00784CF0">
      <w:pPr>
        <w:rPr>
          <w:bCs/>
          <w:sz w:val="22"/>
          <w:szCs w:val="22"/>
        </w:rPr>
      </w:pPr>
    </w:p>
    <w:p w14:paraId="608F6659" w14:textId="66389BEF" w:rsidR="00504825" w:rsidRDefault="00504825">
      <w:pPr>
        <w:rPr>
          <w:bCs/>
          <w:sz w:val="22"/>
          <w:szCs w:val="22"/>
        </w:rPr>
      </w:pPr>
      <w:r>
        <w:rPr>
          <w:bCs/>
          <w:sz w:val="22"/>
          <w:szCs w:val="22"/>
        </w:rPr>
        <w:lastRenderedPageBreak/>
        <w:t>REFERENCE LIST</w:t>
      </w:r>
    </w:p>
    <w:p w14:paraId="71B1EFE5" w14:textId="77777777" w:rsidR="00504825" w:rsidRDefault="00504825">
      <w:pPr>
        <w:rPr>
          <w:bCs/>
          <w:sz w:val="22"/>
          <w:szCs w:val="22"/>
        </w:rPr>
      </w:pPr>
    </w:p>
    <w:p w14:paraId="56246ACA" w14:textId="7E0458EA" w:rsidR="002E2CCC" w:rsidRPr="002E2CCC" w:rsidRDefault="002E2CCC" w:rsidP="002E2CCC">
      <w:pPr>
        <w:pStyle w:val="FootnoteText"/>
        <w:rPr>
          <w:sz w:val="22"/>
        </w:rPr>
      </w:pPr>
      <w:r w:rsidRPr="00E31CB5">
        <w:rPr>
          <w:sz w:val="22"/>
        </w:rPr>
        <w:t>Brink,</w:t>
      </w:r>
      <w:r>
        <w:rPr>
          <w:sz w:val="22"/>
        </w:rPr>
        <w:t xml:space="preserve"> T.L.</w:t>
      </w:r>
      <w:r w:rsidRPr="00E31CB5">
        <w:rPr>
          <w:sz w:val="22"/>
        </w:rPr>
        <w:t xml:space="preserve"> </w:t>
      </w:r>
      <w:r w:rsidRPr="00E31CB5">
        <w:rPr>
          <w:bCs/>
          <w:i/>
          <w:iCs/>
          <w:sz w:val="22"/>
        </w:rPr>
        <w:t xml:space="preserve">Questionnaires: Practical Hints on How to Avoid Mistakes in Design and Interpretation </w:t>
      </w:r>
      <w:r>
        <w:rPr>
          <w:bCs/>
          <w:i/>
          <w:iCs/>
          <w:sz w:val="22"/>
        </w:rPr>
        <w:tab/>
      </w:r>
      <w:r w:rsidRPr="00E31CB5">
        <w:rPr>
          <w:bCs/>
          <w:sz w:val="22"/>
        </w:rPr>
        <w:t>(Missouri, USA: Heuristic Books</w:t>
      </w:r>
      <w:r>
        <w:rPr>
          <w:bCs/>
          <w:sz w:val="22"/>
        </w:rPr>
        <w:t>,</w:t>
      </w:r>
      <w:r w:rsidRPr="00E31CB5">
        <w:rPr>
          <w:bCs/>
          <w:sz w:val="22"/>
        </w:rPr>
        <w:t xml:space="preserve"> 2004) </w:t>
      </w:r>
    </w:p>
    <w:p w14:paraId="4B0DBF8F" w14:textId="77777777" w:rsidR="002E2CCC" w:rsidRDefault="002E2CCC">
      <w:pPr>
        <w:rPr>
          <w:bCs/>
          <w:sz w:val="22"/>
          <w:szCs w:val="22"/>
        </w:rPr>
      </w:pPr>
    </w:p>
    <w:p w14:paraId="0A2B17C6" w14:textId="5BDA7A8A" w:rsidR="002E2CCC" w:rsidRPr="00E31CB5" w:rsidRDefault="002E2CCC" w:rsidP="002E2CCC">
      <w:pPr>
        <w:rPr>
          <w:bCs/>
          <w:sz w:val="22"/>
          <w:szCs w:val="20"/>
        </w:rPr>
      </w:pPr>
      <w:r w:rsidRPr="00E31CB5">
        <w:rPr>
          <w:sz w:val="22"/>
        </w:rPr>
        <w:t>Brink,</w:t>
      </w:r>
      <w:r>
        <w:rPr>
          <w:sz w:val="22"/>
        </w:rPr>
        <w:t xml:space="preserve"> T.L.</w:t>
      </w:r>
      <w:r w:rsidRPr="00E31CB5">
        <w:rPr>
          <w:sz w:val="22"/>
        </w:rPr>
        <w:t xml:space="preserve"> </w:t>
      </w:r>
      <w:r w:rsidRPr="00E31CB5">
        <w:rPr>
          <w:bCs/>
          <w:sz w:val="22"/>
          <w:szCs w:val="20"/>
        </w:rPr>
        <w:t xml:space="preserve">'History and Depth Psychology: Some Reconsiderations' </w:t>
      </w:r>
      <w:r w:rsidRPr="00E31CB5">
        <w:rPr>
          <w:bCs/>
          <w:i/>
          <w:iCs/>
          <w:sz w:val="22"/>
          <w:szCs w:val="20"/>
        </w:rPr>
        <w:t>The Historian</w:t>
      </w:r>
      <w:r w:rsidRPr="00E31CB5">
        <w:rPr>
          <w:bCs/>
          <w:sz w:val="22"/>
          <w:szCs w:val="20"/>
        </w:rPr>
        <w:t xml:space="preserve">, Vol. 41, No. </w:t>
      </w:r>
      <w:r>
        <w:rPr>
          <w:bCs/>
          <w:sz w:val="22"/>
          <w:szCs w:val="20"/>
        </w:rPr>
        <w:tab/>
      </w:r>
      <w:r w:rsidRPr="00E31CB5">
        <w:rPr>
          <w:bCs/>
          <w:sz w:val="22"/>
          <w:szCs w:val="20"/>
        </w:rPr>
        <w:t>4 (Taylor &amp; Francis, Ltd. 1979) pp. 7</w:t>
      </w:r>
      <w:r>
        <w:rPr>
          <w:bCs/>
          <w:sz w:val="22"/>
          <w:szCs w:val="20"/>
        </w:rPr>
        <w:t>38-753</w:t>
      </w:r>
    </w:p>
    <w:p w14:paraId="21BA7BC6" w14:textId="77777777" w:rsidR="002E2CCC" w:rsidRDefault="002E2CCC">
      <w:pPr>
        <w:rPr>
          <w:bCs/>
          <w:sz w:val="22"/>
          <w:szCs w:val="22"/>
        </w:rPr>
      </w:pPr>
    </w:p>
    <w:p w14:paraId="5235FA49" w14:textId="7CB452A3" w:rsidR="00E31CB5" w:rsidRDefault="00E31CB5" w:rsidP="00E31CB5">
      <w:pPr>
        <w:pStyle w:val="FootnoteText"/>
        <w:rPr>
          <w:sz w:val="22"/>
        </w:rPr>
      </w:pPr>
      <w:r w:rsidRPr="00E31CB5">
        <w:rPr>
          <w:sz w:val="22"/>
        </w:rPr>
        <w:t>Brink,</w:t>
      </w:r>
      <w:r w:rsidR="007B74B6">
        <w:rPr>
          <w:sz w:val="22"/>
        </w:rPr>
        <w:t xml:space="preserve"> T.L.</w:t>
      </w:r>
      <w:r w:rsidRPr="00E31CB5">
        <w:rPr>
          <w:sz w:val="22"/>
        </w:rPr>
        <w:t xml:space="preserve"> 'Inconsistency of Belief among Roman Catholic Girls: Concerning Religion, Astrology, </w:t>
      </w:r>
      <w:r w:rsidR="007B74B6">
        <w:rPr>
          <w:sz w:val="22"/>
        </w:rPr>
        <w:tab/>
      </w:r>
      <w:r w:rsidRPr="00E31CB5">
        <w:rPr>
          <w:sz w:val="22"/>
        </w:rPr>
        <w:t xml:space="preserve">Reincarnation,' </w:t>
      </w:r>
      <w:r w:rsidRPr="00E31CB5">
        <w:rPr>
          <w:i/>
          <w:iCs/>
          <w:sz w:val="22"/>
        </w:rPr>
        <w:t xml:space="preserve">Review of Religious Research, </w:t>
      </w:r>
      <w:r w:rsidRPr="00E31CB5">
        <w:rPr>
          <w:sz w:val="22"/>
        </w:rPr>
        <w:t xml:space="preserve">Vol 20, No. 1 (Springer, 1978) </w:t>
      </w:r>
      <w:r w:rsidR="007B74B6">
        <w:rPr>
          <w:sz w:val="22"/>
        </w:rPr>
        <w:t>pp. 82-85</w:t>
      </w:r>
    </w:p>
    <w:p w14:paraId="254B2EEE" w14:textId="77777777" w:rsidR="002E2CCC" w:rsidRDefault="002E2CCC" w:rsidP="00E31CB5">
      <w:pPr>
        <w:pStyle w:val="FootnoteText"/>
        <w:rPr>
          <w:sz w:val="22"/>
        </w:rPr>
      </w:pPr>
    </w:p>
    <w:p w14:paraId="6C978C9B" w14:textId="46849271" w:rsidR="002E2CCC" w:rsidRPr="00E31CB5" w:rsidRDefault="002E2CCC" w:rsidP="002E2CCC">
      <w:pPr>
        <w:pStyle w:val="FootnoteText"/>
        <w:rPr>
          <w:sz w:val="22"/>
        </w:rPr>
      </w:pPr>
      <w:r w:rsidRPr="00E31CB5">
        <w:rPr>
          <w:sz w:val="22"/>
        </w:rPr>
        <w:t>Bryman</w:t>
      </w:r>
      <w:r>
        <w:rPr>
          <w:sz w:val="22"/>
        </w:rPr>
        <w:t xml:space="preserve">, </w:t>
      </w:r>
      <w:r w:rsidRPr="00E31CB5">
        <w:rPr>
          <w:sz w:val="22"/>
        </w:rPr>
        <w:t xml:space="preserve">Alan </w:t>
      </w:r>
      <w:r w:rsidRPr="00E31CB5">
        <w:rPr>
          <w:i/>
          <w:iCs/>
          <w:sz w:val="22"/>
        </w:rPr>
        <w:t xml:space="preserve">'Quantity and Quality in Social Research' </w:t>
      </w:r>
      <w:r w:rsidRPr="00E31CB5">
        <w:rPr>
          <w:sz w:val="22"/>
        </w:rPr>
        <w:t>(</w:t>
      </w:r>
      <w:r>
        <w:rPr>
          <w:sz w:val="22"/>
        </w:rPr>
        <w:t xml:space="preserve">London and New York: </w:t>
      </w:r>
      <w:r w:rsidRPr="00E31CB5">
        <w:rPr>
          <w:sz w:val="22"/>
        </w:rPr>
        <w:t xml:space="preserve">Routledge, 1988) </w:t>
      </w:r>
    </w:p>
    <w:p w14:paraId="474DF02D" w14:textId="77777777" w:rsidR="002E2CCC" w:rsidRDefault="002E2CCC" w:rsidP="00E31CB5">
      <w:pPr>
        <w:pStyle w:val="FootnoteText"/>
        <w:rPr>
          <w:sz w:val="22"/>
        </w:rPr>
      </w:pPr>
    </w:p>
    <w:p w14:paraId="68D8C796" w14:textId="55C095CD" w:rsidR="002E2CCC" w:rsidRPr="00E31CB5" w:rsidRDefault="002E2CCC" w:rsidP="002E2CCC">
      <w:pPr>
        <w:rPr>
          <w:bCs/>
          <w:sz w:val="22"/>
          <w:szCs w:val="20"/>
        </w:rPr>
      </w:pPr>
      <w:r w:rsidRPr="00E31CB5">
        <w:rPr>
          <w:bCs/>
          <w:sz w:val="22"/>
          <w:szCs w:val="20"/>
        </w:rPr>
        <w:t>Campion</w:t>
      </w:r>
      <w:r>
        <w:rPr>
          <w:bCs/>
          <w:sz w:val="22"/>
          <w:szCs w:val="20"/>
        </w:rPr>
        <w:t xml:space="preserve">, </w:t>
      </w:r>
      <w:r w:rsidRPr="00E31CB5">
        <w:rPr>
          <w:bCs/>
          <w:sz w:val="22"/>
          <w:szCs w:val="20"/>
        </w:rPr>
        <w:t>Nicholas, '</w:t>
      </w:r>
      <w:r w:rsidRPr="00E31CB5">
        <w:rPr>
          <w:i/>
          <w:iCs/>
          <w:sz w:val="22"/>
          <w:szCs w:val="20"/>
        </w:rPr>
        <w:t xml:space="preserve">Prophecy Cosmology and the New Age Movement. The Extent and Nature of </w:t>
      </w:r>
      <w:r>
        <w:rPr>
          <w:i/>
          <w:iCs/>
          <w:sz w:val="22"/>
          <w:szCs w:val="20"/>
        </w:rPr>
        <w:tab/>
      </w:r>
      <w:r w:rsidRPr="00E31CB5">
        <w:rPr>
          <w:i/>
          <w:iCs/>
          <w:sz w:val="22"/>
          <w:szCs w:val="20"/>
        </w:rPr>
        <w:t>Contemporary Belief in Astrology.'</w:t>
      </w:r>
      <w:r w:rsidRPr="00E31CB5">
        <w:rPr>
          <w:bCs/>
          <w:sz w:val="22"/>
          <w:szCs w:val="20"/>
        </w:rPr>
        <w:t xml:space="preserve"> (Doctoral Thesis, Bath Spa University College, 2004) </w:t>
      </w:r>
    </w:p>
    <w:p w14:paraId="4BE138C9" w14:textId="77777777" w:rsidR="00E31CB5" w:rsidRDefault="00E31CB5" w:rsidP="00E31CB5">
      <w:pPr>
        <w:pStyle w:val="FootnoteText"/>
        <w:rPr>
          <w:sz w:val="22"/>
        </w:rPr>
      </w:pPr>
    </w:p>
    <w:p w14:paraId="66CB05CC" w14:textId="22F65794" w:rsidR="00E31CB5" w:rsidRDefault="00E31CB5" w:rsidP="00E31CB5">
      <w:pPr>
        <w:pStyle w:val="FootnoteText"/>
        <w:rPr>
          <w:sz w:val="22"/>
        </w:rPr>
      </w:pPr>
      <w:r w:rsidRPr="00E31CB5">
        <w:rPr>
          <w:sz w:val="22"/>
        </w:rPr>
        <w:t xml:space="preserve">Crafton Hills College </w:t>
      </w:r>
      <w:r w:rsidRPr="00E31CB5">
        <w:rPr>
          <w:i/>
          <w:iCs/>
          <w:sz w:val="22"/>
        </w:rPr>
        <w:t xml:space="preserve">T.L. Brink </w:t>
      </w:r>
      <w:r w:rsidR="002E2CCC" w:rsidRPr="00E31CB5">
        <w:rPr>
          <w:i/>
          <w:iCs/>
          <w:sz w:val="22"/>
        </w:rPr>
        <w:t>Profile</w:t>
      </w:r>
      <w:r w:rsidR="002E2CCC">
        <w:rPr>
          <w:i/>
          <w:iCs/>
          <w:sz w:val="22"/>
        </w:rPr>
        <w:t>,</w:t>
      </w:r>
      <w:r w:rsidR="002E2CCC" w:rsidRPr="00E31CB5">
        <w:rPr>
          <w:i/>
          <w:iCs/>
          <w:sz w:val="22"/>
        </w:rPr>
        <w:t xml:space="preserve"> </w:t>
      </w:r>
      <w:r w:rsidR="002E2CCC" w:rsidRPr="00E31CB5">
        <w:rPr>
          <w:sz w:val="22"/>
        </w:rPr>
        <w:t>&lt;</w:t>
      </w:r>
      <w:r w:rsidRPr="00E31CB5">
        <w:rPr>
          <w:sz w:val="22"/>
        </w:rPr>
        <w:t>https://www.craftonhills.edu/academic-and-career-</w:t>
      </w:r>
      <w:r w:rsidR="002E2CCC">
        <w:rPr>
          <w:sz w:val="22"/>
        </w:rPr>
        <w:tab/>
      </w:r>
      <w:r w:rsidRPr="00E31CB5">
        <w:rPr>
          <w:sz w:val="22"/>
        </w:rPr>
        <w:t>programs/divs-and-depts/social-info-and-natural-sciences/social-and-cultural-</w:t>
      </w:r>
      <w:r w:rsidR="002E2CCC">
        <w:rPr>
          <w:sz w:val="22"/>
        </w:rPr>
        <w:tab/>
      </w:r>
      <w:r w:rsidRPr="00E31CB5">
        <w:rPr>
          <w:sz w:val="22"/>
        </w:rPr>
        <w:t>studies/religious-studies/</w:t>
      </w:r>
      <w:proofErr w:type="spellStart"/>
      <w:r w:rsidRPr="00E31CB5">
        <w:rPr>
          <w:sz w:val="22"/>
        </w:rPr>
        <w:t>profile.php?url</w:t>
      </w:r>
      <w:proofErr w:type="spellEnd"/>
      <w:r w:rsidRPr="00E31CB5">
        <w:rPr>
          <w:sz w:val="22"/>
        </w:rPr>
        <w:t>=t-l-brink.xml&gt; [accessed 24.02.25]</w:t>
      </w:r>
    </w:p>
    <w:p w14:paraId="07E13ACC" w14:textId="77777777" w:rsidR="002E2CCC" w:rsidRDefault="002E2CCC" w:rsidP="00E31CB5">
      <w:pPr>
        <w:pStyle w:val="FootnoteText"/>
        <w:rPr>
          <w:sz w:val="22"/>
        </w:rPr>
      </w:pPr>
    </w:p>
    <w:p w14:paraId="68A7DA1D" w14:textId="77777777" w:rsidR="002E2CCC" w:rsidRDefault="002E2CCC" w:rsidP="002E2CCC">
      <w:pPr>
        <w:pStyle w:val="FootnoteText"/>
        <w:rPr>
          <w:sz w:val="22"/>
        </w:rPr>
      </w:pPr>
      <w:r w:rsidRPr="00E31CB5">
        <w:rPr>
          <w:sz w:val="22"/>
        </w:rPr>
        <w:t>Geertz</w:t>
      </w:r>
      <w:r>
        <w:rPr>
          <w:sz w:val="22"/>
        </w:rPr>
        <w:t xml:space="preserve">, </w:t>
      </w:r>
      <w:r w:rsidRPr="00E31CB5">
        <w:rPr>
          <w:sz w:val="22"/>
        </w:rPr>
        <w:t>Clifford and Darnton</w:t>
      </w:r>
      <w:r>
        <w:rPr>
          <w:sz w:val="22"/>
        </w:rPr>
        <w:t xml:space="preserve">, </w:t>
      </w:r>
      <w:r w:rsidRPr="00E31CB5">
        <w:rPr>
          <w:sz w:val="22"/>
        </w:rPr>
        <w:t>Robert '</w:t>
      </w:r>
      <w:r w:rsidRPr="00E31CB5">
        <w:rPr>
          <w:i/>
          <w:iCs/>
          <w:sz w:val="22"/>
        </w:rPr>
        <w:t>The Interpretation of Cultures: Selected Essays,'</w:t>
      </w:r>
      <w:r w:rsidRPr="00E31CB5">
        <w:rPr>
          <w:sz w:val="22"/>
        </w:rPr>
        <w:t xml:space="preserve"> (Basic Books, </w:t>
      </w:r>
      <w:r>
        <w:rPr>
          <w:sz w:val="22"/>
        </w:rPr>
        <w:tab/>
      </w:r>
      <w:r w:rsidRPr="00E31CB5">
        <w:rPr>
          <w:sz w:val="22"/>
        </w:rPr>
        <w:t xml:space="preserve">1973) </w:t>
      </w:r>
    </w:p>
    <w:p w14:paraId="5524DC36" w14:textId="77777777" w:rsidR="002E2CCC" w:rsidRDefault="002E2CCC" w:rsidP="002E2CCC">
      <w:pPr>
        <w:pStyle w:val="FootnoteText"/>
        <w:rPr>
          <w:sz w:val="22"/>
        </w:rPr>
      </w:pPr>
    </w:p>
    <w:p w14:paraId="455D7AD3" w14:textId="1645CD27" w:rsidR="002E2CCC" w:rsidRPr="00E31CB5" w:rsidRDefault="002E2CCC" w:rsidP="002E2CCC">
      <w:pPr>
        <w:pStyle w:val="FootnoteText"/>
        <w:rPr>
          <w:sz w:val="22"/>
        </w:rPr>
      </w:pPr>
      <w:proofErr w:type="spellStart"/>
      <w:r w:rsidRPr="00E31CB5">
        <w:rPr>
          <w:sz w:val="22"/>
        </w:rPr>
        <w:t>Hennink</w:t>
      </w:r>
      <w:proofErr w:type="spellEnd"/>
      <w:r w:rsidRPr="00E31CB5">
        <w:rPr>
          <w:sz w:val="22"/>
        </w:rPr>
        <w:t>,</w:t>
      </w:r>
      <w:r w:rsidRPr="002E2CCC">
        <w:rPr>
          <w:sz w:val="22"/>
        </w:rPr>
        <w:t xml:space="preserve"> </w:t>
      </w:r>
      <w:r w:rsidRPr="00E31CB5">
        <w:rPr>
          <w:sz w:val="22"/>
        </w:rPr>
        <w:t>Monique</w:t>
      </w:r>
      <w:r>
        <w:rPr>
          <w:sz w:val="22"/>
        </w:rPr>
        <w:t>,</w:t>
      </w:r>
      <w:r w:rsidRPr="00E31CB5">
        <w:rPr>
          <w:sz w:val="22"/>
        </w:rPr>
        <w:t xml:space="preserve"> </w:t>
      </w:r>
      <w:proofErr w:type="spellStart"/>
      <w:r w:rsidRPr="00E31CB5">
        <w:rPr>
          <w:sz w:val="22"/>
        </w:rPr>
        <w:t>Hutter</w:t>
      </w:r>
      <w:proofErr w:type="spellEnd"/>
      <w:r w:rsidRPr="00E31CB5">
        <w:rPr>
          <w:sz w:val="22"/>
        </w:rPr>
        <w:t>,</w:t>
      </w:r>
      <w:r>
        <w:rPr>
          <w:sz w:val="22"/>
        </w:rPr>
        <w:t xml:space="preserve"> </w:t>
      </w:r>
      <w:r w:rsidRPr="00E31CB5">
        <w:rPr>
          <w:sz w:val="22"/>
        </w:rPr>
        <w:t>Inge</w:t>
      </w:r>
      <w:r>
        <w:rPr>
          <w:sz w:val="22"/>
        </w:rPr>
        <w:t>,</w:t>
      </w:r>
      <w:r w:rsidRPr="00E31CB5">
        <w:rPr>
          <w:sz w:val="22"/>
        </w:rPr>
        <w:t xml:space="preserve"> Bailey</w:t>
      </w:r>
      <w:r>
        <w:rPr>
          <w:sz w:val="22"/>
        </w:rPr>
        <w:t xml:space="preserve">, </w:t>
      </w:r>
      <w:r w:rsidRPr="00E31CB5">
        <w:rPr>
          <w:sz w:val="22"/>
        </w:rPr>
        <w:t xml:space="preserve">Ajay </w:t>
      </w:r>
      <w:r w:rsidRPr="00E31CB5">
        <w:rPr>
          <w:i/>
          <w:iCs/>
          <w:sz w:val="22"/>
        </w:rPr>
        <w:t>'Qualitative Research Methods</w:t>
      </w:r>
      <w:r>
        <w:rPr>
          <w:i/>
          <w:iCs/>
          <w:sz w:val="22"/>
        </w:rPr>
        <w:t xml:space="preserve">' </w:t>
      </w:r>
      <w:r w:rsidRPr="002E2CCC">
        <w:rPr>
          <w:sz w:val="22"/>
        </w:rPr>
        <w:t xml:space="preserve">2nd </w:t>
      </w:r>
      <w:proofErr w:type="spellStart"/>
      <w:r w:rsidRPr="002E2CCC">
        <w:rPr>
          <w:sz w:val="22"/>
        </w:rPr>
        <w:t>edn</w:t>
      </w:r>
      <w:proofErr w:type="spellEnd"/>
      <w:r>
        <w:rPr>
          <w:i/>
          <w:iCs/>
          <w:sz w:val="22"/>
        </w:rPr>
        <w:t xml:space="preserve"> </w:t>
      </w:r>
      <w:r w:rsidRPr="002E2CCC">
        <w:rPr>
          <w:sz w:val="22"/>
        </w:rPr>
        <w:t>(London</w:t>
      </w:r>
      <w:r w:rsidRPr="00E31CB5">
        <w:rPr>
          <w:sz w:val="22"/>
        </w:rPr>
        <w:t xml:space="preserve">, </w:t>
      </w:r>
      <w:r>
        <w:rPr>
          <w:sz w:val="22"/>
        </w:rPr>
        <w:tab/>
      </w:r>
      <w:r w:rsidRPr="00E31CB5">
        <w:rPr>
          <w:sz w:val="22"/>
        </w:rPr>
        <w:t xml:space="preserve">Sage, 2020) </w:t>
      </w:r>
    </w:p>
    <w:p w14:paraId="281B0370" w14:textId="77777777" w:rsidR="00E31CB5" w:rsidRPr="00E31CB5" w:rsidRDefault="00E31CB5" w:rsidP="00E31CB5">
      <w:pPr>
        <w:pStyle w:val="FootnoteText"/>
        <w:rPr>
          <w:sz w:val="22"/>
        </w:rPr>
      </w:pPr>
    </w:p>
    <w:p w14:paraId="15AA6005" w14:textId="0A67845F" w:rsidR="00E31CB5" w:rsidRPr="00E31CB5" w:rsidRDefault="00E31CB5" w:rsidP="00E31CB5">
      <w:pPr>
        <w:pStyle w:val="FootnoteText"/>
        <w:rPr>
          <w:sz w:val="22"/>
        </w:rPr>
      </w:pPr>
      <w:r w:rsidRPr="00E31CB5">
        <w:rPr>
          <w:sz w:val="22"/>
        </w:rPr>
        <w:t xml:space="preserve">JSTOR, </w:t>
      </w:r>
      <w:r w:rsidRPr="00E31CB5">
        <w:rPr>
          <w:i/>
          <w:iCs/>
          <w:sz w:val="22"/>
        </w:rPr>
        <w:t>Review of Religious Research</w:t>
      </w:r>
      <w:r w:rsidRPr="00E31CB5">
        <w:rPr>
          <w:sz w:val="22"/>
        </w:rPr>
        <w:t xml:space="preserve"> &lt;https://www.jstor.org/journal/revirelirese&gt; [accessed </w:t>
      </w:r>
      <w:r w:rsidR="002E2CCC">
        <w:rPr>
          <w:sz w:val="22"/>
        </w:rPr>
        <w:tab/>
      </w:r>
      <w:r w:rsidRPr="00E31CB5">
        <w:rPr>
          <w:sz w:val="22"/>
        </w:rPr>
        <w:t>24.02.25]</w:t>
      </w:r>
    </w:p>
    <w:p w14:paraId="1E42D4F2" w14:textId="77777777" w:rsidR="00E31CB5" w:rsidRDefault="00E31CB5" w:rsidP="00E31CB5">
      <w:pPr>
        <w:pStyle w:val="FootnoteText"/>
        <w:rPr>
          <w:rStyle w:val="FootnoteReference"/>
          <w:sz w:val="22"/>
        </w:rPr>
      </w:pPr>
    </w:p>
    <w:p w14:paraId="150D2875" w14:textId="66DBEDE8" w:rsidR="00E31CB5" w:rsidRPr="00E31CB5" w:rsidRDefault="00E31CB5" w:rsidP="00E31CB5">
      <w:pPr>
        <w:pStyle w:val="FootnoteText"/>
        <w:rPr>
          <w:sz w:val="22"/>
        </w:rPr>
      </w:pPr>
      <w:r w:rsidRPr="00E31CB5">
        <w:rPr>
          <w:sz w:val="22"/>
        </w:rPr>
        <w:t xml:space="preserve">Oxford Academic </w:t>
      </w:r>
      <w:r w:rsidRPr="00E31CB5">
        <w:rPr>
          <w:i/>
          <w:iCs/>
          <w:sz w:val="22"/>
        </w:rPr>
        <w:t xml:space="preserve">Sociology of Religion </w:t>
      </w:r>
      <w:r w:rsidRPr="00E31CB5">
        <w:rPr>
          <w:sz w:val="22"/>
        </w:rPr>
        <w:t>&lt; https://academic.oup.com/socrel&gt; [accessed 04.03.25]</w:t>
      </w:r>
    </w:p>
    <w:p w14:paraId="55E81CDE" w14:textId="77777777" w:rsidR="00E31CB5" w:rsidRDefault="00E31CB5" w:rsidP="00E31CB5">
      <w:pPr>
        <w:pStyle w:val="FootnoteText"/>
        <w:rPr>
          <w:rStyle w:val="FootnoteReference"/>
          <w:sz w:val="22"/>
        </w:rPr>
      </w:pPr>
    </w:p>
    <w:p w14:paraId="2E036D91" w14:textId="2C181035" w:rsidR="002E2CCC" w:rsidRDefault="00E31CB5" w:rsidP="00E31CB5">
      <w:pPr>
        <w:pStyle w:val="FootnoteText"/>
        <w:rPr>
          <w:i/>
          <w:iCs/>
          <w:sz w:val="22"/>
        </w:rPr>
      </w:pPr>
      <w:r w:rsidRPr="00E31CB5">
        <w:rPr>
          <w:sz w:val="22"/>
        </w:rPr>
        <w:t>U.S. Department of Health and Human Services</w:t>
      </w:r>
      <w:r w:rsidR="002E2CCC">
        <w:rPr>
          <w:sz w:val="22"/>
        </w:rPr>
        <w:t>,</w:t>
      </w:r>
      <w:r w:rsidRPr="00E31CB5">
        <w:rPr>
          <w:sz w:val="22"/>
        </w:rPr>
        <w:t xml:space="preserve"> </w:t>
      </w:r>
      <w:r w:rsidRPr="00E31CB5">
        <w:rPr>
          <w:i/>
          <w:iCs/>
          <w:sz w:val="22"/>
        </w:rPr>
        <w:t>The Belmont Report</w:t>
      </w:r>
    </w:p>
    <w:p w14:paraId="4B813C73" w14:textId="1076794C" w:rsidR="00E31CB5" w:rsidRPr="00E31CB5" w:rsidRDefault="002E2CCC" w:rsidP="00E31CB5">
      <w:pPr>
        <w:pStyle w:val="FootnoteText"/>
        <w:rPr>
          <w:sz w:val="22"/>
        </w:rPr>
      </w:pPr>
      <w:r>
        <w:rPr>
          <w:i/>
          <w:iCs/>
          <w:sz w:val="22"/>
        </w:rPr>
        <w:tab/>
      </w:r>
      <w:r w:rsidR="00E31CB5" w:rsidRPr="00E31CB5">
        <w:rPr>
          <w:i/>
          <w:iCs/>
          <w:sz w:val="22"/>
        </w:rPr>
        <w:t xml:space="preserve"> </w:t>
      </w:r>
      <w:r w:rsidR="00E31CB5" w:rsidRPr="00E31CB5">
        <w:rPr>
          <w:sz w:val="22"/>
        </w:rPr>
        <w:t>&lt; https://www.hhs.gov/ohrp/regulations-and-policy/belmont-report/read-the-belmont-</w:t>
      </w:r>
      <w:r>
        <w:rPr>
          <w:sz w:val="22"/>
        </w:rPr>
        <w:tab/>
      </w:r>
      <w:r w:rsidR="00E31CB5" w:rsidRPr="00E31CB5">
        <w:rPr>
          <w:sz w:val="22"/>
        </w:rPr>
        <w:t>report/index.html&gt; [accessed 04.03.25]</w:t>
      </w:r>
    </w:p>
    <w:p w14:paraId="24CD7782" w14:textId="77777777" w:rsidR="00E31CB5" w:rsidRDefault="00E31CB5" w:rsidP="00E31CB5">
      <w:pPr>
        <w:rPr>
          <w:sz w:val="22"/>
          <w:szCs w:val="20"/>
        </w:rPr>
      </w:pPr>
    </w:p>
    <w:p w14:paraId="2220803D" w14:textId="77777777" w:rsidR="002E2CCC" w:rsidRDefault="002E2CCC" w:rsidP="002E2CCC">
      <w:pPr>
        <w:pStyle w:val="FootnoteText"/>
        <w:rPr>
          <w:sz w:val="22"/>
        </w:rPr>
      </w:pPr>
      <w:r w:rsidRPr="00E31CB5">
        <w:rPr>
          <w:sz w:val="22"/>
        </w:rPr>
        <w:t>Walter</w:t>
      </w:r>
      <w:r>
        <w:rPr>
          <w:sz w:val="22"/>
        </w:rPr>
        <w:t xml:space="preserve">, </w:t>
      </w:r>
      <w:r w:rsidRPr="00E31CB5">
        <w:rPr>
          <w:sz w:val="22"/>
        </w:rPr>
        <w:t>Tony and Waterhouse,</w:t>
      </w:r>
      <w:r>
        <w:rPr>
          <w:sz w:val="22"/>
        </w:rPr>
        <w:t xml:space="preserve"> </w:t>
      </w:r>
      <w:r w:rsidRPr="00E31CB5">
        <w:rPr>
          <w:sz w:val="22"/>
        </w:rPr>
        <w:t xml:space="preserve">Helen 'A Very Private Belief: Reincarnation in Contemporary </w:t>
      </w:r>
      <w:r>
        <w:rPr>
          <w:sz w:val="22"/>
        </w:rPr>
        <w:tab/>
      </w:r>
      <w:r w:rsidRPr="00E31CB5">
        <w:rPr>
          <w:sz w:val="22"/>
        </w:rPr>
        <w:t xml:space="preserve">England' </w:t>
      </w:r>
      <w:r w:rsidRPr="00E31CB5">
        <w:rPr>
          <w:i/>
          <w:iCs/>
          <w:sz w:val="22"/>
        </w:rPr>
        <w:t xml:space="preserve">Sociology of Religion </w:t>
      </w:r>
      <w:r w:rsidRPr="00E31CB5">
        <w:rPr>
          <w:sz w:val="22"/>
        </w:rPr>
        <w:t xml:space="preserve">Vol. 60, No. 2 (Oxford University Press, 1999) </w:t>
      </w:r>
    </w:p>
    <w:p w14:paraId="732C9770" w14:textId="77777777" w:rsidR="00504825" w:rsidRDefault="00504825">
      <w:pPr>
        <w:rPr>
          <w:bCs/>
          <w:sz w:val="22"/>
          <w:szCs w:val="22"/>
        </w:rPr>
      </w:pPr>
    </w:p>
    <w:sectPr w:rsidR="00504825">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F5FD6E" w14:textId="77777777" w:rsidR="00D33EF9" w:rsidRDefault="00D33EF9" w:rsidP="00D91074">
      <w:r>
        <w:separator/>
      </w:r>
    </w:p>
  </w:endnote>
  <w:endnote w:type="continuationSeparator" w:id="0">
    <w:p w14:paraId="407EB3C8" w14:textId="77777777" w:rsidR="00D33EF9" w:rsidRDefault="00D33EF9" w:rsidP="00D910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panose1 w:val="020B0004020202020204"/>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78207567"/>
      <w:docPartObj>
        <w:docPartGallery w:val="Page Numbers (Bottom of Page)"/>
        <w:docPartUnique/>
      </w:docPartObj>
    </w:sdtPr>
    <w:sdtContent>
      <w:p w14:paraId="302F5BFB" w14:textId="295C3203" w:rsidR="00D91074" w:rsidRDefault="00D91074" w:rsidP="000170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178BE75" w14:textId="77777777" w:rsidR="00D91074" w:rsidRDefault="00D91074" w:rsidP="00D9107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888521699"/>
      <w:docPartObj>
        <w:docPartGallery w:val="Page Numbers (Bottom of Page)"/>
        <w:docPartUnique/>
      </w:docPartObj>
    </w:sdtPr>
    <w:sdtContent>
      <w:p w14:paraId="51EC7050" w14:textId="10C495C9" w:rsidR="00D91074" w:rsidRDefault="00D91074" w:rsidP="000170D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693DF5A" w14:textId="77777777" w:rsidR="00D91074" w:rsidRDefault="00D91074" w:rsidP="00D9107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C16C32" w14:textId="77777777" w:rsidR="00D33EF9" w:rsidRDefault="00D33EF9" w:rsidP="00D91074">
      <w:r>
        <w:separator/>
      </w:r>
    </w:p>
  </w:footnote>
  <w:footnote w:type="continuationSeparator" w:id="0">
    <w:p w14:paraId="1EE1C127" w14:textId="77777777" w:rsidR="00D33EF9" w:rsidRDefault="00D33EF9" w:rsidP="00D91074">
      <w:r>
        <w:continuationSeparator/>
      </w:r>
    </w:p>
  </w:footnote>
  <w:footnote w:id="1">
    <w:p w14:paraId="74BDECD7" w14:textId="219135EA" w:rsidR="00D91074" w:rsidRPr="003B7BD3" w:rsidRDefault="00D91074">
      <w:pPr>
        <w:pStyle w:val="FootnoteText"/>
      </w:pPr>
      <w:r w:rsidRPr="003B7BD3">
        <w:rPr>
          <w:rStyle w:val="FootnoteReference"/>
        </w:rPr>
        <w:footnoteRef/>
      </w:r>
      <w:r w:rsidRPr="003B7BD3">
        <w:t xml:space="preserve"> T.L. Brink, 'Inconsistency of Belief among Roman Catholic Girls: Concerning Religion, Astrology, Reincarnation,' </w:t>
      </w:r>
      <w:r w:rsidRPr="003B7BD3">
        <w:rPr>
          <w:i/>
          <w:iCs/>
        </w:rPr>
        <w:t xml:space="preserve">Review of Religious Research, </w:t>
      </w:r>
      <w:r w:rsidRPr="003B7BD3">
        <w:t>Vol 20, No. 1 (Springer, 1978) pp. 82-85</w:t>
      </w:r>
    </w:p>
  </w:footnote>
  <w:footnote w:id="2">
    <w:p w14:paraId="79A44A52" w14:textId="4A5F0A8B" w:rsidR="00D91074" w:rsidRPr="003B7BD3" w:rsidRDefault="00D91074">
      <w:pPr>
        <w:pStyle w:val="FootnoteText"/>
      </w:pPr>
      <w:r w:rsidRPr="003B7BD3">
        <w:rPr>
          <w:rStyle w:val="FootnoteReference"/>
        </w:rPr>
        <w:footnoteRef/>
      </w:r>
      <w:r w:rsidRPr="003B7BD3">
        <w:t xml:space="preserve"> Tony Walter and Helen Waterhouse, 'A Very Private Belief: Reincarnation in Contemporary England' </w:t>
      </w:r>
      <w:r w:rsidRPr="003B7BD3">
        <w:rPr>
          <w:i/>
          <w:iCs/>
        </w:rPr>
        <w:t xml:space="preserve">Sociology of Religion </w:t>
      </w:r>
      <w:r w:rsidRPr="003B7BD3">
        <w:t>Vol. 60, No. 2 (Oxford University Press, 1999) pp. 187-197</w:t>
      </w:r>
    </w:p>
  </w:footnote>
  <w:footnote w:id="3">
    <w:p w14:paraId="54F0E087" w14:textId="6FA16F01" w:rsidR="00D91074" w:rsidRPr="003B7BD3" w:rsidRDefault="00D91074">
      <w:pPr>
        <w:pStyle w:val="FootnoteText"/>
      </w:pPr>
      <w:r w:rsidRPr="003B7BD3">
        <w:rPr>
          <w:rStyle w:val="FootnoteReference"/>
        </w:rPr>
        <w:footnoteRef/>
      </w:r>
      <w:r w:rsidRPr="003B7BD3">
        <w:t xml:space="preserve"> Crafton Hills College </w:t>
      </w:r>
      <w:r w:rsidRPr="003B7BD3">
        <w:rPr>
          <w:i/>
          <w:iCs/>
        </w:rPr>
        <w:t xml:space="preserve">T.L. Brink Profile </w:t>
      </w:r>
      <w:r w:rsidRPr="003B7BD3">
        <w:t>2025 &lt;https://www.craftonhills.edu/academic-and-career-programs/divs-and-depts/social-info-and-natural-sciences/social-and-cultural-studies/religious-studies/profile.php?url=t-l-brink.xml&gt; [accessed 24.02.25]</w:t>
      </w:r>
    </w:p>
  </w:footnote>
  <w:footnote w:id="4">
    <w:p w14:paraId="41D49C9C" w14:textId="77777777" w:rsidR="00861FA6" w:rsidRPr="003B7BD3" w:rsidRDefault="00861FA6" w:rsidP="00861FA6">
      <w:pPr>
        <w:pStyle w:val="FootnoteText"/>
      </w:pPr>
      <w:r w:rsidRPr="003B7BD3">
        <w:rPr>
          <w:rStyle w:val="FootnoteReference"/>
        </w:rPr>
        <w:footnoteRef/>
      </w:r>
      <w:r w:rsidRPr="003B7BD3">
        <w:t xml:space="preserve"> JSTOR, </w:t>
      </w:r>
      <w:r w:rsidRPr="003B7BD3">
        <w:rPr>
          <w:i/>
          <w:iCs/>
        </w:rPr>
        <w:t>Review of Religious Research</w:t>
      </w:r>
      <w:r w:rsidRPr="003B7BD3">
        <w:t xml:space="preserve"> &lt;https://www.jstor.org/journal/revirelirese&gt; [accessed 24.02.25]</w:t>
      </w:r>
    </w:p>
  </w:footnote>
  <w:footnote w:id="5">
    <w:p w14:paraId="0C63FB8F" w14:textId="4BF1BA43" w:rsidR="003B7BD3" w:rsidRDefault="003B7BD3">
      <w:pPr>
        <w:pStyle w:val="FootnoteText"/>
      </w:pPr>
      <w:r>
        <w:rPr>
          <w:rStyle w:val="FootnoteReference"/>
        </w:rPr>
        <w:footnoteRef/>
      </w:r>
      <w:r>
        <w:t xml:space="preserve"> </w:t>
      </w:r>
      <w:r w:rsidRPr="003B7BD3">
        <w:t xml:space="preserve">T.L. Brink, 'Inconsistency of Belief among Roman Catholic Girls: Concerning Religion, Astrology, Reincarnation,' </w:t>
      </w:r>
      <w:r w:rsidRPr="003B7BD3">
        <w:rPr>
          <w:i/>
          <w:iCs/>
        </w:rPr>
        <w:t xml:space="preserve">Review of Religious Research, </w:t>
      </w:r>
      <w:r w:rsidRPr="003B7BD3">
        <w:t>Vol 20, No. 1 (Springer, 1978) p. 82</w:t>
      </w:r>
    </w:p>
  </w:footnote>
  <w:footnote w:id="6">
    <w:p w14:paraId="2F66F796" w14:textId="22AB6836" w:rsidR="0070128D" w:rsidRPr="0070128D" w:rsidRDefault="0070128D">
      <w:pPr>
        <w:pStyle w:val="FootnoteText"/>
      </w:pPr>
      <w:r>
        <w:rPr>
          <w:rStyle w:val="FootnoteReference"/>
        </w:rPr>
        <w:footnoteRef/>
      </w:r>
      <w:r>
        <w:t xml:space="preserve"> Oxford Academic </w:t>
      </w:r>
      <w:r w:rsidRPr="0070128D">
        <w:rPr>
          <w:i/>
          <w:iCs/>
        </w:rPr>
        <w:t xml:space="preserve">Sociology of Religion </w:t>
      </w:r>
      <w:r w:rsidRPr="0070128D">
        <w:t>&lt; https://academic.oup.com/socrel&gt; [accessed 04.03.25]</w:t>
      </w:r>
    </w:p>
  </w:footnote>
  <w:footnote w:id="7">
    <w:p w14:paraId="05D7224C" w14:textId="7AB7B20F" w:rsidR="003B7BD3" w:rsidRPr="003B7BD3" w:rsidRDefault="003B7BD3" w:rsidP="003B7BD3">
      <w:pPr>
        <w:pStyle w:val="FootnoteText"/>
      </w:pPr>
      <w:r w:rsidRPr="003B7BD3">
        <w:rPr>
          <w:rStyle w:val="FootnoteReference"/>
        </w:rPr>
        <w:footnoteRef/>
      </w:r>
      <w:r w:rsidRPr="003B7BD3">
        <w:t xml:space="preserve"> Tony Walter and Helen Waterhouse, 'A Very Private Belief: Reincarnation in Contemporary England' </w:t>
      </w:r>
      <w:r w:rsidRPr="003B7BD3">
        <w:rPr>
          <w:i/>
          <w:iCs/>
        </w:rPr>
        <w:t xml:space="preserve">Sociology of Religion </w:t>
      </w:r>
      <w:r w:rsidRPr="003B7BD3">
        <w:t>Vol. 60, No. 2 (Oxford University Press, 1999) p. 189</w:t>
      </w:r>
    </w:p>
  </w:footnote>
  <w:footnote w:id="8">
    <w:p w14:paraId="3F56EE4B" w14:textId="487DA933" w:rsidR="003B7BD3" w:rsidRDefault="003B7BD3">
      <w:pPr>
        <w:pStyle w:val="FootnoteText"/>
      </w:pPr>
      <w:r>
        <w:rPr>
          <w:rStyle w:val="FootnoteReference"/>
        </w:rPr>
        <w:footnoteRef/>
      </w:r>
      <w:r>
        <w:t xml:space="preserve"> </w:t>
      </w:r>
      <w:r w:rsidRPr="003B7BD3">
        <w:t>Walter and Waterhouse, 'A Very Private Belief</w:t>
      </w:r>
      <w:r w:rsidR="00D21841">
        <w:t xml:space="preserve">' </w:t>
      </w:r>
      <w:r w:rsidRPr="003B7BD3">
        <w:t>p. 187</w:t>
      </w:r>
    </w:p>
  </w:footnote>
  <w:footnote w:id="9">
    <w:p w14:paraId="00B54334" w14:textId="17D0D7FB" w:rsidR="008415E3" w:rsidRPr="00DE4725" w:rsidRDefault="008415E3" w:rsidP="008415E3">
      <w:pPr>
        <w:pStyle w:val="FootnoteText"/>
      </w:pPr>
      <w:r w:rsidRPr="00DE4725">
        <w:rPr>
          <w:rStyle w:val="FootnoteReference"/>
        </w:rPr>
        <w:footnoteRef/>
      </w:r>
      <w:r w:rsidRPr="00DE4725">
        <w:t xml:space="preserve"> Alan Bryman </w:t>
      </w:r>
      <w:r w:rsidRPr="00DE4725">
        <w:rPr>
          <w:i/>
          <w:iCs/>
        </w:rPr>
        <w:t xml:space="preserve">'Quantity and Quality in Social Research' </w:t>
      </w:r>
      <w:r w:rsidRPr="00DE4725">
        <w:t>(Routledge, 1988) p.15</w:t>
      </w:r>
    </w:p>
  </w:footnote>
  <w:footnote w:id="10">
    <w:p w14:paraId="17658EDC" w14:textId="6D77A8BA" w:rsidR="0019270A" w:rsidRDefault="0019270A">
      <w:pPr>
        <w:pStyle w:val="FootnoteText"/>
      </w:pPr>
      <w:r>
        <w:rPr>
          <w:rStyle w:val="FootnoteReference"/>
        </w:rPr>
        <w:footnoteRef/>
      </w:r>
      <w:r>
        <w:t xml:space="preserve"> </w:t>
      </w:r>
      <w:r w:rsidRPr="003B7BD3">
        <w:t xml:space="preserve">Tony Walter and Helen Waterhouse, 'A Very Private Belief: Reincarnation in Contemporary England' </w:t>
      </w:r>
      <w:r w:rsidRPr="003B7BD3">
        <w:rPr>
          <w:i/>
          <w:iCs/>
        </w:rPr>
        <w:t xml:space="preserve">Sociology of Religion </w:t>
      </w:r>
      <w:r w:rsidRPr="003B7BD3">
        <w:t>Vol. 60, No. 2 (Oxford University Press, 1999) p</w:t>
      </w:r>
      <w:r>
        <w:t>.</w:t>
      </w:r>
      <w:r w:rsidRPr="003B7BD3">
        <w:t xml:space="preserve"> </w:t>
      </w:r>
      <w:r>
        <w:t>189</w:t>
      </w:r>
    </w:p>
  </w:footnote>
  <w:footnote w:id="11">
    <w:p w14:paraId="0D13B92B" w14:textId="2A88CF1A" w:rsidR="0021575A" w:rsidRDefault="0021575A">
      <w:pPr>
        <w:pStyle w:val="FootnoteText"/>
      </w:pPr>
      <w:r>
        <w:rPr>
          <w:rStyle w:val="FootnoteReference"/>
        </w:rPr>
        <w:footnoteRef/>
      </w:r>
      <w:r>
        <w:t xml:space="preserve"> </w:t>
      </w:r>
      <w:r w:rsidR="0070128D" w:rsidRPr="003B7BD3">
        <w:t xml:space="preserve">Tony Walter and Helen Waterhouse, 'A Very Private Belief: Reincarnation in Contemporary England' </w:t>
      </w:r>
      <w:r w:rsidR="0070128D" w:rsidRPr="003B7BD3">
        <w:rPr>
          <w:i/>
          <w:iCs/>
        </w:rPr>
        <w:t xml:space="preserve">Sociology of Religion </w:t>
      </w:r>
      <w:r w:rsidR="0070128D" w:rsidRPr="003B7BD3">
        <w:t>Vol. 60, No. 2 (Oxford University Press, 1999) p</w:t>
      </w:r>
      <w:r w:rsidR="0070128D">
        <w:t>.</w:t>
      </w:r>
      <w:r w:rsidR="0070128D" w:rsidRPr="003B7BD3">
        <w:t xml:space="preserve"> </w:t>
      </w:r>
      <w:r w:rsidR="0070128D">
        <w:t>188</w:t>
      </w:r>
    </w:p>
  </w:footnote>
  <w:footnote w:id="12">
    <w:p w14:paraId="2A1BC618" w14:textId="3BE3C140" w:rsidR="0070128D" w:rsidRDefault="0070128D">
      <w:pPr>
        <w:pStyle w:val="FootnoteText"/>
      </w:pPr>
      <w:r>
        <w:rPr>
          <w:rStyle w:val="FootnoteReference"/>
        </w:rPr>
        <w:footnoteRef/>
      </w:r>
      <w:r>
        <w:t xml:space="preserve"> </w:t>
      </w:r>
      <w:r w:rsidRPr="003B7BD3">
        <w:t>Walter and Waterhouse, 'A Very Private Belief</w:t>
      </w:r>
      <w:r w:rsidR="00D21841">
        <w:t>'</w:t>
      </w:r>
      <w:r w:rsidRPr="003B7BD3">
        <w:t xml:space="preserve"> p</w:t>
      </w:r>
      <w:r>
        <w:t>.</w:t>
      </w:r>
      <w:r w:rsidRPr="003B7BD3">
        <w:t xml:space="preserve"> </w:t>
      </w:r>
      <w:r>
        <w:t>189</w:t>
      </w:r>
    </w:p>
  </w:footnote>
  <w:footnote w:id="13">
    <w:p w14:paraId="046E0572" w14:textId="3969EB9A" w:rsidR="0070128D" w:rsidRDefault="0070128D">
      <w:pPr>
        <w:pStyle w:val="FootnoteText"/>
      </w:pPr>
      <w:r>
        <w:rPr>
          <w:rStyle w:val="FootnoteReference"/>
        </w:rPr>
        <w:footnoteRef/>
      </w:r>
      <w:r>
        <w:t xml:space="preserve"> </w:t>
      </w:r>
      <w:r w:rsidRPr="003B7BD3">
        <w:t>Walter and Waterhouse, 'A Very Private Belief</w:t>
      </w:r>
      <w:r w:rsidR="00D21841">
        <w:t xml:space="preserve">' </w:t>
      </w:r>
      <w:r w:rsidRPr="003B7BD3">
        <w:t>p</w:t>
      </w:r>
      <w:r>
        <w:t>.</w:t>
      </w:r>
      <w:r w:rsidRPr="003B7BD3">
        <w:t xml:space="preserve"> </w:t>
      </w:r>
      <w:r>
        <w:t>189</w:t>
      </w:r>
    </w:p>
  </w:footnote>
  <w:footnote w:id="14">
    <w:p w14:paraId="7E483D11" w14:textId="29A5ECC3" w:rsidR="00921E94" w:rsidRDefault="00921E94">
      <w:pPr>
        <w:pStyle w:val="FootnoteText"/>
      </w:pPr>
      <w:r>
        <w:rPr>
          <w:rStyle w:val="FootnoteReference"/>
        </w:rPr>
        <w:footnoteRef/>
      </w:r>
      <w:r>
        <w:t xml:space="preserve"> </w:t>
      </w:r>
      <w:r w:rsidR="0070128D" w:rsidRPr="003B7BD3">
        <w:t xml:space="preserve">Walter </w:t>
      </w:r>
      <w:r w:rsidR="00D21841">
        <w:t xml:space="preserve">and </w:t>
      </w:r>
      <w:r w:rsidR="0070128D" w:rsidRPr="003B7BD3">
        <w:t>Waterhouse, 'A Very Private Belief</w:t>
      </w:r>
      <w:r w:rsidR="00D21841">
        <w:t xml:space="preserve">' </w:t>
      </w:r>
      <w:r w:rsidR="0070128D" w:rsidRPr="003B7BD3">
        <w:t>p</w:t>
      </w:r>
      <w:r w:rsidR="0070128D">
        <w:t>.</w:t>
      </w:r>
      <w:r w:rsidR="0070128D" w:rsidRPr="003B7BD3">
        <w:t xml:space="preserve"> </w:t>
      </w:r>
      <w:r w:rsidR="0070128D">
        <w:t>192</w:t>
      </w:r>
    </w:p>
  </w:footnote>
  <w:footnote w:id="15">
    <w:p w14:paraId="7B5BE1BD" w14:textId="50059BEA" w:rsidR="0021575A" w:rsidRDefault="0021575A">
      <w:pPr>
        <w:pStyle w:val="FootnoteText"/>
      </w:pPr>
      <w:r>
        <w:rPr>
          <w:rStyle w:val="FootnoteReference"/>
        </w:rPr>
        <w:footnoteRef/>
      </w:r>
      <w:r>
        <w:t xml:space="preserve"> </w:t>
      </w:r>
      <w:r w:rsidR="0070128D" w:rsidRPr="003B7BD3">
        <w:t xml:space="preserve">T.L. Brink, 'Inconsistency of Belief among Roman Catholic Girls: Concerning Religion, Astrology, Reincarnation,' </w:t>
      </w:r>
      <w:r w:rsidR="0070128D" w:rsidRPr="003B7BD3">
        <w:rPr>
          <w:i/>
          <w:iCs/>
        </w:rPr>
        <w:t xml:space="preserve">Review of Religious Research, </w:t>
      </w:r>
      <w:r w:rsidR="0070128D" w:rsidRPr="003B7BD3">
        <w:t>Vol 20, No. 1 (Springer, 1978) p</w:t>
      </w:r>
      <w:r w:rsidR="0070128D">
        <w:t>. 84</w:t>
      </w:r>
    </w:p>
  </w:footnote>
  <w:footnote w:id="16">
    <w:p w14:paraId="47C3A2EF" w14:textId="0D929382" w:rsidR="006C2BCC" w:rsidRPr="00DE4725" w:rsidRDefault="006C2BCC">
      <w:pPr>
        <w:pStyle w:val="FootnoteText"/>
      </w:pPr>
      <w:r w:rsidRPr="00DE4725">
        <w:rPr>
          <w:rStyle w:val="FootnoteReference"/>
        </w:rPr>
        <w:footnoteRef/>
      </w:r>
      <w:r w:rsidRPr="00DE4725">
        <w:t xml:space="preserve"> Alan Bryman </w:t>
      </w:r>
      <w:r w:rsidRPr="00DE4725">
        <w:rPr>
          <w:i/>
          <w:iCs/>
        </w:rPr>
        <w:t>'Quantity and Quality in Social Researc</w:t>
      </w:r>
      <w:r w:rsidR="00EB73D9" w:rsidRPr="00DE4725">
        <w:rPr>
          <w:i/>
          <w:iCs/>
        </w:rPr>
        <w:t>h</w:t>
      </w:r>
      <w:r w:rsidRPr="00DE4725">
        <w:rPr>
          <w:i/>
          <w:iCs/>
        </w:rPr>
        <w:t>.</w:t>
      </w:r>
      <w:r w:rsidRPr="00DE4725">
        <w:t>' (Routledge, 1988) p. 14</w:t>
      </w:r>
    </w:p>
  </w:footnote>
  <w:footnote w:id="17">
    <w:p w14:paraId="23DC5692" w14:textId="0D66DC89" w:rsidR="00DE4725" w:rsidRPr="00DE4725" w:rsidRDefault="00DE4725" w:rsidP="00DE4725">
      <w:pPr>
        <w:rPr>
          <w:bCs/>
          <w:sz w:val="20"/>
          <w:szCs w:val="20"/>
        </w:rPr>
      </w:pPr>
      <w:r w:rsidRPr="00DE4725">
        <w:rPr>
          <w:rStyle w:val="FootnoteReference"/>
          <w:sz w:val="20"/>
          <w:szCs w:val="20"/>
        </w:rPr>
        <w:footnoteRef/>
      </w:r>
      <w:r w:rsidRPr="00DE4725">
        <w:rPr>
          <w:sz w:val="20"/>
          <w:szCs w:val="20"/>
        </w:rPr>
        <w:t xml:space="preserve"> </w:t>
      </w:r>
      <w:r w:rsidRPr="00DE4725">
        <w:rPr>
          <w:bCs/>
          <w:sz w:val="20"/>
          <w:szCs w:val="20"/>
        </w:rPr>
        <w:t xml:space="preserve">Nicholas Campion, </w:t>
      </w:r>
      <w:r w:rsidRPr="00EB73D9">
        <w:rPr>
          <w:bCs/>
          <w:sz w:val="20"/>
          <w:szCs w:val="20"/>
        </w:rPr>
        <w:t>Ch. 8. Reasons for Belief in Astrology</w:t>
      </w:r>
      <w:r w:rsidRPr="00DE4725">
        <w:rPr>
          <w:bCs/>
          <w:sz w:val="20"/>
          <w:szCs w:val="20"/>
        </w:rPr>
        <w:t>, '</w:t>
      </w:r>
      <w:r w:rsidRPr="00DE4725">
        <w:rPr>
          <w:i/>
          <w:iCs/>
          <w:sz w:val="20"/>
          <w:szCs w:val="20"/>
        </w:rPr>
        <w:t xml:space="preserve">Prophecy Cosmology and the New Age Movement. </w:t>
      </w:r>
      <w:r w:rsidRPr="00EB73D9">
        <w:rPr>
          <w:i/>
          <w:iCs/>
          <w:sz w:val="20"/>
          <w:szCs w:val="20"/>
        </w:rPr>
        <w:t>The Extent and Nature of Contemporary Belief in Astrology</w:t>
      </w:r>
      <w:r w:rsidRPr="00DE4725">
        <w:rPr>
          <w:i/>
          <w:iCs/>
          <w:sz w:val="20"/>
          <w:szCs w:val="20"/>
        </w:rPr>
        <w:t>.'</w:t>
      </w:r>
      <w:r w:rsidRPr="00DE4725">
        <w:rPr>
          <w:bCs/>
          <w:sz w:val="20"/>
          <w:szCs w:val="20"/>
        </w:rPr>
        <w:t xml:space="preserve"> (Doctoral Thesis, </w:t>
      </w:r>
      <w:r w:rsidRPr="00EB73D9">
        <w:rPr>
          <w:bCs/>
          <w:sz w:val="20"/>
          <w:szCs w:val="20"/>
        </w:rPr>
        <w:t>Bath Spa University College</w:t>
      </w:r>
      <w:r w:rsidRPr="00DE4725">
        <w:rPr>
          <w:bCs/>
          <w:sz w:val="20"/>
          <w:szCs w:val="20"/>
        </w:rPr>
        <w:t>, 2004) p.155</w:t>
      </w:r>
    </w:p>
  </w:footnote>
  <w:footnote w:id="18">
    <w:p w14:paraId="6D570A5A" w14:textId="6A5449E8" w:rsidR="00B261AE" w:rsidRPr="00DE4725" w:rsidRDefault="00B261AE">
      <w:pPr>
        <w:pStyle w:val="FootnoteText"/>
      </w:pPr>
      <w:r w:rsidRPr="00DE4725">
        <w:rPr>
          <w:rStyle w:val="FootnoteReference"/>
        </w:rPr>
        <w:footnoteRef/>
      </w:r>
      <w:r w:rsidRPr="00DE4725">
        <w:t xml:space="preserve"> </w:t>
      </w:r>
      <w:r w:rsidRPr="00DE4725">
        <w:rPr>
          <w:bCs/>
        </w:rPr>
        <w:t>T.L. Brink, '</w:t>
      </w:r>
      <w:r w:rsidRPr="00DE4725">
        <w:rPr>
          <w:bCs/>
          <w:i/>
          <w:iCs/>
        </w:rPr>
        <w:t xml:space="preserve">Questionnaires: Practical Hints on How to Avoid Mistakes in Design and Interpretation' </w:t>
      </w:r>
      <w:r w:rsidRPr="00DE4725">
        <w:rPr>
          <w:bCs/>
        </w:rPr>
        <w:t>(Missouri, USA: Heuristic Books. 2004) p. 11</w:t>
      </w:r>
    </w:p>
  </w:footnote>
  <w:footnote w:id="19">
    <w:p w14:paraId="40678A10" w14:textId="5123C149" w:rsidR="00DE4725" w:rsidRDefault="00DE4725">
      <w:pPr>
        <w:pStyle w:val="FootnoteText"/>
      </w:pPr>
      <w:r>
        <w:rPr>
          <w:rStyle w:val="FootnoteReference"/>
        </w:rPr>
        <w:footnoteRef/>
      </w:r>
      <w:r>
        <w:t xml:space="preserve"> </w:t>
      </w:r>
      <w:r w:rsidRPr="00DE4725">
        <w:t xml:space="preserve">Alan Bryman </w:t>
      </w:r>
      <w:r w:rsidRPr="00DE4725">
        <w:rPr>
          <w:i/>
          <w:iCs/>
        </w:rPr>
        <w:t xml:space="preserve">'Quantity and Quality in Social Research' </w:t>
      </w:r>
      <w:r w:rsidRPr="00DE4725">
        <w:t>(Routledge, 1988) p. 1</w:t>
      </w:r>
      <w:r>
        <w:t>40</w:t>
      </w:r>
    </w:p>
  </w:footnote>
  <w:footnote w:id="20">
    <w:p w14:paraId="14BC102B" w14:textId="28589C76" w:rsidR="00DE4725" w:rsidRDefault="00DE4725">
      <w:pPr>
        <w:pStyle w:val="FootnoteText"/>
      </w:pPr>
      <w:r>
        <w:rPr>
          <w:rStyle w:val="FootnoteReference"/>
        </w:rPr>
        <w:footnoteRef/>
      </w:r>
      <w:r>
        <w:t xml:space="preserve"> Clifford Geertz and Robert Darnton Ch. 1 </w:t>
      </w:r>
      <w:r w:rsidRPr="00DE4725">
        <w:t>Thick Description: Toward an Interpretive Theory of Culture</w:t>
      </w:r>
      <w:r>
        <w:t xml:space="preserve"> '</w:t>
      </w:r>
      <w:r w:rsidRPr="00DE4725">
        <w:rPr>
          <w:i/>
          <w:iCs/>
        </w:rPr>
        <w:t>The Interpretation of Cultures: Selected Essays</w:t>
      </w:r>
      <w:r>
        <w:rPr>
          <w:i/>
          <w:iCs/>
        </w:rPr>
        <w:t>,'</w:t>
      </w:r>
      <w:r>
        <w:t xml:space="preserve"> (Basic Books, 1973) p. 6, p. 9</w:t>
      </w:r>
    </w:p>
  </w:footnote>
  <w:footnote w:id="21">
    <w:p w14:paraId="6AABCE28" w14:textId="326D27A9" w:rsidR="0019270A" w:rsidRDefault="0019270A">
      <w:pPr>
        <w:pStyle w:val="FootnoteText"/>
      </w:pPr>
      <w:r>
        <w:rPr>
          <w:rStyle w:val="FootnoteReference"/>
        </w:rPr>
        <w:footnoteRef/>
      </w:r>
      <w:r>
        <w:t xml:space="preserve"> Monique </w:t>
      </w:r>
      <w:proofErr w:type="spellStart"/>
      <w:r>
        <w:t>Hennink</w:t>
      </w:r>
      <w:proofErr w:type="spellEnd"/>
      <w:r>
        <w:t xml:space="preserve">, Inge </w:t>
      </w:r>
      <w:proofErr w:type="spellStart"/>
      <w:r>
        <w:t>Hutter</w:t>
      </w:r>
      <w:proofErr w:type="spellEnd"/>
      <w:r>
        <w:t xml:space="preserve">, Ajay Bailey </w:t>
      </w:r>
      <w:r w:rsidRPr="00212E9C">
        <w:rPr>
          <w:i/>
          <w:iCs/>
        </w:rPr>
        <w:t>'Qualitative Research Methods</w:t>
      </w:r>
      <w:r>
        <w:rPr>
          <w:i/>
          <w:iCs/>
        </w:rPr>
        <w:t xml:space="preserve"> - 2E' </w:t>
      </w:r>
      <w:r w:rsidRPr="00212E9C">
        <w:t>(</w:t>
      </w:r>
      <w:r>
        <w:t>London, Sage, 2020) p. 71</w:t>
      </w:r>
    </w:p>
  </w:footnote>
  <w:footnote w:id="22">
    <w:p w14:paraId="097B7BE2" w14:textId="207FFEC0" w:rsidR="0070128D" w:rsidRDefault="0070128D">
      <w:pPr>
        <w:pStyle w:val="FootnoteText"/>
      </w:pPr>
      <w:r>
        <w:rPr>
          <w:rStyle w:val="FootnoteReference"/>
        </w:rPr>
        <w:footnoteRef/>
      </w:r>
      <w:r>
        <w:t xml:space="preserve"> U.S. Department of Health and Human Services </w:t>
      </w:r>
      <w:proofErr w:type="gramStart"/>
      <w:r w:rsidRPr="0070128D">
        <w:rPr>
          <w:i/>
          <w:iCs/>
        </w:rPr>
        <w:t>The</w:t>
      </w:r>
      <w:proofErr w:type="gramEnd"/>
      <w:r w:rsidRPr="0070128D">
        <w:rPr>
          <w:i/>
          <w:iCs/>
        </w:rPr>
        <w:t xml:space="preserve"> Belmont Report</w:t>
      </w:r>
      <w:r>
        <w:rPr>
          <w:i/>
          <w:iCs/>
        </w:rPr>
        <w:t xml:space="preserve"> </w:t>
      </w:r>
      <w:r w:rsidRPr="0070128D">
        <w:t>&lt; https://www.hhs.gov/ohrp/regulations-and-policy/belmont-report/read-the-belmont-report/index.html&gt; [accessed 04.03.25]</w:t>
      </w:r>
    </w:p>
  </w:footnote>
  <w:footnote w:id="23">
    <w:p w14:paraId="17B8CE45" w14:textId="77777777" w:rsidR="00841C9C" w:rsidRDefault="00841C9C" w:rsidP="00841C9C">
      <w:pPr>
        <w:pStyle w:val="FootnoteText"/>
      </w:pPr>
      <w:r>
        <w:rPr>
          <w:rStyle w:val="FootnoteReference"/>
        </w:rPr>
        <w:footnoteRef/>
      </w:r>
      <w:r>
        <w:t xml:space="preserve"> Monique </w:t>
      </w:r>
      <w:proofErr w:type="spellStart"/>
      <w:r>
        <w:t>Hennink</w:t>
      </w:r>
      <w:proofErr w:type="spellEnd"/>
      <w:r>
        <w:t xml:space="preserve">, Inge </w:t>
      </w:r>
      <w:proofErr w:type="spellStart"/>
      <w:r>
        <w:t>Hutter</w:t>
      </w:r>
      <w:proofErr w:type="spellEnd"/>
      <w:r>
        <w:t xml:space="preserve">, Ajay Bailey </w:t>
      </w:r>
      <w:r w:rsidRPr="00212E9C">
        <w:rPr>
          <w:i/>
          <w:iCs/>
        </w:rPr>
        <w:t>'Qualitative Research Methods</w:t>
      </w:r>
      <w:r>
        <w:rPr>
          <w:i/>
          <w:iCs/>
        </w:rPr>
        <w:t xml:space="preserve"> - 2E' </w:t>
      </w:r>
      <w:r w:rsidRPr="00212E9C">
        <w:t>(</w:t>
      </w:r>
      <w:r>
        <w:t>London, Sage, 2020) p. 71</w:t>
      </w:r>
    </w:p>
  </w:footnote>
  <w:footnote w:id="24">
    <w:p w14:paraId="09AC039B" w14:textId="77777777" w:rsidR="0021575A" w:rsidRDefault="0021575A" w:rsidP="0021575A">
      <w:pPr>
        <w:pStyle w:val="FootnoteText"/>
      </w:pPr>
      <w:r>
        <w:rPr>
          <w:rStyle w:val="FootnoteReference"/>
        </w:rPr>
        <w:footnoteRef/>
      </w:r>
      <w:r>
        <w:t xml:space="preserve"> Monique </w:t>
      </w:r>
      <w:proofErr w:type="spellStart"/>
      <w:r>
        <w:t>Hennink</w:t>
      </w:r>
      <w:proofErr w:type="spellEnd"/>
      <w:r>
        <w:t xml:space="preserve">, Inge </w:t>
      </w:r>
      <w:proofErr w:type="spellStart"/>
      <w:r>
        <w:t>Hutter</w:t>
      </w:r>
      <w:proofErr w:type="spellEnd"/>
      <w:r>
        <w:t xml:space="preserve">, Ajay Bailey </w:t>
      </w:r>
      <w:r w:rsidRPr="00212E9C">
        <w:rPr>
          <w:i/>
          <w:iCs/>
        </w:rPr>
        <w:t>'Qualitative Research Methods</w:t>
      </w:r>
      <w:r>
        <w:rPr>
          <w:i/>
          <w:iCs/>
        </w:rPr>
        <w:t xml:space="preserve"> - 2E' </w:t>
      </w:r>
      <w:r w:rsidRPr="00212E9C">
        <w:t>(</w:t>
      </w:r>
      <w:r>
        <w:t>London, Sage, 2020) p. 20</w:t>
      </w:r>
    </w:p>
  </w:footnote>
  <w:footnote w:id="25">
    <w:p w14:paraId="0576871C" w14:textId="649A8D32" w:rsidR="00B261AE" w:rsidRPr="00212E9C" w:rsidRDefault="00B261AE" w:rsidP="00212E9C">
      <w:pPr>
        <w:rPr>
          <w:bCs/>
          <w:sz w:val="20"/>
          <w:szCs w:val="20"/>
        </w:rPr>
      </w:pPr>
      <w:r w:rsidRPr="00B261AE">
        <w:rPr>
          <w:rStyle w:val="FootnoteReference"/>
          <w:sz w:val="20"/>
          <w:szCs w:val="20"/>
        </w:rPr>
        <w:footnoteRef/>
      </w:r>
      <w:r w:rsidRPr="00B261AE">
        <w:rPr>
          <w:sz w:val="20"/>
          <w:szCs w:val="20"/>
        </w:rPr>
        <w:t xml:space="preserve"> </w:t>
      </w:r>
      <w:r w:rsidRPr="00B261AE">
        <w:rPr>
          <w:bCs/>
          <w:sz w:val="20"/>
          <w:szCs w:val="20"/>
        </w:rPr>
        <w:t xml:space="preserve">T.L. Brink, 'History and Depth Psychology: Some Reconsiderations' </w:t>
      </w:r>
      <w:r w:rsidRPr="00B261AE">
        <w:rPr>
          <w:bCs/>
          <w:i/>
          <w:iCs/>
          <w:sz w:val="20"/>
          <w:szCs w:val="20"/>
        </w:rPr>
        <w:t>The Historian</w:t>
      </w:r>
      <w:r w:rsidRPr="00B261AE">
        <w:rPr>
          <w:bCs/>
          <w:sz w:val="20"/>
          <w:szCs w:val="20"/>
        </w:rPr>
        <w:t>, Vol. 41, No. 4 (Taylor &amp; Francis, Ltd. 1979) pp. 741</w:t>
      </w:r>
    </w:p>
  </w:footnote>
  <w:footnote w:id="26">
    <w:p w14:paraId="4367EB8F" w14:textId="5B3D2390" w:rsidR="00212E9C" w:rsidRDefault="00212E9C">
      <w:pPr>
        <w:pStyle w:val="FootnoteText"/>
      </w:pPr>
      <w:r>
        <w:rPr>
          <w:rStyle w:val="FootnoteReference"/>
        </w:rPr>
        <w:footnoteRef/>
      </w:r>
      <w:r>
        <w:t xml:space="preserve"> </w:t>
      </w:r>
      <w:r w:rsidR="0070128D" w:rsidRPr="003B7BD3">
        <w:t xml:space="preserve">Tony Walter and Helen Waterhouse, 'A Very Private Belief: Reincarnation in Contemporary England' </w:t>
      </w:r>
      <w:r w:rsidR="0070128D" w:rsidRPr="003B7BD3">
        <w:rPr>
          <w:i/>
          <w:iCs/>
        </w:rPr>
        <w:t xml:space="preserve">Sociology of Religion </w:t>
      </w:r>
      <w:r w:rsidR="0070128D" w:rsidRPr="003B7BD3">
        <w:t>Vol. 60, No. 2 (Oxford University Press, 1999) p</w:t>
      </w:r>
      <w:r w:rsidR="0070128D">
        <w:t>.</w:t>
      </w:r>
      <w:r w:rsidR="0070128D" w:rsidRPr="003B7BD3">
        <w:t xml:space="preserve"> </w:t>
      </w:r>
      <w:r w:rsidR="0070128D">
        <w:t>189</w:t>
      </w:r>
    </w:p>
  </w:footnote>
  <w:footnote w:id="27">
    <w:p w14:paraId="5EBA1958" w14:textId="0E126FFD" w:rsidR="0021575A" w:rsidRDefault="0021575A">
      <w:pPr>
        <w:pStyle w:val="FootnoteText"/>
      </w:pPr>
      <w:r>
        <w:rPr>
          <w:rStyle w:val="FootnoteReference"/>
        </w:rPr>
        <w:footnoteRef/>
      </w:r>
      <w:r>
        <w:t xml:space="preserve"> </w:t>
      </w:r>
      <w:r w:rsidR="0070128D" w:rsidRPr="00DE4725">
        <w:t xml:space="preserve">Alan Bryman </w:t>
      </w:r>
      <w:r w:rsidR="0070128D" w:rsidRPr="00DE4725">
        <w:rPr>
          <w:i/>
          <w:iCs/>
        </w:rPr>
        <w:t xml:space="preserve">'Quantity and Quality in Social Research' </w:t>
      </w:r>
      <w:r w:rsidR="0070128D" w:rsidRPr="00DE4725">
        <w:t>(Routledge, 1988) p. 1</w:t>
      </w:r>
      <w:r w:rsidR="0070128D">
        <w:t>40</w:t>
      </w:r>
    </w:p>
  </w:footnote>
  <w:footnote w:id="28">
    <w:p w14:paraId="4396EDEC" w14:textId="0DF5C52F" w:rsidR="00C63357" w:rsidRDefault="00C63357">
      <w:pPr>
        <w:pStyle w:val="FootnoteText"/>
      </w:pPr>
      <w:r>
        <w:rPr>
          <w:rStyle w:val="FootnoteReference"/>
        </w:rPr>
        <w:footnoteRef/>
      </w:r>
      <w:r>
        <w:t xml:space="preserve"> </w:t>
      </w:r>
      <w:r w:rsidRPr="003B7BD3">
        <w:t xml:space="preserve">T.L. Brink, 'Inconsistency of Belief among Roman Catholic Girls: Concerning Religion, Astrology, Reincarnation,' </w:t>
      </w:r>
      <w:r w:rsidRPr="003B7BD3">
        <w:rPr>
          <w:i/>
          <w:iCs/>
        </w:rPr>
        <w:t xml:space="preserve">Review of Religious Research, </w:t>
      </w:r>
      <w:r w:rsidRPr="003B7BD3">
        <w:t>Vol 20, No. 1 (Springer, 1978) p</w:t>
      </w:r>
      <w:r>
        <w:t>. 83</w:t>
      </w:r>
    </w:p>
  </w:footnote>
  <w:footnote w:id="29">
    <w:p w14:paraId="6EDC7835" w14:textId="177EBBF2" w:rsidR="00C63357" w:rsidRDefault="00C63357">
      <w:pPr>
        <w:pStyle w:val="FootnoteText"/>
      </w:pPr>
      <w:r>
        <w:rPr>
          <w:rStyle w:val="FootnoteReference"/>
        </w:rPr>
        <w:footnoteRef/>
      </w:r>
      <w:r>
        <w:t xml:space="preserve"> </w:t>
      </w:r>
      <w:r w:rsidRPr="003B7BD3">
        <w:t xml:space="preserve">Tony Walter and Helen Waterhouse, 'A Very Private Belief: Reincarnation in Contemporary England' </w:t>
      </w:r>
      <w:r w:rsidRPr="003B7BD3">
        <w:rPr>
          <w:i/>
          <w:iCs/>
        </w:rPr>
        <w:t xml:space="preserve">Sociology of Religion </w:t>
      </w:r>
      <w:r w:rsidRPr="003B7BD3">
        <w:t>Vol. 60, No. 2 (Oxford University Press, 1999) p</w:t>
      </w:r>
      <w:r>
        <w:t>.189</w:t>
      </w:r>
      <w:r w:rsidRPr="003B7BD3">
        <w:t xml:space="preserve"> </w:t>
      </w:r>
    </w:p>
  </w:footnote>
  <w:footnote w:id="30">
    <w:p w14:paraId="29524A6B" w14:textId="10D960F4" w:rsidR="00362318" w:rsidRDefault="00362318">
      <w:pPr>
        <w:pStyle w:val="FootnoteText"/>
      </w:pPr>
      <w:r>
        <w:rPr>
          <w:rStyle w:val="FootnoteReference"/>
        </w:rPr>
        <w:footnoteRef/>
      </w:r>
      <w:r>
        <w:t xml:space="preserve"> </w:t>
      </w:r>
      <w:r w:rsidR="0070128D">
        <w:t xml:space="preserve">Clifford Geertz and Robert Darnton Ch. 1 </w:t>
      </w:r>
      <w:r w:rsidR="0070128D" w:rsidRPr="00DE4725">
        <w:t>Thick Description: Toward an Interpretive Theory of Culture</w:t>
      </w:r>
      <w:r w:rsidR="0070128D">
        <w:t xml:space="preserve"> '</w:t>
      </w:r>
      <w:r w:rsidR="0070128D" w:rsidRPr="00DE4725">
        <w:rPr>
          <w:i/>
          <w:iCs/>
        </w:rPr>
        <w:t>The Interpretation of Cultures: Selected Essays</w:t>
      </w:r>
      <w:r w:rsidR="0070128D">
        <w:rPr>
          <w:i/>
          <w:iCs/>
        </w:rPr>
        <w:t>,'</w:t>
      </w:r>
      <w:r w:rsidR="0070128D">
        <w:t xml:space="preserve"> (Basic Books, 1973) p. 6, p. 9</w:t>
      </w:r>
    </w:p>
  </w:footnote>
  <w:footnote w:id="31">
    <w:p w14:paraId="71D1F759" w14:textId="4929AA04" w:rsidR="0070128D" w:rsidRPr="0070128D" w:rsidRDefault="0070128D" w:rsidP="0070128D">
      <w:pPr>
        <w:rPr>
          <w:bCs/>
          <w:color w:val="000000" w:themeColor="text1"/>
          <w:sz w:val="20"/>
          <w:szCs w:val="22"/>
        </w:rPr>
      </w:pPr>
      <w:r>
        <w:rPr>
          <w:rStyle w:val="FootnoteReference"/>
        </w:rPr>
        <w:footnoteRef/>
      </w:r>
      <w:r>
        <w:t xml:space="preserve"> </w:t>
      </w:r>
      <w:r w:rsidRPr="0070128D">
        <w:rPr>
          <w:sz w:val="20"/>
        </w:rPr>
        <w:t xml:space="preserve">Tony Walter and Helen Waterhouse, 'A Very Private Belief: Reincarnation in Contemporary England' </w:t>
      </w:r>
      <w:r w:rsidRPr="0070128D">
        <w:rPr>
          <w:i/>
          <w:iCs/>
          <w:sz w:val="20"/>
        </w:rPr>
        <w:t xml:space="preserve">Sociology of Religion </w:t>
      </w:r>
      <w:r w:rsidRPr="0070128D">
        <w:rPr>
          <w:sz w:val="20"/>
        </w:rPr>
        <w:t>Vol. 60, No. 2 (Oxford University Press, 1999) p</w:t>
      </w:r>
      <w:r>
        <w:rPr>
          <w:sz w:val="20"/>
        </w:rPr>
        <w:t>. 187</w:t>
      </w:r>
    </w:p>
  </w:footnote>
  <w:footnote w:id="32">
    <w:p w14:paraId="77DEC750" w14:textId="63C519FB" w:rsidR="0070128D" w:rsidRPr="0070128D" w:rsidRDefault="0070128D" w:rsidP="0070128D">
      <w:pPr>
        <w:rPr>
          <w:bCs/>
          <w:color w:val="000000" w:themeColor="text1"/>
          <w:sz w:val="20"/>
          <w:szCs w:val="22"/>
        </w:rPr>
      </w:pPr>
      <w:r>
        <w:rPr>
          <w:rStyle w:val="FootnoteReference"/>
        </w:rPr>
        <w:footnoteRef/>
      </w:r>
      <w:r>
        <w:t xml:space="preserve"> </w:t>
      </w:r>
      <w:r w:rsidRPr="0070128D">
        <w:rPr>
          <w:sz w:val="20"/>
        </w:rPr>
        <w:t xml:space="preserve">Tony Walter and Helen Waterhouse, 'A Very Private Belief: Reincarnation in Contemporary England' </w:t>
      </w:r>
      <w:r w:rsidRPr="0070128D">
        <w:rPr>
          <w:i/>
          <w:iCs/>
          <w:sz w:val="20"/>
        </w:rPr>
        <w:t xml:space="preserve">Sociology of Religion </w:t>
      </w:r>
      <w:r w:rsidRPr="0070128D">
        <w:rPr>
          <w:sz w:val="20"/>
        </w:rPr>
        <w:t>Vol. 60, No. 2 (Oxford University Press, 1999) p</w:t>
      </w:r>
      <w:r>
        <w:rPr>
          <w:sz w:val="20"/>
        </w:rPr>
        <w:t>. 196</w:t>
      </w:r>
    </w:p>
  </w:footnote>
  <w:footnote w:id="33">
    <w:p w14:paraId="4240960F" w14:textId="114DC6B4" w:rsidR="0048398A" w:rsidRDefault="0048398A">
      <w:pPr>
        <w:pStyle w:val="FootnoteText"/>
      </w:pPr>
      <w:r>
        <w:rPr>
          <w:rStyle w:val="FootnoteReference"/>
        </w:rPr>
        <w:footnoteRef/>
      </w:r>
      <w:r>
        <w:t xml:space="preserve"> </w:t>
      </w:r>
      <w:r w:rsidR="0070128D" w:rsidRPr="0070128D">
        <w:t>Walter and Waterhouse, 'A Very Private Belief</w:t>
      </w:r>
      <w:r w:rsidR="00D21841">
        <w:t>'</w:t>
      </w:r>
      <w:r w:rsidR="0070128D" w:rsidRPr="0070128D">
        <w:t xml:space="preserve"> p</w:t>
      </w:r>
      <w:r w:rsidR="0070128D">
        <w:t>. 196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166EF6" w14:textId="4545AEB8" w:rsidR="00D91074" w:rsidRPr="00D91074" w:rsidRDefault="00D91074">
    <w:pPr>
      <w:pStyle w:val="Header"/>
      <w:rPr>
        <w:sz w:val="20"/>
      </w:rPr>
    </w:pPr>
    <w:r>
      <w:rPr>
        <w:sz w:val="20"/>
      </w:rPr>
      <w:tab/>
    </w:r>
    <w:r>
      <w:rPr>
        <w:sz w:val="20"/>
      </w:rPr>
      <w:tab/>
    </w:r>
    <w:r w:rsidRPr="00D91074">
      <w:rPr>
        <w:sz w:val="20"/>
      </w:rPr>
      <w:t>Daisy Plummer - HPCA7016 - Essay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F3B"/>
    <w:rsid w:val="000C1474"/>
    <w:rsid w:val="00134CA2"/>
    <w:rsid w:val="00162BAA"/>
    <w:rsid w:val="0019270A"/>
    <w:rsid w:val="001C44A7"/>
    <w:rsid w:val="001E37B4"/>
    <w:rsid w:val="001F50BB"/>
    <w:rsid w:val="00212E9C"/>
    <w:rsid w:val="0021575A"/>
    <w:rsid w:val="00253543"/>
    <w:rsid w:val="00286ECC"/>
    <w:rsid w:val="00293F3D"/>
    <w:rsid w:val="002C2051"/>
    <w:rsid w:val="002E2CCC"/>
    <w:rsid w:val="002E3D6C"/>
    <w:rsid w:val="003334D1"/>
    <w:rsid w:val="00362318"/>
    <w:rsid w:val="003B7BD3"/>
    <w:rsid w:val="00453382"/>
    <w:rsid w:val="00460843"/>
    <w:rsid w:val="0048398A"/>
    <w:rsid w:val="004D2E1A"/>
    <w:rsid w:val="004D57DD"/>
    <w:rsid w:val="00504825"/>
    <w:rsid w:val="00546FB4"/>
    <w:rsid w:val="006C2BCC"/>
    <w:rsid w:val="006F2ECE"/>
    <w:rsid w:val="0070128D"/>
    <w:rsid w:val="00784CF0"/>
    <w:rsid w:val="007B74B6"/>
    <w:rsid w:val="00812F9B"/>
    <w:rsid w:val="008200F3"/>
    <w:rsid w:val="00835239"/>
    <w:rsid w:val="008415E3"/>
    <w:rsid w:val="00841C9C"/>
    <w:rsid w:val="00861FA6"/>
    <w:rsid w:val="00921E94"/>
    <w:rsid w:val="009710D1"/>
    <w:rsid w:val="00976EC7"/>
    <w:rsid w:val="00984BBB"/>
    <w:rsid w:val="00A42A30"/>
    <w:rsid w:val="00A65DD4"/>
    <w:rsid w:val="00A9658D"/>
    <w:rsid w:val="00AA1073"/>
    <w:rsid w:val="00AA611A"/>
    <w:rsid w:val="00AE0496"/>
    <w:rsid w:val="00B261AE"/>
    <w:rsid w:val="00B27713"/>
    <w:rsid w:val="00C5197A"/>
    <w:rsid w:val="00C63357"/>
    <w:rsid w:val="00CA75E8"/>
    <w:rsid w:val="00D21841"/>
    <w:rsid w:val="00D33EF9"/>
    <w:rsid w:val="00D91074"/>
    <w:rsid w:val="00DB6916"/>
    <w:rsid w:val="00DD6CFD"/>
    <w:rsid w:val="00DE4725"/>
    <w:rsid w:val="00DE7E28"/>
    <w:rsid w:val="00DF1F3B"/>
    <w:rsid w:val="00E31CB5"/>
    <w:rsid w:val="00E87148"/>
    <w:rsid w:val="00EB73D9"/>
    <w:rsid w:val="00EC75F4"/>
    <w:rsid w:val="00F17332"/>
    <w:rsid w:val="00F33DD3"/>
    <w:rsid w:val="00FA11AD"/>
    <w:rsid w:val="00FB3E4C"/>
    <w:rsid w:val="00FE5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B8632A"/>
  <w15:chartTrackingRefBased/>
  <w15:docId w15:val="{4A48A43C-EB1B-A04F-BFCF-D99DE8B96B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F3B"/>
    <w:rPr>
      <w:rFonts w:ascii="Times New Roman" w:eastAsia="SimSun" w:hAnsi="Times New Roman" w:cs="Times New Roman"/>
      <w:kern w:val="0"/>
      <w:lang w:eastAsia="zh-CN"/>
      <w14:ligatures w14:val="none"/>
    </w:rPr>
  </w:style>
  <w:style w:type="paragraph" w:styleId="Heading1">
    <w:name w:val="heading 1"/>
    <w:basedOn w:val="Normal"/>
    <w:next w:val="Normal"/>
    <w:link w:val="Heading1Char"/>
    <w:uiPriority w:val="9"/>
    <w:qFormat/>
    <w:rsid w:val="00DF1F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1F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1F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1F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1F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1F3B"/>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1F3B"/>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1F3B"/>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1F3B"/>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1F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1F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1F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1F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1F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1F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1F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1F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1F3B"/>
    <w:rPr>
      <w:rFonts w:eastAsiaTheme="majorEastAsia" w:cstheme="majorBidi"/>
      <w:color w:val="272727" w:themeColor="text1" w:themeTint="D8"/>
    </w:rPr>
  </w:style>
  <w:style w:type="paragraph" w:styleId="Title">
    <w:name w:val="Title"/>
    <w:basedOn w:val="Normal"/>
    <w:next w:val="Normal"/>
    <w:link w:val="TitleChar"/>
    <w:uiPriority w:val="10"/>
    <w:qFormat/>
    <w:rsid w:val="00DF1F3B"/>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1F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1F3B"/>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1F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1F3B"/>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DF1F3B"/>
    <w:rPr>
      <w:i/>
      <w:iCs/>
      <w:color w:val="404040" w:themeColor="text1" w:themeTint="BF"/>
    </w:rPr>
  </w:style>
  <w:style w:type="paragraph" w:styleId="ListParagraph">
    <w:name w:val="List Paragraph"/>
    <w:basedOn w:val="Normal"/>
    <w:uiPriority w:val="34"/>
    <w:qFormat/>
    <w:rsid w:val="00DF1F3B"/>
    <w:pPr>
      <w:ind w:left="720"/>
      <w:contextualSpacing/>
    </w:pPr>
  </w:style>
  <w:style w:type="character" w:styleId="IntenseEmphasis">
    <w:name w:val="Intense Emphasis"/>
    <w:basedOn w:val="DefaultParagraphFont"/>
    <w:uiPriority w:val="21"/>
    <w:qFormat/>
    <w:rsid w:val="00DF1F3B"/>
    <w:rPr>
      <w:i/>
      <w:iCs/>
      <w:color w:val="0F4761" w:themeColor="accent1" w:themeShade="BF"/>
    </w:rPr>
  </w:style>
  <w:style w:type="paragraph" w:styleId="IntenseQuote">
    <w:name w:val="Intense Quote"/>
    <w:basedOn w:val="Normal"/>
    <w:next w:val="Normal"/>
    <w:link w:val="IntenseQuoteChar"/>
    <w:uiPriority w:val="30"/>
    <w:qFormat/>
    <w:rsid w:val="00DF1F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1F3B"/>
    <w:rPr>
      <w:i/>
      <w:iCs/>
      <w:color w:val="0F4761" w:themeColor="accent1" w:themeShade="BF"/>
    </w:rPr>
  </w:style>
  <w:style w:type="character" w:styleId="IntenseReference">
    <w:name w:val="Intense Reference"/>
    <w:basedOn w:val="DefaultParagraphFont"/>
    <w:uiPriority w:val="32"/>
    <w:qFormat/>
    <w:rsid w:val="00DF1F3B"/>
    <w:rPr>
      <w:b/>
      <w:bCs/>
      <w:smallCaps/>
      <w:color w:val="0F4761" w:themeColor="accent1" w:themeShade="BF"/>
      <w:spacing w:val="5"/>
    </w:rPr>
  </w:style>
  <w:style w:type="paragraph" w:styleId="Header">
    <w:name w:val="header"/>
    <w:basedOn w:val="Normal"/>
    <w:link w:val="HeaderChar"/>
    <w:uiPriority w:val="99"/>
    <w:unhideWhenUsed/>
    <w:rsid w:val="00D91074"/>
    <w:pPr>
      <w:tabs>
        <w:tab w:val="center" w:pos="4513"/>
        <w:tab w:val="right" w:pos="9026"/>
      </w:tabs>
    </w:pPr>
  </w:style>
  <w:style w:type="character" w:customStyle="1" w:styleId="HeaderChar">
    <w:name w:val="Header Char"/>
    <w:basedOn w:val="DefaultParagraphFont"/>
    <w:link w:val="Header"/>
    <w:uiPriority w:val="99"/>
    <w:rsid w:val="00D91074"/>
    <w:rPr>
      <w:rFonts w:ascii="Times New Roman" w:eastAsia="SimSun" w:hAnsi="Times New Roman" w:cs="Times New Roman"/>
      <w:kern w:val="0"/>
      <w:lang w:eastAsia="zh-CN"/>
      <w14:ligatures w14:val="none"/>
    </w:rPr>
  </w:style>
  <w:style w:type="paragraph" w:styleId="Footer">
    <w:name w:val="footer"/>
    <w:basedOn w:val="Normal"/>
    <w:link w:val="FooterChar"/>
    <w:uiPriority w:val="99"/>
    <w:unhideWhenUsed/>
    <w:rsid w:val="00D91074"/>
    <w:pPr>
      <w:tabs>
        <w:tab w:val="center" w:pos="4513"/>
        <w:tab w:val="right" w:pos="9026"/>
      </w:tabs>
    </w:pPr>
  </w:style>
  <w:style w:type="character" w:customStyle="1" w:styleId="FooterChar">
    <w:name w:val="Footer Char"/>
    <w:basedOn w:val="DefaultParagraphFont"/>
    <w:link w:val="Footer"/>
    <w:uiPriority w:val="99"/>
    <w:rsid w:val="00D91074"/>
    <w:rPr>
      <w:rFonts w:ascii="Times New Roman" w:eastAsia="SimSun" w:hAnsi="Times New Roman" w:cs="Times New Roman"/>
      <w:kern w:val="0"/>
      <w:lang w:eastAsia="zh-CN"/>
      <w14:ligatures w14:val="none"/>
    </w:rPr>
  </w:style>
  <w:style w:type="character" w:styleId="PageNumber">
    <w:name w:val="page number"/>
    <w:basedOn w:val="DefaultParagraphFont"/>
    <w:uiPriority w:val="99"/>
    <w:semiHidden/>
    <w:unhideWhenUsed/>
    <w:rsid w:val="00D91074"/>
  </w:style>
  <w:style w:type="paragraph" w:styleId="FootnoteText">
    <w:name w:val="footnote text"/>
    <w:basedOn w:val="Normal"/>
    <w:link w:val="FootnoteTextChar"/>
    <w:uiPriority w:val="99"/>
    <w:unhideWhenUsed/>
    <w:rsid w:val="00D91074"/>
    <w:rPr>
      <w:sz w:val="20"/>
      <w:szCs w:val="20"/>
    </w:rPr>
  </w:style>
  <w:style w:type="character" w:customStyle="1" w:styleId="FootnoteTextChar">
    <w:name w:val="Footnote Text Char"/>
    <w:basedOn w:val="DefaultParagraphFont"/>
    <w:link w:val="FootnoteText"/>
    <w:uiPriority w:val="99"/>
    <w:rsid w:val="00D91074"/>
    <w:rPr>
      <w:rFonts w:ascii="Times New Roman" w:eastAsia="SimSun" w:hAnsi="Times New Roman" w:cs="Times New Roman"/>
      <w:kern w:val="0"/>
      <w:sz w:val="20"/>
      <w:szCs w:val="20"/>
      <w:lang w:eastAsia="zh-CN"/>
      <w14:ligatures w14:val="none"/>
    </w:rPr>
  </w:style>
  <w:style w:type="character" w:styleId="FootnoteReference">
    <w:name w:val="footnote reference"/>
    <w:basedOn w:val="DefaultParagraphFont"/>
    <w:uiPriority w:val="99"/>
    <w:semiHidden/>
    <w:unhideWhenUsed/>
    <w:rsid w:val="00D91074"/>
    <w:rPr>
      <w:vertAlign w:val="superscript"/>
    </w:rPr>
  </w:style>
  <w:style w:type="paragraph" w:styleId="NormalWeb">
    <w:name w:val="Normal (Web)"/>
    <w:basedOn w:val="Normal"/>
    <w:rsid w:val="008200F3"/>
    <w:pPr>
      <w:spacing w:before="100" w:beforeAutospacing="1" w:after="100" w:afterAutospacing="1"/>
    </w:pPr>
    <w:rPr>
      <w:rFonts w:ascii="Georgia" w:hAnsi="Georgia"/>
      <w:color w:val="00000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319649">
      <w:bodyDiv w:val="1"/>
      <w:marLeft w:val="0"/>
      <w:marRight w:val="0"/>
      <w:marTop w:val="0"/>
      <w:marBottom w:val="0"/>
      <w:divBdr>
        <w:top w:val="none" w:sz="0" w:space="0" w:color="auto"/>
        <w:left w:val="none" w:sz="0" w:space="0" w:color="auto"/>
        <w:bottom w:val="none" w:sz="0" w:space="0" w:color="auto"/>
        <w:right w:val="none" w:sz="0" w:space="0" w:color="auto"/>
      </w:divBdr>
    </w:div>
    <w:div w:id="43726258">
      <w:bodyDiv w:val="1"/>
      <w:marLeft w:val="0"/>
      <w:marRight w:val="0"/>
      <w:marTop w:val="0"/>
      <w:marBottom w:val="0"/>
      <w:divBdr>
        <w:top w:val="none" w:sz="0" w:space="0" w:color="auto"/>
        <w:left w:val="none" w:sz="0" w:space="0" w:color="auto"/>
        <w:bottom w:val="none" w:sz="0" w:space="0" w:color="auto"/>
        <w:right w:val="none" w:sz="0" w:space="0" w:color="auto"/>
      </w:divBdr>
    </w:div>
    <w:div w:id="121391884">
      <w:bodyDiv w:val="1"/>
      <w:marLeft w:val="0"/>
      <w:marRight w:val="0"/>
      <w:marTop w:val="0"/>
      <w:marBottom w:val="0"/>
      <w:divBdr>
        <w:top w:val="none" w:sz="0" w:space="0" w:color="auto"/>
        <w:left w:val="none" w:sz="0" w:space="0" w:color="auto"/>
        <w:bottom w:val="none" w:sz="0" w:space="0" w:color="auto"/>
        <w:right w:val="none" w:sz="0" w:space="0" w:color="auto"/>
      </w:divBdr>
    </w:div>
    <w:div w:id="179392385">
      <w:bodyDiv w:val="1"/>
      <w:marLeft w:val="0"/>
      <w:marRight w:val="0"/>
      <w:marTop w:val="0"/>
      <w:marBottom w:val="0"/>
      <w:divBdr>
        <w:top w:val="none" w:sz="0" w:space="0" w:color="auto"/>
        <w:left w:val="none" w:sz="0" w:space="0" w:color="auto"/>
        <w:bottom w:val="none" w:sz="0" w:space="0" w:color="auto"/>
        <w:right w:val="none" w:sz="0" w:space="0" w:color="auto"/>
      </w:divBdr>
    </w:div>
    <w:div w:id="188179919">
      <w:bodyDiv w:val="1"/>
      <w:marLeft w:val="0"/>
      <w:marRight w:val="0"/>
      <w:marTop w:val="0"/>
      <w:marBottom w:val="0"/>
      <w:divBdr>
        <w:top w:val="none" w:sz="0" w:space="0" w:color="auto"/>
        <w:left w:val="none" w:sz="0" w:space="0" w:color="auto"/>
        <w:bottom w:val="none" w:sz="0" w:space="0" w:color="auto"/>
        <w:right w:val="none" w:sz="0" w:space="0" w:color="auto"/>
      </w:divBdr>
    </w:div>
    <w:div w:id="238292232">
      <w:bodyDiv w:val="1"/>
      <w:marLeft w:val="0"/>
      <w:marRight w:val="0"/>
      <w:marTop w:val="0"/>
      <w:marBottom w:val="0"/>
      <w:divBdr>
        <w:top w:val="none" w:sz="0" w:space="0" w:color="auto"/>
        <w:left w:val="none" w:sz="0" w:space="0" w:color="auto"/>
        <w:bottom w:val="none" w:sz="0" w:space="0" w:color="auto"/>
        <w:right w:val="none" w:sz="0" w:space="0" w:color="auto"/>
      </w:divBdr>
    </w:div>
    <w:div w:id="316030291">
      <w:bodyDiv w:val="1"/>
      <w:marLeft w:val="0"/>
      <w:marRight w:val="0"/>
      <w:marTop w:val="0"/>
      <w:marBottom w:val="0"/>
      <w:divBdr>
        <w:top w:val="none" w:sz="0" w:space="0" w:color="auto"/>
        <w:left w:val="none" w:sz="0" w:space="0" w:color="auto"/>
        <w:bottom w:val="none" w:sz="0" w:space="0" w:color="auto"/>
        <w:right w:val="none" w:sz="0" w:space="0" w:color="auto"/>
      </w:divBdr>
    </w:div>
    <w:div w:id="445734076">
      <w:bodyDiv w:val="1"/>
      <w:marLeft w:val="0"/>
      <w:marRight w:val="0"/>
      <w:marTop w:val="0"/>
      <w:marBottom w:val="0"/>
      <w:divBdr>
        <w:top w:val="none" w:sz="0" w:space="0" w:color="auto"/>
        <w:left w:val="none" w:sz="0" w:space="0" w:color="auto"/>
        <w:bottom w:val="none" w:sz="0" w:space="0" w:color="auto"/>
        <w:right w:val="none" w:sz="0" w:space="0" w:color="auto"/>
      </w:divBdr>
    </w:div>
    <w:div w:id="650132722">
      <w:bodyDiv w:val="1"/>
      <w:marLeft w:val="0"/>
      <w:marRight w:val="0"/>
      <w:marTop w:val="0"/>
      <w:marBottom w:val="0"/>
      <w:divBdr>
        <w:top w:val="none" w:sz="0" w:space="0" w:color="auto"/>
        <w:left w:val="none" w:sz="0" w:space="0" w:color="auto"/>
        <w:bottom w:val="none" w:sz="0" w:space="0" w:color="auto"/>
        <w:right w:val="none" w:sz="0" w:space="0" w:color="auto"/>
      </w:divBdr>
    </w:div>
    <w:div w:id="703868817">
      <w:bodyDiv w:val="1"/>
      <w:marLeft w:val="0"/>
      <w:marRight w:val="0"/>
      <w:marTop w:val="0"/>
      <w:marBottom w:val="0"/>
      <w:divBdr>
        <w:top w:val="none" w:sz="0" w:space="0" w:color="auto"/>
        <w:left w:val="none" w:sz="0" w:space="0" w:color="auto"/>
        <w:bottom w:val="none" w:sz="0" w:space="0" w:color="auto"/>
        <w:right w:val="none" w:sz="0" w:space="0" w:color="auto"/>
      </w:divBdr>
    </w:div>
    <w:div w:id="843469916">
      <w:bodyDiv w:val="1"/>
      <w:marLeft w:val="0"/>
      <w:marRight w:val="0"/>
      <w:marTop w:val="0"/>
      <w:marBottom w:val="0"/>
      <w:divBdr>
        <w:top w:val="none" w:sz="0" w:space="0" w:color="auto"/>
        <w:left w:val="none" w:sz="0" w:space="0" w:color="auto"/>
        <w:bottom w:val="none" w:sz="0" w:space="0" w:color="auto"/>
        <w:right w:val="none" w:sz="0" w:space="0" w:color="auto"/>
      </w:divBdr>
    </w:div>
    <w:div w:id="932401579">
      <w:bodyDiv w:val="1"/>
      <w:marLeft w:val="0"/>
      <w:marRight w:val="0"/>
      <w:marTop w:val="0"/>
      <w:marBottom w:val="0"/>
      <w:divBdr>
        <w:top w:val="none" w:sz="0" w:space="0" w:color="auto"/>
        <w:left w:val="none" w:sz="0" w:space="0" w:color="auto"/>
        <w:bottom w:val="none" w:sz="0" w:space="0" w:color="auto"/>
        <w:right w:val="none" w:sz="0" w:space="0" w:color="auto"/>
      </w:divBdr>
    </w:div>
    <w:div w:id="970524316">
      <w:bodyDiv w:val="1"/>
      <w:marLeft w:val="0"/>
      <w:marRight w:val="0"/>
      <w:marTop w:val="0"/>
      <w:marBottom w:val="0"/>
      <w:divBdr>
        <w:top w:val="none" w:sz="0" w:space="0" w:color="auto"/>
        <w:left w:val="none" w:sz="0" w:space="0" w:color="auto"/>
        <w:bottom w:val="none" w:sz="0" w:space="0" w:color="auto"/>
        <w:right w:val="none" w:sz="0" w:space="0" w:color="auto"/>
      </w:divBdr>
    </w:div>
    <w:div w:id="1006903804">
      <w:bodyDiv w:val="1"/>
      <w:marLeft w:val="0"/>
      <w:marRight w:val="0"/>
      <w:marTop w:val="0"/>
      <w:marBottom w:val="0"/>
      <w:divBdr>
        <w:top w:val="none" w:sz="0" w:space="0" w:color="auto"/>
        <w:left w:val="none" w:sz="0" w:space="0" w:color="auto"/>
        <w:bottom w:val="none" w:sz="0" w:space="0" w:color="auto"/>
        <w:right w:val="none" w:sz="0" w:space="0" w:color="auto"/>
      </w:divBdr>
    </w:div>
    <w:div w:id="1040741438">
      <w:bodyDiv w:val="1"/>
      <w:marLeft w:val="0"/>
      <w:marRight w:val="0"/>
      <w:marTop w:val="0"/>
      <w:marBottom w:val="0"/>
      <w:divBdr>
        <w:top w:val="none" w:sz="0" w:space="0" w:color="auto"/>
        <w:left w:val="none" w:sz="0" w:space="0" w:color="auto"/>
        <w:bottom w:val="none" w:sz="0" w:space="0" w:color="auto"/>
        <w:right w:val="none" w:sz="0" w:space="0" w:color="auto"/>
      </w:divBdr>
    </w:div>
    <w:div w:id="1246960723">
      <w:bodyDiv w:val="1"/>
      <w:marLeft w:val="0"/>
      <w:marRight w:val="0"/>
      <w:marTop w:val="0"/>
      <w:marBottom w:val="0"/>
      <w:divBdr>
        <w:top w:val="none" w:sz="0" w:space="0" w:color="auto"/>
        <w:left w:val="none" w:sz="0" w:space="0" w:color="auto"/>
        <w:bottom w:val="none" w:sz="0" w:space="0" w:color="auto"/>
        <w:right w:val="none" w:sz="0" w:space="0" w:color="auto"/>
      </w:divBdr>
    </w:div>
    <w:div w:id="1334069566">
      <w:bodyDiv w:val="1"/>
      <w:marLeft w:val="0"/>
      <w:marRight w:val="0"/>
      <w:marTop w:val="0"/>
      <w:marBottom w:val="0"/>
      <w:divBdr>
        <w:top w:val="none" w:sz="0" w:space="0" w:color="auto"/>
        <w:left w:val="none" w:sz="0" w:space="0" w:color="auto"/>
        <w:bottom w:val="none" w:sz="0" w:space="0" w:color="auto"/>
        <w:right w:val="none" w:sz="0" w:space="0" w:color="auto"/>
      </w:divBdr>
    </w:div>
    <w:div w:id="1468156863">
      <w:bodyDiv w:val="1"/>
      <w:marLeft w:val="0"/>
      <w:marRight w:val="0"/>
      <w:marTop w:val="0"/>
      <w:marBottom w:val="0"/>
      <w:divBdr>
        <w:top w:val="none" w:sz="0" w:space="0" w:color="auto"/>
        <w:left w:val="none" w:sz="0" w:space="0" w:color="auto"/>
        <w:bottom w:val="none" w:sz="0" w:space="0" w:color="auto"/>
        <w:right w:val="none" w:sz="0" w:space="0" w:color="auto"/>
      </w:divBdr>
    </w:div>
    <w:div w:id="1598634724">
      <w:bodyDiv w:val="1"/>
      <w:marLeft w:val="0"/>
      <w:marRight w:val="0"/>
      <w:marTop w:val="0"/>
      <w:marBottom w:val="0"/>
      <w:divBdr>
        <w:top w:val="none" w:sz="0" w:space="0" w:color="auto"/>
        <w:left w:val="none" w:sz="0" w:space="0" w:color="auto"/>
        <w:bottom w:val="none" w:sz="0" w:space="0" w:color="auto"/>
        <w:right w:val="none" w:sz="0" w:space="0" w:color="auto"/>
      </w:divBdr>
    </w:div>
    <w:div w:id="1624994210">
      <w:bodyDiv w:val="1"/>
      <w:marLeft w:val="0"/>
      <w:marRight w:val="0"/>
      <w:marTop w:val="0"/>
      <w:marBottom w:val="0"/>
      <w:divBdr>
        <w:top w:val="none" w:sz="0" w:space="0" w:color="auto"/>
        <w:left w:val="none" w:sz="0" w:space="0" w:color="auto"/>
        <w:bottom w:val="none" w:sz="0" w:space="0" w:color="auto"/>
        <w:right w:val="none" w:sz="0" w:space="0" w:color="auto"/>
      </w:divBdr>
    </w:div>
    <w:div w:id="1718354528">
      <w:bodyDiv w:val="1"/>
      <w:marLeft w:val="0"/>
      <w:marRight w:val="0"/>
      <w:marTop w:val="0"/>
      <w:marBottom w:val="0"/>
      <w:divBdr>
        <w:top w:val="none" w:sz="0" w:space="0" w:color="auto"/>
        <w:left w:val="none" w:sz="0" w:space="0" w:color="auto"/>
        <w:bottom w:val="none" w:sz="0" w:space="0" w:color="auto"/>
        <w:right w:val="none" w:sz="0" w:space="0" w:color="auto"/>
      </w:divBdr>
    </w:div>
    <w:div w:id="1761835185">
      <w:bodyDiv w:val="1"/>
      <w:marLeft w:val="0"/>
      <w:marRight w:val="0"/>
      <w:marTop w:val="0"/>
      <w:marBottom w:val="0"/>
      <w:divBdr>
        <w:top w:val="none" w:sz="0" w:space="0" w:color="auto"/>
        <w:left w:val="none" w:sz="0" w:space="0" w:color="auto"/>
        <w:bottom w:val="none" w:sz="0" w:space="0" w:color="auto"/>
        <w:right w:val="none" w:sz="0" w:space="0" w:color="auto"/>
      </w:divBdr>
    </w:div>
    <w:div w:id="1817256251">
      <w:bodyDiv w:val="1"/>
      <w:marLeft w:val="0"/>
      <w:marRight w:val="0"/>
      <w:marTop w:val="0"/>
      <w:marBottom w:val="0"/>
      <w:divBdr>
        <w:top w:val="none" w:sz="0" w:space="0" w:color="auto"/>
        <w:left w:val="none" w:sz="0" w:space="0" w:color="auto"/>
        <w:bottom w:val="none" w:sz="0" w:space="0" w:color="auto"/>
        <w:right w:val="none" w:sz="0" w:space="0" w:color="auto"/>
      </w:divBdr>
    </w:div>
    <w:div w:id="1833327186">
      <w:bodyDiv w:val="1"/>
      <w:marLeft w:val="0"/>
      <w:marRight w:val="0"/>
      <w:marTop w:val="0"/>
      <w:marBottom w:val="0"/>
      <w:divBdr>
        <w:top w:val="none" w:sz="0" w:space="0" w:color="auto"/>
        <w:left w:val="none" w:sz="0" w:space="0" w:color="auto"/>
        <w:bottom w:val="none" w:sz="0" w:space="0" w:color="auto"/>
        <w:right w:val="none" w:sz="0" w:space="0" w:color="auto"/>
      </w:divBdr>
    </w:div>
    <w:div w:id="1879926053">
      <w:bodyDiv w:val="1"/>
      <w:marLeft w:val="0"/>
      <w:marRight w:val="0"/>
      <w:marTop w:val="0"/>
      <w:marBottom w:val="0"/>
      <w:divBdr>
        <w:top w:val="none" w:sz="0" w:space="0" w:color="auto"/>
        <w:left w:val="none" w:sz="0" w:space="0" w:color="auto"/>
        <w:bottom w:val="none" w:sz="0" w:space="0" w:color="auto"/>
        <w:right w:val="none" w:sz="0" w:space="0" w:color="auto"/>
      </w:divBdr>
    </w:div>
    <w:div w:id="1886596148">
      <w:bodyDiv w:val="1"/>
      <w:marLeft w:val="0"/>
      <w:marRight w:val="0"/>
      <w:marTop w:val="0"/>
      <w:marBottom w:val="0"/>
      <w:divBdr>
        <w:top w:val="none" w:sz="0" w:space="0" w:color="auto"/>
        <w:left w:val="none" w:sz="0" w:space="0" w:color="auto"/>
        <w:bottom w:val="none" w:sz="0" w:space="0" w:color="auto"/>
        <w:right w:val="none" w:sz="0" w:space="0" w:color="auto"/>
      </w:divBdr>
    </w:div>
    <w:div w:id="1927760875">
      <w:bodyDiv w:val="1"/>
      <w:marLeft w:val="0"/>
      <w:marRight w:val="0"/>
      <w:marTop w:val="0"/>
      <w:marBottom w:val="0"/>
      <w:divBdr>
        <w:top w:val="none" w:sz="0" w:space="0" w:color="auto"/>
        <w:left w:val="none" w:sz="0" w:space="0" w:color="auto"/>
        <w:bottom w:val="none" w:sz="0" w:space="0" w:color="auto"/>
        <w:right w:val="none" w:sz="0" w:space="0" w:color="auto"/>
      </w:divBdr>
    </w:div>
    <w:div w:id="19938263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7</Pages>
  <Words>2458</Words>
  <Characters>14012</Characters>
  <Application>Microsoft Office Word</Application>
  <DocSecurity>0</DocSecurity>
  <Lines>116</Lines>
  <Paragraphs>32</Paragraphs>
  <ScaleCrop>false</ScaleCrop>
  <Company/>
  <LinksUpToDate>false</LinksUpToDate>
  <CharactersWithSpaces>16438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Daisy Plummer (2406954)</dc:creator>
  <cp:keywords/>
  <dc:description/>
  <cp:lastModifiedBy>Daisy Plummer (2406954)</cp:lastModifiedBy>
  <cp:revision>4</cp:revision>
  <dcterms:created xsi:type="dcterms:W3CDTF">2025-03-10T11:24:00Z</dcterms:created>
  <dcterms:modified xsi:type="dcterms:W3CDTF">2025-03-10T12:40:00Z</dcterms:modified>
</cp:coreProperties>
</file>