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FA8BD" w14:textId="77777777" w:rsidR="00DC2E3C" w:rsidRDefault="00DC2E3C" w:rsidP="00DC2E3C">
      <w:pPr>
        <w:jc w:val="center"/>
        <w:rPr>
          <w:rFonts w:ascii="Arial" w:hAnsi="Arial" w:cs="Arial"/>
          <w:sz w:val="40"/>
          <w:szCs w:val="40"/>
        </w:rPr>
      </w:pPr>
      <w:r>
        <w:rPr>
          <w:rFonts w:ascii="Arial" w:hAnsi="Arial" w:cs="Arial"/>
          <w:sz w:val="40"/>
          <w:szCs w:val="40"/>
        </w:rPr>
        <w:t>Programme BSc (Hons) Health and Social Care</w:t>
      </w:r>
    </w:p>
    <w:p w14:paraId="77C9377E" w14:textId="77777777" w:rsidR="00DC2E3C" w:rsidRDefault="00DC2E3C" w:rsidP="00DC2E3C">
      <w:pPr>
        <w:jc w:val="center"/>
        <w:rPr>
          <w:rFonts w:ascii="Arial" w:hAnsi="Arial" w:cs="Arial"/>
          <w:sz w:val="40"/>
          <w:szCs w:val="40"/>
        </w:rPr>
      </w:pPr>
      <w:r>
        <w:rPr>
          <w:rFonts w:ascii="Arial" w:hAnsi="Arial" w:cs="Arial"/>
          <w:sz w:val="40"/>
          <w:szCs w:val="40"/>
        </w:rPr>
        <w:t>Module: Digital Transformation in the Health and Care Professions</w:t>
      </w:r>
    </w:p>
    <w:p w14:paraId="7D62DEFF" w14:textId="77777777" w:rsidR="00DC2E3C" w:rsidRDefault="00DC2E3C" w:rsidP="00DC2E3C">
      <w:pPr>
        <w:jc w:val="center"/>
        <w:rPr>
          <w:rFonts w:ascii="Arial" w:hAnsi="Arial" w:cs="Arial"/>
          <w:sz w:val="40"/>
          <w:szCs w:val="40"/>
        </w:rPr>
      </w:pPr>
      <w:r>
        <w:rPr>
          <w:rFonts w:ascii="Arial" w:hAnsi="Arial" w:cs="Arial"/>
          <w:sz w:val="40"/>
          <w:szCs w:val="40"/>
        </w:rPr>
        <w:t>Module Code: BMHP6026</w:t>
      </w:r>
    </w:p>
    <w:p w14:paraId="5511D126" w14:textId="77777777" w:rsidR="00DC2E3C" w:rsidRDefault="00DC2E3C" w:rsidP="00DC2E3C">
      <w:pPr>
        <w:jc w:val="center"/>
        <w:rPr>
          <w:rFonts w:ascii="Arial" w:hAnsi="Arial" w:cs="Arial"/>
          <w:sz w:val="40"/>
          <w:szCs w:val="40"/>
        </w:rPr>
      </w:pPr>
      <w:r>
        <w:rPr>
          <w:rFonts w:ascii="Arial" w:hAnsi="Arial" w:cs="Arial"/>
          <w:sz w:val="40"/>
          <w:szCs w:val="40"/>
        </w:rPr>
        <w:t>Assignment Title: Component 1: Written Report</w:t>
      </w:r>
    </w:p>
    <w:p w14:paraId="27918A07" w14:textId="77777777" w:rsidR="00DC2E3C" w:rsidRDefault="00DC2E3C" w:rsidP="00DC2E3C">
      <w:pPr>
        <w:jc w:val="center"/>
        <w:rPr>
          <w:rFonts w:ascii="Arial" w:hAnsi="Arial" w:cs="Arial"/>
          <w:sz w:val="40"/>
          <w:szCs w:val="40"/>
        </w:rPr>
      </w:pPr>
      <w:r>
        <w:rPr>
          <w:rFonts w:ascii="Arial" w:hAnsi="Arial" w:cs="Arial"/>
          <w:sz w:val="40"/>
          <w:szCs w:val="40"/>
        </w:rPr>
        <w:t>Word Count:</w:t>
      </w:r>
    </w:p>
    <w:p w14:paraId="1569059D" w14:textId="1B0253F9" w:rsidR="00DC2E3C" w:rsidRDefault="00DC2E3C" w:rsidP="00DC2E3C">
      <w:pPr>
        <w:jc w:val="center"/>
        <w:rPr>
          <w:rFonts w:ascii="Arial" w:hAnsi="Arial" w:cs="Arial"/>
          <w:sz w:val="40"/>
          <w:szCs w:val="40"/>
        </w:rPr>
      </w:pPr>
      <w:r>
        <w:rPr>
          <w:rFonts w:ascii="Arial" w:hAnsi="Arial" w:cs="Arial"/>
          <w:sz w:val="40"/>
          <w:szCs w:val="40"/>
        </w:rPr>
        <w:t>Submission Deadline: Monday 20</w:t>
      </w:r>
      <w:r w:rsidRPr="00745C64">
        <w:rPr>
          <w:rFonts w:ascii="Arial" w:hAnsi="Arial" w:cs="Arial"/>
          <w:sz w:val="40"/>
          <w:szCs w:val="40"/>
          <w:vertAlign w:val="superscript"/>
        </w:rPr>
        <w:t>th</w:t>
      </w:r>
      <w:r>
        <w:rPr>
          <w:rFonts w:ascii="Arial" w:hAnsi="Arial" w:cs="Arial"/>
          <w:sz w:val="40"/>
          <w:szCs w:val="40"/>
        </w:rPr>
        <w:t xml:space="preserve"> July 2026</w:t>
      </w:r>
    </w:p>
    <w:p w14:paraId="79090E0E" w14:textId="1331D09F" w:rsidR="00DC2E3C" w:rsidRDefault="00AC65E0" w:rsidP="00DC2E3C">
      <w:pPr>
        <w:jc w:val="center"/>
        <w:rPr>
          <w:rFonts w:ascii="Arial" w:hAnsi="Arial" w:cs="Arial"/>
          <w:sz w:val="40"/>
          <w:szCs w:val="40"/>
        </w:rPr>
      </w:pPr>
      <w:r>
        <w:rPr>
          <w:rFonts w:ascii="Arial" w:hAnsi="Arial" w:cs="Arial"/>
          <w:sz w:val="40"/>
          <w:szCs w:val="40"/>
        </w:rPr>
        <w:t>Lecturer:</w:t>
      </w:r>
      <w:r w:rsidRPr="00AC65E0">
        <w:t xml:space="preserve"> </w:t>
      </w:r>
      <w:r w:rsidRPr="00AC65E0">
        <w:rPr>
          <w:rFonts w:ascii="Arial" w:hAnsi="Arial" w:cs="Arial"/>
          <w:sz w:val="40"/>
          <w:szCs w:val="40"/>
        </w:rPr>
        <w:t>Dr Ping Wu</w:t>
      </w:r>
    </w:p>
    <w:p w14:paraId="6B6D2DDD" w14:textId="6333099C" w:rsidR="00DC2E3C" w:rsidRDefault="00DC2E3C" w:rsidP="00DC2E3C">
      <w:pPr>
        <w:jc w:val="center"/>
        <w:rPr>
          <w:rFonts w:ascii="Arial" w:hAnsi="Arial" w:cs="Arial"/>
          <w:sz w:val="40"/>
          <w:szCs w:val="40"/>
        </w:rPr>
      </w:pPr>
      <w:r>
        <w:rPr>
          <w:rFonts w:ascii="Arial" w:hAnsi="Arial" w:cs="Arial"/>
          <w:sz w:val="40"/>
          <w:szCs w:val="40"/>
        </w:rPr>
        <w:t>Student ID:</w:t>
      </w:r>
      <w:r w:rsidR="004D53F2">
        <w:rPr>
          <w:rFonts w:ascii="Arial" w:hAnsi="Arial" w:cs="Arial"/>
          <w:sz w:val="40"/>
          <w:szCs w:val="40"/>
        </w:rPr>
        <w:t>2336190</w:t>
      </w:r>
      <w:r>
        <w:rPr>
          <w:rFonts w:ascii="Arial" w:hAnsi="Arial" w:cs="Arial"/>
          <w:sz w:val="40"/>
          <w:szCs w:val="40"/>
        </w:rPr>
        <w:t xml:space="preserve"> </w:t>
      </w:r>
    </w:p>
    <w:p w14:paraId="56855E03" w14:textId="77777777" w:rsidR="00DC2E3C" w:rsidRDefault="00DC2E3C" w:rsidP="00DC2E3C">
      <w:pPr>
        <w:jc w:val="center"/>
        <w:rPr>
          <w:rFonts w:ascii="Arial" w:hAnsi="Arial" w:cs="Arial"/>
          <w:sz w:val="40"/>
          <w:szCs w:val="40"/>
        </w:rPr>
      </w:pPr>
    </w:p>
    <w:p w14:paraId="55747420" w14:textId="77777777" w:rsidR="00DC2E3C" w:rsidRDefault="00DC2E3C" w:rsidP="00DC2E3C">
      <w:pPr>
        <w:jc w:val="center"/>
        <w:rPr>
          <w:rFonts w:ascii="Arial" w:hAnsi="Arial" w:cs="Arial"/>
          <w:sz w:val="40"/>
          <w:szCs w:val="40"/>
        </w:rPr>
      </w:pPr>
    </w:p>
    <w:p w14:paraId="6F97E410" w14:textId="77777777" w:rsidR="00DC2E3C" w:rsidRDefault="00DC2E3C" w:rsidP="00DC2E3C">
      <w:pPr>
        <w:jc w:val="center"/>
        <w:rPr>
          <w:rFonts w:ascii="Arial" w:hAnsi="Arial" w:cs="Arial"/>
          <w:sz w:val="40"/>
          <w:szCs w:val="40"/>
        </w:rPr>
      </w:pPr>
    </w:p>
    <w:p w14:paraId="31151DFE" w14:textId="77777777" w:rsidR="00DC2E3C" w:rsidRDefault="00DC2E3C" w:rsidP="00DC2E3C">
      <w:pPr>
        <w:jc w:val="center"/>
        <w:rPr>
          <w:rFonts w:ascii="Arial" w:hAnsi="Arial" w:cs="Arial"/>
          <w:sz w:val="40"/>
          <w:szCs w:val="40"/>
        </w:rPr>
      </w:pPr>
    </w:p>
    <w:p w14:paraId="122C6D92" w14:textId="77777777" w:rsidR="00DC2E3C" w:rsidRDefault="00DC2E3C" w:rsidP="00DC2E3C">
      <w:pPr>
        <w:jc w:val="center"/>
        <w:rPr>
          <w:rFonts w:ascii="Arial" w:hAnsi="Arial" w:cs="Arial"/>
          <w:sz w:val="40"/>
          <w:szCs w:val="40"/>
        </w:rPr>
      </w:pPr>
    </w:p>
    <w:p w14:paraId="4D743AC7" w14:textId="77777777" w:rsidR="00DC2E3C" w:rsidRDefault="00DC2E3C" w:rsidP="00DC2E3C">
      <w:pPr>
        <w:jc w:val="center"/>
        <w:rPr>
          <w:rFonts w:ascii="Arial" w:hAnsi="Arial" w:cs="Arial"/>
          <w:sz w:val="40"/>
          <w:szCs w:val="40"/>
        </w:rPr>
      </w:pPr>
    </w:p>
    <w:p w14:paraId="7EFFBBBB" w14:textId="77777777" w:rsidR="00DC2E3C" w:rsidRDefault="00DC2E3C" w:rsidP="00DC2E3C">
      <w:pPr>
        <w:jc w:val="center"/>
        <w:rPr>
          <w:rFonts w:ascii="Arial" w:hAnsi="Arial" w:cs="Arial"/>
          <w:sz w:val="40"/>
          <w:szCs w:val="40"/>
        </w:rPr>
      </w:pPr>
    </w:p>
    <w:p w14:paraId="33D1F42A" w14:textId="77777777" w:rsidR="00DC2E3C" w:rsidRDefault="00DC2E3C" w:rsidP="00DC2E3C">
      <w:pPr>
        <w:jc w:val="center"/>
        <w:rPr>
          <w:rFonts w:ascii="Arial" w:hAnsi="Arial" w:cs="Arial"/>
          <w:sz w:val="40"/>
          <w:szCs w:val="40"/>
        </w:rPr>
      </w:pPr>
    </w:p>
    <w:p w14:paraId="1890B338" w14:textId="77777777" w:rsidR="00DC2E3C" w:rsidRDefault="00DC2E3C" w:rsidP="00DC2E3C">
      <w:pPr>
        <w:jc w:val="center"/>
        <w:rPr>
          <w:rFonts w:ascii="Arial" w:hAnsi="Arial" w:cs="Arial"/>
          <w:sz w:val="40"/>
          <w:szCs w:val="40"/>
        </w:rPr>
      </w:pPr>
    </w:p>
    <w:p w14:paraId="02383B85" w14:textId="77777777" w:rsidR="00DC2E3C" w:rsidRDefault="00DC2E3C" w:rsidP="00DC2E3C">
      <w:pPr>
        <w:jc w:val="center"/>
        <w:rPr>
          <w:rFonts w:ascii="Arial" w:hAnsi="Arial" w:cs="Arial"/>
          <w:sz w:val="40"/>
          <w:szCs w:val="40"/>
        </w:rPr>
      </w:pPr>
    </w:p>
    <w:p w14:paraId="42501E6E" w14:textId="77777777" w:rsidR="00DC2E3C" w:rsidRDefault="00DC2E3C" w:rsidP="00DC2E3C">
      <w:pPr>
        <w:jc w:val="center"/>
        <w:rPr>
          <w:rFonts w:ascii="Arial" w:hAnsi="Arial" w:cs="Arial"/>
          <w:sz w:val="40"/>
          <w:szCs w:val="40"/>
        </w:rPr>
      </w:pPr>
    </w:p>
    <w:p w14:paraId="16AC35E3" w14:textId="77777777" w:rsidR="00DC2E3C" w:rsidRDefault="00DC2E3C" w:rsidP="00DC2E3C">
      <w:pPr>
        <w:jc w:val="center"/>
        <w:rPr>
          <w:rFonts w:ascii="Arial" w:hAnsi="Arial" w:cs="Arial"/>
          <w:sz w:val="40"/>
          <w:szCs w:val="40"/>
        </w:rPr>
      </w:pPr>
    </w:p>
    <w:sdt>
      <w:sdtPr>
        <w:rPr>
          <w:rFonts w:asciiTheme="minorHAnsi" w:eastAsiaTheme="minorHAnsi" w:hAnsiTheme="minorHAnsi" w:cstheme="minorBidi"/>
          <w:color w:val="auto"/>
          <w:sz w:val="22"/>
          <w:szCs w:val="22"/>
          <w:lang w:val="en-GB"/>
        </w:rPr>
        <w:id w:val="-1138264105"/>
        <w:docPartObj>
          <w:docPartGallery w:val="Table of Contents"/>
          <w:docPartUnique/>
        </w:docPartObj>
      </w:sdtPr>
      <w:sdtEndPr>
        <w:rPr>
          <w:rFonts w:ascii="Arial" w:hAnsi="Arial" w:cs="Arial"/>
          <w:b/>
          <w:bCs/>
          <w:noProof/>
        </w:rPr>
      </w:sdtEndPr>
      <w:sdtContent>
        <w:p w14:paraId="679BFA5D" w14:textId="77777777" w:rsidR="00DC2E3C" w:rsidRPr="00495C38" w:rsidRDefault="00DC2E3C" w:rsidP="00DC2E3C">
          <w:pPr>
            <w:pStyle w:val="TOCHeading"/>
            <w:rPr>
              <w:b/>
              <w:bCs/>
              <w:color w:val="auto"/>
            </w:rPr>
          </w:pPr>
          <w:r w:rsidRPr="00495C38">
            <w:rPr>
              <w:b/>
              <w:bCs/>
              <w:color w:val="auto"/>
            </w:rPr>
            <w:t>Table of Contents</w:t>
          </w:r>
        </w:p>
        <w:p w14:paraId="65E0A4C3" w14:textId="77777777" w:rsidR="00DC2E3C" w:rsidRPr="004D53F2" w:rsidRDefault="00DC2E3C" w:rsidP="00DC2E3C">
          <w:pPr>
            <w:pStyle w:val="TOC1"/>
            <w:tabs>
              <w:tab w:val="right" w:leader="dot" w:pos="9016"/>
            </w:tabs>
            <w:rPr>
              <w:rFonts w:ascii="Arial" w:hAnsi="Arial" w:cs="Arial"/>
              <w:noProof/>
            </w:rPr>
          </w:pPr>
          <w:r w:rsidRPr="004D53F2">
            <w:rPr>
              <w:rFonts w:ascii="Arial" w:hAnsi="Arial" w:cs="Arial"/>
            </w:rPr>
            <w:fldChar w:fldCharType="begin"/>
          </w:r>
          <w:r w:rsidRPr="004D53F2">
            <w:rPr>
              <w:rFonts w:ascii="Arial" w:hAnsi="Arial" w:cs="Arial"/>
            </w:rPr>
            <w:instrText xml:space="preserve"> TOC \o "1-3" \h \z \u </w:instrText>
          </w:r>
          <w:r w:rsidRPr="004D53F2">
            <w:rPr>
              <w:rFonts w:ascii="Arial" w:hAnsi="Arial" w:cs="Arial"/>
            </w:rPr>
            <w:fldChar w:fldCharType="separate"/>
          </w:r>
          <w:hyperlink w:anchor="_Toc234423527" w:history="1">
            <w:r w:rsidRPr="004D53F2">
              <w:rPr>
                <w:rStyle w:val="Hyperlink"/>
                <w:rFonts w:ascii="Arial" w:hAnsi="Arial" w:cs="Arial"/>
                <w:b/>
                <w:bCs/>
                <w:noProof/>
              </w:rPr>
              <w:t>Introduction</w:t>
            </w:r>
            <w:r w:rsidRPr="004D53F2">
              <w:rPr>
                <w:rFonts w:ascii="Arial" w:hAnsi="Arial" w:cs="Arial"/>
                <w:noProof/>
                <w:webHidden/>
              </w:rPr>
              <w:tab/>
            </w:r>
            <w:r w:rsidRPr="004D53F2">
              <w:rPr>
                <w:rFonts w:ascii="Arial" w:hAnsi="Arial" w:cs="Arial"/>
                <w:noProof/>
                <w:webHidden/>
              </w:rPr>
              <w:fldChar w:fldCharType="begin"/>
            </w:r>
            <w:r w:rsidRPr="004D53F2">
              <w:rPr>
                <w:rFonts w:ascii="Arial" w:hAnsi="Arial" w:cs="Arial"/>
                <w:noProof/>
                <w:webHidden/>
              </w:rPr>
              <w:instrText xml:space="preserve"> PAGEREF _Toc234423527 \h </w:instrText>
            </w:r>
            <w:r w:rsidRPr="004D53F2">
              <w:rPr>
                <w:rFonts w:ascii="Arial" w:hAnsi="Arial" w:cs="Arial"/>
                <w:noProof/>
                <w:webHidden/>
              </w:rPr>
            </w:r>
            <w:r w:rsidRPr="004D53F2">
              <w:rPr>
                <w:rFonts w:ascii="Arial" w:hAnsi="Arial" w:cs="Arial"/>
                <w:noProof/>
                <w:webHidden/>
              </w:rPr>
              <w:fldChar w:fldCharType="separate"/>
            </w:r>
            <w:r w:rsidRPr="004D53F2">
              <w:rPr>
                <w:rFonts w:ascii="Arial" w:hAnsi="Arial" w:cs="Arial"/>
                <w:noProof/>
                <w:webHidden/>
              </w:rPr>
              <w:t>3</w:t>
            </w:r>
            <w:r w:rsidRPr="004D53F2">
              <w:rPr>
                <w:rFonts w:ascii="Arial" w:hAnsi="Arial" w:cs="Arial"/>
                <w:noProof/>
                <w:webHidden/>
              </w:rPr>
              <w:fldChar w:fldCharType="end"/>
            </w:r>
          </w:hyperlink>
        </w:p>
        <w:p w14:paraId="761DCB04" w14:textId="77777777" w:rsidR="00DC2E3C" w:rsidRPr="004D53F2" w:rsidRDefault="00AC65E0" w:rsidP="00DC2E3C">
          <w:pPr>
            <w:pStyle w:val="TOC1"/>
            <w:tabs>
              <w:tab w:val="right" w:leader="dot" w:pos="9016"/>
            </w:tabs>
            <w:rPr>
              <w:rFonts w:ascii="Arial" w:hAnsi="Arial" w:cs="Arial"/>
              <w:noProof/>
            </w:rPr>
          </w:pPr>
          <w:hyperlink w:anchor="_Toc234423528" w:history="1">
            <w:r w:rsidR="00DC2E3C" w:rsidRPr="004D53F2">
              <w:rPr>
                <w:rStyle w:val="Hyperlink"/>
                <w:rFonts w:ascii="Arial" w:hAnsi="Arial" w:cs="Arial"/>
                <w:b/>
                <w:bCs/>
                <w:noProof/>
              </w:rPr>
              <w:t>Background to the NHS e-Referral Service</w:t>
            </w:r>
            <w:r w:rsidR="00DC2E3C" w:rsidRPr="004D53F2">
              <w:rPr>
                <w:rFonts w:ascii="Arial" w:hAnsi="Arial" w:cs="Arial"/>
                <w:noProof/>
                <w:webHidden/>
              </w:rPr>
              <w:tab/>
            </w:r>
            <w:r w:rsidR="00DC2E3C" w:rsidRPr="004D53F2">
              <w:rPr>
                <w:rFonts w:ascii="Arial" w:hAnsi="Arial" w:cs="Arial"/>
                <w:noProof/>
                <w:webHidden/>
              </w:rPr>
              <w:fldChar w:fldCharType="begin"/>
            </w:r>
            <w:r w:rsidR="00DC2E3C" w:rsidRPr="004D53F2">
              <w:rPr>
                <w:rFonts w:ascii="Arial" w:hAnsi="Arial" w:cs="Arial"/>
                <w:noProof/>
                <w:webHidden/>
              </w:rPr>
              <w:instrText xml:space="preserve"> PAGEREF _Toc234423528 \h </w:instrText>
            </w:r>
            <w:r w:rsidR="00DC2E3C" w:rsidRPr="004D53F2">
              <w:rPr>
                <w:rFonts w:ascii="Arial" w:hAnsi="Arial" w:cs="Arial"/>
                <w:noProof/>
                <w:webHidden/>
              </w:rPr>
            </w:r>
            <w:r w:rsidR="00DC2E3C" w:rsidRPr="004D53F2">
              <w:rPr>
                <w:rFonts w:ascii="Arial" w:hAnsi="Arial" w:cs="Arial"/>
                <w:noProof/>
                <w:webHidden/>
              </w:rPr>
              <w:fldChar w:fldCharType="separate"/>
            </w:r>
            <w:r w:rsidR="00DC2E3C" w:rsidRPr="004D53F2">
              <w:rPr>
                <w:rFonts w:ascii="Arial" w:hAnsi="Arial" w:cs="Arial"/>
                <w:noProof/>
                <w:webHidden/>
              </w:rPr>
              <w:t>4</w:t>
            </w:r>
            <w:r w:rsidR="00DC2E3C" w:rsidRPr="004D53F2">
              <w:rPr>
                <w:rFonts w:ascii="Arial" w:hAnsi="Arial" w:cs="Arial"/>
                <w:noProof/>
                <w:webHidden/>
              </w:rPr>
              <w:fldChar w:fldCharType="end"/>
            </w:r>
          </w:hyperlink>
        </w:p>
        <w:p w14:paraId="70025428" w14:textId="77777777" w:rsidR="00DC2E3C" w:rsidRPr="004D53F2" w:rsidRDefault="00AC65E0" w:rsidP="00DC2E3C">
          <w:pPr>
            <w:pStyle w:val="TOC1"/>
            <w:tabs>
              <w:tab w:val="right" w:leader="dot" w:pos="9016"/>
            </w:tabs>
            <w:rPr>
              <w:rFonts w:ascii="Arial" w:hAnsi="Arial" w:cs="Arial"/>
              <w:noProof/>
            </w:rPr>
          </w:pPr>
          <w:hyperlink w:anchor="_Toc234423529" w:history="1">
            <w:r w:rsidR="00DC2E3C" w:rsidRPr="004D53F2">
              <w:rPr>
                <w:rStyle w:val="Hyperlink"/>
                <w:rFonts w:ascii="Arial" w:hAnsi="Arial" w:cs="Arial"/>
                <w:b/>
                <w:bCs/>
                <w:noProof/>
              </w:rPr>
              <w:t>Workforce Impacts of the NHS e-Referral Service</w:t>
            </w:r>
            <w:r w:rsidR="00DC2E3C" w:rsidRPr="004D53F2">
              <w:rPr>
                <w:rFonts w:ascii="Arial" w:hAnsi="Arial" w:cs="Arial"/>
                <w:noProof/>
                <w:webHidden/>
              </w:rPr>
              <w:tab/>
            </w:r>
            <w:r w:rsidR="00DC2E3C" w:rsidRPr="004D53F2">
              <w:rPr>
                <w:rFonts w:ascii="Arial" w:hAnsi="Arial" w:cs="Arial"/>
                <w:noProof/>
                <w:webHidden/>
              </w:rPr>
              <w:fldChar w:fldCharType="begin"/>
            </w:r>
            <w:r w:rsidR="00DC2E3C" w:rsidRPr="004D53F2">
              <w:rPr>
                <w:rFonts w:ascii="Arial" w:hAnsi="Arial" w:cs="Arial"/>
                <w:noProof/>
                <w:webHidden/>
              </w:rPr>
              <w:instrText xml:space="preserve"> PAGEREF _Toc234423529 \h </w:instrText>
            </w:r>
            <w:r w:rsidR="00DC2E3C" w:rsidRPr="004D53F2">
              <w:rPr>
                <w:rFonts w:ascii="Arial" w:hAnsi="Arial" w:cs="Arial"/>
                <w:noProof/>
                <w:webHidden/>
              </w:rPr>
            </w:r>
            <w:r w:rsidR="00DC2E3C" w:rsidRPr="004D53F2">
              <w:rPr>
                <w:rFonts w:ascii="Arial" w:hAnsi="Arial" w:cs="Arial"/>
                <w:noProof/>
                <w:webHidden/>
              </w:rPr>
              <w:fldChar w:fldCharType="separate"/>
            </w:r>
            <w:r w:rsidR="00DC2E3C" w:rsidRPr="004D53F2">
              <w:rPr>
                <w:rFonts w:ascii="Arial" w:hAnsi="Arial" w:cs="Arial"/>
                <w:noProof/>
                <w:webHidden/>
              </w:rPr>
              <w:t>5</w:t>
            </w:r>
            <w:r w:rsidR="00DC2E3C" w:rsidRPr="004D53F2">
              <w:rPr>
                <w:rFonts w:ascii="Arial" w:hAnsi="Arial" w:cs="Arial"/>
                <w:noProof/>
                <w:webHidden/>
              </w:rPr>
              <w:fldChar w:fldCharType="end"/>
            </w:r>
          </w:hyperlink>
        </w:p>
        <w:p w14:paraId="24637E8A" w14:textId="77777777" w:rsidR="00DC2E3C" w:rsidRPr="004D53F2" w:rsidRDefault="00AC65E0" w:rsidP="00DC2E3C">
          <w:pPr>
            <w:pStyle w:val="TOC1"/>
            <w:tabs>
              <w:tab w:val="right" w:leader="dot" w:pos="9016"/>
            </w:tabs>
            <w:rPr>
              <w:rFonts w:ascii="Arial" w:hAnsi="Arial" w:cs="Arial"/>
              <w:noProof/>
            </w:rPr>
          </w:pPr>
          <w:hyperlink w:anchor="_Toc234423530" w:history="1">
            <w:r w:rsidR="00DC2E3C" w:rsidRPr="004D53F2">
              <w:rPr>
                <w:rStyle w:val="Hyperlink"/>
                <w:rFonts w:ascii="Arial" w:hAnsi="Arial" w:cs="Arial"/>
                <w:b/>
                <w:bCs/>
                <w:noProof/>
              </w:rPr>
              <w:t>Service delivery impacts of the NHS e-Referral Service</w:t>
            </w:r>
            <w:r w:rsidR="00DC2E3C" w:rsidRPr="004D53F2">
              <w:rPr>
                <w:rFonts w:ascii="Arial" w:hAnsi="Arial" w:cs="Arial"/>
                <w:noProof/>
                <w:webHidden/>
              </w:rPr>
              <w:tab/>
            </w:r>
            <w:r w:rsidR="00DC2E3C" w:rsidRPr="004D53F2">
              <w:rPr>
                <w:rFonts w:ascii="Arial" w:hAnsi="Arial" w:cs="Arial"/>
                <w:noProof/>
                <w:webHidden/>
              </w:rPr>
              <w:fldChar w:fldCharType="begin"/>
            </w:r>
            <w:r w:rsidR="00DC2E3C" w:rsidRPr="004D53F2">
              <w:rPr>
                <w:rFonts w:ascii="Arial" w:hAnsi="Arial" w:cs="Arial"/>
                <w:noProof/>
                <w:webHidden/>
              </w:rPr>
              <w:instrText xml:space="preserve"> PAGEREF _Toc234423530 \h </w:instrText>
            </w:r>
            <w:r w:rsidR="00DC2E3C" w:rsidRPr="004D53F2">
              <w:rPr>
                <w:rFonts w:ascii="Arial" w:hAnsi="Arial" w:cs="Arial"/>
                <w:noProof/>
                <w:webHidden/>
              </w:rPr>
            </w:r>
            <w:r w:rsidR="00DC2E3C" w:rsidRPr="004D53F2">
              <w:rPr>
                <w:rFonts w:ascii="Arial" w:hAnsi="Arial" w:cs="Arial"/>
                <w:noProof/>
                <w:webHidden/>
              </w:rPr>
              <w:fldChar w:fldCharType="separate"/>
            </w:r>
            <w:r w:rsidR="00DC2E3C" w:rsidRPr="004D53F2">
              <w:rPr>
                <w:rFonts w:ascii="Arial" w:hAnsi="Arial" w:cs="Arial"/>
                <w:noProof/>
                <w:webHidden/>
              </w:rPr>
              <w:t>6</w:t>
            </w:r>
            <w:r w:rsidR="00DC2E3C" w:rsidRPr="004D53F2">
              <w:rPr>
                <w:rFonts w:ascii="Arial" w:hAnsi="Arial" w:cs="Arial"/>
                <w:noProof/>
                <w:webHidden/>
              </w:rPr>
              <w:fldChar w:fldCharType="end"/>
            </w:r>
          </w:hyperlink>
        </w:p>
        <w:p w14:paraId="17FA3F4A" w14:textId="77777777" w:rsidR="00DC2E3C" w:rsidRPr="004D53F2" w:rsidRDefault="00AC65E0" w:rsidP="00DC2E3C">
          <w:pPr>
            <w:pStyle w:val="TOC1"/>
            <w:tabs>
              <w:tab w:val="right" w:leader="dot" w:pos="9016"/>
            </w:tabs>
            <w:rPr>
              <w:rFonts w:ascii="Arial" w:hAnsi="Arial" w:cs="Arial"/>
              <w:noProof/>
            </w:rPr>
          </w:pPr>
          <w:hyperlink w:anchor="_Toc234423531" w:history="1">
            <w:r w:rsidR="00DC2E3C" w:rsidRPr="004D53F2">
              <w:rPr>
                <w:rStyle w:val="Hyperlink"/>
                <w:rFonts w:ascii="Arial" w:hAnsi="Arial" w:cs="Arial"/>
                <w:b/>
                <w:bCs/>
                <w:noProof/>
              </w:rPr>
              <w:t>Community Impacts of the NHS e-Referral Service</w:t>
            </w:r>
            <w:r w:rsidR="00DC2E3C" w:rsidRPr="004D53F2">
              <w:rPr>
                <w:rFonts w:ascii="Arial" w:hAnsi="Arial" w:cs="Arial"/>
                <w:noProof/>
                <w:webHidden/>
              </w:rPr>
              <w:tab/>
            </w:r>
            <w:r w:rsidR="00DC2E3C" w:rsidRPr="004D53F2">
              <w:rPr>
                <w:rFonts w:ascii="Arial" w:hAnsi="Arial" w:cs="Arial"/>
                <w:noProof/>
                <w:webHidden/>
              </w:rPr>
              <w:fldChar w:fldCharType="begin"/>
            </w:r>
            <w:r w:rsidR="00DC2E3C" w:rsidRPr="004D53F2">
              <w:rPr>
                <w:rFonts w:ascii="Arial" w:hAnsi="Arial" w:cs="Arial"/>
                <w:noProof/>
                <w:webHidden/>
              </w:rPr>
              <w:instrText xml:space="preserve"> PAGEREF _Toc234423531 \h </w:instrText>
            </w:r>
            <w:r w:rsidR="00DC2E3C" w:rsidRPr="004D53F2">
              <w:rPr>
                <w:rFonts w:ascii="Arial" w:hAnsi="Arial" w:cs="Arial"/>
                <w:noProof/>
                <w:webHidden/>
              </w:rPr>
            </w:r>
            <w:r w:rsidR="00DC2E3C" w:rsidRPr="004D53F2">
              <w:rPr>
                <w:rFonts w:ascii="Arial" w:hAnsi="Arial" w:cs="Arial"/>
                <w:noProof/>
                <w:webHidden/>
              </w:rPr>
              <w:fldChar w:fldCharType="separate"/>
            </w:r>
            <w:r w:rsidR="00DC2E3C" w:rsidRPr="004D53F2">
              <w:rPr>
                <w:rFonts w:ascii="Arial" w:hAnsi="Arial" w:cs="Arial"/>
                <w:noProof/>
                <w:webHidden/>
              </w:rPr>
              <w:t>8</w:t>
            </w:r>
            <w:r w:rsidR="00DC2E3C" w:rsidRPr="004D53F2">
              <w:rPr>
                <w:rFonts w:ascii="Arial" w:hAnsi="Arial" w:cs="Arial"/>
                <w:noProof/>
                <w:webHidden/>
              </w:rPr>
              <w:fldChar w:fldCharType="end"/>
            </w:r>
          </w:hyperlink>
        </w:p>
        <w:p w14:paraId="765AB479" w14:textId="77777777" w:rsidR="00DC2E3C" w:rsidRPr="004D53F2" w:rsidRDefault="00AC65E0" w:rsidP="00DC2E3C">
          <w:pPr>
            <w:pStyle w:val="TOC1"/>
            <w:tabs>
              <w:tab w:val="right" w:leader="dot" w:pos="9016"/>
            </w:tabs>
            <w:rPr>
              <w:rFonts w:ascii="Arial" w:hAnsi="Arial" w:cs="Arial"/>
              <w:noProof/>
            </w:rPr>
          </w:pPr>
          <w:hyperlink w:anchor="_Toc234423532" w:history="1">
            <w:r w:rsidR="00DC2E3C" w:rsidRPr="004D53F2">
              <w:rPr>
                <w:rStyle w:val="Hyperlink"/>
                <w:rFonts w:ascii="Arial" w:hAnsi="Arial" w:cs="Arial"/>
                <w:b/>
                <w:bCs/>
                <w:noProof/>
              </w:rPr>
              <w:t>Conclusion</w:t>
            </w:r>
            <w:r w:rsidR="00DC2E3C" w:rsidRPr="004D53F2">
              <w:rPr>
                <w:rFonts w:ascii="Arial" w:hAnsi="Arial" w:cs="Arial"/>
                <w:noProof/>
                <w:webHidden/>
              </w:rPr>
              <w:tab/>
            </w:r>
            <w:r w:rsidR="00DC2E3C" w:rsidRPr="004D53F2">
              <w:rPr>
                <w:rFonts w:ascii="Arial" w:hAnsi="Arial" w:cs="Arial"/>
                <w:noProof/>
                <w:webHidden/>
              </w:rPr>
              <w:fldChar w:fldCharType="begin"/>
            </w:r>
            <w:r w:rsidR="00DC2E3C" w:rsidRPr="004D53F2">
              <w:rPr>
                <w:rFonts w:ascii="Arial" w:hAnsi="Arial" w:cs="Arial"/>
                <w:noProof/>
                <w:webHidden/>
              </w:rPr>
              <w:instrText xml:space="preserve"> PAGEREF _Toc234423532 \h </w:instrText>
            </w:r>
            <w:r w:rsidR="00DC2E3C" w:rsidRPr="004D53F2">
              <w:rPr>
                <w:rFonts w:ascii="Arial" w:hAnsi="Arial" w:cs="Arial"/>
                <w:noProof/>
                <w:webHidden/>
              </w:rPr>
            </w:r>
            <w:r w:rsidR="00DC2E3C" w:rsidRPr="004D53F2">
              <w:rPr>
                <w:rFonts w:ascii="Arial" w:hAnsi="Arial" w:cs="Arial"/>
                <w:noProof/>
                <w:webHidden/>
              </w:rPr>
              <w:fldChar w:fldCharType="separate"/>
            </w:r>
            <w:r w:rsidR="00DC2E3C" w:rsidRPr="004D53F2">
              <w:rPr>
                <w:rFonts w:ascii="Arial" w:hAnsi="Arial" w:cs="Arial"/>
                <w:noProof/>
                <w:webHidden/>
              </w:rPr>
              <w:t>9</w:t>
            </w:r>
            <w:r w:rsidR="00DC2E3C" w:rsidRPr="004D53F2">
              <w:rPr>
                <w:rFonts w:ascii="Arial" w:hAnsi="Arial" w:cs="Arial"/>
                <w:noProof/>
                <w:webHidden/>
              </w:rPr>
              <w:fldChar w:fldCharType="end"/>
            </w:r>
          </w:hyperlink>
        </w:p>
        <w:p w14:paraId="10CA87D0" w14:textId="77777777" w:rsidR="00DC2E3C" w:rsidRPr="004D53F2" w:rsidRDefault="00AC65E0" w:rsidP="00DC2E3C">
          <w:pPr>
            <w:pStyle w:val="TOC1"/>
            <w:tabs>
              <w:tab w:val="right" w:leader="dot" w:pos="9016"/>
            </w:tabs>
            <w:rPr>
              <w:rFonts w:ascii="Arial" w:hAnsi="Arial" w:cs="Arial"/>
              <w:noProof/>
            </w:rPr>
          </w:pPr>
          <w:hyperlink w:anchor="_Toc234423533" w:history="1">
            <w:r w:rsidR="00DC2E3C" w:rsidRPr="004D53F2">
              <w:rPr>
                <w:rStyle w:val="Hyperlink"/>
                <w:rFonts w:ascii="Arial" w:hAnsi="Arial" w:cs="Arial"/>
                <w:b/>
                <w:bCs/>
                <w:noProof/>
              </w:rPr>
              <w:t>References</w:t>
            </w:r>
            <w:r w:rsidR="00DC2E3C" w:rsidRPr="004D53F2">
              <w:rPr>
                <w:rFonts w:ascii="Arial" w:hAnsi="Arial" w:cs="Arial"/>
                <w:noProof/>
                <w:webHidden/>
              </w:rPr>
              <w:tab/>
            </w:r>
            <w:r w:rsidR="00DC2E3C" w:rsidRPr="004D53F2">
              <w:rPr>
                <w:rFonts w:ascii="Arial" w:hAnsi="Arial" w:cs="Arial"/>
                <w:noProof/>
                <w:webHidden/>
              </w:rPr>
              <w:fldChar w:fldCharType="begin"/>
            </w:r>
            <w:r w:rsidR="00DC2E3C" w:rsidRPr="004D53F2">
              <w:rPr>
                <w:rFonts w:ascii="Arial" w:hAnsi="Arial" w:cs="Arial"/>
                <w:noProof/>
                <w:webHidden/>
              </w:rPr>
              <w:instrText xml:space="preserve"> PAGEREF _Toc234423533 \h </w:instrText>
            </w:r>
            <w:r w:rsidR="00DC2E3C" w:rsidRPr="004D53F2">
              <w:rPr>
                <w:rFonts w:ascii="Arial" w:hAnsi="Arial" w:cs="Arial"/>
                <w:noProof/>
                <w:webHidden/>
              </w:rPr>
            </w:r>
            <w:r w:rsidR="00DC2E3C" w:rsidRPr="004D53F2">
              <w:rPr>
                <w:rFonts w:ascii="Arial" w:hAnsi="Arial" w:cs="Arial"/>
                <w:noProof/>
                <w:webHidden/>
              </w:rPr>
              <w:fldChar w:fldCharType="separate"/>
            </w:r>
            <w:r w:rsidR="00DC2E3C" w:rsidRPr="004D53F2">
              <w:rPr>
                <w:rFonts w:ascii="Arial" w:hAnsi="Arial" w:cs="Arial"/>
                <w:noProof/>
                <w:webHidden/>
              </w:rPr>
              <w:t>10</w:t>
            </w:r>
            <w:r w:rsidR="00DC2E3C" w:rsidRPr="004D53F2">
              <w:rPr>
                <w:rFonts w:ascii="Arial" w:hAnsi="Arial" w:cs="Arial"/>
                <w:noProof/>
                <w:webHidden/>
              </w:rPr>
              <w:fldChar w:fldCharType="end"/>
            </w:r>
          </w:hyperlink>
        </w:p>
        <w:p w14:paraId="44C8E1CC" w14:textId="77777777" w:rsidR="00DC2E3C" w:rsidRPr="004D53F2" w:rsidRDefault="00DC2E3C" w:rsidP="00DC2E3C">
          <w:pPr>
            <w:rPr>
              <w:rFonts w:ascii="Arial" w:hAnsi="Arial" w:cs="Arial"/>
            </w:rPr>
          </w:pPr>
          <w:r w:rsidRPr="004D53F2">
            <w:rPr>
              <w:rFonts w:ascii="Arial" w:hAnsi="Arial" w:cs="Arial"/>
              <w:b/>
              <w:bCs/>
              <w:noProof/>
            </w:rPr>
            <w:fldChar w:fldCharType="end"/>
          </w:r>
        </w:p>
      </w:sdtContent>
    </w:sdt>
    <w:p w14:paraId="698B2187" w14:textId="77777777" w:rsidR="00DC2E3C" w:rsidRDefault="00DC2E3C" w:rsidP="00DC2E3C">
      <w:pPr>
        <w:jc w:val="both"/>
        <w:rPr>
          <w:rFonts w:ascii="Arial" w:hAnsi="Arial" w:cs="Arial"/>
          <w:sz w:val="40"/>
          <w:szCs w:val="40"/>
        </w:rPr>
      </w:pPr>
    </w:p>
    <w:p w14:paraId="199230C1" w14:textId="77777777" w:rsidR="00DC2E3C" w:rsidRDefault="00DC2E3C" w:rsidP="00DC2E3C">
      <w:pPr>
        <w:jc w:val="center"/>
        <w:rPr>
          <w:rFonts w:ascii="Arial" w:hAnsi="Arial" w:cs="Arial"/>
          <w:sz w:val="40"/>
          <w:szCs w:val="40"/>
        </w:rPr>
      </w:pPr>
    </w:p>
    <w:p w14:paraId="1865277E" w14:textId="77777777" w:rsidR="00DC2E3C" w:rsidRDefault="00DC2E3C" w:rsidP="00DC2E3C">
      <w:pPr>
        <w:jc w:val="center"/>
        <w:rPr>
          <w:rFonts w:ascii="Arial" w:hAnsi="Arial" w:cs="Arial"/>
          <w:sz w:val="40"/>
          <w:szCs w:val="40"/>
        </w:rPr>
      </w:pPr>
    </w:p>
    <w:p w14:paraId="2C0E8881" w14:textId="36705668" w:rsidR="00DC2E3C" w:rsidRDefault="00DC2E3C" w:rsidP="00DC2E3C">
      <w:pPr>
        <w:spacing w:after="0" w:line="240" w:lineRule="auto"/>
        <w:rPr>
          <w:rFonts w:ascii="Times New Roman" w:eastAsia="Times New Roman" w:hAnsi="Times New Roman" w:cs="Times New Roman"/>
          <w:sz w:val="24"/>
          <w:szCs w:val="24"/>
          <w:lang w:eastAsia="en-GB"/>
        </w:rPr>
      </w:pPr>
    </w:p>
    <w:p w14:paraId="0EAFAA54" w14:textId="04260421" w:rsidR="00DC2E3C" w:rsidRDefault="00DC2E3C" w:rsidP="00DC2E3C">
      <w:pPr>
        <w:spacing w:after="0" w:line="240" w:lineRule="auto"/>
        <w:rPr>
          <w:rFonts w:ascii="Times New Roman" w:eastAsia="Times New Roman" w:hAnsi="Times New Roman" w:cs="Times New Roman"/>
          <w:sz w:val="24"/>
          <w:szCs w:val="24"/>
          <w:lang w:eastAsia="en-GB"/>
        </w:rPr>
      </w:pPr>
    </w:p>
    <w:p w14:paraId="41790E86" w14:textId="5C2F0EC8" w:rsidR="00DC2E3C" w:rsidRDefault="00DC2E3C" w:rsidP="00DC2E3C">
      <w:pPr>
        <w:spacing w:after="0" w:line="240" w:lineRule="auto"/>
        <w:rPr>
          <w:rFonts w:ascii="Times New Roman" w:eastAsia="Times New Roman" w:hAnsi="Times New Roman" w:cs="Times New Roman"/>
          <w:sz w:val="24"/>
          <w:szCs w:val="24"/>
          <w:lang w:eastAsia="en-GB"/>
        </w:rPr>
      </w:pPr>
    </w:p>
    <w:p w14:paraId="14570246" w14:textId="68FEF551" w:rsidR="00DC2E3C" w:rsidRDefault="00DC2E3C" w:rsidP="00DC2E3C">
      <w:pPr>
        <w:spacing w:after="0" w:line="240" w:lineRule="auto"/>
        <w:rPr>
          <w:rFonts w:ascii="Times New Roman" w:eastAsia="Times New Roman" w:hAnsi="Times New Roman" w:cs="Times New Roman"/>
          <w:sz w:val="24"/>
          <w:szCs w:val="24"/>
          <w:lang w:eastAsia="en-GB"/>
        </w:rPr>
      </w:pPr>
    </w:p>
    <w:p w14:paraId="181625FB" w14:textId="24BBC3D6" w:rsidR="00DC2E3C" w:rsidRDefault="00DC2E3C" w:rsidP="00DC2E3C">
      <w:pPr>
        <w:spacing w:after="0" w:line="240" w:lineRule="auto"/>
        <w:rPr>
          <w:rFonts w:ascii="Times New Roman" w:eastAsia="Times New Roman" w:hAnsi="Times New Roman" w:cs="Times New Roman"/>
          <w:sz w:val="24"/>
          <w:szCs w:val="24"/>
          <w:lang w:eastAsia="en-GB"/>
        </w:rPr>
      </w:pPr>
    </w:p>
    <w:p w14:paraId="52549E51" w14:textId="134A5E66" w:rsidR="00DC2E3C" w:rsidRDefault="00DC2E3C" w:rsidP="00DC2E3C">
      <w:pPr>
        <w:spacing w:after="0" w:line="240" w:lineRule="auto"/>
        <w:rPr>
          <w:rFonts w:ascii="Times New Roman" w:eastAsia="Times New Roman" w:hAnsi="Times New Roman" w:cs="Times New Roman"/>
          <w:sz w:val="24"/>
          <w:szCs w:val="24"/>
          <w:lang w:eastAsia="en-GB"/>
        </w:rPr>
      </w:pPr>
    </w:p>
    <w:p w14:paraId="271421C8" w14:textId="4A60CE5F" w:rsidR="00DC2E3C" w:rsidRDefault="00DC2E3C" w:rsidP="00DC2E3C">
      <w:pPr>
        <w:spacing w:after="0" w:line="240" w:lineRule="auto"/>
        <w:rPr>
          <w:rFonts w:ascii="Times New Roman" w:eastAsia="Times New Roman" w:hAnsi="Times New Roman" w:cs="Times New Roman"/>
          <w:sz w:val="24"/>
          <w:szCs w:val="24"/>
          <w:lang w:eastAsia="en-GB"/>
        </w:rPr>
      </w:pPr>
    </w:p>
    <w:p w14:paraId="7ED9EEBF" w14:textId="09A9063B" w:rsidR="00DC2E3C" w:rsidRDefault="00DC2E3C" w:rsidP="00DC2E3C">
      <w:pPr>
        <w:spacing w:after="0" w:line="240" w:lineRule="auto"/>
        <w:rPr>
          <w:rFonts w:ascii="Times New Roman" w:eastAsia="Times New Roman" w:hAnsi="Times New Roman" w:cs="Times New Roman"/>
          <w:sz w:val="24"/>
          <w:szCs w:val="24"/>
          <w:lang w:eastAsia="en-GB"/>
        </w:rPr>
      </w:pPr>
    </w:p>
    <w:p w14:paraId="3460CE31" w14:textId="00D2EF98" w:rsidR="00DC2E3C" w:rsidRDefault="00DC2E3C" w:rsidP="00DC2E3C">
      <w:pPr>
        <w:spacing w:after="0" w:line="240" w:lineRule="auto"/>
        <w:rPr>
          <w:rFonts w:ascii="Times New Roman" w:eastAsia="Times New Roman" w:hAnsi="Times New Roman" w:cs="Times New Roman"/>
          <w:sz w:val="24"/>
          <w:szCs w:val="24"/>
          <w:lang w:eastAsia="en-GB"/>
        </w:rPr>
      </w:pPr>
    </w:p>
    <w:p w14:paraId="373E39C4" w14:textId="693AD9BC" w:rsidR="00DC2E3C" w:rsidRDefault="00DC2E3C" w:rsidP="00DC2E3C">
      <w:pPr>
        <w:spacing w:after="0" w:line="240" w:lineRule="auto"/>
        <w:rPr>
          <w:rFonts w:ascii="Times New Roman" w:eastAsia="Times New Roman" w:hAnsi="Times New Roman" w:cs="Times New Roman"/>
          <w:sz w:val="24"/>
          <w:szCs w:val="24"/>
          <w:lang w:eastAsia="en-GB"/>
        </w:rPr>
      </w:pPr>
    </w:p>
    <w:p w14:paraId="11BFFC2F" w14:textId="0D3A465B" w:rsidR="00DC2E3C" w:rsidRDefault="00DC2E3C" w:rsidP="00DC2E3C">
      <w:pPr>
        <w:spacing w:after="0" w:line="240" w:lineRule="auto"/>
        <w:rPr>
          <w:rFonts w:ascii="Times New Roman" w:eastAsia="Times New Roman" w:hAnsi="Times New Roman" w:cs="Times New Roman"/>
          <w:sz w:val="24"/>
          <w:szCs w:val="24"/>
          <w:lang w:eastAsia="en-GB"/>
        </w:rPr>
      </w:pPr>
    </w:p>
    <w:p w14:paraId="0FA9DC24" w14:textId="026F04B5" w:rsidR="00DC2E3C" w:rsidRDefault="00DC2E3C" w:rsidP="00DC2E3C">
      <w:pPr>
        <w:spacing w:after="0" w:line="240" w:lineRule="auto"/>
        <w:rPr>
          <w:rFonts w:ascii="Times New Roman" w:eastAsia="Times New Roman" w:hAnsi="Times New Roman" w:cs="Times New Roman"/>
          <w:sz w:val="24"/>
          <w:szCs w:val="24"/>
          <w:lang w:eastAsia="en-GB"/>
        </w:rPr>
      </w:pPr>
    </w:p>
    <w:p w14:paraId="78144CFF" w14:textId="3DDACA26" w:rsidR="00DC2E3C" w:rsidRDefault="00DC2E3C" w:rsidP="00DC2E3C">
      <w:pPr>
        <w:spacing w:after="0" w:line="240" w:lineRule="auto"/>
        <w:rPr>
          <w:rFonts w:ascii="Times New Roman" w:eastAsia="Times New Roman" w:hAnsi="Times New Roman" w:cs="Times New Roman"/>
          <w:sz w:val="24"/>
          <w:szCs w:val="24"/>
          <w:lang w:eastAsia="en-GB"/>
        </w:rPr>
      </w:pPr>
    </w:p>
    <w:p w14:paraId="0D89F9C9" w14:textId="01404FAB" w:rsidR="00DC2E3C" w:rsidRDefault="00DC2E3C" w:rsidP="00DC2E3C">
      <w:pPr>
        <w:spacing w:after="0" w:line="240" w:lineRule="auto"/>
        <w:rPr>
          <w:rFonts w:ascii="Times New Roman" w:eastAsia="Times New Roman" w:hAnsi="Times New Roman" w:cs="Times New Roman"/>
          <w:sz w:val="24"/>
          <w:szCs w:val="24"/>
          <w:lang w:eastAsia="en-GB"/>
        </w:rPr>
      </w:pPr>
    </w:p>
    <w:p w14:paraId="1B3CF6B7" w14:textId="0CD188AD" w:rsidR="00DC2E3C" w:rsidRDefault="00DC2E3C" w:rsidP="00DC2E3C">
      <w:pPr>
        <w:spacing w:after="0" w:line="240" w:lineRule="auto"/>
        <w:rPr>
          <w:rFonts w:ascii="Times New Roman" w:eastAsia="Times New Roman" w:hAnsi="Times New Roman" w:cs="Times New Roman"/>
          <w:sz w:val="24"/>
          <w:szCs w:val="24"/>
          <w:lang w:eastAsia="en-GB"/>
        </w:rPr>
      </w:pPr>
    </w:p>
    <w:p w14:paraId="5D750AAF" w14:textId="6E27B5BF" w:rsidR="00DC2E3C" w:rsidRDefault="00DC2E3C" w:rsidP="00DC2E3C">
      <w:pPr>
        <w:spacing w:after="0" w:line="240" w:lineRule="auto"/>
        <w:rPr>
          <w:rFonts w:ascii="Times New Roman" w:eastAsia="Times New Roman" w:hAnsi="Times New Roman" w:cs="Times New Roman"/>
          <w:sz w:val="24"/>
          <w:szCs w:val="24"/>
          <w:lang w:eastAsia="en-GB"/>
        </w:rPr>
      </w:pPr>
    </w:p>
    <w:p w14:paraId="04746490" w14:textId="0042ABAD" w:rsidR="00DC2E3C" w:rsidRDefault="00DC2E3C" w:rsidP="00DC2E3C">
      <w:pPr>
        <w:spacing w:after="0" w:line="240" w:lineRule="auto"/>
        <w:rPr>
          <w:rFonts w:ascii="Times New Roman" w:eastAsia="Times New Roman" w:hAnsi="Times New Roman" w:cs="Times New Roman"/>
          <w:sz w:val="24"/>
          <w:szCs w:val="24"/>
          <w:lang w:eastAsia="en-GB"/>
        </w:rPr>
      </w:pPr>
    </w:p>
    <w:p w14:paraId="18C0CAA4" w14:textId="372AB14C" w:rsidR="00DC2E3C" w:rsidRDefault="00DC2E3C" w:rsidP="00DC2E3C">
      <w:pPr>
        <w:spacing w:after="0" w:line="240" w:lineRule="auto"/>
        <w:rPr>
          <w:rFonts w:ascii="Times New Roman" w:eastAsia="Times New Roman" w:hAnsi="Times New Roman" w:cs="Times New Roman"/>
          <w:sz w:val="24"/>
          <w:szCs w:val="24"/>
          <w:lang w:eastAsia="en-GB"/>
        </w:rPr>
      </w:pPr>
    </w:p>
    <w:p w14:paraId="7BE08FE5" w14:textId="70FD4E0F" w:rsidR="00DC2E3C" w:rsidRDefault="00DC2E3C" w:rsidP="00DC2E3C">
      <w:pPr>
        <w:spacing w:after="0" w:line="240" w:lineRule="auto"/>
        <w:rPr>
          <w:rFonts w:ascii="Times New Roman" w:eastAsia="Times New Roman" w:hAnsi="Times New Roman" w:cs="Times New Roman"/>
          <w:sz w:val="24"/>
          <w:szCs w:val="24"/>
          <w:lang w:eastAsia="en-GB"/>
        </w:rPr>
      </w:pPr>
    </w:p>
    <w:p w14:paraId="40A877AE" w14:textId="1A042D26" w:rsidR="00DC2E3C" w:rsidRDefault="00DC2E3C" w:rsidP="00DC2E3C">
      <w:pPr>
        <w:spacing w:after="0" w:line="240" w:lineRule="auto"/>
        <w:rPr>
          <w:rFonts w:ascii="Times New Roman" w:eastAsia="Times New Roman" w:hAnsi="Times New Roman" w:cs="Times New Roman"/>
          <w:sz w:val="24"/>
          <w:szCs w:val="24"/>
          <w:lang w:eastAsia="en-GB"/>
        </w:rPr>
      </w:pPr>
    </w:p>
    <w:p w14:paraId="2D44C39A" w14:textId="4210B8A5" w:rsidR="00DC2E3C" w:rsidRDefault="00DC2E3C" w:rsidP="00DC2E3C">
      <w:pPr>
        <w:spacing w:after="0" w:line="240" w:lineRule="auto"/>
        <w:rPr>
          <w:rFonts w:ascii="Times New Roman" w:eastAsia="Times New Roman" w:hAnsi="Times New Roman" w:cs="Times New Roman"/>
          <w:sz w:val="24"/>
          <w:szCs w:val="24"/>
          <w:lang w:eastAsia="en-GB"/>
        </w:rPr>
      </w:pPr>
    </w:p>
    <w:p w14:paraId="168879A5" w14:textId="0CAF7168" w:rsidR="00DC2E3C" w:rsidRDefault="00DC2E3C" w:rsidP="00DC2E3C">
      <w:pPr>
        <w:spacing w:after="0" w:line="240" w:lineRule="auto"/>
        <w:rPr>
          <w:rFonts w:ascii="Times New Roman" w:eastAsia="Times New Roman" w:hAnsi="Times New Roman" w:cs="Times New Roman"/>
          <w:sz w:val="24"/>
          <w:szCs w:val="24"/>
          <w:lang w:eastAsia="en-GB"/>
        </w:rPr>
      </w:pPr>
    </w:p>
    <w:p w14:paraId="419E5AAE" w14:textId="73098C04" w:rsidR="00DC2E3C" w:rsidRDefault="00DC2E3C" w:rsidP="00DC2E3C">
      <w:pPr>
        <w:spacing w:after="0" w:line="240" w:lineRule="auto"/>
        <w:rPr>
          <w:rFonts w:ascii="Times New Roman" w:eastAsia="Times New Roman" w:hAnsi="Times New Roman" w:cs="Times New Roman"/>
          <w:sz w:val="24"/>
          <w:szCs w:val="24"/>
          <w:lang w:eastAsia="en-GB"/>
        </w:rPr>
      </w:pPr>
    </w:p>
    <w:p w14:paraId="504D683E" w14:textId="44A4F6DA" w:rsidR="00DC2E3C" w:rsidRDefault="00DC2E3C" w:rsidP="00DC2E3C">
      <w:pPr>
        <w:spacing w:after="0" w:line="240" w:lineRule="auto"/>
        <w:rPr>
          <w:rFonts w:ascii="Times New Roman" w:eastAsia="Times New Roman" w:hAnsi="Times New Roman" w:cs="Times New Roman"/>
          <w:sz w:val="24"/>
          <w:szCs w:val="24"/>
          <w:lang w:eastAsia="en-GB"/>
        </w:rPr>
      </w:pPr>
    </w:p>
    <w:p w14:paraId="079EEB5B" w14:textId="76B7B395" w:rsidR="00DC2E3C" w:rsidRDefault="00DC2E3C" w:rsidP="00DC2E3C">
      <w:pPr>
        <w:spacing w:after="0" w:line="240" w:lineRule="auto"/>
        <w:rPr>
          <w:rFonts w:ascii="Times New Roman" w:eastAsia="Times New Roman" w:hAnsi="Times New Roman" w:cs="Times New Roman"/>
          <w:sz w:val="24"/>
          <w:szCs w:val="24"/>
          <w:lang w:eastAsia="en-GB"/>
        </w:rPr>
      </w:pPr>
    </w:p>
    <w:p w14:paraId="00715DCF" w14:textId="18287949" w:rsidR="00DC2E3C" w:rsidRDefault="00DC2E3C" w:rsidP="00DC2E3C">
      <w:pPr>
        <w:spacing w:after="0" w:line="240" w:lineRule="auto"/>
        <w:rPr>
          <w:rFonts w:ascii="Times New Roman" w:eastAsia="Times New Roman" w:hAnsi="Times New Roman" w:cs="Times New Roman"/>
          <w:sz w:val="24"/>
          <w:szCs w:val="24"/>
          <w:lang w:eastAsia="en-GB"/>
        </w:rPr>
      </w:pPr>
    </w:p>
    <w:p w14:paraId="63C1AA01" w14:textId="17A3CE75" w:rsidR="00DC2E3C" w:rsidRDefault="00DC2E3C" w:rsidP="00DC2E3C">
      <w:pPr>
        <w:spacing w:after="0" w:line="240" w:lineRule="auto"/>
        <w:rPr>
          <w:rFonts w:ascii="Times New Roman" w:eastAsia="Times New Roman" w:hAnsi="Times New Roman" w:cs="Times New Roman"/>
          <w:sz w:val="24"/>
          <w:szCs w:val="24"/>
          <w:lang w:eastAsia="en-GB"/>
        </w:rPr>
      </w:pPr>
    </w:p>
    <w:p w14:paraId="02341176" w14:textId="77777777" w:rsidR="00DC2E3C" w:rsidRPr="00DC2E3C" w:rsidRDefault="00DC2E3C" w:rsidP="00DC2E3C">
      <w:pPr>
        <w:spacing w:after="0" w:line="240" w:lineRule="auto"/>
        <w:rPr>
          <w:rFonts w:ascii="Times New Roman" w:eastAsia="Times New Roman" w:hAnsi="Times New Roman" w:cs="Times New Roman"/>
          <w:sz w:val="24"/>
          <w:szCs w:val="24"/>
          <w:lang w:eastAsia="en-GB"/>
        </w:rPr>
      </w:pPr>
    </w:p>
    <w:p w14:paraId="4497768F" w14:textId="77777777" w:rsidR="00DC2E3C" w:rsidRPr="00DC2E3C" w:rsidRDefault="00DC2E3C" w:rsidP="00DC2E3C">
      <w:pPr>
        <w:spacing w:before="100" w:beforeAutospacing="1" w:after="100" w:afterAutospacing="1" w:line="360" w:lineRule="auto"/>
        <w:rPr>
          <w:rFonts w:ascii="Arial" w:eastAsia="Times New Roman" w:hAnsi="Arial" w:cs="Arial"/>
          <w:sz w:val="24"/>
          <w:szCs w:val="24"/>
          <w:lang w:eastAsia="en-GB"/>
        </w:rPr>
      </w:pPr>
      <w:r w:rsidRPr="00DC2E3C">
        <w:rPr>
          <w:rFonts w:ascii="Arial" w:eastAsia="Times New Roman" w:hAnsi="Arial" w:cs="Arial"/>
          <w:b/>
          <w:bCs/>
          <w:sz w:val="24"/>
          <w:szCs w:val="24"/>
          <w:lang w:eastAsia="en-GB"/>
        </w:rPr>
        <w:lastRenderedPageBreak/>
        <w:t>Digital Transformation in Health and Social Care: A Critical Evaluation of the NHS e-Referral Service (e-RS)</w:t>
      </w:r>
    </w:p>
    <w:p w14:paraId="01AC208C" w14:textId="77777777" w:rsidR="00DC2E3C" w:rsidRPr="00DC2E3C" w:rsidRDefault="00DC2E3C" w:rsidP="00DC2E3C">
      <w:pPr>
        <w:spacing w:before="100" w:beforeAutospacing="1" w:after="100" w:afterAutospacing="1" w:line="360" w:lineRule="auto"/>
        <w:rPr>
          <w:rFonts w:ascii="Arial" w:eastAsia="Times New Roman" w:hAnsi="Arial" w:cs="Arial"/>
          <w:sz w:val="36"/>
          <w:szCs w:val="36"/>
          <w:lang w:eastAsia="en-GB"/>
        </w:rPr>
      </w:pPr>
      <w:r w:rsidRPr="00DC2E3C">
        <w:rPr>
          <w:rFonts w:ascii="Arial" w:eastAsia="Times New Roman" w:hAnsi="Arial" w:cs="Arial"/>
          <w:b/>
          <w:bCs/>
          <w:sz w:val="36"/>
          <w:szCs w:val="36"/>
          <w:lang w:eastAsia="en-GB"/>
        </w:rPr>
        <w:t>Introduction</w:t>
      </w:r>
    </w:p>
    <w:p w14:paraId="435BF1B0" w14:textId="77777777" w:rsidR="00247703" w:rsidRPr="00247703" w:rsidRDefault="00247703" w:rsidP="00247703">
      <w:pPr>
        <w:pStyle w:val="font-claude-response-body"/>
        <w:spacing w:line="360" w:lineRule="auto"/>
        <w:rPr>
          <w:rFonts w:ascii="Arial" w:hAnsi="Arial" w:cs="Arial"/>
          <w:sz w:val="22"/>
          <w:szCs w:val="22"/>
        </w:rPr>
      </w:pPr>
      <w:r w:rsidRPr="00247703">
        <w:rPr>
          <w:rFonts w:ascii="Arial" w:hAnsi="Arial" w:cs="Arial"/>
          <w:sz w:val="22"/>
          <w:szCs w:val="22"/>
        </w:rPr>
        <w:t>Healthcare across the UK looks different today than it did even a decade ago, largely because of the growing role digital technology plays in how care is delivered. The NHS has leaned into this shift deliberately, using digital tools to improve efficiency, accessibility, and patient safety. At its core, digital transformation means embedding digital technologies into healthcare systems in ways that reshape clinical pathways, improve outcomes, and open up better communication between services. The NHS Long Term Plan treats this kind of innovation as essential groundwork for a more integrated, patient-centred NHS, and electronic referral systems are among the clearest examples of that ambition in practice.</w:t>
      </w:r>
    </w:p>
    <w:p w14:paraId="3953BED6" w14:textId="77777777" w:rsidR="00247703" w:rsidRPr="00247703" w:rsidRDefault="00247703" w:rsidP="00247703">
      <w:pPr>
        <w:pStyle w:val="font-claude-response-body"/>
        <w:spacing w:line="360" w:lineRule="auto"/>
        <w:rPr>
          <w:rFonts w:ascii="Arial" w:hAnsi="Arial" w:cs="Arial"/>
          <w:sz w:val="22"/>
          <w:szCs w:val="22"/>
        </w:rPr>
      </w:pPr>
      <w:r w:rsidRPr="00247703">
        <w:rPr>
          <w:rFonts w:ascii="Arial" w:hAnsi="Arial" w:cs="Arial"/>
          <w:sz w:val="22"/>
          <w:szCs w:val="22"/>
        </w:rPr>
        <w:t>Chief among these is the NHS e-Referral Service (e-RS). It grew out of the earlier Choose and Book programme, but the real turning point came in October 2018, when NHS England made electronic processing mandatory for all consultant-led first outpatient referrals from general practice, ending the use of fax, email, or paper. That single policy decision marked a genuine shift in how referrals work across the NHS, replacing a patchwork of manual methods with one secure, national platform.</w:t>
      </w:r>
    </w:p>
    <w:p w14:paraId="5CCCDFAC" w14:textId="77777777" w:rsidR="00247703" w:rsidRPr="00247703" w:rsidRDefault="00247703" w:rsidP="00247703">
      <w:pPr>
        <w:pStyle w:val="font-claude-response-body"/>
        <w:spacing w:line="360" w:lineRule="auto"/>
        <w:rPr>
          <w:rFonts w:ascii="Arial" w:hAnsi="Arial" w:cs="Arial"/>
          <w:sz w:val="22"/>
          <w:szCs w:val="22"/>
        </w:rPr>
      </w:pPr>
      <w:r w:rsidRPr="00247703">
        <w:rPr>
          <w:rFonts w:ascii="Arial" w:hAnsi="Arial" w:cs="Arial"/>
          <w:sz w:val="22"/>
          <w:szCs w:val="22"/>
        </w:rPr>
        <w:t>In practical terms, e-RS lets GPs and other healthcare professionals refer patients electronically to secondary care, while giving patients a say in where and when they're seen, where options exist. Beyond simple referral, the platform also handles electronic communication, referral tracking, clinical triage, and Advice and Guidance (A&amp;G), the last of which lets specialists weigh in without needing a full outpatient appointment. Together, these functions are meant to cut down on unnecessary referrals, sharpen referral quality, and shorten waiting times.</w:t>
      </w:r>
    </w:p>
    <w:p w14:paraId="3AADB1B6" w14:textId="77777777" w:rsidR="00247703" w:rsidRPr="00247703" w:rsidRDefault="00247703" w:rsidP="00247703">
      <w:pPr>
        <w:pStyle w:val="font-claude-response-body"/>
        <w:spacing w:line="360" w:lineRule="auto"/>
        <w:rPr>
          <w:rFonts w:ascii="Arial" w:hAnsi="Arial" w:cs="Arial"/>
          <w:sz w:val="22"/>
          <w:szCs w:val="22"/>
        </w:rPr>
      </w:pPr>
      <w:r w:rsidRPr="00247703">
        <w:rPr>
          <w:rFonts w:ascii="Arial" w:hAnsi="Arial" w:cs="Arial"/>
          <w:sz w:val="22"/>
          <w:szCs w:val="22"/>
        </w:rPr>
        <w:t>None of this has been simple to implement, though. Digital transformation in healthcare rarely is. It touches staff responsibilities, clinical workflows, patient experience, and organisational structure all at once, and the research is fairly consistent on this point: success depends as much on workforce competence, organisational readiness, and digital leadership as it does on the technology itself. That is why evaluating something like e-RS properly means looking past technical performance alone and considering its wider organisational, social, and professional footprint.</w:t>
      </w:r>
    </w:p>
    <w:p w14:paraId="34875FFF" w14:textId="3BB908F3" w:rsidR="00247703" w:rsidRPr="00247703" w:rsidRDefault="00247703" w:rsidP="00247703">
      <w:pPr>
        <w:pStyle w:val="font-claude-response-body"/>
        <w:spacing w:line="360" w:lineRule="auto"/>
        <w:rPr>
          <w:rFonts w:ascii="Arial" w:hAnsi="Arial" w:cs="Arial"/>
          <w:sz w:val="22"/>
          <w:szCs w:val="22"/>
        </w:rPr>
      </w:pPr>
      <w:r w:rsidRPr="00247703">
        <w:rPr>
          <w:rFonts w:ascii="Arial" w:hAnsi="Arial" w:cs="Arial"/>
          <w:sz w:val="22"/>
          <w:szCs w:val="22"/>
        </w:rPr>
        <w:lastRenderedPageBreak/>
        <w:t>This report takes on that evaluation, focusing on the implementation of e-RS within the English NHS across four areas: service delivery, workforce, patient experience, and community impact. Drawing on peer</w:t>
      </w:r>
      <w:r w:rsidR="00A94406">
        <w:rPr>
          <w:rFonts w:ascii="Arial" w:hAnsi="Arial" w:cs="Arial"/>
          <w:sz w:val="22"/>
          <w:szCs w:val="22"/>
        </w:rPr>
        <w:t xml:space="preserve"> </w:t>
      </w:r>
      <w:r w:rsidRPr="00247703">
        <w:rPr>
          <w:rFonts w:ascii="Arial" w:hAnsi="Arial" w:cs="Arial"/>
          <w:sz w:val="22"/>
          <w:szCs w:val="22"/>
        </w:rPr>
        <w:t>reviewed literature and UK healthcare policy, it weighs both the benefits and the drawbacks of this shift, before concluding with a judgement on whether e-RS has met its aims and what that means for future digital healthcare development.</w:t>
      </w:r>
    </w:p>
    <w:p w14:paraId="1B207C6A" w14:textId="1553A313" w:rsidR="00DC2E3C" w:rsidRPr="00DC2E3C" w:rsidRDefault="00DC2E3C" w:rsidP="00DC2E3C">
      <w:pPr>
        <w:spacing w:after="0" w:line="360" w:lineRule="auto"/>
        <w:rPr>
          <w:rFonts w:ascii="Times New Roman" w:eastAsia="Times New Roman" w:hAnsi="Times New Roman" w:cs="Times New Roman"/>
          <w:sz w:val="24"/>
          <w:szCs w:val="24"/>
          <w:lang w:eastAsia="en-GB"/>
        </w:rPr>
      </w:pPr>
    </w:p>
    <w:p w14:paraId="57064EF1" w14:textId="77777777" w:rsidR="00DC2E3C" w:rsidRPr="00DC2E3C" w:rsidRDefault="00DC2E3C" w:rsidP="00DC2E3C">
      <w:pPr>
        <w:pStyle w:val="font-claude-response-body"/>
        <w:rPr>
          <w:rFonts w:ascii="Arial" w:hAnsi="Arial" w:cs="Arial"/>
          <w:sz w:val="36"/>
          <w:szCs w:val="36"/>
        </w:rPr>
      </w:pPr>
      <w:r w:rsidRPr="00DC2E3C">
        <w:rPr>
          <w:rStyle w:val="Strong"/>
          <w:rFonts w:ascii="Arial" w:hAnsi="Arial" w:cs="Arial"/>
          <w:sz w:val="36"/>
          <w:szCs w:val="36"/>
        </w:rPr>
        <w:t>Background to the NHS e-Referral Service</w:t>
      </w:r>
    </w:p>
    <w:p w14:paraId="58BF85B7" w14:textId="77777777" w:rsidR="009C4FDD" w:rsidRPr="009C4FDD" w:rsidRDefault="009C4FDD" w:rsidP="009C4FDD">
      <w:pPr>
        <w:pStyle w:val="font-claude-response-body"/>
        <w:spacing w:line="360" w:lineRule="auto"/>
        <w:rPr>
          <w:rFonts w:ascii="Arial" w:hAnsi="Arial" w:cs="Arial"/>
          <w:sz w:val="22"/>
          <w:szCs w:val="22"/>
        </w:rPr>
      </w:pPr>
      <w:bookmarkStart w:id="0" w:name="_Toc234423529"/>
      <w:r w:rsidRPr="009C4FDD">
        <w:rPr>
          <w:rFonts w:ascii="Arial" w:hAnsi="Arial" w:cs="Arial"/>
          <w:sz w:val="22"/>
          <w:szCs w:val="22"/>
        </w:rPr>
        <w:t>At its core, the NHS e-Referral Service is a nationally commissioned platform that moves referrals from primary care into community and specialist services, including consultant-led outpatient clinics, diagnostic services, and specialist assessment pathways. It gives healthcare professionals a single electronic system for creating and managing referrals, and it gives patients more say than they have historically had in choosing where and when they are treated.</w:t>
      </w:r>
    </w:p>
    <w:p w14:paraId="467994B2"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The move to mandatory electronic referrals came in October 2018, when NHS England scrapped paper-based referrals altogether. This was not an isolated decision; it sat within a broader NHS digital transformation strategy pushing all providers toward standardised electronic pathways. There was a financial edge to it too: organisations that failed to route consultant-led referrals through e-RS risked penalties under the NHS Standard Contract, which did as much to drive adoption as any policy statement.</w:t>
      </w:r>
    </w:p>
    <w:p w14:paraId="414A5AFD"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The operational case for e-RS over paper-based systems is fairly strong. Referral information moves securely, referrals can be tracked, appointment booking is integrated, and audit trails are far more complete than anything paper allowed. Patients can book, amend, or cancel appointments online or by phone; clinicians can track referral progress and communicate directly with secondary care specialists. The Advice and Guidance function adds another layer, supporting more collaborative decisions between primary and secondary care and, at least in principle, cutting down on outpatient visits that were not really necessary.</w:t>
      </w:r>
    </w:p>
    <w:p w14:paraId="5C916C15"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 xml:space="preserve">But the transition has not been without cost. Getting there required real investment in workflow redesign, staff training, change management, and digital infrastructure, and many clinicians reported heavier administrative workloads in the early stages of rollout. Digital literacy and organisational readiness also varied considerably from one setting to another, </w:t>
      </w:r>
      <w:r w:rsidRPr="009C4FDD">
        <w:rPr>
          <w:rFonts w:ascii="Arial" w:hAnsi="Arial" w:cs="Arial"/>
          <w:sz w:val="22"/>
          <w:szCs w:val="22"/>
        </w:rPr>
        <w:lastRenderedPageBreak/>
        <w:t>which affected how much of the promised benefit actually materialised in practice. If there is a lesson here, it is that digital innovation is never just about the technology; how well it lands depends just as much on organisational culture, workforce engagement, and a willingness to keep improving the service after go-live.</w:t>
      </w:r>
    </w:p>
    <w:p w14:paraId="5D3619B8" w14:textId="77777777" w:rsidR="00247703" w:rsidRPr="00A21E58" w:rsidRDefault="00247703" w:rsidP="00A21E58">
      <w:pPr>
        <w:spacing w:before="100" w:beforeAutospacing="1" w:after="100" w:afterAutospacing="1" w:line="360" w:lineRule="auto"/>
        <w:rPr>
          <w:rFonts w:ascii="Arial" w:eastAsia="Times New Roman" w:hAnsi="Arial" w:cs="Arial"/>
          <w:sz w:val="24"/>
          <w:szCs w:val="24"/>
          <w:lang w:eastAsia="en-GB"/>
        </w:rPr>
      </w:pPr>
    </w:p>
    <w:p w14:paraId="4DF1EF97" w14:textId="53923245" w:rsidR="00A21E58" w:rsidRPr="00247703" w:rsidRDefault="00A21E58" w:rsidP="00A21E58">
      <w:pPr>
        <w:pStyle w:val="Heading1"/>
        <w:rPr>
          <w:b/>
          <w:bCs/>
          <w:color w:val="auto"/>
          <w:sz w:val="36"/>
          <w:szCs w:val="36"/>
        </w:rPr>
      </w:pPr>
      <w:r w:rsidRPr="00247703">
        <w:rPr>
          <w:b/>
          <w:bCs/>
          <w:color w:val="auto"/>
          <w:sz w:val="36"/>
          <w:szCs w:val="36"/>
        </w:rPr>
        <w:t>Workforce Impacts of the NHS e-Referral Service</w:t>
      </w:r>
      <w:bookmarkEnd w:id="0"/>
    </w:p>
    <w:p w14:paraId="2A9F7129" w14:textId="77777777" w:rsidR="00A21E58" w:rsidRPr="00A21E58" w:rsidRDefault="00A21E58" w:rsidP="00A21E58"/>
    <w:p w14:paraId="08A44656"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Digital transformation rarely stops at the technology itself, and e-RS is a clear case in point. Its rollout has reshaped clinical workflows, expanded what counts as a core digital competency for staff, and redefined professional responsibilities across primary and secondary care, not always smoothly.</w:t>
      </w:r>
    </w:p>
    <w:p w14:paraId="212AF8BB" w14:textId="43668AC3"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 xml:space="preserve">The most visible change is the shift from </w:t>
      </w:r>
      <w:proofErr w:type="gramStart"/>
      <w:r w:rsidRPr="009C4FDD">
        <w:rPr>
          <w:rFonts w:ascii="Arial" w:hAnsi="Arial" w:cs="Arial"/>
          <w:sz w:val="22"/>
          <w:szCs w:val="22"/>
        </w:rPr>
        <w:t>paper</w:t>
      </w:r>
      <w:r w:rsidR="00A94406">
        <w:rPr>
          <w:rFonts w:ascii="Arial" w:hAnsi="Arial" w:cs="Arial"/>
          <w:sz w:val="22"/>
          <w:szCs w:val="22"/>
        </w:rPr>
        <w:t xml:space="preserve"> </w:t>
      </w:r>
      <w:r w:rsidRPr="009C4FDD">
        <w:rPr>
          <w:rFonts w:ascii="Arial" w:hAnsi="Arial" w:cs="Arial"/>
          <w:sz w:val="22"/>
          <w:szCs w:val="22"/>
        </w:rPr>
        <w:t>based</w:t>
      </w:r>
      <w:proofErr w:type="gramEnd"/>
      <w:r w:rsidRPr="009C4FDD">
        <w:rPr>
          <w:rFonts w:ascii="Arial" w:hAnsi="Arial" w:cs="Arial"/>
          <w:sz w:val="22"/>
          <w:szCs w:val="22"/>
        </w:rPr>
        <w:t xml:space="preserve"> referrals to electronic referral management. In practice, this has meant more complete and higher-quality referral information reaching specialists, which supports better-informed decisions and cuts down on delays that used to stem from missing documentation (NHS England, 2023).</w:t>
      </w:r>
    </w:p>
    <w:p w14:paraId="0894ED36"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GPs, in particular, have seen their role stretch beyond simply making a referral. e-RS actively encourages use of its integrated Advice and Guidance (A&amp;G) function, through which consultants can offer specialist input before a patient is ever booked into an outpatient clinic. NHS England (2023) reports that this reduces unnecessary outpatient appointments and strengthens collaborative decision-making between primary and secondary care, though the extent of this benefit depends heavily on how consistently A&amp;G is used.</w:t>
      </w:r>
    </w:p>
    <w:p w14:paraId="545CEAD6"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Administrative staff have arguably experienced the sharpest shift. Where referral administrators once processed paper documentation and coordinated appointments largely by hand, they are now expected to monitor electronic worklists, manage appointment availability, chase down rejected referrals, and help patients who struggle with online booking (NHS Digital, 2020). This is a different job, not just a digitised version of the old one.</w:t>
      </w:r>
    </w:p>
    <w:p w14:paraId="0BA9F2C1" w14:textId="36F999CB"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Digital competency has consequently become non-negotiable. The NHS Digital Capability Framework is explicit that all healthcare professionals need adequate digital skills to work safely in an increasingly technology</w:t>
      </w:r>
      <w:r w:rsidR="00AD6B8A">
        <w:rPr>
          <w:rFonts w:ascii="Arial" w:hAnsi="Arial" w:cs="Arial"/>
          <w:sz w:val="22"/>
          <w:szCs w:val="22"/>
        </w:rPr>
        <w:t xml:space="preserve"> </w:t>
      </w:r>
      <w:r w:rsidRPr="009C4FDD">
        <w:rPr>
          <w:rFonts w:ascii="Arial" w:hAnsi="Arial" w:cs="Arial"/>
          <w:sz w:val="22"/>
          <w:szCs w:val="22"/>
        </w:rPr>
        <w:t xml:space="preserve">driven system (NHS Health Education England, 2023), and </w:t>
      </w:r>
      <w:proofErr w:type="spellStart"/>
      <w:r w:rsidRPr="009C4FDD">
        <w:rPr>
          <w:rFonts w:ascii="Arial" w:hAnsi="Arial" w:cs="Arial"/>
          <w:sz w:val="22"/>
          <w:szCs w:val="22"/>
        </w:rPr>
        <w:t>Topol</w:t>
      </w:r>
      <w:proofErr w:type="spellEnd"/>
      <w:r w:rsidRPr="009C4FDD">
        <w:rPr>
          <w:rFonts w:ascii="Arial" w:hAnsi="Arial" w:cs="Arial"/>
          <w:sz w:val="22"/>
          <w:szCs w:val="22"/>
        </w:rPr>
        <w:t xml:space="preserve"> (2019) makes a similar point: successful e-RS use depends on clinicians being genuinely confident navigating the system, not just technically able to log in.</w:t>
      </w:r>
    </w:p>
    <w:p w14:paraId="11D295E1"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lastRenderedPageBreak/>
        <w:t>That confidence has not always been there. Greenhalgh et al. (2018) note that health technology implementations often meet resistance when staff feel a system adds to their workload or chips away at their professional autonomy, and e-RS has been no exception; some clinicians have raised concerns that mandatory electronic referrals lengthen consultations and pile on extra administrative work.</w:t>
      </w:r>
    </w:p>
    <w:p w14:paraId="56CCA251" w14:textId="208DDCC3"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 xml:space="preserve">Over time, though, the picture improves. Once embedded into routine practice, electronic referral systems tend to reduce transcription errors, remove the need for paper trails, and give clinicians </w:t>
      </w:r>
      <w:proofErr w:type="spellStart"/>
      <w:r w:rsidRPr="009C4FDD">
        <w:rPr>
          <w:rFonts w:ascii="Arial" w:hAnsi="Arial" w:cs="Arial"/>
          <w:sz w:val="22"/>
          <w:szCs w:val="22"/>
        </w:rPr>
        <w:t>realtime</w:t>
      </w:r>
      <w:proofErr w:type="spellEnd"/>
      <w:r w:rsidRPr="009C4FDD">
        <w:rPr>
          <w:rFonts w:ascii="Arial" w:hAnsi="Arial" w:cs="Arial"/>
          <w:sz w:val="22"/>
          <w:szCs w:val="22"/>
        </w:rPr>
        <w:t xml:space="preserve"> visibility over referral status (NHS England, 2023).</w:t>
      </w:r>
    </w:p>
    <w:p w14:paraId="037BE581"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Even so, not everyone benefits equally. Variation in digital confidence, access to training, and organisational support all shape how well individual professionals adapt (</w:t>
      </w:r>
      <w:proofErr w:type="spellStart"/>
      <w:r w:rsidRPr="009C4FDD">
        <w:rPr>
          <w:rFonts w:ascii="Arial" w:hAnsi="Arial" w:cs="Arial"/>
          <w:sz w:val="22"/>
          <w:szCs w:val="22"/>
        </w:rPr>
        <w:t>Topol</w:t>
      </w:r>
      <w:proofErr w:type="spellEnd"/>
      <w:r w:rsidRPr="009C4FDD">
        <w:rPr>
          <w:rFonts w:ascii="Arial" w:hAnsi="Arial" w:cs="Arial"/>
          <w:sz w:val="22"/>
          <w:szCs w:val="22"/>
        </w:rPr>
        <w:t>, 2019). The workforce gains from e-RS are real, but they are not evenly distributed, and that unevenness is likely to persist without sustained investment in training and digital leadership.</w:t>
      </w:r>
    </w:p>
    <w:p w14:paraId="7E58ABCA" w14:textId="2AC353BA" w:rsidR="00247703" w:rsidRDefault="00247703" w:rsidP="00247703">
      <w:pPr>
        <w:pStyle w:val="font-claude-response-body"/>
        <w:spacing w:line="360" w:lineRule="auto"/>
        <w:rPr>
          <w:rFonts w:ascii="Arial" w:hAnsi="Arial" w:cs="Arial"/>
        </w:rPr>
      </w:pPr>
    </w:p>
    <w:p w14:paraId="388DF2FD" w14:textId="38AFB8B1" w:rsidR="00247703" w:rsidRDefault="00247703" w:rsidP="00247703">
      <w:pPr>
        <w:pStyle w:val="Heading1"/>
        <w:rPr>
          <w:b/>
          <w:bCs/>
          <w:color w:val="auto"/>
        </w:rPr>
      </w:pPr>
      <w:bookmarkStart w:id="1" w:name="_Toc234423530"/>
      <w:r w:rsidRPr="00495C38">
        <w:rPr>
          <w:b/>
          <w:bCs/>
          <w:color w:val="auto"/>
        </w:rPr>
        <w:t>Service delivery impacts of the NHS e-Referral Service</w:t>
      </w:r>
      <w:bookmarkEnd w:id="1"/>
    </w:p>
    <w:p w14:paraId="484D1D8A" w14:textId="51731CA9" w:rsidR="00247703" w:rsidRDefault="00247703" w:rsidP="00247703"/>
    <w:p w14:paraId="17F50F95"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Service delivery is where e-RS has arguably made its clearest mark, replacing a patchwork of paper-based referral pathways with a single standardised electronic system. Before mandatory implementation in 2018, referrals were often sent by fax, email, or post, a setup that regularly produced delays, inconsistent documentation, and referrals that simply went missing. Introducing one national electronic platform changed that, improving the consistency and efficiency of referral management while feeding into the NHS's wider digital transformation agenda (NHS England, 2023).</w:t>
      </w:r>
    </w:p>
    <w:p w14:paraId="2F6373F0" w14:textId="2B27A5C8"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The standardisation this brought across primary and secondary care is probably the single biggest benefit. Referrals now transmit instantly, cutting out the delays that plagued paper-based systems, and clinicians can track a referral's progress throughout a patient's care pathway. That has knock</w:t>
      </w:r>
      <w:r w:rsidR="00AD6B8A">
        <w:rPr>
          <w:rFonts w:ascii="Arial" w:hAnsi="Arial" w:cs="Arial"/>
          <w:sz w:val="22"/>
          <w:szCs w:val="22"/>
        </w:rPr>
        <w:t xml:space="preserve"> </w:t>
      </w:r>
      <w:r w:rsidRPr="009C4FDD">
        <w:rPr>
          <w:rFonts w:ascii="Arial" w:hAnsi="Arial" w:cs="Arial"/>
          <w:sz w:val="22"/>
          <w:szCs w:val="22"/>
        </w:rPr>
        <w:t>on benefits too: better communication between providers, less administrative duplication, and an electronic audit trail that supports accountability and governance (NHS England, 2023). Structured referral templates add another layer of improvement, pushing up the completeness and quality of referral information so specialists can make better-informed decisions without being held up by missing documentation.</w:t>
      </w:r>
    </w:p>
    <w:p w14:paraId="1563897E" w14:textId="13285AB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lastRenderedPageBreak/>
        <w:t>Then there is the Advice and Guidance (A&amp;G) function, arguably the most significant innovation in the system, which lets GPs seek electronic advice from hospital specialists before making a referral at all. This supports shared decision</w:t>
      </w:r>
      <w:r w:rsidR="00AD6B8A">
        <w:rPr>
          <w:rFonts w:ascii="Arial" w:hAnsi="Arial" w:cs="Arial"/>
          <w:sz w:val="22"/>
          <w:szCs w:val="22"/>
        </w:rPr>
        <w:t xml:space="preserve"> </w:t>
      </w:r>
      <w:r w:rsidRPr="009C4FDD">
        <w:rPr>
          <w:rFonts w:ascii="Arial" w:hAnsi="Arial" w:cs="Arial"/>
          <w:sz w:val="22"/>
          <w:szCs w:val="22"/>
        </w:rPr>
        <w:t>making and, in some cases, means patients get appropriate treatment in primary care without ever needing an outpatient appointment. The effect is fewer unnecessary referrals, better use of specialist resources, and shorter waits for patients who genuinely need hospital care (NHS England, 2023). A&amp;G use rose sharply during and after the COVID-19 pandemic, which said a lot about the value of digital communication in maintaining continuity of care while easing pressure on secondary services (Health Foundation, 2021).</w:t>
      </w:r>
    </w:p>
    <w:p w14:paraId="269E6F4E"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That said, e-RS has not solved the deeper problems facing NHS service delivery, and it was never really designed to. Electronic referrals improve how referrals are managed, but they do not expand workforce capacity or slow the growing demand for healthcare services. Staff shortages, long waiting lists, and limited outpatient capacity continue to restrict access to specialist care, which means faster referral processing does not automatically translate into faster treatment (The King's Fund, 2022).</w:t>
      </w:r>
    </w:p>
    <w:p w14:paraId="2720D695" w14:textId="1B43FB11" w:rsid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Getting to this point also required considerable organisational change. Staff needed training to adapt to new digital workflows, and organisations had to invest in infrastructure and system integration. Some clinicians reported heavier administrative workloads during the transition, along with concerns that structured referral templates can encourage a tick-box approach to documentation rather than genuine clinical communication (Creswell and Sheikh, 2019). Because the system depends so heavily on digital infrastructure, any cyber incident or technical failure has the potential to disrupt referral pathways altogether, a reminder that ongoing investment in cybersecurity and system resilience is not optional.</w:t>
      </w:r>
    </w:p>
    <w:p w14:paraId="1A038B34" w14:textId="14FFFD12" w:rsidR="009C4FDD" w:rsidRDefault="009C4FDD" w:rsidP="009C4FDD">
      <w:pPr>
        <w:pStyle w:val="font-claude-response-body"/>
        <w:spacing w:line="360" w:lineRule="auto"/>
        <w:rPr>
          <w:rFonts w:ascii="Arial" w:hAnsi="Arial" w:cs="Arial"/>
          <w:sz w:val="22"/>
          <w:szCs w:val="22"/>
        </w:rPr>
      </w:pPr>
    </w:p>
    <w:p w14:paraId="76E93A1D" w14:textId="77777777" w:rsidR="009C4FDD" w:rsidRPr="009C4FDD" w:rsidRDefault="009C4FDD" w:rsidP="009C4FDD">
      <w:pPr>
        <w:spacing w:line="360" w:lineRule="auto"/>
        <w:jc w:val="both"/>
        <w:rPr>
          <w:rFonts w:ascii="Arial" w:hAnsi="Arial" w:cs="Arial"/>
          <w:b/>
          <w:bCs/>
          <w:sz w:val="32"/>
          <w:szCs w:val="32"/>
        </w:rPr>
      </w:pPr>
      <w:r w:rsidRPr="009C4FDD">
        <w:rPr>
          <w:rFonts w:ascii="Arial" w:hAnsi="Arial" w:cs="Arial"/>
          <w:b/>
          <w:bCs/>
          <w:sz w:val="32"/>
          <w:szCs w:val="32"/>
        </w:rPr>
        <w:t>Patient/Service User Impacts of the NHS e-Referral Service</w:t>
      </w:r>
    </w:p>
    <w:p w14:paraId="69B4C10E"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For patients, e-RS has changed things in two main ways: greater involvement in referral decisions and better access to healthcare services. Patient choice sits at the heart of this. Where available, individuals can select their preferred clinic, hospital, and appointment time, which supports the NHS's commitment to person-centred care by giving patients more control over their treatment pathway and letting appointments fit around their own circumstances rather than the other way around (NHS England, 2023).</w:t>
      </w:r>
    </w:p>
    <w:p w14:paraId="565F1D30"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lastRenderedPageBreak/>
        <w:t>Being able to amend, book, and track appointments electronically has also improved transparency and convenience. Patients can manage referrals online or through the NHS App, which reduces reliance on paper correspondence and lengthy phone calls. Better communication between primary and secondary care providers helps too, cutting the risk of lost referrals or duplicated appointments and making for a more coordinated care experience overall (NHS Digital, 2020). The Advice and Guidance (A&amp;G) function adds a further benefit, allowing some patients to get specialist advice without an outpatient appointment at all, reducing unnecessary hospital visits and potentially shortening waits for those who do need specialist treatment (NHS England, 2023).</w:t>
      </w:r>
    </w:p>
    <w:p w14:paraId="19EF91E2"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Not everyone experiences these benefits equally, though. Digital exclusion remains a real problem, particularly for people with disabilities, older adults, those living in deprived communities, and anyone with limited digital literacy or internet access. These groups can struggle to use online booking systems independently, which often means relying more heavily on healthcare professionals or family members just to manage appointments (Health Foundation, 2021). Telephone booking is still available, but where proper support is not provided, unequal access to digital technology risks widening existing health inequalities rather than closing them.</w:t>
      </w:r>
    </w:p>
    <w:p w14:paraId="16BC3D9B" w14:textId="77777777" w:rsidR="009C4FDD" w:rsidRPr="009C4FDD" w:rsidRDefault="009C4FDD" w:rsidP="009C4FDD">
      <w:pPr>
        <w:pStyle w:val="font-claude-response-body"/>
        <w:spacing w:line="360" w:lineRule="auto"/>
        <w:rPr>
          <w:rFonts w:ascii="Arial" w:hAnsi="Arial" w:cs="Arial"/>
          <w:sz w:val="22"/>
          <w:szCs w:val="22"/>
        </w:rPr>
      </w:pPr>
      <w:r w:rsidRPr="009C4FDD">
        <w:rPr>
          <w:rFonts w:ascii="Arial" w:hAnsi="Arial" w:cs="Arial"/>
          <w:sz w:val="22"/>
          <w:szCs w:val="22"/>
        </w:rPr>
        <w:t>Patient perceptions of e-RS are also shaped by pressures that have nothing to do with the referral system itself. Electronic referrals may improve how referrals are managed, but they do nothing to fix delays caused by limited outpatient capacity or workforce shortages. As a result, patients sometimes blame the referral system for waiting times that actually stem from much broader constraints across the service (The King's Fund, 2022).</w:t>
      </w:r>
    </w:p>
    <w:p w14:paraId="3B9C5157" w14:textId="0177563F" w:rsidR="009C4FDD" w:rsidRDefault="009C4FDD" w:rsidP="009C4FDD">
      <w:pPr>
        <w:pStyle w:val="font-claude-response-body"/>
        <w:spacing w:line="360" w:lineRule="auto"/>
        <w:rPr>
          <w:rFonts w:ascii="Arial" w:hAnsi="Arial" w:cs="Arial"/>
          <w:sz w:val="22"/>
          <w:szCs w:val="22"/>
        </w:rPr>
      </w:pPr>
    </w:p>
    <w:p w14:paraId="226FDD6A" w14:textId="501D320B" w:rsidR="00247703" w:rsidRPr="00247703" w:rsidRDefault="009A6E40" w:rsidP="009A6E40">
      <w:pPr>
        <w:pStyle w:val="Heading1"/>
        <w:rPr>
          <w:rFonts w:ascii="Arial" w:hAnsi="Arial" w:cs="Arial"/>
        </w:rPr>
      </w:pPr>
      <w:bookmarkStart w:id="2" w:name="_Toc234423531"/>
      <w:r w:rsidRPr="00495C38">
        <w:rPr>
          <w:b/>
          <w:bCs/>
          <w:color w:val="auto"/>
        </w:rPr>
        <w:t>Community Impacts of the NHS e-Referral Servic</w:t>
      </w:r>
      <w:bookmarkEnd w:id="2"/>
      <w:r>
        <w:rPr>
          <w:b/>
          <w:bCs/>
          <w:color w:val="auto"/>
        </w:rPr>
        <w:t>e</w:t>
      </w:r>
    </w:p>
    <w:p w14:paraId="0F837128" w14:textId="77777777" w:rsidR="009A6E40" w:rsidRPr="009A6E40" w:rsidRDefault="009A6E40" w:rsidP="009A6E40">
      <w:pPr>
        <w:pStyle w:val="font-claude-response-body"/>
        <w:spacing w:line="360" w:lineRule="auto"/>
        <w:rPr>
          <w:rFonts w:ascii="Arial" w:hAnsi="Arial" w:cs="Arial"/>
          <w:sz w:val="22"/>
          <w:szCs w:val="22"/>
        </w:rPr>
      </w:pPr>
      <w:r w:rsidRPr="009A6E40">
        <w:rPr>
          <w:rFonts w:ascii="Arial" w:hAnsi="Arial" w:cs="Arial"/>
          <w:sz w:val="22"/>
          <w:szCs w:val="22"/>
        </w:rPr>
        <w:t>Beyond individual patients, e-RS has had wider effects at community level, improving access to healthcare and supporting more integrated models of care. Because patients can choose providers based on availability, location, and personal preference, unnecessary travel can be reduced and access to services closer to home improved where appropriate (NHS England, 2023). This flexibility matters most for people in rural areas or those juggling caring and work responsibilities, for whom travel time is not a minor inconvenience but a genuine barrier to care.</w:t>
      </w:r>
    </w:p>
    <w:p w14:paraId="4098C1C8" w14:textId="77777777" w:rsidR="009A6E40" w:rsidRPr="009A6E40" w:rsidRDefault="009A6E40" w:rsidP="009A6E40">
      <w:pPr>
        <w:pStyle w:val="font-claude-response-body"/>
        <w:spacing w:line="360" w:lineRule="auto"/>
        <w:rPr>
          <w:rFonts w:ascii="Arial" w:hAnsi="Arial" w:cs="Arial"/>
          <w:sz w:val="22"/>
          <w:szCs w:val="22"/>
        </w:rPr>
      </w:pPr>
      <w:r w:rsidRPr="009A6E40">
        <w:rPr>
          <w:rFonts w:ascii="Arial" w:hAnsi="Arial" w:cs="Arial"/>
          <w:sz w:val="22"/>
          <w:szCs w:val="22"/>
        </w:rPr>
        <w:lastRenderedPageBreak/>
        <w:t>The system also supports co-production, with patients becoming more actively involved in decisions about where and when they are treated. That involvement tends to improve satisfaction, encourage shared decision-making, and strengthen the working relationship between patients, healthcare professionals, and families (NHS England, 2023). Carers and family members benefit too: more flexible appointment scheduling makes it easier to coordinate care responsibilities around everything else going on in their lives.</w:t>
      </w:r>
    </w:p>
    <w:p w14:paraId="3F4EDC9D" w14:textId="7C22FA1A" w:rsidR="009A6E40" w:rsidRDefault="009A6E40" w:rsidP="009A6E40">
      <w:pPr>
        <w:pStyle w:val="font-claude-response-body"/>
        <w:spacing w:line="360" w:lineRule="auto"/>
        <w:rPr>
          <w:rFonts w:ascii="Arial" w:hAnsi="Arial" w:cs="Arial"/>
          <w:sz w:val="22"/>
          <w:szCs w:val="22"/>
        </w:rPr>
      </w:pPr>
      <w:r w:rsidRPr="009A6E40">
        <w:rPr>
          <w:rFonts w:ascii="Arial" w:hAnsi="Arial" w:cs="Arial"/>
          <w:sz w:val="22"/>
          <w:szCs w:val="22"/>
        </w:rPr>
        <w:t>From a public health perspective, digital referral systems contribute to more efficient use of NHS resources, largely because Advice and Guidance reduces the number of unnecessary outpatient appointments. That, in turn, frees up specialist services to focus on patients with greater clinical need and supports the broader sustainability of the healthcare system (Health Foundation, 2021). But this is not a universal win. Communities with poor digital infrastructure or limited access to technology can struggle to benefit fully from e-RS, and where that happens, existing inequalities risk being reinforced rather than reduced. Continued investment in digital inclusion, patient support, and infrastructure is therefore essential if the benefits of digital transformation are to be shared equitably across all communities (The King's Fund, 2022).</w:t>
      </w:r>
    </w:p>
    <w:p w14:paraId="64E1BFD0" w14:textId="43887EE1" w:rsidR="009A6E40" w:rsidRDefault="009A6E40" w:rsidP="009A6E40">
      <w:pPr>
        <w:pStyle w:val="font-claude-response-body"/>
        <w:spacing w:line="360" w:lineRule="auto"/>
        <w:rPr>
          <w:rFonts w:ascii="Arial" w:hAnsi="Arial" w:cs="Arial"/>
          <w:sz w:val="22"/>
          <w:szCs w:val="22"/>
        </w:rPr>
      </w:pPr>
    </w:p>
    <w:p w14:paraId="6678624A" w14:textId="26CFF884" w:rsidR="009A6E40" w:rsidRPr="009A6E40" w:rsidRDefault="009A6E40" w:rsidP="009A6E40">
      <w:pPr>
        <w:pStyle w:val="Heading1"/>
        <w:rPr>
          <w:b/>
          <w:bCs/>
          <w:color w:val="auto"/>
          <w:sz w:val="36"/>
          <w:szCs w:val="36"/>
        </w:rPr>
      </w:pPr>
      <w:bookmarkStart w:id="3" w:name="_Toc234423532"/>
      <w:r w:rsidRPr="009A6E40">
        <w:rPr>
          <w:b/>
          <w:bCs/>
          <w:color w:val="auto"/>
          <w:sz w:val="36"/>
          <w:szCs w:val="36"/>
        </w:rPr>
        <w:t>Conclusion</w:t>
      </w:r>
      <w:bookmarkEnd w:id="3"/>
    </w:p>
    <w:p w14:paraId="137D95AE" w14:textId="77777777" w:rsidR="009A6E40" w:rsidRPr="009A6E40" w:rsidRDefault="009A6E40" w:rsidP="009A6E40"/>
    <w:p w14:paraId="052D0813" w14:textId="4C6A87E4" w:rsidR="00CE0054" w:rsidRDefault="00A14773" w:rsidP="00A14773">
      <w:pPr>
        <w:spacing w:line="360" w:lineRule="auto"/>
        <w:rPr>
          <w:rFonts w:ascii="Arial" w:hAnsi="Arial" w:cs="Arial"/>
        </w:rPr>
      </w:pPr>
      <w:r w:rsidRPr="00A14773">
        <w:rPr>
          <w:rFonts w:ascii="Arial" w:hAnsi="Arial" w:cs="Arial"/>
        </w:rPr>
        <w:t xml:space="preserve">The NHS e-Referral Service has modernised referral management, replacing </w:t>
      </w:r>
      <w:proofErr w:type="gramStart"/>
      <w:r w:rsidRPr="00A14773">
        <w:rPr>
          <w:rFonts w:ascii="Arial" w:hAnsi="Arial" w:cs="Arial"/>
        </w:rPr>
        <w:t>paper</w:t>
      </w:r>
      <w:r w:rsidR="00AD6B8A">
        <w:rPr>
          <w:rFonts w:ascii="Arial" w:hAnsi="Arial" w:cs="Arial"/>
        </w:rPr>
        <w:t xml:space="preserve"> </w:t>
      </w:r>
      <w:r w:rsidRPr="00A14773">
        <w:rPr>
          <w:rFonts w:ascii="Arial" w:hAnsi="Arial" w:cs="Arial"/>
        </w:rPr>
        <w:t>based</w:t>
      </w:r>
      <w:proofErr w:type="gramEnd"/>
      <w:r w:rsidRPr="00A14773">
        <w:rPr>
          <w:rFonts w:ascii="Arial" w:hAnsi="Arial" w:cs="Arial"/>
        </w:rPr>
        <w:t xml:space="preserve"> systems with a secure national platform (NHS England, 2023). Referral efficiency and clinical collaboration have clearly improved, yet outpatient capacity and workforce shortages remain untouched by digital reform (The King's Fund, 2022). Clinicians have adapted unevenly, and digital exclusion continues to disadvantage older adults and deprived communities. On balance, e-RS should be judged a successful referral management tool rather than a solution to the NHS's deeper capacity crisis; it has changed how patients enter the system, not how quickly the system can treat them once they arrive. Its </w:t>
      </w:r>
      <w:proofErr w:type="gramStart"/>
      <w:r w:rsidRPr="00A14773">
        <w:rPr>
          <w:rFonts w:ascii="Arial" w:hAnsi="Arial" w:cs="Arial"/>
        </w:rPr>
        <w:t>long</w:t>
      </w:r>
      <w:r w:rsidR="00AD6B8A">
        <w:rPr>
          <w:rFonts w:ascii="Arial" w:hAnsi="Arial" w:cs="Arial"/>
        </w:rPr>
        <w:t xml:space="preserve"> </w:t>
      </w:r>
      <w:r w:rsidRPr="00A14773">
        <w:rPr>
          <w:rFonts w:ascii="Arial" w:hAnsi="Arial" w:cs="Arial"/>
        </w:rPr>
        <w:t>term</w:t>
      </w:r>
      <w:proofErr w:type="gramEnd"/>
      <w:r w:rsidRPr="00A14773">
        <w:rPr>
          <w:rFonts w:ascii="Arial" w:hAnsi="Arial" w:cs="Arial"/>
        </w:rPr>
        <w:t xml:space="preserve"> value will rest on sustained investment in workforce training, infrastructure, and inclusion, not on the technology alone.</w:t>
      </w:r>
    </w:p>
    <w:p w14:paraId="3B2CCAFE" w14:textId="40745721" w:rsidR="00916B4A" w:rsidRDefault="00916B4A" w:rsidP="00A14773">
      <w:pPr>
        <w:spacing w:line="360" w:lineRule="auto"/>
        <w:rPr>
          <w:rFonts w:ascii="Arial" w:hAnsi="Arial" w:cs="Arial"/>
        </w:rPr>
      </w:pPr>
    </w:p>
    <w:p w14:paraId="4A3F5332" w14:textId="7A678691" w:rsidR="00916B4A" w:rsidRDefault="00916B4A" w:rsidP="00A14773">
      <w:pPr>
        <w:spacing w:line="360" w:lineRule="auto"/>
        <w:rPr>
          <w:rFonts w:ascii="Arial" w:hAnsi="Arial" w:cs="Arial"/>
        </w:rPr>
      </w:pPr>
    </w:p>
    <w:p w14:paraId="70A26DF8" w14:textId="2261C8B1" w:rsidR="00916B4A" w:rsidRDefault="00916B4A" w:rsidP="00A14773">
      <w:pPr>
        <w:spacing w:line="360" w:lineRule="auto"/>
        <w:rPr>
          <w:rFonts w:ascii="Arial" w:hAnsi="Arial" w:cs="Arial"/>
        </w:rPr>
      </w:pPr>
    </w:p>
    <w:p w14:paraId="5DE3E14B" w14:textId="77777777" w:rsidR="00916B4A" w:rsidRDefault="00916B4A" w:rsidP="00916B4A">
      <w:pPr>
        <w:pStyle w:val="Heading1"/>
        <w:rPr>
          <w:b/>
          <w:bCs/>
          <w:color w:val="auto"/>
        </w:rPr>
      </w:pPr>
      <w:bookmarkStart w:id="4" w:name="_Toc234423533"/>
      <w:r w:rsidRPr="00B03352">
        <w:rPr>
          <w:b/>
          <w:bCs/>
          <w:color w:val="auto"/>
        </w:rPr>
        <w:lastRenderedPageBreak/>
        <w:t>References</w:t>
      </w:r>
      <w:bookmarkEnd w:id="4"/>
    </w:p>
    <w:p w14:paraId="2184FDE8" w14:textId="77777777" w:rsidR="00916B4A" w:rsidRDefault="00916B4A" w:rsidP="00916B4A">
      <w:pPr>
        <w:pStyle w:val="font-claude-response-body"/>
      </w:pPr>
      <w:proofErr w:type="spellStart"/>
      <w:r>
        <w:t>Cresswell</w:t>
      </w:r>
      <w:proofErr w:type="spellEnd"/>
      <w:r>
        <w:t xml:space="preserve">, K. and Sheikh, A. (2019) 'Organisational issues in the implementation and adoption of health information technology innovations: An interpretative review', </w:t>
      </w:r>
      <w:r>
        <w:rPr>
          <w:rStyle w:val="Emphasis"/>
        </w:rPr>
        <w:t>International Journal of Medical Informatics</w:t>
      </w:r>
      <w:r>
        <w:t>, 121, pp. 45–54.</w:t>
      </w:r>
    </w:p>
    <w:p w14:paraId="060D6089" w14:textId="77777777" w:rsidR="00916B4A" w:rsidRDefault="00916B4A" w:rsidP="00916B4A">
      <w:pPr>
        <w:pStyle w:val="font-claude-response-body"/>
      </w:pPr>
      <w:r>
        <w:t xml:space="preserve">Department of Health and Social Care (2022) </w:t>
      </w:r>
      <w:r>
        <w:rPr>
          <w:rStyle w:val="Emphasis"/>
        </w:rPr>
        <w:t>A plan for digital health and social care</w:t>
      </w:r>
      <w:r>
        <w:t xml:space="preserve">. London: DHSC. Available at: </w:t>
      </w:r>
      <w:hyperlink r:id="rId5" w:history="1">
        <w:r>
          <w:rPr>
            <w:rStyle w:val="Hyperlink"/>
          </w:rPr>
          <w:t>https://www.gov.uk/government/publications/a-plan-for-digital-health-and-social-care</w:t>
        </w:r>
      </w:hyperlink>
      <w:r>
        <w:t xml:space="preserve"> (Accessed: 8 July 2026).</w:t>
      </w:r>
    </w:p>
    <w:p w14:paraId="4A3D2489" w14:textId="77777777" w:rsidR="00916B4A" w:rsidRDefault="00916B4A" w:rsidP="00916B4A">
      <w:pPr>
        <w:pStyle w:val="font-claude-response-body"/>
      </w:pPr>
      <w:r>
        <w:t xml:space="preserve">Greenhalgh, T., </w:t>
      </w:r>
      <w:proofErr w:type="spellStart"/>
      <w:r>
        <w:t>Papoutsi</w:t>
      </w:r>
      <w:proofErr w:type="spellEnd"/>
      <w:r>
        <w:t xml:space="preserve">, C. and Shaw, S. (2020) 'The role of digital technology in healthcare transformation: Evidence and implementation challenges', </w:t>
      </w:r>
      <w:r>
        <w:rPr>
          <w:rStyle w:val="Emphasis"/>
        </w:rPr>
        <w:t>BMJ</w:t>
      </w:r>
      <w:r>
        <w:t>, 368, m109.</w:t>
      </w:r>
    </w:p>
    <w:p w14:paraId="26AF8186" w14:textId="77777777" w:rsidR="00916B4A" w:rsidRDefault="00916B4A" w:rsidP="00916B4A">
      <w:pPr>
        <w:pStyle w:val="font-claude-response-body"/>
      </w:pPr>
      <w:r>
        <w:t xml:space="preserve">Greenhalgh, T., </w:t>
      </w:r>
      <w:proofErr w:type="spellStart"/>
      <w:r>
        <w:t>Wherton</w:t>
      </w:r>
      <w:proofErr w:type="spellEnd"/>
      <w:r>
        <w:t xml:space="preserve">, J., </w:t>
      </w:r>
      <w:proofErr w:type="spellStart"/>
      <w:r>
        <w:t>Papoutsi</w:t>
      </w:r>
      <w:proofErr w:type="spellEnd"/>
      <w:r>
        <w:t xml:space="preserve">, C., Lynch, J., Hughes, G., </w:t>
      </w:r>
      <w:proofErr w:type="spellStart"/>
      <w:r>
        <w:t>A'Court</w:t>
      </w:r>
      <w:proofErr w:type="spellEnd"/>
      <w:r>
        <w:t xml:space="preserve">, C., Hinder, S., Fahy, N., Procter, R. and Shaw, S. (2018) 'Beyond adoption: A new framework for theorizing and evaluating </w:t>
      </w:r>
      <w:proofErr w:type="spellStart"/>
      <w:r>
        <w:t>nonadoption</w:t>
      </w:r>
      <w:proofErr w:type="spellEnd"/>
      <w:r>
        <w:t xml:space="preserve">, abandonment, scale-up, spread, and sustainability of health and care technologies', </w:t>
      </w:r>
      <w:r>
        <w:rPr>
          <w:rStyle w:val="Emphasis"/>
        </w:rPr>
        <w:t>Journal of Medical Internet Research</w:t>
      </w:r>
      <w:r>
        <w:t>, 20(11), e367.</w:t>
      </w:r>
    </w:p>
    <w:p w14:paraId="3608BEC8" w14:textId="77777777" w:rsidR="00916B4A" w:rsidRDefault="00916B4A" w:rsidP="00916B4A">
      <w:pPr>
        <w:pStyle w:val="font-claude-response-body"/>
      </w:pPr>
      <w:r>
        <w:t xml:space="preserve">Health Education England (2018) </w:t>
      </w:r>
      <w:r>
        <w:rPr>
          <w:rStyle w:val="Emphasis"/>
        </w:rPr>
        <w:t xml:space="preserve">The </w:t>
      </w:r>
      <w:proofErr w:type="spellStart"/>
      <w:r>
        <w:rPr>
          <w:rStyle w:val="Emphasis"/>
        </w:rPr>
        <w:t>Topol</w:t>
      </w:r>
      <w:proofErr w:type="spellEnd"/>
      <w:r>
        <w:rPr>
          <w:rStyle w:val="Emphasis"/>
        </w:rPr>
        <w:t xml:space="preserve"> Review: Preparing the healthcare workforce to deliver the digital future</w:t>
      </w:r>
      <w:r>
        <w:t xml:space="preserve">. London: Health Education England. Available at: </w:t>
      </w:r>
      <w:hyperlink r:id="rId6" w:history="1">
        <w:r>
          <w:rPr>
            <w:rStyle w:val="Hyperlink"/>
          </w:rPr>
          <w:t>https://topol.hee.nhs.uk/</w:t>
        </w:r>
      </w:hyperlink>
      <w:r>
        <w:t xml:space="preserve"> (Accessed: 8 July 2026).</w:t>
      </w:r>
    </w:p>
    <w:p w14:paraId="088BD4FA" w14:textId="77777777" w:rsidR="00916B4A" w:rsidRDefault="00916B4A" w:rsidP="00916B4A">
      <w:pPr>
        <w:pStyle w:val="font-claude-response-body"/>
      </w:pPr>
      <w:r>
        <w:t xml:space="preserve">Health Foundation (2021) </w:t>
      </w:r>
      <w:r>
        <w:rPr>
          <w:rStyle w:val="Emphasis"/>
        </w:rPr>
        <w:t>How has the COVID-19 pandemic changed the use of digital technology in the NHS?</w:t>
      </w:r>
      <w:r>
        <w:t xml:space="preserve"> London: The Health Foundation. Available at: </w:t>
      </w:r>
      <w:hyperlink r:id="rId7" w:history="1">
        <w:r>
          <w:rPr>
            <w:rStyle w:val="Hyperlink"/>
          </w:rPr>
          <w:t>https://www.health.org.uk/</w:t>
        </w:r>
      </w:hyperlink>
      <w:r>
        <w:t xml:space="preserve"> (Accessed: 8 July 2026).</w:t>
      </w:r>
    </w:p>
    <w:p w14:paraId="777637E2" w14:textId="77777777" w:rsidR="00916B4A" w:rsidRDefault="00916B4A" w:rsidP="00916B4A">
      <w:pPr>
        <w:pStyle w:val="font-claude-response-body"/>
      </w:pPr>
      <w:r>
        <w:t xml:space="preserve">NHS Digital (2020) </w:t>
      </w:r>
      <w:r>
        <w:rPr>
          <w:rStyle w:val="Emphasis"/>
        </w:rPr>
        <w:t>NHS e-Referral Service: Case studies and guidance</w:t>
      </w:r>
      <w:r>
        <w:t xml:space="preserve">. Leeds: NHS Digital. Available at: </w:t>
      </w:r>
      <w:hyperlink r:id="rId8" w:history="1">
        <w:r>
          <w:rPr>
            <w:rStyle w:val="Hyperlink"/>
          </w:rPr>
          <w:t>https://digital.nhs.uk/services/e-referral-service</w:t>
        </w:r>
      </w:hyperlink>
      <w:r>
        <w:t xml:space="preserve"> (Accessed: 8 July 2026).</w:t>
      </w:r>
    </w:p>
    <w:p w14:paraId="0D4ADABB" w14:textId="77777777" w:rsidR="00916B4A" w:rsidRDefault="00916B4A" w:rsidP="00916B4A">
      <w:pPr>
        <w:pStyle w:val="font-claude-response-body"/>
      </w:pPr>
      <w:r>
        <w:t xml:space="preserve">NHS England (2019) </w:t>
      </w:r>
      <w:r>
        <w:rPr>
          <w:rStyle w:val="Emphasis"/>
        </w:rPr>
        <w:t>The NHS Long Term Plan</w:t>
      </w:r>
      <w:r>
        <w:t xml:space="preserve">. London: NHS England. Available at: </w:t>
      </w:r>
      <w:hyperlink r:id="rId9" w:history="1">
        <w:r>
          <w:rPr>
            <w:rStyle w:val="Hyperlink"/>
          </w:rPr>
          <w:t>https://www.longtermplan.nhs.uk/</w:t>
        </w:r>
      </w:hyperlink>
      <w:r>
        <w:t xml:space="preserve"> (Accessed: 8 July 2026).</w:t>
      </w:r>
    </w:p>
    <w:p w14:paraId="0BB5F4B4" w14:textId="77777777" w:rsidR="00916B4A" w:rsidRDefault="00916B4A" w:rsidP="00916B4A">
      <w:pPr>
        <w:pStyle w:val="font-claude-response-body"/>
      </w:pPr>
      <w:r>
        <w:t xml:space="preserve">NHS England (2021) </w:t>
      </w:r>
      <w:r>
        <w:rPr>
          <w:rStyle w:val="Emphasis"/>
        </w:rPr>
        <w:t>Data saves lives: Reshaping health and social care with data</w:t>
      </w:r>
      <w:r>
        <w:t xml:space="preserve">. London: Department of Health and Social Care. Available at: </w:t>
      </w:r>
      <w:hyperlink r:id="rId10" w:history="1">
        <w:r>
          <w:rPr>
            <w:rStyle w:val="Hyperlink"/>
          </w:rPr>
          <w:t>https://www.gov.uk/government/publications/data-saves-lives-reshaping-health-and-social-care-with-data</w:t>
        </w:r>
      </w:hyperlink>
      <w:r>
        <w:t xml:space="preserve"> (Accessed: 8 July 2026).</w:t>
      </w:r>
    </w:p>
    <w:p w14:paraId="5E795CC7" w14:textId="77777777" w:rsidR="00916B4A" w:rsidRDefault="00916B4A" w:rsidP="00916B4A">
      <w:pPr>
        <w:pStyle w:val="font-claude-response-body"/>
      </w:pPr>
      <w:r>
        <w:t xml:space="preserve">NHS England (2023a) </w:t>
      </w:r>
      <w:r>
        <w:rPr>
          <w:rStyle w:val="Emphasis"/>
        </w:rPr>
        <w:t>Advice and Guidance: Supporting elective recovery through specialist advice</w:t>
      </w:r>
      <w:r>
        <w:t xml:space="preserve">. London: NHS England. Available at: </w:t>
      </w:r>
      <w:hyperlink r:id="rId11" w:history="1">
        <w:r>
          <w:rPr>
            <w:rStyle w:val="Hyperlink"/>
          </w:rPr>
          <w:t>https://www.england.nhs.uk/</w:t>
        </w:r>
      </w:hyperlink>
      <w:r>
        <w:t xml:space="preserve"> (Accessed: 8 July 2026).</w:t>
      </w:r>
    </w:p>
    <w:p w14:paraId="70E931C1" w14:textId="77777777" w:rsidR="00916B4A" w:rsidRDefault="00916B4A" w:rsidP="00916B4A">
      <w:pPr>
        <w:pStyle w:val="font-claude-response-body"/>
      </w:pPr>
      <w:r>
        <w:t xml:space="preserve">NHS England (2023b) </w:t>
      </w:r>
      <w:r>
        <w:rPr>
          <w:rStyle w:val="Emphasis"/>
        </w:rPr>
        <w:t>NHS e-Referral Service (e-RS): Guidance and resources</w:t>
      </w:r>
      <w:r>
        <w:t xml:space="preserve">. London: NHS England. Available at: </w:t>
      </w:r>
      <w:hyperlink r:id="rId12" w:history="1">
        <w:r>
          <w:rPr>
            <w:rStyle w:val="Hyperlink"/>
          </w:rPr>
          <w:t>https://www.england.nhs.uk/digitaltechnology/connecteddigitalsystems/nhs-e-referral-service/</w:t>
        </w:r>
      </w:hyperlink>
      <w:r>
        <w:t xml:space="preserve"> (Accessed: 8 July 2026).</w:t>
      </w:r>
    </w:p>
    <w:p w14:paraId="3D26B5CB" w14:textId="77777777" w:rsidR="00916B4A" w:rsidRDefault="00916B4A" w:rsidP="00916B4A">
      <w:pPr>
        <w:pStyle w:val="font-claude-response-body"/>
      </w:pPr>
      <w:r>
        <w:t xml:space="preserve">NHS England (2023c) </w:t>
      </w:r>
      <w:r>
        <w:rPr>
          <w:rStyle w:val="Emphasis"/>
        </w:rPr>
        <w:t>The NHS Long Term Plan: Digital transformation and digitally enabled care</w:t>
      </w:r>
      <w:r>
        <w:t xml:space="preserve">. London: NHS England. Available at: </w:t>
      </w:r>
      <w:hyperlink r:id="rId13" w:history="1">
        <w:r>
          <w:rPr>
            <w:rStyle w:val="Hyperlink"/>
          </w:rPr>
          <w:t>https://www.longtermplan.nhs.uk/</w:t>
        </w:r>
      </w:hyperlink>
      <w:r>
        <w:t xml:space="preserve"> (Accessed: 8 July 2026).</w:t>
      </w:r>
    </w:p>
    <w:p w14:paraId="1119102E" w14:textId="77777777" w:rsidR="00916B4A" w:rsidRDefault="00916B4A" w:rsidP="00916B4A">
      <w:pPr>
        <w:pStyle w:val="font-claude-response-body"/>
      </w:pPr>
      <w:r>
        <w:lastRenderedPageBreak/>
        <w:t xml:space="preserve">NHS England (2024) </w:t>
      </w:r>
      <w:r>
        <w:rPr>
          <w:rStyle w:val="Emphasis"/>
        </w:rPr>
        <w:t>Integrated care systems and digital transformation</w:t>
      </w:r>
      <w:r>
        <w:t xml:space="preserve">. London: NHS England. Available at: </w:t>
      </w:r>
      <w:hyperlink r:id="rId14" w:history="1">
        <w:r>
          <w:rPr>
            <w:rStyle w:val="Hyperlink"/>
          </w:rPr>
          <w:t>https://www.england.nhs.uk/integratedcare/</w:t>
        </w:r>
      </w:hyperlink>
      <w:r>
        <w:t xml:space="preserve"> (Accessed: 8 July 2026).</w:t>
      </w:r>
    </w:p>
    <w:p w14:paraId="098E699D" w14:textId="77777777" w:rsidR="00916B4A" w:rsidRDefault="00916B4A" w:rsidP="00916B4A">
      <w:pPr>
        <w:pStyle w:val="font-claude-response-body"/>
      </w:pPr>
      <w:r>
        <w:t xml:space="preserve">The King's Fund (2022) </w:t>
      </w:r>
      <w:r>
        <w:rPr>
          <w:rStyle w:val="Emphasis"/>
        </w:rPr>
        <w:t>Digital change in health and social care: What can we learn from the NHS experience?</w:t>
      </w:r>
      <w:r>
        <w:t xml:space="preserve"> London: The King's Fund. Available at: </w:t>
      </w:r>
      <w:hyperlink r:id="rId15" w:history="1">
        <w:r>
          <w:rPr>
            <w:rStyle w:val="Hyperlink"/>
          </w:rPr>
          <w:t>https://www.kingsfund.org.uk/</w:t>
        </w:r>
      </w:hyperlink>
      <w:r>
        <w:t xml:space="preserve"> (Accessed: 8 July 2026).</w:t>
      </w:r>
    </w:p>
    <w:p w14:paraId="6A553AFF" w14:textId="77777777" w:rsidR="00916B4A" w:rsidRPr="00A14773" w:rsidRDefault="00916B4A" w:rsidP="00A14773">
      <w:pPr>
        <w:spacing w:line="360" w:lineRule="auto"/>
        <w:rPr>
          <w:rFonts w:ascii="Arial" w:hAnsi="Arial" w:cs="Arial"/>
        </w:rPr>
      </w:pPr>
    </w:p>
    <w:sectPr w:rsidR="00916B4A" w:rsidRPr="00A147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0E7C08"/>
    <w:multiLevelType w:val="multilevel"/>
    <w:tmpl w:val="4156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E3C"/>
    <w:rsid w:val="00247703"/>
    <w:rsid w:val="004D53F2"/>
    <w:rsid w:val="00916B4A"/>
    <w:rsid w:val="009A6E40"/>
    <w:rsid w:val="009C4FDD"/>
    <w:rsid w:val="00A14773"/>
    <w:rsid w:val="00A21E58"/>
    <w:rsid w:val="00A94406"/>
    <w:rsid w:val="00AC65E0"/>
    <w:rsid w:val="00AD6B8A"/>
    <w:rsid w:val="00CE0054"/>
    <w:rsid w:val="00DC2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B354A"/>
  <w15:chartTrackingRefBased/>
  <w15:docId w15:val="{B0F91795-E74C-4E5E-964F-5402C121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E3C"/>
  </w:style>
  <w:style w:type="paragraph" w:styleId="Heading1">
    <w:name w:val="heading 1"/>
    <w:basedOn w:val="Normal"/>
    <w:next w:val="Normal"/>
    <w:link w:val="Heading1Char"/>
    <w:uiPriority w:val="9"/>
    <w:qFormat/>
    <w:rsid w:val="00DC2E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2E3C"/>
    <w:rPr>
      <w:color w:val="0563C1" w:themeColor="hyperlink"/>
      <w:u w:val="single"/>
    </w:rPr>
  </w:style>
  <w:style w:type="character" w:customStyle="1" w:styleId="Heading1Char">
    <w:name w:val="Heading 1 Char"/>
    <w:basedOn w:val="DefaultParagraphFont"/>
    <w:link w:val="Heading1"/>
    <w:uiPriority w:val="9"/>
    <w:rsid w:val="00DC2E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2E3C"/>
    <w:pPr>
      <w:outlineLvl w:val="9"/>
    </w:pPr>
    <w:rPr>
      <w:lang w:val="en-US"/>
    </w:rPr>
  </w:style>
  <w:style w:type="paragraph" w:styleId="TOC1">
    <w:name w:val="toc 1"/>
    <w:basedOn w:val="Normal"/>
    <w:next w:val="Normal"/>
    <w:autoRedefine/>
    <w:uiPriority w:val="39"/>
    <w:unhideWhenUsed/>
    <w:rsid w:val="00DC2E3C"/>
    <w:pPr>
      <w:spacing w:after="100"/>
    </w:pPr>
  </w:style>
  <w:style w:type="paragraph" w:styleId="NormalWeb">
    <w:name w:val="Normal (Web)"/>
    <w:basedOn w:val="Normal"/>
    <w:uiPriority w:val="99"/>
    <w:semiHidden/>
    <w:unhideWhenUsed/>
    <w:rsid w:val="00DC2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2E3C"/>
    <w:rPr>
      <w:b/>
      <w:bCs/>
    </w:rPr>
  </w:style>
  <w:style w:type="paragraph" w:customStyle="1" w:styleId="font-claude-response-body">
    <w:name w:val="font-claude-response-body"/>
    <w:basedOn w:val="Normal"/>
    <w:rsid w:val="00DC2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16B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17836">
      <w:bodyDiv w:val="1"/>
      <w:marLeft w:val="0"/>
      <w:marRight w:val="0"/>
      <w:marTop w:val="0"/>
      <w:marBottom w:val="0"/>
      <w:divBdr>
        <w:top w:val="none" w:sz="0" w:space="0" w:color="auto"/>
        <w:left w:val="none" w:sz="0" w:space="0" w:color="auto"/>
        <w:bottom w:val="none" w:sz="0" w:space="0" w:color="auto"/>
        <w:right w:val="none" w:sz="0" w:space="0" w:color="auto"/>
      </w:divBdr>
    </w:div>
    <w:div w:id="245378990">
      <w:bodyDiv w:val="1"/>
      <w:marLeft w:val="0"/>
      <w:marRight w:val="0"/>
      <w:marTop w:val="0"/>
      <w:marBottom w:val="0"/>
      <w:divBdr>
        <w:top w:val="none" w:sz="0" w:space="0" w:color="auto"/>
        <w:left w:val="none" w:sz="0" w:space="0" w:color="auto"/>
        <w:bottom w:val="none" w:sz="0" w:space="0" w:color="auto"/>
        <w:right w:val="none" w:sz="0" w:space="0" w:color="auto"/>
      </w:divBdr>
    </w:div>
    <w:div w:id="331184045">
      <w:bodyDiv w:val="1"/>
      <w:marLeft w:val="0"/>
      <w:marRight w:val="0"/>
      <w:marTop w:val="0"/>
      <w:marBottom w:val="0"/>
      <w:divBdr>
        <w:top w:val="none" w:sz="0" w:space="0" w:color="auto"/>
        <w:left w:val="none" w:sz="0" w:space="0" w:color="auto"/>
        <w:bottom w:val="none" w:sz="0" w:space="0" w:color="auto"/>
        <w:right w:val="none" w:sz="0" w:space="0" w:color="auto"/>
      </w:divBdr>
    </w:div>
    <w:div w:id="388768953">
      <w:bodyDiv w:val="1"/>
      <w:marLeft w:val="0"/>
      <w:marRight w:val="0"/>
      <w:marTop w:val="0"/>
      <w:marBottom w:val="0"/>
      <w:divBdr>
        <w:top w:val="none" w:sz="0" w:space="0" w:color="auto"/>
        <w:left w:val="none" w:sz="0" w:space="0" w:color="auto"/>
        <w:bottom w:val="none" w:sz="0" w:space="0" w:color="auto"/>
        <w:right w:val="none" w:sz="0" w:space="0" w:color="auto"/>
      </w:divBdr>
    </w:div>
    <w:div w:id="1011369099">
      <w:bodyDiv w:val="1"/>
      <w:marLeft w:val="0"/>
      <w:marRight w:val="0"/>
      <w:marTop w:val="0"/>
      <w:marBottom w:val="0"/>
      <w:divBdr>
        <w:top w:val="none" w:sz="0" w:space="0" w:color="auto"/>
        <w:left w:val="none" w:sz="0" w:space="0" w:color="auto"/>
        <w:bottom w:val="none" w:sz="0" w:space="0" w:color="auto"/>
        <w:right w:val="none" w:sz="0" w:space="0" w:color="auto"/>
      </w:divBdr>
    </w:div>
    <w:div w:id="1116632807">
      <w:bodyDiv w:val="1"/>
      <w:marLeft w:val="0"/>
      <w:marRight w:val="0"/>
      <w:marTop w:val="0"/>
      <w:marBottom w:val="0"/>
      <w:divBdr>
        <w:top w:val="none" w:sz="0" w:space="0" w:color="auto"/>
        <w:left w:val="none" w:sz="0" w:space="0" w:color="auto"/>
        <w:bottom w:val="none" w:sz="0" w:space="0" w:color="auto"/>
        <w:right w:val="none" w:sz="0" w:space="0" w:color="auto"/>
      </w:divBdr>
    </w:div>
    <w:div w:id="1171068173">
      <w:bodyDiv w:val="1"/>
      <w:marLeft w:val="0"/>
      <w:marRight w:val="0"/>
      <w:marTop w:val="0"/>
      <w:marBottom w:val="0"/>
      <w:divBdr>
        <w:top w:val="none" w:sz="0" w:space="0" w:color="auto"/>
        <w:left w:val="none" w:sz="0" w:space="0" w:color="auto"/>
        <w:bottom w:val="none" w:sz="0" w:space="0" w:color="auto"/>
        <w:right w:val="none" w:sz="0" w:space="0" w:color="auto"/>
      </w:divBdr>
    </w:div>
    <w:div w:id="1223326530">
      <w:bodyDiv w:val="1"/>
      <w:marLeft w:val="0"/>
      <w:marRight w:val="0"/>
      <w:marTop w:val="0"/>
      <w:marBottom w:val="0"/>
      <w:divBdr>
        <w:top w:val="none" w:sz="0" w:space="0" w:color="auto"/>
        <w:left w:val="none" w:sz="0" w:space="0" w:color="auto"/>
        <w:bottom w:val="none" w:sz="0" w:space="0" w:color="auto"/>
        <w:right w:val="none" w:sz="0" w:space="0" w:color="auto"/>
      </w:divBdr>
    </w:div>
    <w:div w:id="1941600910">
      <w:bodyDiv w:val="1"/>
      <w:marLeft w:val="0"/>
      <w:marRight w:val="0"/>
      <w:marTop w:val="0"/>
      <w:marBottom w:val="0"/>
      <w:divBdr>
        <w:top w:val="none" w:sz="0" w:space="0" w:color="auto"/>
        <w:left w:val="none" w:sz="0" w:space="0" w:color="auto"/>
        <w:bottom w:val="none" w:sz="0" w:space="0" w:color="auto"/>
        <w:right w:val="none" w:sz="0" w:space="0" w:color="auto"/>
      </w:divBdr>
    </w:div>
    <w:div w:id="1944536799">
      <w:bodyDiv w:val="1"/>
      <w:marLeft w:val="0"/>
      <w:marRight w:val="0"/>
      <w:marTop w:val="0"/>
      <w:marBottom w:val="0"/>
      <w:divBdr>
        <w:top w:val="none" w:sz="0" w:space="0" w:color="auto"/>
        <w:left w:val="none" w:sz="0" w:space="0" w:color="auto"/>
        <w:bottom w:val="none" w:sz="0" w:space="0" w:color="auto"/>
        <w:right w:val="none" w:sz="0" w:space="0" w:color="auto"/>
      </w:divBdr>
    </w:div>
    <w:div w:id="2000688353">
      <w:bodyDiv w:val="1"/>
      <w:marLeft w:val="0"/>
      <w:marRight w:val="0"/>
      <w:marTop w:val="0"/>
      <w:marBottom w:val="0"/>
      <w:divBdr>
        <w:top w:val="none" w:sz="0" w:space="0" w:color="auto"/>
        <w:left w:val="none" w:sz="0" w:space="0" w:color="auto"/>
        <w:bottom w:val="none" w:sz="0" w:space="0" w:color="auto"/>
        <w:right w:val="none" w:sz="0" w:space="0" w:color="auto"/>
      </w:divBdr>
    </w:div>
    <w:div w:id="2020425752">
      <w:bodyDiv w:val="1"/>
      <w:marLeft w:val="0"/>
      <w:marRight w:val="0"/>
      <w:marTop w:val="0"/>
      <w:marBottom w:val="0"/>
      <w:divBdr>
        <w:top w:val="none" w:sz="0" w:space="0" w:color="auto"/>
        <w:left w:val="none" w:sz="0" w:space="0" w:color="auto"/>
        <w:bottom w:val="none" w:sz="0" w:space="0" w:color="auto"/>
        <w:right w:val="none" w:sz="0" w:space="0" w:color="auto"/>
      </w:divBdr>
    </w:div>
    <w:div w:id="2090887674">
      <w:bodyDiv w:val="1"/>
      <w:marLeft w:val="0"/>
      <w:marRight w:val="0"/>
      <w:marTop w:val="0"/>
      <w:marBottom w:val="0"/>
      <w:divBdr>
        <w:top w:val="none" w:sz="0" w:space="0" w:color="auto"/>
        <w:left w:val="none" w:sz="0" w:space="0" w:color="auto"/>
        <w:bottom w:val="none" w:sz="0" w:space="0" w:color="auto"/>
        <w:right w:val="none" w:sz="0" w:space="0" w:color="auto"/>
      </w:divBdr>
    </w:div>
    <w:div w:id="213274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services/e-referral-service" TargetMode="External"/><Relationship Id="rId13" Type="http://schemas.openxmlformats.org/officeDocument/2006/relationships/hyperlink" Target="https://www.longtermplan.nhs.uk/" TargetMode="External"/><Relationship Id="rId3" Type="http://schemas.openxmlformats.org/officeDocument/2006/relationships/settings" Target="settings.xml"/><Relationship Id="rId7" Type="http://schemas.openxmlformats.org/officeDocument/2006/relationships/hyperlink" Target="https://www.health.org.uk/" TargetMode="External"/><Relationship Id="rId12" Type="http://schemas.openxmlformats.org/officeDocument/2006/relationships/hyperlink" Target="https://www.england.nhs.uk/digitaltechnology/connecteddigitalsystems/nhs-e-referral-servi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opol.hee.nhs.uk/" TargetMode="External"/><Relationship Id="rId11" Type="http://schemas.openxmlformats.org/officeDocument/2006/relationships/hyperlink" Target="https://www.england.nhs.uk/" TargetMode="External"/><Relationship Id="rId5" Type="http://schemas.openxmlformats.org/officeDocument/2006/relationships/hyperlink" Target="https://www.gov.uk/government/publications/a-plan-for-digital-health-and-social-care" TargetMode="External"/><Relationship Id="rId15" Type="http://schemas.openxmlformats.org/officeDocument/2006/relationships/hyperlink" Target="https://www.kingsfund.org.uk/" TargetMode="External"/><Relationship Id="rId10" Type="http://schemas.openxmlformats.org/officeDocument/2006/relationships/hyperlink" Target="https://www.gov.uk/government/publications/data-saves-lives-reshaping-health-and-social-care-with-data" TargetMode="External"/><Relationship Id="rId4" Type="http://schemas.openxmlformats.org/officeDocument/2006/relationships/webSettings" Target="webSettings.xml"/><Relationship Id="rId9" Type="http://schemas.openxmlformats.org/officeDocument/2006/relationships/hyperlink" Target="https://www.longtermplan.nhs.uk/" TargetMode="External"/><Relationship Id="rId14" Type="http://schemas.openxmlformats.org/officeDocument/2006/relationships/hyperlink" Target="https://www.england.nhs.uk/integrat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11</Pages>
  <Words>3227</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Danesha Parkinson</dc:creator>
  <cp:keywords/>
  <dc:description/>
  <cp:lastModifiedBy>Danesha Parkinson</cp:lastModifiedBy>
  <cp:revision>6</cp:revision>
  <dcterms:created xsi:type="dcterms:W3CDTF">2026-07-17T08:20:00Z</dcterms:created>
  <dcterms:modified xsi:type="dcterms:W3CDTF">2026-07-17T22:33:00Z</dcterms:modified>
</cp:coreProperties>
</file>