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21C7" w:rsidRPr="00AF21C7" w:rsidRDefault="00AF21C7" w:rsidP="00AF21C7">
      <w:pPr>
        <w:spacing w:after="160" w:line="259" w:lineRule="auto"/>
        <w:rPr>
          <w:rFonts w:ascii="Cambria" w:eastAsia="Calibri" w:hAnsi="Cambria" w:cs="Open Sans"/>
          <w:b/>
          <w:color w:val="373A3C"/>
          <w:sz w:val="24"/>
          <w:szCs w:val="24"/>
          <w:u w:val="single"/>
          <w:shd w:val="clear" w:color="auto" w:fill="FFFFFF"/>
        </w:rPr>
      </w:pPr>
      <w:bookmarkStart w:id="0" w:name="_Hlk503385168"/>
      <w:bookmarkStart w:id="1" w:name="_GoBack"/>
      <w:bookmarkEnd w:id="1"/>
    </w:p>
    <w:p w:rsidR="00AF21C7" w:rsidRPr="00AF21C7" w:rsidRDefault="00AF21C7" w:rsidP="00AF21C7">
      <w:pPr>
        <w:spacing w:after="0" w:line="240" w:lineRule="auto"/>
        <w:ind w:left="-180" w:right="-334"/>
        <w:rPr>
          <w:rFonts w:ascii="Trebuchet MS" w:eastAsia="SimSun" w:hAnsi="Trebuchet MS" w:cs="Tahoma"/>
          <w:color w:val="000000"/>
          <w:sz w:val="24"/>
          <w:szCs w:val="24"/>
          <w:lang w:eastAsia="zh-CN"/>
        </w:rPr>
      </w:pPr>
      <w:r w:rsidRPr="00AF21C7">
        <w:rPr>
          <w:rFonts w:ascii="Georgia" w:eastAsia="SimSun" w:hAnsi="Georgia" w:cs="Times New Roman"/>
          <w:noProof/>
          <w:color w:val="000000"/>
          <w:sz w:val="21"/>
          <w:szCs w:val="21"/>
          <w:lang w:eastAsia="zh-CN"/>
        </w:rPr>
        <w:drawing>
          <wp:inline distT="0" distB="0" distL="0" distR="0" wp14:anchorId="68BFE4A2" wp14:editId="24B2FB70">
            <wp:extent cx="2880360" cy="1051560"/>
            <wp:effectExtent l="19050" t="19050" r="15240" b="1524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AF21C7" w:rsidRPr="00AF21C7" w:rsidRDefault="00AF21C7" w:rsidP="00AF21C7">
      <w:pPr>
        <w:keepNext/>
        <w:keepLines/>
        <w:spacing w:before="240" w:after="0" w:line="259" w:lineRule="auto"/>
        <w:jc w:val="center"/>
        <w:outlineLvl w:val="0"/>
        <w:rPr>
          <w:rFonts w:ascii="Calibri Light" w:eastAsia="Times New Roman" w:hAnsi="Calibri Light" w:cs="Times New Roman"/>
          <w:color w:val="2F5496"/>
          <w:sz w:val="32"/>
          <w:szCs w:val="32"/>
          <w:lang w:val="cy-GB"/>
        </w:rPr>
      </w:pPr>
      <w:r w:rsidRPr="00AF21C7">
        <w:rPr>
          <w:rFonts w:ascii="Calibri Light" w:eastAsia="Times New Roman" w:hAnsi="Calibri Light" w:cs="Times New Roman"/>
          <w:color w:val="2F5496"/>
          <w:sz w:val="32"/>
          <w:szCs w:val="32"/>
          <w:lang w:val="cy-GB"/>
        </w:rPr>
        <w:t>Undergraduate assignment feedback form</w:t>
      </w:r>
    </w:p>
    <w:p w:rsidR="00AF21C7" w:rsidRPr="00AF21C7" w:rsidRDefault="00AF21C7" w:rsidP="00AF21C7">
      <w:pPr>
        <w:spacing w:after="160" w:line="259" w:lineRule="auto"/>
        <w:jc w:val="center"/>
        <w:rPr>
          <w:rFonts w:ascii="Arial" w:eastAsia="Calibri" w:hAnsi="Arial" w:cs="Arial"/>
          <w:b/>
          <w:lang w:val="cy-GB"/>
        </w:rPr>
      </w:pPr>
      <w:r w:rsidRPr="00AF21C7">
        <w:rPr>
          <w:rFonts w:ascii="Arial" w:eastAsia="Calibri" w:hAnsi="Arial" w:cs="Arial"/>
          <w:b/>
          <w:lang w:val="cy-GB"/>
        </w:rPr>
        <w:t>(to be completed by marker)</w:t>
      </w:r>
    </w:p>
    <w:p w:rsidR="00AF21C7" w:rsidRPr="00AF21C7" w:rsidRDefault="00AF21C7" w:rsidP="00AF21C7">
      <w:pPr>
        <w:spacing w:after="160" w:line="259" w:lineRule="auto"/>
        <w:jc w:val="center"/>
        <w:rPr>
          <w:rFonts w:ascii="Arial" w:eastAsia="Calibri" w:hAnsi="Arial" w:cs="Arial"/>
          <w:b/>
          <w:lang w:val="cy-GB"/>
        </w:rPr>
      </w:pPr>
    </w:p>
    <w:p w:rsidR="00AF21C7" w:rsidRPr="00AF21C7" w:rsidRDefault="00AF21C7" w:rsidP="00AF21C7">
      <w:pPr>
        <w:keepNext/>
        <w:keepLines/>
        <w:spacing w:before="40" w:after="0" w:line="259" w:lineRule="auto"/>
        <w:outlineLvl w:val="2"/>
        <w:rPr>
          <w:rFonts w:ascii="Trebuchet MS" w:eastAsia="Times New Roman" w:hAnsi="Trebuchet MS" w:cs="Times New Roman"/>
          <w:color w:val="1F3763"/>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F21C7" w:rsidRPr="00AF21C7" w:rsidTr="00A877E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F21C7" w:rsidRPr="00AF21C7" w:rsidRDefault="00AF21C7" w:rsidP="00AF21C7">
            <w:pPr>
              <w:spacing w:after="0" w:line="240" w:lineRule="auto"/>
              <w:ind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Student Name: Samuel Neyland-Evans</w:t>
            </w:r>
          </w:p>
          <w:p w:rsidR="00AF21C7" w:rsidRPr="00AF21C7" w:rsidRDefault="00AF21C7" w:rsidP="00AF21C7">
            <w:pPr>
              <w:spacing w:after="0" w:line="240" w:lineRule="auto"/>
              <w:ind w:right="34"/>
              <w:rPr>
                <w:rFonts w:ascii="Calibri" w:eastAsia="SimSun" w:hAnsi="Calibri" w:cs="Tahoma"/>
                <w:i/>
                <w:color w:val="000000"/>
                <w:sz w:val="24"/>
                <w:szCs w:val="24"/>
                <w:lang w:eastAsia="zh-CN"/>
              </w:rPr>
            </w:pPr>
          </w:p>
        </w:tc>
      </w:tr>
      <w:tr w:rsidR="00AF21C7" w:rsidRPr="00AF21C7" w:rsidTr="00A877E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F21C7" w:rsidRPr="00AF21C7" w:rsidRDefault="00AF21C7" w:rsidP="00AF21C7">
            <w:pPr>
              <w:spacing w:after="0" w:line="240" w:lineRule="auto"/>
              <w:ind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Module title: Contemporary Analytic Philosophy</w:t>
            </w:r>
          </w:p>
        </w:tc>
        <w:tc>
          <w:tcPr>
            <w:tcW w:w="3967" w:type="dxa"/>
            <w:gridSpan w:val="2"/>
            <w:tcBorders>
              <w:top w:val="single" w:sz="4" w:space="0" w:color="auto"/>
              <w:left w:val="single" w:sz="4" w:space="0" w:color="auto"/>
              <w:bottom w:val="single" w:sz="4" w:space="0" w:color="auto"/>
              <w:right w:val="single" w:sz="4" w:space="0" w:color="auto"/>
            </w:tcBorders>
          </w:tcPr>
          <w:p w:rsidR="00AF21C7" w:rsidRPr="00AF21C7" w:rsidRDefault="00AF21C7" w:rsidP="00AF21C7">
            <w:pPr>
              <w:spacing w:after="0" w:line="240" w:lineRule="auto"/>
              <w:ind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Student number: 1601937</w:t>
            </w:r>
          </w:p>
        </w:tc>
      </w:tr>
      <w:tr w:rsidR="00AF21C7" w:rsidRPr="00AF21C7" w:rsidTr="00A877E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F21C7" w:rsidRPr="00AF21C7" w:rsidRDefault="00AF21C7" w:rsidP="00AF21C7">
            <w:pPr>
              <w:spacing w:after="0" w:line="240" w:lineRule="auto"/>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For completion by marker:</w:t>
            </w: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Comments:</w:t>
            </w: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p w:rsidR="00AF21C7" w:rsidRPr="00AF21C7" w:rsidRDefault="00AF21C7" w:rsidP="00AF21C7">
            <w:pPr>
              <w:spacing w:before="100" w:beforeAutospacing="1" w:after="100" w:afterAutospacing="1" w:line="240" w:lineRule="auto"/>
              <w:rPr>
                <w:rFonts w:ascii="Calibri" w:eastAsia="SimSun" w:hAnsi="Calibri" w:cs="Tahoma"/>
                <w:i/>
                <w:color w:val="000000"/>
                <w:sz w:val="24"/>
                <w:szCs w:val="24"/>
                <w:lang w:eastAsia="zh-CN"/>
              </w:rPr>
            </w:pPr>
          </w:p>
        </w:tc>
      </w:tr>
      <w:tr w:rsidR="00AF21C7" w:rsidRPr="00AF21C7" w:rsidTr="00A877E6">
        <w:trPr>
          <w:trHeight w:val="492"/>
        </w:trPr>
        <w:tc>
          <w:tcPr>
            <w:tcW w:w="6768" w:type="dxa"/>
            <w:gridSpan w:val="2"/>
            <w:tcBorders>
              <w:top w:val="single" w:sz="4" w:space="0" w:color="auto"/>
            </w:tcBorders>
            <w:vAlign w:val="center"/>
          </w:tcPr>
          <w:p w:rsidR="00AF21C7" w:rsidRPr="00AF21C7" w:rsidRDefault="00AF21C7" w:rsidP="00AF21C7">
            <w:pPr>
              <w:spacing w:before="100" w:beforeAutospacing="1" w:after="100" w:afterAutospacing="1" w:line="240" w:lineRule="auto"/>
              <w:ind w:left="142"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AF21C7" w:rsidRPr="00AF21C7" w:rsidRDefault="00AF21C7" w:rsidP="00AF21C7">
            <w:pPr>
              <w:spacing w:before="100" w:beforeAutospacing="1" w:after="0" w:afterAutospacing="1" w:line="240" w:lineRule="auto"/>
              <w:ind w:left="142"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Date:</w:t>
            </w:r>
          </w:p>
        </w:tc>
      </w:tr>
      <w:tr w:rsidR="00AF21C7" w:rsidRPr="00AF21C7" w:rsidTr="00A877E6">
        <w:tc>
          <w:tcPr>
            <w:tcW w:w="8755" w:type="dxa"/>
            <w:gridSpan w:val="3"/>
            <w:vAlign w:val="center"/>
          </w:tcPr>
          <w:p w:rsidR="00AF21C7" w:rsidRPr="00AF21C7" w:rsidRDefault="00AF21C7" w:rsidP="00AF21C7">
            <w:pPr>
              <w:spacing w:after="0" w:line="240" w:lineRule="auto"/>
              <w:ind w:left="142" w:right="34"/>
              <w:rPr>
                <w:rFonts w:ascii="Calibri" w:eastAsia="SimSun" w:hAnsi="Calibri" w:cs="Tahoma"/>
                <w:i/>
                <w:color w:val="000000"/>
                <w:sz w:val="24"/>
                <w:szCs w:val="24"/>
                <w:lang w:eastAsia="zh-CN"/>
              </w:rPr>
            </w:pPr>
            <w:r w:rsidRPr="00AF21C7">
              <w:rPr>
                <w:rFonts w:ascii="Calibri" w:eastAsia="SimSun" w:hAnsi="Calibri" w:cs="Tahoma"/>
                <w:i/>
                <w:color w:val="000000"/>
                <w:sz w:val="24"/>
                <w:szCs w:val="24"/>
                <w:lang w:eastAsia="zh-CN"/>
              </w:rPr>
              <w:t xml:space="preserve">Provisional mark: </w:t>
            </w:r>
          </w:p>
          <w:p w:rsidR="00AF21C7" w:rsidRPr="00AF21C7" w:rsidRDefault="00AF21C7" w:rsidP="00AF21C7">
            <w:pPr>
              <w:spacing w:after="0" w:line="240" w:lineRule="auto"/>
              <w:ind w:left="142" w:right="34"/>
              <w:rPr>
                <w:rFonts w:ascii="Calibri" w:eastAsia="SimSun" w:hAnsi="Calibri" w:cs="Tahoma"/>
                <w:i/>
                <w:color w:val="000000"/>
                <w:sz w:val="24"/>
                <w:szCs w:val="24"/>
                <w:lang w:eastAsia="zh-CN"/>
              </w:rPr>
            </w:pPr>
            <w:r w:rsidRPr="00AF21C7">
              <w:rPr>
                <w:rFonts w:ascii="Calibri" w:eastAsia="SimSun" w:hAnsi="Calibri" w:cs="Tahoma"/>
                <w:b/>
                <w:i/>
                <w:color w:val="000000"/>
                <w:sz w:val="24"/>
                <w:szCs w:val="24"/>
                <w:lang w:eastAsia="zh-CN"/>
              </w:rPr>
              <w:t>NB.</w:t>
            </w:r>
            <w:r w:rsidRPr="00AF21C7">
              <w:rPr>
                <w:rFonts w:ascii="Calibri" w:eastAsia="SimSun" w:hAnsi="Calibri" w:cs="Tahoma"/>
                <w:i/>
                <w:color w:val="000000"/>
                <w:sz w:val="24"/>
                <w:szCs w:val="24"/>
                <w:lang w:eastAsia="zh-CN"/>
              </w:rPr>
              <w:t xml:space="preserve">  All marks are provisional until confirmed by the final examination board. </w:t>
            </w:r>
          </w:p>
        </w:tc>
      </w:tr>
    </w:tbl>
    <w:p w:rsidR="000450C1" w:rsidRPr="00AF21C7" w:rsidRDefault="000450C1" w:rsidP="0095655D">
      <w:pPr>
        <w:jc w:val="center"/>
        <w:rPr>
          <w:rFonts w:ascii="Times New Roman" w:hAnsi="Times New Roman" w:cs="Times New Roman"/>
          <w:sz w:val="32"/>
          <w:u w:val="single"/>
          <w:lang w:val="en"/>
        </w:rPr>
      </w:pPr>
      <w:r w:rsidRPr="00AF21C7">
        <w:rPr>
          <w:rFonts w:ascii="Times New Roman" w:hAnsi="Times New Roman" w:cs="Times New Roman"/>
          <w:sz w:val="32"/>
          <w:u w:val="single"/>
          <w:lang w:val="en"/>
        </w:rPr>
        <w:lastRenderedPageBreak/>
        <w:t>"In the sense in which there are processes (including mental processes) which are characteristic of understanding, understa</w:t>
      </w:r>
      <w:r w:rsidR="0095655D" w:rsidRPr="00AF21C7">
        <w:rPr>
          <w:rFonts w:ascii="Times New Roman" w:hAnsi="Times New Roman" w:cs="Times New Roman"/>
          <w:sz w:val="32"/>
          <w:u w:val="single"/>
          <w:lang w:val="en"/>
        </w:rPr>
        <w:t xml:space="preserve">nding is not a mental process." </w:t>
      </w:r>
      <w:bookmarkEnd w:id="0"/>
      <w:r w:rsidRPr="00AF21C7">
        <w:rPr>
          <w:rFonts w:ascii="Times New Roman" w:hAnsi="Times New Roman" w:cs="Times New Roman"/>
          <w:sz w:val="32"/>
          <w:u w:val="single"/>
          <w:lang w:val="en"/>
        </w:rPr>
        <w:t>(PI 154) What is Wittgenstein's point here?</w:t>
      </w:r>
    </w:p>
    <w:p w:rsidR="0095655D" w:rsidRDefault="0095655D" w:rsidP="0095655D">
      <w:pPr>
        <w:jc w:val="center"/>
        <w:rPr>
          <w:rFonts w:ascii="Times New Roman" w:hAnsi="Times New Roman" w:cs="Times New Roman"/>
          <w:b/>
          <w:sz w:val="28"/>
          <w:u w:val="single"/>
          <w:lang w:val="en"/>
        </w:rPr>
      </w:pPr>
    </w:p>
    <w:p w:rsidR="0095655D" w:rsidRDefault="0095655D" w:rsidP="0095655D">
      <w:pPr>
        <w:rPr>
          <w:rFonts w:ascii="Times New Roman" w:hAnsi="Times New Roman" w:cs="Times New Roman"/>
          <w:sz w:val="28"/>
          <w:lang w:val="en"/>
        </w:rPr>
      </w:pPr>
      <w:r>
        <w:rPr>
          <w:rFonts w:ascii="Times New Roman" w:hAnsi="Times New Roman" w:cs="Times New Roman"/>
          <w:sz w:val="28"/>
          <w:lang w:val="en"/>
        </w:rPr>
        <w:t>Ludwig Wittgenstein was born in Vienna in 1889, the youngest child of a wealthy family. After the death of his father he moved to Norway and begun work on</w:t>
      </w:r>
      <w:r w:rsidR="007F09E6">
        <w:rPr>
          <w:rFonts w:ascii="Times New Roman" w:hAnsi="Times New Roman" w:cs="Times New Roman"/>
          <w:sz w:val="28"/>
          <w:lang w:val="en"/>
        </w:rPr>
        <w:t xml:space="preserve"> his first philosophical piece,</w:t>
      </w:r>
      <w:r>
        <w:rPr>
          <w:rFonts w:ascii="Times New Roman" w:hAnsi="Times New Roman" w:cs="Times New Roman"/>
          <w:sz w:val="28"/>
          <w:lang w:val="en"/>
        </w:rPr>
        <w:t xml:space="preserve"> “Tractatus Logico-</w:t>
      </w:r>
      <w:r w:rsidR="007F09E6">
        <w:rPr>
          <w:rFonts w:ascii="Times New Roman" w:hAnsi="Times New Roman" w:cs="Times New Roman"/>
          <w:sz w:val="28"/>
          <w:lang w:val="en"/>
        </w:rPr>
        <w:t>Philosophicus” (T.L.P.)</w:t>
      </w:r>
      <w:r>
        <w:rPr>
          <w:rFonts w:ascii="Times New Roman" w:hAnsi="Times New Roman" w:cs="Times New Roman"/>
          <w:sz w:val="28"/>
          <w:lang w:val="en"/>
        </w:rPr>
        <w:t xml:space="preserve"> published in 1921. Wittgenstein’s piece mainly revolved around communication and how we use language to convey ideas. Wittgenstein thought the Tractatus would be his magnum-opus, that no more need</w:t>
      </w:r>
      <w:r w:rsidR="00B74E72">
        <w:rPr>
          <w:rFonts w:ascii="Times New Roman" w:hAnsi="Times New Roman" w:cs="Times New Roman"/>
          <w:sz w:val="28"/>
          <w:lang w:val="en"/>
        </w:rPr>
        <w:t>ed to</w:t>
      </w:r>
      <w:r>
        <w:rPr>
          <w:rFonts w:ascii="Times New Roman" w:hAnsi="Times New Roman" w:cs="Times New Roman"/>
          <w:sz w:val="28"/>
          <w:lang w:val="en"/>
        </w:rPr>
        <w:t xml:space="preserve"> be said, but in 1929 he returned to Cambridge </w:t>
      </w:r>
      <w:r w:rsidR="007F09E6">
        <w:rPr>
          <w:rFonts w:ascii="Times New Roman" w:hAnsi="Times New Roman" w:cs="Times New Roman"/>
          <w:sz w:val="28"/>
          <w:lang w:val="en"/>
        </w:rPr>
        <w:t xml:space="preserve">to follow up on his work on communication and understanding. Subsequently, in 1953 he released “Philosophical Investigations”. </w:t>
      </w:r>
    </w:p>
    <w:p w:rsidR="00B74E72" w:rsidRDefault="007F09E6" w:rsidP="00B74E72">
      <w:pPr>
        <w:rPr>
          <w:rFonts w:ascii="Times New Roman" w:hAnsi="Times New Roman" w:cs="Times New Roman"/>
          <w:sz w:val="28"/>
          <w:lang w:val="en"/>
        </w:rPr>
      </w:pPr>
      <w:r>
        <w:rPr>
          <w:rFonts w:ascii="Times New Roman" w:hAnsi="Times New Roman" w:cs="Times New Roman"/>
          <w:sz w:val="28"/>
          <w:lang w:val="en"/>
        </w:rPr>
        <w:t xml:space="preserve">Within Philosophical Investigations (P.I.) Wittgenstein further developed the progress he had made in T.L.P. once again focusing on language and communication. In T.L.P. Wittgenstein thought of language as a sort of picture game. Words describe pictures in our head, which we can use to convey certain thoughts or meaningful statements (depending on your definition of meaningful). In P.I. Wittgenstein developed the idea that language is more than just a picture game, it is a tool we use to play different “games”. Think of language as a game of chess, each piece has a set of rules yes, but every turn your play will vary depending on the context </w:t>
      </w:r>
      <w:r w:rsidR="00B74E72">
        <w:rPr>
          <w:rFonts w:ascii="Times New Roman" w:hAnsi="Times New Roman" w:cs="Times New Roman"/>
          <w:sz w:val="28"/>
          <w:lang w:val="en"/>
        </w:rPr>
        <w:t xml:space="preserve">of the board, </w:t>
      </w:r>
      <w:r>
        <w:rPr>
          <w:rFonts w:ascii="Times New Roman" w:hAnsi="Times New Roman" w:cs="Times New Roman"/>
          <w:sz w:val="28"/>
          <w:lang w:val="en"/>
        </w:rPr>
        <w:t xml:space="preserve">with the goal of “beating” your opponent, but in this </w:t>
      </w:r>
      <w:r w:rsidR="00B74E72">
        <w:rPr>
          <w:rFonts w:ascii="Times New Roman" w:hAnsi="Times New Roman" w:cs="Times New Roman"/>
          <w:sz w:val="28"/>
          <w:lang w:val="en"/>
        </w:rPr>
        <w:t>case,</w:t>
      </w:r>
      <w:r>
        <w:rPr>
          <w:rFonts w:ascii="Times New Roman" w:hAnsi="Times New Roman" w:cs="Times New Roman"/>
          <w:sz w:val="28"/>
          <w:lang w:val="en"/>
        </w:rPr>
        <w:t xml:space="preserve"> we are not aiming to “win” the </w:t>
      </w:r>
      <w:r w:rsidR="00B74E72">
        <w:rPr>
          <w:rFonts w:ascii="Times New Roman" w:hAnsi="Times New Roman" w:cs="Times New Roman"/>
          <w:sz w:val="28"/>
          <w:lang w:val="en"/>
        </w:rPr>
        <w:t xml:space="preserve">metaphorical </w:t>
      </w:r>
      <w:r>
        <w:rPr>
          <w:rFonts w:ascii="Times New Roman" w:hAnsi="Times New Roman" w:cs="Times New Roman"/>
          <w:sz w:val="28"/>
          <w:lang w:val="en"/>
        </w:rPr>
        <w:t>game of chess, as much as we are doing it to c</w:t>
      </w:r>
      <w:r w:rsidR="00B74E72">
        <w:rPr>
          <w:rFonts w:ascii="Times New Roman" w:hAnsi="Times New Roman" w:cs="Times New Roman"/>
          <w:sz w:val="28"/>
          <w:lang w:val="en"/>
        </w:rPr>
        <w:t xml:space="preserve">onvey ideas and understandings to the other player for a variety of reasons. </w:t>
      </w:r>
    </w:p>
    <w:p w:rsidR="004258FD" w:rsidRDefault="00B74E72" w:rsidP="00B74E72">
      <w:pPr>
        <w:rPr>
          <w:rFonts w:ascii="Times New Roman" w:hAnsi="Times New Roman" w:cs="Times New Roman"/>
          <w:sz w:val="28"/>
          <w:lang w:val="en"/>
        </w:rPr>
      </w:pPr>
      <w:r>
        <w:rPr>
          <w:rFonts w:ascii="Times New Roman" w:hAnsi="Times New Roman" w:cs="Times New Roman"/>
          <w:sz w:val="28"/>
          <w:lang w:val="en"/>
        </w:rPr>
        <w:t>From page 56e to 74e of P.I. (paragraphs 143-184) Wittgenstein mainly focuses on the concept of “understanding”. What it means to understand and how understanding manifests into our conscious. He mainly inquires and demonstrates several points and ideas mainly through the use of example</w:t>
      </w:r>
      <w:r w:rsidR="004258FD">
        <w:rPr>
          <w:rFonts w:ascii="Times New Roman" w:hAnsi="Times New Roman" w:cs="Times New Roman"/>
          <w:sz w:val="28"/>
          <w:lang w:val="en"/>
        </w:rPr>
        <w:t xml:space="preserve">s/analogies. </w:t>
      </w:r>
    </w:p>
    <w:p w:rsidR="00847793" w:rsidRDefault="00847793" w:rsidP="00B74E72">
      <w:pPr>
        <w:rPr>
          <w:rFonts w:ascii="Times New Roman" w:hAnsi="Times New Roman" w:cs="Times New Roman"/>
          <w:sz w:val="28"/>
          <w:lang w:val="en"/>
        </w:rPr>
      </w:pPr>
      <w:r>
        <w:rPr>
          <w:rFonts w:ascii="Times New Roman" w:hAnsi="Times New Roman" w:cs="Times New Roman"/>
          <w:sz w:val="28"/>
          <w:lang w:val="en"/>
        </w:rPr>
        <w:t>To analyze the</w:t>
      </w:r>
      <w:r w:rsidR="00037003">
        <w:rPr>
          <w:rFonts w:ascii="Times New Roman" w:hAnsi="Times New Roman" w:cs="Times New Roman"/>
          <w:sz w:val="28"/>
          <w:lang w:val="en"/>
        </w:rPr>
        <w:t xml:space="preserve"> quote presented I must first go back a few pages to explore some of Wittgenstein’s initial thoughts on “understanding”. </w:t>
      </w:r>
    </w:p>
    <w:p w:rsidR="00847793" w:rsidRDefault="00847793" w:rsidP="00B74E72">
      <w:pPr>
        <w:rPr>
          <w:rFonts w:ascii="Times New Roman" w:hAnsi="Times New Roman" w:cs="Times New Roman"/>
          <w:sz w:val="28"/>
          <w:lang w:val="en"/>
        </w:rPr>
      </w:pPr>
    </w:p>
    <w:p w:rsidR="00847793" w:rsidRDefault="00847793" w:rsidP="00B74E72">
      <w:pPr>
        <w:rPr>
          <w:rFonts w:ascii="Times New Roman" w:hAnsi="Times New Roman" w:cs="Times New Roman"/>
          <w:sz w:val="28"/>
          <w:lang w:val="en"/>
        </w:rPr>
      </w:pPr>
    </w:p>
    <w:p w:rsidR="00847793" w:rsidRDefault="00847793" w:rsidP="00B74E72">
      <w:pPr>
        <w:rPr>
          <w:rFonts w:ascii="Times New Roman" w:hAnsi="Times New Roman" w:cs="Times New Roman"/>
          <w:sz w:val="28"/>
          <w:lang w:val="en"/>
        </w:rPr>
      </w:pPr>
    </w:p>
    <w:p w:rsidR="00037003" w:rsidRDefault="004258FD" w:rsidP="00B74E72">
      <w:pPr>
        <w:rPr>
          <w:rFonts w:ascii="Times New Roman" w:hAnsi="Times New Roman" w:cs="Times New Roman"/>
          <w:sz w:val="28"/>
          <w:lang w:val="en"/>
        </w:rPr>
      </w:pPr>
      <w:r>
        <w:rPr>
          <w:rFonts w:ascii="Times New Roman" w:hAnsi="Times New Roman" w:cs="Times New Roman"/>
          <w:sz w:val="28"/>
          <w:lang w:val="en"/>
        </w:rPr>
        <w:t xml:space="preserve">To inquire into how we think about “understanding” Wittgenstein tells us of two people, person A and person B. A tells B to copy down symbols he has written down on a piece of paper, these symbols being the numbers 1-9. Initially A might have to guide B’s hand into produces the symbols and later would have to demonstrate that they go in a procedural order. Once he is able to correctly write down the numbers 1-9 in order, we teach him the ten times table, and how to insert the numbers 1-9 after the number 20, and 30, and so on. When the child is able to correctly and independently write out and carry on the sequence of numbers we could say that he has “mastered the system”.  </w:t>
      </w:r>
    </w:p>
    <w:p w:rsidR="00037003" w:rsidRDefault="004258FD" w:rsidP="00B74E72">
      <w:pPr>
        <w:rPr>
          <w:rFonts w:ascii="Times New Roman" w:hAnsi="Times New Roman" w:cs="Times New Roman"/>
          <w:sz w:val="28"/>
          <w:lang w:val="en"/>
        </w:rPr>
      </w:pPr>
      <w:r>
        <w:rPr>
          <w:rFonts w:ascii="Times New Roman" w:hAnsi="Times New Roman" w:cs="Times New Roman"/>
          <w:sz w:val="28"/>
          <w:lang w:val="en"/>
        </w:rPr>
        <w:t>Wittgenstein then asked however, “but how far need he continue the series for us to have the right to say that?</w:t>
      </w:r>
      <w:r w:rsidR="0099236E">
        <w:rPr>
          <w:rFonts w:ascii="Times New Roman" w:hAnsi="Times New Roman" w:cs="Times New Roman"/>
          <w:sz w:val="28"/>
          <w:lang w:val="en"/>
        </w:rPr>
        <w:t>-</w:t>
      </w:r>
      <w:r>
        <w:rPr>
          <w:rFonts w:ascii="Times New Roman" w:hAnsi="Times New Roman" w:cs="Times New Roman"/>
          <w:sz w:val="28"/>
          <w:lang w:val="en"/>
        </w:rPr>
        <w:t>” (that he has mastered the system), he follows up with “</w:t>
      </w:r>
      <w:r w:rsidR="0099236E">
        <w:rPr>
          <w:rFonts w:ascii="Times New Roman" w:hAnsi="Times New Roman" w:cs="Times New Roman"/>
          <w:sz w:val="28"/>
          <w:lang w:val="en"/>
        </w:rPr>
        <w:t>-</w:t>
      </w:r>
      <w:r w:rsidR="00037003">
        <w:rPr>
          <w:rFonts w:ascii="Times New Roman" w:hAnsi="Times New Roman" w:cs="Times New Roman"/>
          <w:sz w:val="28"/>
          <w:lang w:val="en"/>
        </w:rPr>
        <w:t>clearly you cannot state such a limit here.”</w:t>
      </w:r>
      <w:r w:rsidR="0033733D">
        <w:rPr>
          <w:rStyle w:val="FootnoteReference"/>
          <w:rFonts w:ascii="Times New Roman" w:hAnsi="Times New Roman" w:cs="Times New Roman"/>
          <w:sz w:val="28"/>
          <w:lang w:val="en"/>
        </w:rPr>
        <w:footnoteReference w:id="1"/>
      </w:r>
      <w:r w:rsidR="00037003">
        <w:rPr>
          <w:rFonts w:ascii="Times New Roman" w:hAnsi="Times New Roman" w:cs="Times New Roman"/>
          <w:sz w:val="28"/>
          <w:lang w:val="en"/>
        </w:rPr>
        <w:t xml:space="preserve"> (</w:t>
      </w:r>
      <w:r w:rsidR="00037003" w:rsidRPr="0033733D">
        <w:rPr>
          <w:rFonts w:ascii="Times New Roman" w:hAnsi="Times New Roman" w:cs="Times New Roman"/>
          <w:sz w:val="28"/>
          <w:lang w:val="en"/>
        </w:rPr>
        <w:t>P.I. pg58e, para145</w:t>
      </w:r>
      <w:r w:rsidR="00037003">
        <w:rPr>
          <w:rFonts w:ascii="Times New Roman" w:hAnsi="Times New Roman" w:cs="Times New Roman"/>
          <w:sz w:val="28"/>
          <w:lang w:val="en"/>
        </w:rPr>
        <w:t>). Wittgenstein’s point here is that you cannot set a certain figure for one to reach before being justified in saying “I understand”. I am able to “understand” the ten times table without writing the entire sequence up to 900 down. Once I understand the concept I am able to correctly carry out its use consistently. For Wittgenstein “application is a criterion of understanding”</w:t>
      </w:r>
      <w:r w:rsidR="0033733D">
        <w:rPr>
          <w:rStyle w:val="FootnoteReference"/>
          <w:rFonts w:ascii="Times New Roman" w:hAnsi="Times New Roman" w:cs="Times New Roman"/>
          <w:sz w:val="28"/>
          <w:lang w:val="en"/>
        </w:rPr>
        <w:footnoteReference w:id="2"/>
      </w:r>
      <w:r w:rsidR="00037003">
        <w:rPr>
          <w:rFonts w:ascii="Times New Roman" w:hAnsi="Times New Roman" w:cs="Times New Roman"/>
          <w:sz w:val="28"/>
          <w:lang w:val="en"/>
        </w:rPr>
        <w:t xml:space="preserve"> (</w:t>
      </w:r>
      <w:r w:rsidR="00037003" w:rsidRPr="0033733D">
        <w:rPr>
          <w:rFonts w:ascii="Times New Roman" w:hAnsi="Times New Roman" w:cs="Times New Roman"/>
          <w:sz w:val="28"/>
          <w:lang w:val="en"/>
        </w:rPr>
        <w:t>P.I. pg58e, para146</w:t>
      </w:r>
      <w:r w:rsidR="00037003">
        <w:rPr>
          <w:rFonts w:ascii="Times New Roman" w:hAnsi="Times New Roman" w:cs="Times New Roman"/>
          <w:sz w:val="28"/>
          <w:lang w:val="en"/>
        </w:rPr>
        <w:t>), you need only remember the formula (a formula due to the mathematical example) not all its applications.</w:t>
      </w:r>
    </w:p>
    <w:p w:rsidR="00262E07" w:rsidRDefault="00037003" w:rsidP="00B74E72">
      <w:pPr>
        <w:rPr>
          <w:rFonts w:ascii="Times New Roman" w:hAnsi="Times New Roman" w:cs="Times New Roman"/>
          <w:sz w:val="28"/>
          <w:lang w:val="en"/>
        </w:rPr>
      </w:pPr>
      <w:r>
        <w:rPr>
          <w:rFonts w:ascii="Times New Roman" w:hAnsi="Times New Roman" w:cs="Times New Roman"/>
          <w:sz w:val="28"/>
          <w:lang w:val="en"/>
        </w:rPr>
        <w:t xml:space="preserve">Wittgenstein goes on to ask </w:t>
      </w:r>
      <w:r>
        <w:rPr>
          <w:rFonts w:ascii="Times New Roman" w:hAnsi="Times New Roman" w:cs="Times New Roman"/>
          <w:i/>
          <w:sz w:val="28"/>
          <w:lang w:val="en"/>
        </w:rPr>
        <w:t xml:space="preserve">when </w:t>
      </w:r>
      <w:r>
        <w:rPr>
          <w:rFonts w:ascii="Times New Roman" w:hAnsi="Times New Roman" w:cs="Times New Roman"/>
          <w:sz w:val="28"/>
          <w:lang w:val="en"/>
        </w:rPr>
        <w:t>do we know the application? Day? Night? Only when we need to? All the time?</w:t>
      </w:r>
    </w:p>
    <w:p w:rsidR="00037003" w:rsidRDefault="00037003" w:rsidP="00B74E72">
      <w:pPr>
        <w:rPr>
          <w:rFonts w:ascii="Times New Roman" w:hAnsi="Times New Roman" w:cs="Times New Roman"/>
          <w:sz w:val="28"/>
          <w:lang w:val="en"/>
        </w:rPr>
      </w:pPr>
      <w:r>
        <w:rPr>
          <w:rFonts w:ascii="Times New Roman" w:hAnsi="Times New Roman" w:cs="Times New Roman"/>
          <w:sz w:val="28"/>
          <w:lang w:val="en"/>
        </w:rPr>
        <w:t xml:space="preserve"> “</w:t>
      </w:r>
      <w:r w:rsidR="00262E07">
        <w:rPr>
          <w:rFonts w:ascii="Times New Roman" w:hAnsi="Times New Roman" w:cs="Times New Roman"/>
          <w:sz w:val="28"/>
          <w:lang w:val="en"/>
        </w:rPr>
        <w:t>D</w:t>
      </w:r>
      <w:r>
        <w:rPr>
          <w:rFonts w:ascii="Times New Roman" w:hAnsi="Times New Roman" w:cs="Times New Roman"/>
          <w:sz w:val="28"/>
          <w:lang w:val="en"/>
        </w:rPr>
        <w:t xml:space="preserve">o you know </w:t>
      </w:r>
      <w:r w:rsidR="00262E07">
        <w:rPr>
          <w:rFonts w:ascii="Times New Roman" w:hAnsi="Times New Roman" w:cs="Times New Roman"/>
          <w:sz w:val="28"/>
          <w:lang w:val="en"/>
        </w:rPr>
        <w:t>in the same way you know the alphabet or the multiplications table? Or is what you call “knowledge” a state of consciousness or a process-say a thought or something of the like”</w:t>
      </w:r>
    </w:p>
    <w:p w:rsidR="00262E07" w:rsidRDefault="00262E07" w:rsidP="00B74E72">
      <w:pPr>
        <w:rPr>
          <w:rFonts w:ascii="Times New Roman" w:hAnsi="Times New Roman" w:cs="Times New Roman"/>
          <w:sz w:val="28"/>
          <w:lang w:val="en"/>
        </w:rPr>
      </w:pPr>
      <w:r>
        <w:rPr>
          <w:rFonts w:ascii="Times New Roman" w:hAnsi="Times New Roman" w:cs="Times New Roman"/>
          <w:sz w:val="28"/>
          <w:lang w:val="en"/>
        </w:rPr>
        <w:t>Here Wittgenstein is inspecting the nature of understanding, is it the same as any other mental process where it competes in a sort of “king of the hill” of ideas where thoughts go in and out of conscious</w:t>
      </w:r>
      <w:r w:rsidR="00046D7E">
        <w:rPr>
          <w:rFonts w:ascii="Times New Roman" w:hAnsi="Times New Roman" w:cs="Times New Roman"/>
          <w:sz w:val="28"/>
          <w:lang w:val="en"/>
        </w:rPr>
        <w:t xml:space="preserve"> awareness? </w:t>
      </w:r>
    </w:p>
    <w:p w:rsidR="00046D7E" w:rsidRDefault="00046D7E" w:rsidP="00B74E72">
      <w:pPr>
        <w:rPr>
          <w:rFonts w:ascii="Times New Roman" w:hAnsi="Times New Roman" w:cs="Times New Roman"/>
          <w:sz w:val="28"/>
          <w:lang w:val="en"/>
        </w:rPr>
      </w:pPr>
      <w:r>
        <w:rPr>
          <w:rFonts w:ascii="Times New Roman" w:hAnsi="Times New Roman" w:cs="Times New Roman"/>
          <w:sz w:val="28"/>
          <w:lang w:val="en"/>
        </w:rPr>
        <w:t>Wittgenstein provides another example to explore the ideas of understanding, this time with person A writing down a series of numbers in a particular order, whilst person B attempts to understand the pattern behind the series:</w:t>
      </w:r>
    </w:p>
    <w:p w:rsidR="00046D7E" w:rsidRDefault="00046D7E" w:rsidP="00B74E72">
      <w:pPr>
        <w:rPr>
          <w:rFonts w:ascii="Times New Roman" w:hAnsi="Times New Roman" w:cs="Times New Roman"/>
          <w:sz w:val="28"/>
          <w:lang w:val="en"/>
        </w:rPr>
      </w:pPr>
      <w:r>
        <w:rPr>
          <w:rFonts w:ascii="Times New Roman" w:hAnsi="Times New Roman" w:cs="Times New Roman"/>
          <w:sz w:val="28"/>
          <w:lang w:val="en"/>
        </w:rPr>
        <w:lastRenderedPageBreak/>
        <w:t>A writes down “1,5,11,19,29…” B starts by trying out different algebraic formulas and eventually tries using “a</w:t>
      </w:r>
      <w:r w:rsidRPr="00046D7E">
        <w:rPr>
          <w:rFonts w:ascii="Times New Roman" w:hAnsi="Times New Roman" w:cs="Times New Roman"/>
          <w:sz w:val="18"/>
          <w:szCs w:val="18"/>
          <w:lang w:val="en"/>
        </w:rPr>
        <w:t>n</w:t>
      </w:r>
      <w:r>
        <w:rPr>
          <w:rFonts w:ascii="Times New Roman" w:hAnsi="Times New Roman" w:cs="Times New Roman"/>
          <w:sz w:val="28"/>
          <w:lang w:val="en"/>
        </w:rPr>
        <w:t>=</w:t>
      </w:r>
      <w:r w:rsidRPr="00046D7E">
        <w:rPr>
          <w:rFonts w:ascii="Times New Roman" w:hAnsi="Times New Roman" w:cs="Times New Roman"/>
          <w:sz w:val="18"/>
          <w:szCs w:val="18"/>
          <w:lang w:val="en"/>
        </w:rPr>
        <w:t>n</w:t>
      </w:r>
      <w:r>
        <w:rPr>
          <w:rFonts w:ascii="Times New Roman" w:hAnsi="Times New Roman" w:cs="Times New Roman"/>
          <w:sz w:val="28"/>
          <w:lang w:val="en"/>
        </w:rPr>
        <w:t>a+</w:t>
      </w:r>
      <w:r w:rsidRPr="00046D7E">
        <w:rPr>
          <w:rFonts w:ascii="Times New Roman" w:hAnsi="Times New Roman" w:cs="Times New Roman"/>
          <w:sz w:val="18"/>
          <w:szCs w:val="18"/>
          <w:lang w:val="en"/>
        </w:rPr>
        <w:t>n</w:t>
      </w:r>
      <w:r>
        <w:rPr>
          <w:rFonts w:ascii="Times New Roman" w:hAnsi="Times New Roman" w:cs="Times New Roman"/>
          <w:sz w:val="28"/>
          <w:lang w:val="en"/>
        </w:rPr>
        <w:t>-1”</w:t>
      </w:r>
      <w:r w:rsidR="00AC381F">
        <w:rPr>
          <w:rFonts w:ascii="Times New Roman" w:hAnsi="Times New Roman" w:cs="Times New Roman"/>
          <w:sz w:val="28"/>
          <w:lang w:val="en"/>
        </w:rPr>
        <w:t xml:space="preserve"> and it turns out to be correct. Or perhaps he just attempts to understand the series and finds out “4,6,8,10…” fits the sequence. Now B is able to say, “Now I can go on”. But are these processes we just explained an actual form of understanding? Wittgenstein states:</w:t>
      </w:r>
    </w:p>
    <w:p w:rsidR="00AC381F" w:rsidRDefault="00AC381F" w:rsidP="00B74E72">
      <w:pPr>
        <w:rPr>
          <w:rFonts w:ascii="Times New Roman" w:hAnsi="Times New Roman" w:cs="Times New Roman"/>
          <w:sz w:val="28"/>
          <w:lang w:val="en"/>
        </w:rPr>
      </w:pPr>
      <w:r>
        <w:rPr>
          <w:rFonts w:ascii="Times New Roman" w:hAnsi="Times New Roman" w:cs="Times New Roman"/>
          <w:sz w:val="28"/>
          <w:lang w:val="en"/>
        </w:rPr>
        <w:t>“He understands” must have more in it than: “the formula occurs to him”</w:t>
      </w:r>
      <w:r w:rsidR="0033733D">
        <w:rPr>
          <w:rStyle w:val="FootnoteReference"/>
          <w:rFonts w:ascii="Times New Roman" w:hAnsi="Times New Roman" w:cs="Times New Roman"/>
          <w:sz w:val="28"/>
          <w:lang w:val="en"/>
        </w:rPr>
        <w:footnoteReference w:id="3"/>
      </w:r>
      <w:r>
        <w:rPr>
          <w:rFonts w:ascii="Times New Roman" w:hAnsi="Times New Roman" w:cs="Times New Roman"/>
          <w:sz w:val="28"/>
          <w:lang w:val="en"/>
        </w:rPr>
        <w:t xml:space="preserve"> (</w:t>
      </w:r>
      <w:r w:rsidRPr="0033733D">
        <w:rPr>
          <w:rFonts w:ascii="Times New Roman" w:hAnsi="Times New Roman" w:cs="Times New Roman"/>
          <w:sz w:val="28"/>
          <w:lang w:val="en"/>
        </w:rPr>
        <w:t>pg60e, para152</w:t>
      </w:r>
      <w:r>
        <w:rPr>
          <w:rFonts w:ascii="Times New Roman" w:hAnsi="Times New Roman" w:cs="Times New Roman"/>
          <w:sz w:val="28"/>
          <w:lang w:val="en"/>
        </w:rPr>
        <w:t>).</w:t>
      </w:r>
    </w:p>
    <w:p w:rsidR="00037003" w:rsidRDefault="00AC381F" w:rsidP="00B74E72">
      <w:pPr>
        <w:rPr>
          <w:rFonts w:ascii="Times New Roman" w:hAnsi="Times New Roman" w:cs="Times New Roman"/>
          <w:sz w:val="28"/>
          <w:lang w:val="en"/>
        </w:rPr>
      </w:pPr>
      <w:r>
        <w:rPr>
          <w:rFonts w:ascii="Times New Roman" w:hAnsi="Times New Roman" w:cs="Times New Roman"/>
          <w:sz w:val="28"/>
          <w:lang w:val="en"/>
        </w:rPr>
        <w:t xml:space="preserve">Wittgenstein was adamant that there must be more to “understanding” than just the “characteristic accompaniments” that follow (such as formula’s, memorized sentences, etc). It is not impossible to think of someone who knows a certain equation for their physics test, but at the same time does not </w:t>
      </w:r>
      <w:r>
        <w:rPr>
          <w:rFonts w:ascii="Times New Roman" w:hAnsi="Times New Roman" w:cs="Times New Roman"/>
          <w:i/>
          <w:sz w:val="28"/>
          <w:lang w:val="en"/>
        </w:rPr>
        <w:t>understand</w:t>
      </w:r>
      <w:r>
        <w:rPr>
          <w:rFonts w:ascii="Times New Roman" w:hAnsi="Times New Roman" w:cs="Times New Roman"/>
          <w:sz w:val="28"/>
          <w:lang w:val="en"/>
        </w:rPr>
        <w:t xml:space="preserve"> it. </w:t>
      </w:r>
      <w:r w:rsidR="0083094F">
        <w:rPr>
          <w:rFonts w:ascii="Times New Roman" w:hAnsi="Times New Roman" w:cs="Times New Roman"/>
          <w:sz w:val="28"/>
          <w:lang w:val="en"/>
        </w:rPr>
        <w:t xml:space="preserve">Wittgenstein believes we often mistake/associate understanding, with the “characteristic accompaniments” such as formulas or sequence. Wittgenstein was baffled at the idea of an analyzed “understanding”, he wasn’t sure how on one hand it could be so immediate and obvious to an individual that they understand, </w:t>
      </w:r>
      <w:r w:rsidR="00C806F1">
        <w:rPr>
          <w:rFonts w:ascii="Times New Roman" w:hAnsi="Times New Roman" w:cs="Times New Roman"/>
          <w:sz w:val="28"/>
          <w:lang w:val="en"/>
        </w:rPr>
        <w:t xml:space="preserve">but on the same hand have it hidden amongst these “characteristic accompaniments”. </w:t>
      </w:r>
    </w:p>
    <w:p w:rsidR="00A62FC5" w:rsidRDefault="00A62FC5" w:rsidP="00B74E72">
      <w:pPr>
        <w:rPr>
          <w:rFonts w:ascii="Times New Roman" w:hAnsi="Times New Roman" w:cs="Times New Roman"/>
          <w:sz w:val="28"/>
          <w:lang w:val="en"/>
        </w:rPr>
      </w:pPr>
      <w:r>
        <w:rPr>
          <w:rFonts w:ascii="Times New Roman" w:hAnsi="Times New Roman" w:cs="Times New Roman"/>
          <w:sz w:val="28"/>
          <w:lang w:val="en"/>
        </w:rPr>
        <w:t xml:space="preserve">Wittgenstein goes onto speculate: </w:t>
      </w:r>
    </w:p>
    <w:p w:rsidR="00123D54" w:rsidRDefault="00A62FC5" w:rsidP="00B74E72">
      <w:pPr>
        <w:rPr>
          <w:rFonts w:ascii="Times New Roman" w:hAnsi="Times New Roman" w:cs="Times New Roman"/>
          <w:sz w:val="28"/>
          <w:lang w:val="en"/>
        </w:rPr>
      </w:pPr>
      <w:r>
        <w:rPr>
          <w:rFonts w:ascii="Times New Roman" w:hAnsi="Times New Roman" w:cs="Times New Roman"/>
          <w:sz w:val="28"/>
          <w:lang w:val="en"/>
        </w:rPr>
        <w:t>“If “now I understand the principle” does not mean the same as “the formula … occurs to me”</w:t>
      </w:r>
      <w:r w:rsidR="00123D54">
        <w:rPr>
          <w:rFonts w:ascii="Times New Roman" w:hAnsi="Times New Roman" w:cs="Times New Roman"/>
          <w:sz w:val="28"/>
          <w:lang w:val="en"/>
        </w:rPr>
        <w:t>-does it follow from this that I employ the sentence “now I understand” as a description of a process occurring behind or side by side with that of saying the formula?”</w:t>
      </w:r>
      <w:r w:rsidR="0033733D">
        <w:rPr>
          <w:rStyle w:val="FootnoteReference"/>
          <w:rFonts w:ascii="Times New Roman" w:hAnsi="Times New Roman" w:cs="Times New Roman"/>
          <w:sz w:val="28"/>
          <w:lang w:val="en"/>
        </w:rPr>
        <w:footnoteReference w:id="4"/>
      </w:r>
      <w:r w:rsidR="00123D54">
        <w:rPr>
          <w:rFonts w:ascii="Times New Roman" w:hAnsi="Times New Roman" w:cs="Times New Roman"/>
          <w:sz w:val="28"/>
          <w:lang w:val="en"/>
        </w:rPr>
        <w:t xml:space="preserve"> (</w:t>
      </w:r>
      <w:r w:rsidR="00123D54" w:rsidRPr="0033733D">
        <w:rPr>
          <w:rFonts w:ascii="Times New Roman" w:hAnsi="Times New Roman" w:cs="Times New Roman"/>
          <w:sz w:val="28"/>
          <w:lang w:val="en"/>
        </w:rPr>
        <w:t>P.I. pg60e, para154</w:t>
      </w:r>
      <w:r w:rsidR="00123D54">
        <w:rPr>
          <w:rFonts w:ascii="Times New Roman" w:hAnsi="Times New Roman" w:cs="Times New Roman"/>
          <w:sz w:val="28"/>
          <w:lang w:val="en"/>
        </w:rPr>
        <w:t>)</w:t>
      </w:r>
    </w:p>
    <w:p w:rsidR="00123D54" w:rsidRDefault="00123D54" w:rsidP="00B74E72">
      <w:pPr>
        <w:rPr>
          <w:rFonts w:ascii="Times New Roman" w:hAnsi="Times New Roman" w:cs="Times New Roman"/>
          <w:sz w:val="28"/>
          <w:lang w:val="en"/>
        </w:rPr>
      </w:pPr>
      <w:r>
        <w:rPr>
          <w:rFonts w:ascii="Times New Roman" w:hAnsi="Times New Roman" w:cs="Times New Roman"/>
          <w:sz w:val="28"/>
          <w:lang w:val="en"/>
        </w:rPr>
        <w:t>This process is understanding, but what Wittgenstein is asking here is if understanding exists (as a concept) or is it merely the shadow of the “characteristic accompaniments”. He goes on to say that if there is anything behind the utterance of the formula, it is “particular circumstances which justify me in saying I can go on-when the formula occurs to me.”</w:t>
      </w:r>
      <w:r w:rsidR="0033733D">
        <w:rPr>
          <w:rStyle w:val="FootnoteReference"/>
          <w:rFonts w:ascii="Times New Roman" w:hAnsi="Times New Roman" w:cs="Times New Roman"/>
          <w:sz w:val="28"/>
          <w:lang w:val="en"/>
        </w:rPr>
        <w:footnoteReference w:id="5"/>
      </w:r>
      <w:r>
        <w:rPr>
          <w:rFonts w:ascii="Times New Roman" w:hAnsi="Times New Roman" w:cs="Times New Roman"/>
          <w:sz w:val="28"/>
          <w:lang w:val="en"/>
        </w:rPr>
        <w:t xml:space="preserve"> (</w:t>
      </w:r>
      <w:r w:rsidRPr="0033733D">
        <w:rPr>
          <w:rFonts w:ascii="Times New Roman" w:hAnsi="Times New Roman" w:cs="Times New Roman"/>
          <w:sz w:val="28"/>
          <w:lang w:val="en"/>
        </w:rPr>
        <w:t>P.I. pg60e, para154</w:t>
      </w:r>
      <w:r>
        <w:rPr>
          <w:rFonts w:ascii="Times New Roman" w:hAnsi="Times New Roman" w:cs="Times New Roman"/>
          <w:sz w:val="28"/>
          <w:lang w:val="en"/>
        </w:rPr>
        <w:t>). Wittgenstein is supposing that “understanding” is merely when a set of particular criteria are met, which allows one to utter “I can go on”:</w:t>
      </w:r>
    </w:p>
    <w:p w:rsidR="00123D54" w:rsidRPr="00123D54" w:rsidRDefault="00123D54" w:rsidP="00B74E72">
      <w:pPr>
        <w:rPr>
          <w:rFonts w:ascii="Times New Roman" w:hAnsi="Times New Roman" w:cs="Times New Roman"/>
          <w:sz w:val="28"/>
          <w:lang w:val="en"/>
        </w:rPr>
      </w:pPr>
      <w:r>
        <w:rPr>
          <w:rFonts w:ascii="Times New Roman" w:hAnsi="Times New Roman" w:cs="Times New Roman"/>
          <w:sz w:val="28"/>
          <w:lang w:val="en"/>
        </w:rPr>
        <w:t xml:space="preserve">“Try not to think of understanding as a “mental process” at </w:t>
      </w:r>
      <w:r w:rsidR="00D6656E">
        <w:rPr>
          <w:rFonts w:ascii="Times New Roman" w:hAnsi="Times New Roman" w:cs="Times New Roman"/>
          <w:sz w:val="28"/>
          <w:lang w:val="en"/>
        </w:rPr>
        <w:t>all. -</w:t>
      </w:r>
      <w:r>
        <w:rPr>
          <w:rFonts w:ascii="Times New Roman" w:hAnsi="Times New Roman" w:cs="Times New Roman"/>
          <w:sz w:val="28"/>
          <w:lang w:val="en"/>
        </w:rPr>
        <w:t xml:space="preserve">For </w:t>
      </w:r>
      <w:r>
        <w:rPr>
          <w:rFonts w:ascii="Times New Roman" w:hAnsi="Times New Roman" w:cs="Times New Roman"/>
          <w:i/>
          <w:sz w:val="28"/>
          <w:lang w:val="en"/>
        </w:rPr>
        <w:t xml:space="preserve">that </w:t>
      </w:r>
      <w:r>
        <w:rPr>
          <w:rFonts w:ascii="Times New Roman" w:hAnsi="Times New Roman" w:cs="Times New Roman"/>
          <w:sz w:val="28"/>
          <w:lang w:val="en"/>
        </w:rPr>
        <w:t xml:space="preserve">is the expression that confuses you. But ask yourself: in what sort of case, in what </w:t>
      </w:r>
      <w:r>
        <w:rPr>
          <w:rFonts w:ascii="Times New Roman" w:hAnsi="Times New Roman" w:cs="Times New Roman"/>
          <w:sz w:val="28"/>
          <w:lang w:val="en"/>
        </w:rPr>
        <w:lastRenderedPageBreak/>
        <w:t xml:space="preserve">kind of circumstances, do we say, “now I know how to go on”, when, that is, the formula </w:t>
      </w:r>
      <w:r>
        <w:rPr>
          <w:rFonts w:ascii="Times New Roman" w:hAnsi="Times New Roman" w:cs="Times New Roman"/>
          <w:i/>
          <w:sz w:val="28"/>
          <w:lang w:val="en"/>
        </w:rPr>
        <w:t xml:space="preserve">has </w:t>
      </w:r>
      <w:r>
        <w:rPr>
          <w:rFonts w:ascii="Times New Roman" w:hAnsi="Times New Roman" w:cs="Times New Roman"/>
          <w:sz w:val="28"/>
          <w:lang w:val="en"/>
        </w:rPr>
        <w:t>occurred to me?”</w:t>
      </w:r>
    </w:p>
    <w:p w:rsidR="00123D54" w:rsidRDefault="00123D54" w:rsidP="00B74E72">
      <w:pPr>
        <w:rPr>
          <w:rFonts w:ascii="Times New Roman" w:hAnsi="Times New Roman" w:cs="Times New Roman"/>
          <w:sz w:val="28"/>
          <w:lang w:val="en"/>
        </w:rPr>
      </w:pPr>
      <w:r>
        <w:rPr>
          <w:rFonts w:ascii="Times New Roman" w:hAnsi="Times New Roman" w:cs="Times New Roman"/>
          <w:sz w:val="28"/>
          <w:lang w:val="en"/>
        </w:rPr>
        <w:t xml:space="preserve">He follows up with the headline quote: </w:t>
      </w:r>
    </w:p>
    <w:p w:rsidR="00123D54" w:rsidRDefault="00123D54" w:rsidP="00B74E72">
      <w:pPr>
        <w:rPr>
          <w:rFonts w:ascii="Times New Roman" w:hAnsi="Times New Roman" w:cs="Times New Roman"/>
          <w:sz w:val="28"/>
          <w:lang w:val="en"/>
        </w:rPr>
      </w:pPr>
      <w:r>
        <w:rPr>
          <w:rFonts w:ascii="Times New Roman" w:hAnsi="Times New Roman" w:cs="Times New Roman"/>
          <w:sz w:val="28"/>
          <w:lang w:val="en"/>
        </w:rPr>
        <w:t>“</w:t>
      </w:r>
      <w:r w:rsidRPr="00123D54">
        <w:rPr>
          <w:rFonts w:ascii="Times New Roman" w:hAnsi="Times New Roman" w:cs="Times New Roman"/>
          <w:sz w:val="28"/>
          <w:lang w:val="en"/>
        </w:rPr>
        <w:t>"In the sense in which there are processes (including mental processes) which are characteristic of understanding, understanding is not a mental process."</w:t>
      </w:r>
      <w:r w:rsidR="0033733D">
        <w:rPr>
          <w:rStyle w:val="FootnoteReference"/>
          <w:rFonts w:ascii="Times New Roman" w:hAnsi="Times New Roman" w:cs="Times New Roman"/>
          <w:sz w:val="28"/>
          <w:lang w:val="en"/>
        </w:rPr>
        <w:footnoteReference w:id="6"/>
      </w:r>
      <w:r>
        <w:rPr>
          <w:rFonts w:ascii="Times New Roman" w:hAnsi="Times New Roman" w:cs="Times New Roman"/>
          <w:sz w:val="28"/>
          <w:lang w:val="en"/>
        </w:rPr>
        <w:t xml:space="preserve"> (</w:t>
      </w:r>
      <w:r w:rsidRPr="0033733D">
        <w:rPr>
          <w:rFonts w:ascii="Times New Roman" w:hAnsi="Times New Roman" w:cs="Times New Roman"/>
          <w:sz w:val="28"/>
          <w:lang w:val="en"/>
        </w:rPr>
        <w:t>P.I. pg60e, para154</w:t>
      </w:r>
      <w:r>
        <w:rPr>
          <w:rFonts w:ascii="Times New Roman" w:hAnsi="Times New Roman" w:cs="Times New Roman"/>
          <w:sz w:val="28"/>
          <w:lang w:val="en"/>
        </w:rPr>
        <w:t>)</w:t>
      </w:r>
    </w:p>
    <w:p w:rsidR="00C806F1" w:rsidRDefault="00A7164D" w:rsidP="00B74E72">
      <w:pPr>
        <w:rPr>
          <w:rFonts w:ascii="Times New Roman" w:hAnsi="Times New Roman" w:cs="Times New Roman"/>
          <w:sz w:val="28"/>
          <w:lang w:val="en"/>
        </w:rPr>
      </w:pPr>
      <w:r>
        <w:rPr>
          <w:rFonts w:ascii="Times New Roman" w:hAnsi="Times New Roman" w:cs="Times New Roman"/>
          <w:sz w:val="28"/>
          <w:lang w:val="en"/>
        </w:rPr>
        <w:t xml:space="preserve">Wittgenstein’s bafflement derives mainly from the demonstrated inconsistencies between a “mental process” and “understanding”. </w:t>
      </w:r>
      <w:r w:rsidR="00C806F1">
        <w:rPr>
          <w:rFonts w:ascii="Times New Roman" w:hAnsi="Times New Roman" w:cs="Times New Roman"/>
          <w:sz w:val="28"/>
          <w:lang w:val="en"/>
        </w:rPr>
        <w:t>For Wittgenstein, mental processes have two features, they are temporal and self-identifiable. A mental process only lasts a certain period of time and is temporary, “he was in pain yesterday”, and must also be aware and identifiable to the subject at hand, “I felt miserable all day”. “Understanding” baffled Wittgenstein because it appears (through analyzation) that it shares neither of these qualities. As Wittgenstein asked, “</w:t>
      </w:r>
      <w:r w:rsidR="00C806F1" w:rsidRPr="00C806F1">
        <w:rPr>
          <w:rFonts w:ascii="Times New Roman" w:hAnsi="Times New Roman" w:cs="Times New Roman"/>
          <w:i/>
          <w:sz w:val="28"/>
          <w:lang w:val="en"/>
        </w:rPr>
        <w:t>when</w:t>
      </w:r>
      <w:r w:rsidR="00C806F1">
        <w:rPr>
          <w:rFonts w:ascii="Times New Roman" w:hAnsi="Times New Roman" w:cs="Times New Roman"/>
          <w:sz w:val="28"/>
          <w:lang w:val="en"/>
        </w:rPr>
        <w:t xml:space="preserve"> do you know the alphabet?”. It seems odd to think of understanding as having a temporal nature, that we only know some of the time, and even more bizarre that we are not always immediately aware of our own “understanding”. </w:t>
      </w:r>
      <w:r>
        <w:rPr>
          <w:rFonts w:ascii="Times New Roman" w:hAnsi="Times New Roman" w:cs="Times New Roman"/>
          <w:sz w:val="28"/>
          <w:lang w:val="en"/>
        </w:rPr>
        <w:t xml:space="preserve">It is because of the incompatibility between Wittgenstein’s analyzation of the nature of “mental processes” and his analyzation of the nature of “understanding”. The two lack compatibility and thus “understanding” must be refuted as a mental process. </w:t>
      </w:r>
    </w:p>
    <w:p w:rsidR="00E47135" w:rsidRDefault="00A7164D" w:rsidP="00B74E72">
      <w:pPr>
        <w:rPr>
          <w:rFonts w:ascii="Times New Roman" w:hAnsi="Times New Roman" w:cs="Times New Roman"/>
          <w:sz w:val="28"/>
          <w:lang w:val="en"/>
        </w:rPr>
      </w:pPr>
      <w:r>
        <w:rPr>
          <w:rFonts w:ascii="Times New Roman" w:hAnsi="Times New Roman" w:cs="Times New Roman"/>
          <w:sz w:val="28"/>
          <w:lang w:val="en"/>
        </w:rPr>
        <w:t xml:space="preserve">For Wittgenstein, “understanding” relies upon the particular circumstances in which they can be proven to be true, through activity or logical inquiry. Wittgenstein thought that we need not inspect further into the definition of words themselves for deeper understanding, but should instead further analyze the criteria in which would enable us to justifiable utter “I am able to go on”. </w:t>
      </w:r>
      <w:r w:rsidR="00E47135">
        <w:rPr>
          <w:rFonts w:ascii="Times New Roman" w:hAnsi="Times New Roman" w:cs="Times New Roman"/>
          <w:sz w:val="28"/>
          <w:lang w:val="en"/>
        </w:rPr>
        <w:t xml:space="preserve">I think Wittgenstein’s main point and what most people have trouble with is thinking of understanding not as permanent concrete knowledge within our conscious, but instead almost like a temporary “enlightenment” which according to certain criteria and circumstances, can be shown to be true or not (in this case, shown to understand or not). </w:t>
      </w:r>
      <w:r w:rsidR="00E47135" w:rsidRPr="00E47135">
        <w:rPr>
          <w:rFonts w:ascii="Times New Roman" w:hAnsi="Times New Roman" w:cs="Times New Roman"/>
          <w:sz w:val="28"/>
          <w:lang w:val="en"/>
        </w:rPr>
        <w:t xml:space="preserve">Wittgenstein </w:t>
      </w:r>
      <w:r w:rsidR="00E47135">
        <w:rPr>
          <w:rFonts w:ascii="Times New Roman" w:hAnsi="Times New Roman" w:cs="Times New Roman"/>
          <w:sz w:val="28"/>
          <w:lang w:val="en"/>
        </w:rPr>
        <w:t>states:</w:t>
      </w:r>
    </w:p>
    <w:p w:rsidR="00A7164D" w:rsidRDefault="00E47135" w:rsidP="00B74E72">
      <w:pPr>
        <w:rPr>
          <w:rFonts w:ascii="Times New Roman" w:hAnsi="Times New Roman" w:cs="Times New Roman"/>
          <w:sz w:val="28"/>
          <w:lang w:val="en"/>
        </w:rPr>
      </w:pPr>
      <w:r>
        <w:rPr>
          <w:rFonts w:ascii="Times New Roman" w:hAnsi="Times New Roman" w:cs="Times New Roman"/>
          <w:sz w:val="28"/>
          <w:lang w:val="en"/>
        </w:rPr>
        <w:t>"T</w:t>
      </w:r>
      <w:r w:rsidRPr="00E47135">
        <w:rPr>
          <w:rFonts w:ascii="Times New Roman" w:hAnsi="Times New Roman" w:cs="Times New Roman"/>
          <w:sz w:val="28"/>
          <w:lang w:val="en"/>
        </w:rPr>
        <w:t>he cr</w:t>
      </w:r>
      <w:r>
        <w:rPr>
          <w:rFonts w:ascii="Times New Roman" w:hAnsi="Times New Roman" w:cs="Times New Roman"/>
          <w:sz w:val="28"/>
          <w:lang w:val="en"/>
        </w:rPr>
        <w:t>iteria which we accept for</w:t>
      </w:r>
      <w:r w:rsidRPr="00E47135">
        <w:rPr>
          <w:rFonts w:ascii="Times New Roman" w:hAnsi="Times New Roman" w:cs="Times New Roman"/>
          <w:sz w:val="28"/>
          <w:lang w:val="en"/>
        </w:rPr>
        <w:t xml:space="preserve"> 'understanding', are much more complicated than might appear at first sight"</w:t>
      </w:r>
      <w:r w:rsidR="0033733D">
        <w:rPr>
          <w:rStyle w:val="FootnoteReference"/>
          <w:rFonts w:ascii="Times New Roman" w:hAnsi="Times New Roman" w:cs="Times New Roman"/>
          <w:sz w:val="28"/>
          <w:lang w:val="en"/>
        </w:rPr>
        <w:footnoteReference w:id="7"/>
      </w:r>
      <w:r w:rsidRPr="00E47135">
        <w:rPr>
          <w:rFonts w:ascii="Times New Roman" w:hAnsi="Times New Roman" w:cs="Times New Roman"/>
          <w:sz w:val="28"/>
          <w:lang w:val="en"/>
        </w:rPr>
        <w:t xml:space="preserve"> (</w:t>
      </w:r>
      <w:r w:rsidRPr="0033733D">
        <w:rPr>
          <w:rFonts w:ascii="Times New Roman" w:hAnsi="Times New Roman" w:cs="Times New Roman"/>
          <w:sz w:val="28"/>
          <w:lang w:val="en"/>
        </w:rPr>
        <w:t>PI, pg73e, para182</w:t>
      </w:r>
      <w:r w:rsidRPr="00E47135">
        <w:rPr>
          <w:rFonts w:ascii="Times New Roman" w:hAnsi="Times New Roman" w:cs="Times New Roman"/>
          <w:sz w:val="28"/>
          <w:lang w:val="en"/>
        </w:rPr>
        <w:t>).</w:t>
      </w:r>
    </w:p>
    <w:p w:rsidR="00E47135" w:rsidRPr="00E47135" w:rsidRDefault="00E47135" w:rsidP="00B74E72">
      <w:pPr>
        <w:rPr>
          <w:rFonts w:ascii="Times New Roman" w:hAnsi="Times New Roman" w:cs="Times New Roman"/>
          <w:sz w:val="28"/>
          <w:lang w:val="en"/>
        </w:rPr>
      </w:pPr>
      <w:r>
        <w:rPr>
          <w:rFonts w:ascii="Times New Roman" w:hAnsi="Times New Roman" w:cs="Times New Roman"/>
          <w:sz w:val="28"/>
          <w:lang w:val="en"/>
        </w:rPr>
        <w:lastRenderedPageBreak/>
        <w:t xml:space="preserve">Wittgenstein seems right to assert that particular circumstances/criteria will provide justification to whether or not “I can go on”. It is through his many examples that Wittgenstein is able to demonstrate the inconsistencies in the way we typically think about understanding as a mental state/process. Typically (if one were to think of understanding as a mental state) one might think “ah yes, of course I remember the first verse to 2pac’s “Do For Love”, but how many times has one been certain of their “understanding” of certain lyrics or quotes only to discover ten seconds in they’ve forgotten a few lyrics/lines here and there. Were we wrong to </w:t>
      </w:r>
      <w:r w:rsidR="00A02DC9">
        <w:rPr>
          <w:rFonts w:ascii="Times New Roman" w:hAnsi="Times New Roman" w:cs="Times New Roman"/>
          <w:sz w:val="28"/>
          <w:lang w:val="en"/>
        </w:rPr>
        <w:t>believe</w:t>
      </w:r>
      <w:r>
        <w:rPr>
          <w:rFonts w:ascii="Times New Roman" w:hAnsi="Times New Roman" w:cs="Times New Roman"/>
          <w:sz w:val="28"/>
          <w:lang w:val="en"/>
        </w:rPr>
        <w:t xml:space="preserve"> we understood the lyrics? What if we did know all the lyrics but the second we are asked to recite them in a large room full of strangers we forget every lyric? Were we wrong to assume we </w:t>
      </w:r>
      <w:r>
        <w:rPr>
          <w:rFonts w:ascii="Times New Roman" w:hAnsi="Times New Roman" w:cs="Times New Roman"/>
          <w:i/>
          <w:sz w:val="28"/>
          <w:lang w:val="en"/>
        </w:rPr>
        <w:t>understood?</w:t>
      </w:r>
      <w:r>
        <w:rPr>
          <w:rFonts w:ascii="Times New Roman" w:hAnsi="Times New Roman" w:cs="Times New Roman"/>
          <w:sz w:val="28"/>
          <w:lang w:val="en"/>
        </w:rPr>
        <w:t xml:space="preserve"> </w:t>
      </w:r>
      <w:r w:rsidR="00A02DC9">
        <w:rPr>
          <w:rFonts w:ascii="Times New Roman" w:hAnsi="Times New Roman" w:cs="Times New Roman"/>
          <w:sz w:val="28"/>
          <w:lang w:val="en"/>
        </w:rPr>
        <w:t xml:space="preserve">What, however, would occur if was in my room by myself listening to the song through my headphones? Perhaps I’d recite every lyric perfectly. The point being here for Wittgenstein is that true understanding relies upon criteria and circumstances of situation. I couldn’t recite every lyric in a highly populated room due to the circumstance of me being nervous, but changing circumstance to being inside my room, we see a different result. It seems clear that “understanding” is heavily dependent on circumstantial situations. </w:t>
      </w:r>
    </w:p>
    <w:p w:rsidR="00A02DC9" w:rsidRDefault="00A02DC9" w:rsidP="00B74E72">
      <w:pPr>
        <w:rPr>
          <w:rFonts w:ascii="Times New Roman" w:hAnsi="Times New Roman" w:cs="Times New Roman"/>
          <w:sz w:val="28"/>
          <w:lang w:val="en"/>
        </w:rPr>
      </w:pPr>
      <w:r>
        <w:rPr>
          <w:rFonts w:ascii="Times New Roman" w:hAnsi="Times New Roman" w:cs="Times New Roman"/>
          <w:sz w:val="28"/>
          <w:lang w:val="en"/>
        </w:rPr>
        <w:t xml:space="preserve">Wittgenstein quaintly puts: </w:t>
      </w:r>
    </w:p>
    <w:p w:rsidR="00A02DC9" w:rsidRDefault="00A02DC9" w:rsidP="00B74E72">
      <w:pPr>
        <w:rPr>
          <w:rFonts w:ascii="Times New Roman" w:hAnsi="Times New Roman" w:cs="Times New Roman"/>
          <w:sz w:val="28"/>
          <w:lang w:val="en"/>
        </w:rPr>
      </w:pPr>
      <w:r>
        <w:rPr>
          <w:rFonts w:ascii="Times New Roman" w:hAnsi="Times New Roman" w:cs="Times New Roman"/>
          <w:sz w:val="28"/>
          <w:lang w:val="en"/>
        </w:rPr>
        <w:t>“When do you know how to play chess? All the time? Or just while you are making a move?... – How queer that knowing how to play chess should take such a short time, and a game so much longer!”</w:t>
      </w:r>
      <w:r w:rsidR="0033733D">
        <w:rPr>
          <w:rStyle w:val="FootnoteReference"/>
          <w:rFonts w:ascii="Times New Roman" w:hAnsi="Times New Roman" w:cs="Times New Roman"/>
          <w:sz w:val="28"/>
          <w:lang w:val="en"/>
        </w:rPr>
        <w:footnoteReference w:id="8"/>
      </w:r>
      <w:r>
        <w:rPr>
          <w:rFonts w:ascii="Times New Roman" w:hAnsi="Times New Roman" w:cs="Times New Roman"/>
          <w:sz w:val="28"/>
          <w:lang w:val="en"/>
        </w:rPr>
        <w:t xml:space="preserve"> (</w:t>
      </w:r>
      <w:r w:rsidRPr="0033733D">
        <w:rPr>
          <w:rFonts w:ascii="Times New Roman" w:hAnsi="Times New Roman" w:cs="Times New Roman"/>
          <w:sz w:val="28"/>
          <w:lang w:val="en"/>
        </w:rPr>
        <w:t xml:space="preserve">P.I. pg59e, </w:t>
      </w:r>
      <w:r w:rsidR="007767C2" w:rsidRPr="0033733D">
        <w:rPr>
          <w:rFonts w:ascii="Times New Roman" w:hAnsi="Times New Roman" w:cs="Times New Roman"/>
          <w:sz w:val="28"/>
          <w:lang w:val="en"/>
        </w:rPr>
        <w:t>foot of page</w:t>
      </w:r>
      <w:r w:rsidR="007767C2">
        <w:rPr>
          <w:rFonts w:ascii="Times New Roman" w:hAnsi="Times New Roman" w:cs="Times New Roman"/>
          <w:sz w:val="28"/>
          <w:lang w:val="en"/>
        </w:rPr>
        <w:t>)</w:t>
      </w:r>
    </w:p>
    <w:p w:rsidR="00A7164D" w:rsidRDefault="007767C2" w:rsidP="00B74E72">
      <w:pPr>
        <w:rPr>
          <w:rFonts w:ascii="Times New Roman" w:hAnsi="Times New Roman" w:cs="Times New Roman"/>
          <w:sz w:val="28"/>
          <w:lang w:val="en"/>
        </w:rPr>
      </w:pPr>
      <w:r>
        <w:rPr>
          <w:rFonts w:ascii="Times New Roman" w:hAnsi="Times New Roman" w:cs="Times New Roman"/>
          <w:sz w:val="28"/>
          <w:lang w:val="en"/>
        </w:rPr>
        <w:t xml:space="preserve">Ultimately, it seems plausible to assert that one’s “understanding” of a sequence/anything, derives from contextual criteria’s, signaled through the utterance of the phrase “I can go on”, with demonstration of said understanding being the real test. In the example of person A writing a certain sequence, and B trying to figure out the sequence, B’s familiarity with algebra, decimal system, and ability to read and write all provide criteria for B asserting “I can go on”. </w:t>
      </w:r>
      <w:r w:rsidR="00670209">
        <w:rPr>
          <w:rFonts w:ascii="Times New Roman" w:hAnsi="Times New Roman" w:cs="Times New Roman"/>
          <w:sz w:val="28"/>
          <w:lang w:val="en"/>
        </w:rPr>
        <w:t>Therefore,</w:t>
      </w:r>
      <w:r>
        <w:rPr>
          <w:rFonts w:ascii="Times New Roman" w:hAnsi="Times New Roman" w:cs="Times New Roman"/>
          <w:sz w:val="28"/>
          <w:lang w:val="en"/>
        </w:rPr>
        <w:t xml:space="preserve"> it seems as if Wittgenstein’s quote is correct, understanding is not a mental process and that understanding is validated on the grounds of c</w:t>
      </w:r>
      <w:r w:rsidR="00670209">
        <w:rPr>
          <w:rFonts w:ascii="Times New Roman" w:hAnsi="Times New Roman" w:cs="Times New Roman"/>
          <w:sz w:val="28"/>
          <w:lang w:val="en"/>
        </w:rPr>
        <w:t xml:space="preserve">ontext and circumstance, as opposed to be validated via the mental character accompaniments. </w:t>
      </w:r>
    </w:p>
    <w:p w:rsidR="00A7164D" w:rsidRPr="00A7164D" w:rsidRDefault="00A7164D" w:rsidP="00A7164D">
      <w:pPr>
        <w:rPr>
          <w:rFonts w:ascii="Times New Roman" w:hAnsi="Times New Roman" w:cs="Times New Roman"/>
          <w:sz w:val="28"/>
          <w:lang w:val="en"/>
        </w:rPr>
      </w:pPr>
    </w:p>
    <w:p w:rsidR="00DD158E" w:rsidRDefault="00263259">
      <w:pPr>
        <w:rPr>
          <w:rFonts w:ascii="Times New Roman" w:hAnsi="Times New Roman" w:cs="Times New Roman"/>
          <w:i/>
          <w:u w:val="single"/>
        </w:rPr>
      </w:pPr>
      <w:r>
        <w:rPr>
          <w:rFonts w:ascii="Times New Roman" w:hAnsi="Times New Roman" w:cs="Times New Roman"/>
          <w:i/>
          <w:u w:val="single"/>
        </w:rPr>
        <w:lastRenderedPageBreak/>
        <w:t>Bibliography:</w:t>
      </w:r>
    </w:p>
    <w:p w:rsidR="00263259" w:rsidRPr="00263259" w:rsidRDefault="00263259">
      <w:pPr>
        <w:rPr>
          <w:rFonts w:ascii="Times New Roman" w:hAnsi="Times New Roman" w:cs="Times New Roman"/>
        </w:rPr>
      </w:pPr>
      <w:r>
        <w:t>-Ludwig Wittgenstein</w:t>
      </w:r>
      <w:r w:rsidRPr="0033733D">
        <w:t xml:space="preserve">, </w:t>
      </w:r>
      <w:r>
        <w:t xml:space="preserve">Philosophical Investigations </w:t>
      </w:r>
      <w:r w:rsidRPr="0033733D">
        <w:t xml:space="preserve">(Oxford: </w:t>
      </w:r>
      <w:r>
        <w:t>Blackwell Publishers, 1973)</w:t>
      </w:r>
    </w:p>
    <w:sectPr w:rsidR="00263259" w:rsidRPr="002632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28DE" w:rsidRDefault="00F428DE" w:rsidP="0033733D">
      <w:pPr>
        <w:spacing w:after="0" w:line="240" w:lineRule="auto"/>
      </w:pPr>
      <w:r>
        <w:separator/>
      </w:r>
    </w:p>
  </w:endnote>
  <w:endnote w:type="continuationSeparator" w:id="0">
    <w:p w:rsidR="00F428DE" w:rsidRDefault="00F428DE" w:rsidP="00337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28DE" w:rsidRDefault="00F428DE" w:rsidP="0033733D">
      <w:pPr>
        <w:spacing w:after="0" w:line="240" w:lineRule="auto"/>
      </w:pPr>
      <w:r>
        <w:separator/>
      </w:r>
    </w:p>
  </w:footnote>
  <w:footnote w:type="continuationSeparator" w:id="0">
    <w:p w:rsidR="00F428DE" w:rsidRDefault="00F428DE" w:rsidP="0033733D">
      <w:pPr>
        <w:spacing w:after="0" w:line="240" w:lineRule="auto"/>
      </w:pPr>
      <w:r>
        <w:continuationSeparator/>
      </w:r>
    </w:p>
  </w:footnote>
  <w:footnote w:id="1">
    <w:p w:rsidR="0033733D" w:rsidRDefault="0033733D">
      <w:pPr>
        <w:pStyle w:val="FootnoteText"/>
      </w:pPr>
      <w:r>
        <w:rPr>
          <w:rStyle w:val="FootnoteReference"/>
        </w:rPr>
        <w:footnoteRef/>
      </w:r>
      <w:r>
        <w:t xml:space="preserve"> </w:t>
      </w:r>
      <w:bookmarkStart w:id="2" w:name="_Hlk503388299"/>
      <w:r>
        <w:t>Ludwig Wittgenstein</w:t>
      </w:r>
      <w:r w:rsidRPr="0033733D">
        <w:t xml:space="preserve">, </w:t>
      </w:r>
      <w:r>
        <w:t xml:space="preserve">Philosophical Investigations </w:t>
      </w:r>
      <w:r w:rsidRPr="0033733D">
        <w:t xml:space="preserve">(Oxford: </w:t>
      </w:r>
      <w:r>
        <w:t>Blackwell Publishers, 1973) p.</w:t>
      </w:r>
      <w:bookmarkEnd w:id="2"/>
      <w:r>
        <w:t>58e</w:t>
      </w:r>
    </w:p>
  </w:footnote>
  <w:footnote w:id="2">
    <w:p w:rsidR="0033733D" w:rsidRDefault="0033733D">
      <w:pPr>
        <w:pStyle w:val="FootnoteText"/>
      </w:pPr>
      <w:r>
        <w:rPr>
          <w:rStyle w:val="FootnoteReference"/>
        </w:rPr>
        <w:footnoteRef/>
      </w:r>
      <w:r>
        <w:t xml:space="preserve"> Ibid, p.58e</w:t>
      </w:r>
    </w:p>
  </w:footnote>
  <w:footnote w:id="3">
    <w:p w:rsidR="0033733D" w:rsidRDefault="0033733D">
      <w:pPr>
        <w:pStyle w:val="FootnoteText"/>
      </w:pPr>
      <w:r>
        <w:rPr>
          <w:rStyle w:val="FootnoteReference"/>
        </w:rPr>
        <w:footnoteRef/>
      </w:r>
      <w:r>
        <w:t xml:space="preserve"> Ludwig Wittgenstein</w:t>
      </w:r>
      <w:r w:rsidRPr="0033733D">
        <w:t xml:space="preserve">, </w:t>
      </w:r>
      <w:r>
        <w:t xml:space="preserve">Philosophical Investigations </w:t>
      </w:r>
      <w:r w:rsidRPr="0033733D">
        <w:t xml:space="preserve">(Oxford: </w:t>
      </w:r>
      <w:r>
        <w:t>Blackwell Publishers, 1973) p.60e</w:t>
      </w:r>
    </w:p>
  </w:footnote>
  <w:footnote w:id="4">
    <w:p w:rsidR="0033733D" w:rsidRDefault="0033733D">
      <w:pPr>
        <w:pStyle w:val="FootnoteText"/>
      </w:pPr>
      <w:r>
        <w:rPr>
          <w:rStyle w:val="FootnoteReference"/>
        </w:rPr>
        <w:footnoteRef/>
      </w:r>
      <w:r>
        <w:t xml:space="preserve"> Ibid, p.60e</w:t>
      </w:r>
    </w:p>
  </w:footnote>
  <w:footnote w:id="5">
    <w:p w:rsidR="0033733D" w:rsidRDefault="0033733D">
      <w:pPr>
        <w:pStyle w:val="FootnoteText"/>
      </w:pPr>
      <w:r>
        <w:rPr>
          <w:rStyle w:val="FootnoteReference"/>
        </w:rPr>
        <w:footnoteRef/>
      </w:r>
      <w:r>
        <w:t xml:space="preserve"> Ibid, p.60e</w:t>
      </w:r>
    </w:p>
  </w:footnote>
  <w:footnote w:id="6">
    <w:p w:rsidR="0033733D" w:rsidRDefault="0033733D">
      <w:pPr>
        <w:pStyle w:val="FootnoteText"/>
      </w:pPr>
      <w:r>
        <w:rPr>
          <w:rStyle w:val="FootnoteReference"/>
        </w:rPr>
        <w:footnoteRef/>
      </w:r>
      <w:r>
        <w:t xml:space="preserve"> Ludwig Wittgenstein</w:t>
      </w:r>
      <w:r w:rsidRPr="0033733D">
        <w:t xml:space="preserve">, </w:t>
      </w:r>
      <w:r>
        <w:t xml:space="preserve">Philosophical Investigations </w:t>
      </w:r>
      <w:r w:rsidRPr="0033733D">
        <w:t xml:space="preserve">(Oxford: </w:t>
      </w:r>
      <w:r>
        <w:t>Blackwell Publishers, 1973) p.60e</w:t>
      </w:r>
    </w:p>
  </w:footnote>
  <w:footnote w:id="7">
    <w:p w:rsidR="0033733D" w:rsidRDefault="0033733D">
      <w:pPr>
        <w:pStyle w:val="FootnoteText"/>
      </w:pPr>
      <w:r>
        <w:rPr>
          <w:rStyle w:val="FootnoteReference"/>
        </w:rPr>
        <w:footnoteRef/>
      </w:r>
      <w:r>
        <w:t xml:space="preserve"> Ibid, p.73e</w:t>
      </w:r>
    </w:p>
  </w:footnote>
  <w:footnote w:id="8">
    <w:p w:rsidR="0033733D" w:rsidRDefault="0033733D">
      <w:pPr>
        <w:pStyle w:val="FootnoteText"/>
      </w:pPr>
      <w:r>
        <w:rPr>
          <w:rStyle w:val="FootnoteReference"/>
        </w:rPr>
        <w:footnoteRef/>
      </w:r>
      <w:r>
        <w:t xml:space="preserve"> </w:t>
      </w:r>
      <w:bookmarkStart w:id="3" w:name="_Hlk503388524"/>
      <w:r>
        <w:t>Ludwig Wittgenstein</w:t>
      </w:r>
      <w:r w:rsidRPr="0033733D">
        <w:t xml:space="preserve">, </w:t>
      </w:r>
      <w:r>
        <w:t xml:space="preserve">Philosophical Investigations </w:t>
      </w:r>
      <w:r w:rsidRPr="0033733D">
        <w:t xml:space="preserve">(Oxford: </w:t>
      </w:r>
      <w:r>
        <w:t>Blackwell Publishers, 1973)</w:t>
      </w:r>
      <w:bookmarkEnd w:id="3"/>
      <w:r>
        <w:t xml:space="preserve"> p.59e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175DD1"/>
    <w:multiLevelType w:val="multilevel"/>
    <w:tmpl w:val="E7FC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B025FF"/>
    <w:multiLevelType w:val="hybridMultilevel"/>
    <w:tmpl w:val="221ABF54"/>
    <w:lvl w:ilvl="0" w:tplc="0F7ECB20">
      <w:start w:val="1"/>
      <w:numFmt w:val="lowerRoman"/>
      <w:lvlText w:val="%1."/>
      <w:lvlJc w:val="left"/>
      <w:pPr>
        <w:ind w:left="1125" w:hanging="72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0C1"/>
    <w:rsid w:val="00037003"/>
    <w:rsid w:val="000450C1"/>
    <w:rsid w:val="00046D7E"/>
    <w:rsid w:val="00104843"/>
    <w:rsid w:val="00123D54"/>
    <w:rsid w:val="00243C78"/>
    <w:rsid w:val="00262E07"/>
    <w:rsid w:val="00263259"/>
    <w:rsid w:val="0033733D"/>
    <w:rsid w:val="00362DE9"/>
    <w:rsid w:val="00385AF2"/>
    <w:rsid w:val="004258FD"/>
    <w:rsid w:val="00574071"/>
    <w:rsid w:val="005B3557"/>
    <w:rsid w:val="005D4B9C"/>
    <w:rsid w:val="00670209"/>
    <w:rsid w:val="00773C8A"/>
    <w:rsid w:val="007767C2"/>
    <w:rsid w:val="007F09E6"/>
    <w:rsid w:val="0083094F"/>
    <w:rsid w:val="00847793"/>
    <w:rsid w:val="00913E58"/>
    <w:rsid w:val="0095655D"/>
    <w:rsid w:val="0099236E"/>
    <w:rsid w:val="00A02DC9"/>
    <w:rsid w:val="00A62FC5"/>
    <w:rsid w:val="00A7164D"/>
    <w:rsid w:val="00AC381F"/>
    <w:rsid w:val="00AF21C7"/>
    <w:rsid w:val="00B74E72"/>
    <w:rsid w:val="00C01BC5"/>
    <w:rsid w:val="00C806F1"/>
    <w:rsid w:val="00D6656E"/>
    <w:rsid w:val="00DD158E"/>
    <w:rsid w:val="00E47135"/>
    <w:rsid w:val="00E71012"/>
    <w:rsid w:val="00F328B8"/>
    <w:rsid w:val="00F42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C57097-8A0C-4E92-A2F3-392868261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0C1"/>
    <w:pPr>
      <w:ind w:left="720"/>
      <w:contextualSpacing/>
    </w:pPr>
  </w:style>
  <w:style w:type="character" w:styleId="Hyperlink">
    <w:name w:val="Hyperlink"/>
    <w:basedOn w:val="DefaultParagraphFont"/>
    <w:rsid w:val="00385AF2"/>
    <w:rPr>
      <w:color w:val="0000FF"/>
      <w:u w:val="single"/>
    </w:rPr>
  </w:style>
  <w:style w:type="paragraph" w:styleId="FootnoteText">
    <w:name w:val="footnote text"/>
    <w:basedOn w:val="Normal"/>
    <w:link w:val="FootnoteTextChar"/>
    <w:uiPriority w:val="99"/>
    <w:semiHidden/>
    <w:unhideWhenUsed/>
    <w:rsid w:val="003373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733D"/>
    <w:rPr>
      <w:sz w:val="20"/>
      <w:szCs w:val="20"/>
    </w:rPr>
  </w:style>
  <w:style w:type="character" w:styleId="FootnoteReference">
    <w:name w:val="footnote reference"/>
    <w:basedOn w:val="DefaultParagraphFont"/>
    <w:uiPriority w:val="99"/>
    <w:semiHidden/>
    <w:unhideWhenUsed/>
    <w:rsid w:val="0033733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698527">
      <w:bodyDiv w:val="1"/>
      <w:marLeft w:val="0"/>
      <w:marRight w:val="0"/>
      <w:marTop w:val="0"/>
      <w:marBottom w:val="0"/>
      <w:divBdr>
        <w:top w:val="none" w:sz="0" w:space="0" w:color="auto"/>
        <w:left w:val="none" w:sz="0" w:space="0" w:color="auto"/>
        <w:bottom w:val="none" w:sz="0" w:space="0" w:color="auto"/>
        <w:right w:val="none" w:sz="0" w:space="0" w:color="auto"/>
      </w:divBdr>
      <w:divsChild>
        <w:div w:id="689336349">
          <w:marLeft w:val="0"/>
          <w:marRight w:val="0"/>
          <w:marTop w:val="0"/>
          <w:marBottom w:val="0"/>
          <w:divBdr>
            <w:top w:val="none" w:sz="0" w:space="0" w:color="auto"/>
            <w:left w:val="none" w:sz="0" w:space="0" w:color="auto"/>
            <w:bottom w:val="none" w:sz="0" w:space="0" w:color="auto"/>
            <w:right w:val="none" w:sz="0" w:space="0" w:color="auto"/>
          </w:divBdr>
          <w:divsChild>
            <w:div w:id="715662983">
              <w:marLeft w:val="0"/>
              <w:marRight w:val="0"/>
              <w:marTop w:val="150"/>
              <w:marBottom w:val="0"/>
              <w:divBdr>
                <w:top w:val="none" w:sz="0" w:space="0" w:color="auto"/>
                <w:left w:val="none" w:sz="0" w:space="0" w:color="auto"/>
                <w:bottom w:val="none" w:sz="0" w:space="0" w:color="auto"/>
                <w:right w:val="none" w:sz="0" w:space="0" w:color="auto"/>
              </w:divBdr>
              <w:divsChild>
                <w:div w:id="647514885">
                  <w:marLeft w:val="0"/>
                  <w:marRight w:val="0"/>
                  <w:marTop w:val="0"/>
                  <w:marBottom w:val="0"/>
                  <w:divBdr>
                    <w:top w:val="none" w:sz="0" w:space="0" w:color="auto"/>
                    <w:left w:val="none" w:sz="0" w:space="0" w:color="auto"/>
                    <w:bottom w:val="none" w:sz="0" w:space="0" w:color="auto"/>
                    <w:right w:val="none" w:sz="0" w:space="0" w:color="auto"/>
                  </w:divBdr>
                  <w:divsChild>
                    <w:div w:id="781074968">
                      <w:marLeft w:val="0"/>
                      <w:marRight w:val="0"/>
                      <w:marTop w:val="0"/>
                      <w:marBottom w:val="0"/>
                      <w:divBdr>
                        <w:top w:val="none" w:sz="0" w:space="0" w:color="auto"/>
                        <w:left w:val="none" w:sz="0" w:space="0" w:color="auto"/>
                        <w:bottom w:val="none" w:sz="0" w:space="0" w:color="auto"/>
                        <w:right w:val="none" w:sz="0" w:space="0" w:color="auto"/>
                      </w:divBdr>
                      <w:divsChild>
                        <w:div w:id="1592854426">
                          <w:marLeft w:val="0"/>
                          <w:marRight w:val="0"/>
                          <w:marTop w:val="0"/>
                          <w:marBottom w:val="0"/>
                          <w:divBdr>
                            <w:top w:val="none" w:sz="0" w:space="0" w:color="auto"/>
                            <w:left w:val="none" w:sz="0" w:space="0" w:color="auto"/>
                            <w:bottom w:val="none" w:sz="0" w:space="0" w:color="auto"/>
                            <w:right w:val="none" w:sz="0" w:space="0" w:color="auto"/>
                          </w:divBdr>
                          <w:divsChild>
                            <w:div w:id="1130368594">
                              <w:marLeft w:val="0"/>
                              <w:marRight w:val="0"/>
                              <w:marTop w:val="0"/>
                              <w:marBottom w:val="0"/>
                              <w:divBdr>
                                <w:top w:val="none" w:sz="0" w:space="0" w:color="auto"/>
                                <w:left w:val="none" w:sz="0" w:space="0" w:color="auto"/>
                                <w:bottom w:val="none" w:sz="0" w:space="0" w:color="auto"/>
                                <w:right w:val="none" w:sz="0" w:space="0" w:color="auto"/>
                              </w:divBdr>
                              <w:divsChild>
                                <w:div w:id="1287006823">
                                  <w:marLeft w:val="0"/>
                                  <w:marRight w:val="0"/>
                                  <w:marTop w:val="0"/>
                                  <w:marBottom w:val="0"/>
                                  <w:divBdr>
                                    <w:top w:val="none" w:sz="0" w:space="0" w:color="auto"/>
                                    <w:left w:val="none" w:sz="0" w:space="0" w:color="auto"/>
                                    <w:bottom w:val="none" w:sz="0" w:space="0" w:color="auto"/>
                                    <w:right w:val="none" w:sz="0" w:space="0" w:color="auto"/>
                                  </w:divBdr>
                                  <w:divsChild>
                                    <w:div w:id="650015924">
                                      <w:marLeft w:val="0"/>
                                      <w:marRight w:val="0"/>
                                      <w:marTop w:val="0"/>
                                      <w:marBottom w:val="0"/>
                                      <w:divBdr>
                                        <w:top w:val="none" w:sz="0" w:space="0" w:color="auto"/>
                                        <w:left w:val="none" w:sz="0" w:space="0" w:color="auto"/>
                                        <w:bottom w:val="none" w:sz="0" w:space="0" w:color="auto"/>
                                        <w:right w:val="none" w:sz="0" w:space="0" w:color="auto"/>
                                      </w:divBdr>
                                      <w:divsChild>
                                        <w:div w:id="30450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9917357">
      <w:bodyDiv w:val="1"/>
      <w:marLeft w:val="0"/>
      <w:marRight w:val="0"/>
      <w:marTop w:val="0"/>
      <w:marBottom w:val="0"/>
      <w:divBdr>
        <w:top w:val="none" w:sz="0" w:space="0" w:color="auto"/>
        <w:left w:val="none" w:sz="0" w:space="0" w:color="auto"/>
        <w:bottom w:val="none" w:sz="0" w:space="0" w:color="auto"/>
        <w:right w:val="none" w:sz="0" w:space="0" w:color="auto"/>
      </w:divBdr>
      <w:divsChild>
        <w:div w:id="2057392198">
          <w:marLeft w:val="0"/>
          <w:marRight w:val="0"/>
          <w:marTop w:val="0"/>
          <w:marBottom w:val="0"/>
          <w:divBdr>
            <w:top w:val="none" w:sz="0" w:space="0" w:color="auto"/>
            <w:left w:val="none" w:sz="0" w:space="0" w:color="auto"/>
            <w:bottom w:val="none" w:sz="0" w:space="0" w:color="auto"/>
            <w:right w:val="none" w:sz="0" w:space="0" w:color="auto"/>
          </w:divBdr>
          <w:divsChild>
            <w:div w:id="114566717">
              <w:marLeft w:val="0"/>
              <w:marRight w:val="0"/>
              <w:marTop w:val="150"/>
              <w:marBottom w:val="0"/>
              <w:divBdr>
                <w:top w:val="none" w:sz="0" w:space="0" w:color="auto"/>
                <w:left w:val="none" w:sz="0" w:space="0" w:color="auto"/>
                <w:bottom w:val="none" w:sz="0" w:space="0" w:color="auto"/>
                <w:right w:val="none" w:sz="0" w:space="0" w:color="auto"/>
              </w:divBdr>
              <w:divsChild>
                <w:div w:id="1147434743">
                  <w:marLeft w:val="0"/>
                  <w:marRight w:val="0"/>
                  <w:marTop w:val="0"/>
                  <w:marBottom w:val="0"/>
                  <w:divBdr>
                    <w:top w:val="none" w:sz="0" w:space="0" w:color="auto"/>
                    <w:left w:val="none" w:sz="0" w:space="0" w:color="auto"/>
                    <w:bottom w:val="none" w:sz="0" w:space="0" w:color="auto"/>
                    <w:right w:val="none" w:sz="0" w:space="0" w:color="auto"/>
                  </w:divBdr>
                  <w:divsChild>
                    <w:div w:id="1849640379">
                      <w:marLeft w:val="0"/>
                      <w:marRight w:val="0"/>
                      <w:marTop w:val="0"/>
                      <w:marBottom w:val="0"/>
                      <w:divBdr>
                        <w:top w:val="none" w:sz="0" w:space="0" w:color="auto"/>
                        <w:left w:val="none" w:sz="0" w:space="0" w:color="auto"/>
                        <w:bottom w:val="none" w:sz="0" w:space="0" w:color="auto"/>
                        <w:right w:val="none" w:sz="0" w:space="0" w:color="auto"/>
                      </w:divBdr>
                      <w:divsChild>
                        <w:div w:id="450977371">
                          <w:marLeft w:val="0"/>
                          <w:marRight w:val="0"/>
                          <w:marTop w:val="0"/>
                          <w:marBottom w:val="0"/>
                          <w:divBdr>
                            <w:top w:val="none" w:sz="0" w:space="0" w:color="auto"/>
                            <w:left w:val="none" w:sz="0" w:space="0" w:color="auto"/>
                            <w:bottom w:val="none" w:sz="0" w:space="0" w:color="auto"/>
                            <w:right w:val="none" w:sz="0" w:space="0" w:color="auto"/>
                          </w:divBdr>
                          <w:divsChild>
                            <w:div w:id="694772106">
                              <w:marLeft w:val="0"/>
                              <w:marRight w:val="0"/>
                              <w:marTop w:val="0"/>
                              <w:marBottom w:val="0"/>
                              <w:divBdr>
                                <w:top w:val="none" w:sz="0" w:space="0" w:color="auto"/>
                                <w:left w:val="none" w:sz="0" w:space="0" w:color="auto"/>
                                <w:bottom w:val="none" w:sz="0" w:space="0" w:color="auto"/>
                                <w:right w:val="none" w:sz="0" w:space="0" w:color="auto"/>
                              </w:divBdr>
                              <w:divsChild>
                                <w:div w:id="966548874">
                                  <w:marLeft w:val="0"/>
                                  <w:marRight w:val="0"/>
                                  <w:marTop w:val="0"/>
                                  <w:marBottom w:val="0"/>
                                  <w:divBdr>
                                    <w:top w:val="none" w:sz="0" w:space="0" w:color="auto"/>
                                    <w:left w:val="none" w:sz="0" w:space="0" w:color="auto"/>
                                    <w:bottom w:val="none" w:sz="0" w:space="0" w:color="auto"/>
                                    <w:right w:val="none" w:sz="0" w:space="0" w:color="auto"/>
                                  </w:divBdr>
                                  <w:divsChild>
                                    <w:div w:id="51270596">
                                      <w:marLeft w:val="0"/>
                                      <w:marRight w:val="0"/>
                                      <w:marTop w:val="0"/>
                                      <w:marBottom w:val="0"/>
                                      <w:divBdr>
                                        <w:top w:val="none" w:sz="0" w:space="0" w:color="auto"/>
                                        <w:left w:val="none" w:sz="0" w:space="0" w:color="auto"/>
                                        <w:bottom w:val="none" w:sz="0" w:space="0" w:color="auto"/>
                                        <w:right w:val="none" w:sz="0" w:space="0" w:color="auto"/>
                                      </w:divBdr>
                                      <w:divsChild>
                                        <w:div w:id="66251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6835952">
      <w:bodyDiv w:val="1"/>
      <w:marLeft w:val="0"/>
      <w:marRight w:val="0"/>
      <w:marTop w:val="0"/>
      <w:marBottom w:val="0"/>
      <w:divBdr>
        <w:top w:val="none" w:sz="0" w:space="0" w:color="auto"/>
        <w:left w:val="none" w:sz="0" w:space="0" w:color="auto"/>
        <w:bottom w:val="none" w:sz="0" w:space="0" w:color="auto"/>
        <w:right w:val="none" w:sz="0" w:space="0" w:color="auto"/>
      </w:divBdr>
      <w:divsChild>
        <w:div w:id="23092273">
          <w:marLeft w:val="0"/>
          <w:marRight w:val="0"/>
          <w:marTop w:val="0"/>
          <w:marBottom w:val="0"/>
          <w:divBdr>
            <w:top w:val="none" w:sz="0" w:space="0" w:color="auto"/>
            <w:left w:val="none" w:sz="0" w:space="0" w:color="auto"/>
            <w:bottom w:val="none" w:sz="0" w:space="0" w:color="auto"/>
            <w:right w:val="none" w:sz="0" w:space="0" w:color="auto"/>
          </w:divBdr>
          <w:divsChild>
            <w:div w:id="1625110905">
              <w:marLeft w:val="0"/>
              <w:marRight w:val="0"/>
              <w:marTop w:val="150"/>
              <w:marBottom w:val="0"/>
              <w:divBdr>
                <w:top w:val="none" w:sz="0" w:space="0" w:color="auto"/>
                <w:left w:val="none" w:sz="0" w:space="0" w:color="auto"/>
                <w:bottom w:val="none" w:sz="0" w:space="0" w:color="auto"/>
                <w:right w:val="none" w:sz="0" w:space="0" w:color="auto"/>
              </w:divBdr>
              <w:divsChild>
                <w:div w:id="2027366739">
                  <w:marLeft w:val="0"/>
                  <w:marRight w:val="0"/>
                  <w:marTop w:val="0"/>
                  <w:marBottom w:val="0"/>
                  <w:divBdr>
                    <w:top w:val="none" w:sz="0" w:space="0" w:color="auto"/>
                    <w:left w:val="none" w:sz="0" w:space="0" w:color="auto"/>
                    <w:bottom w:val="none" w:sz="0" w:space="0" w:color="auto"/>
                    <w:right w:val="none" w:sz="0" w:space="0" w:color="auto"/>
                  </w:divBdr>
                  <w:divsChild>
                    <w:div w:id="1154882218">
                      <w:marLeft w:val="0"/>
                      <w:marRight w:val="0"/>
                      <w:marTop w:val="0"/>
                      <w:marBottom w:val="0"/>
                      <w:divBdr>
                        <w:top w:val="none" w:sz="0" w:space="0" w:color="auto"/>
                        <w:left w:val="none" w:sz="0" w:space="0" w:color="auto"/>
                        <w:bottom w:val="none" w:sz="0" w:space="0" w:color="auto"/>
                        <w:right w:val="none" w:sz="0" w:space="0" w:color="auto"/>
                      </w:divBdr>
                      <w:divsChild>
                        <w:div w:id="98332972">
                          <w:marLeft w:val="0"/>
                          <w:marRight w:val="0"/>
                          <w:marTop w:val="0"/>
                          <w:marBottom w:val="0"/>
                          <w:divBdr>
                            <w:top w:val="none" w:sz="0" w:space="0" w:color="auto"/>
                            <w:left w:val="none" w:sz="0" w:space="0" w:color="auto"/>
                            <w:bottom w:val="none" w:sz="0" w:space="0" w:color="auto"/>
                            <w:right w:val="none" w:sz="0" w:space="0" w:color="auto"/>
                          </w:divBdr>
                          <w:divsChild>
                            <w:div w:id="544297653">
                              <w:marLeft w:val="0"/>
                              <w:marRight w:val="0"/>
                              <w:marTop w:val="0"/>
                              <w:marBottom w:val="0"/>
                              <w:divBdr>
                                <w:top w:val="none" w:sz="0" w:space="0" w:color="auto"/>
                                <w:left w:val="none" w:sz="0" w:space="0" w:color="auto"/>
                                <w:bottom w:val="none" w:sz="0" w:space="0" w:color="auto"/>
                                <w:right w:val="none" w:sz="0" w:space="0" w:color="auto"/>
                              </w:divBdr>
                              <w:divsChild>
                                <w:div w:id="420956493">
                                  <w:marLeft w:val="0"/>
                                  <w:marRight w:val="0"/>
                                  <w:marTop w:val="0"/>
                                  <w:marBottom w:val="0"/>
                                  <w:divBdr>
                                    <w:top w:val="none" w:sz="0" w:space="0" w:color="auto"/>
                                    <w:left w:val="none" w:sz="0" w:space="0" w:color="auto"/>
                                    <w:bottom w:val="none" w:sz="0" w:space="0" w:color="auto"/>
                                    <w:right w:val="none" w:sz="0" w:space="0" w:color="auto"/>
                                  </w:divBdr>
                                  <w:divsChild>
                                    <w:div w:id="2001764125">
                                      <w:marLeft w:val="0"/>
                                      <w:marRight w:val="0"/>
                                      <w:marTop w:val="0"/>
                                      <w:marBottom w:val="0"/>
                                      <w:divBdr>
                                        <w:top w:val="none" w:sz="0" w:space="0" w:color="auto"/>
                                        <w:left w:val="none" w:sz="0" w:space="0" w:color="auto"/>
                                        <w:bottom w:val="none" w:sz="0" w:space="0" w:color="auto"/>
                                        <w:right w:val="none" w:sz="0" w:space="0" w:color="auto"/>
                                      </w:divBdr>
                                      <w:divsChild>
                                        <w:div w:id="136624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652EA-0708-4FF9-B1F0-E33DBB4E1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1727</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Samuel</cp:lastModifiedBy>
  <cp:revision>2</cp:revision>
  <dcterms:created xsi:type="dcterms:W3CDTF">2018-01-10T23:05:00Z</dcterms:created>
  <dcterms:modified xsi:type="dcterms:W3CDTF">2018-01-10T23:05:00Z</dcterms:modified>
</cp:coreProperties>
</file>