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b/>
          <w:bCs/>
        </w:rPr>
        <w:id w:val="317383688"/>
        <w:docPartObj>
          <w:docPartGallery w:val="Cover Pages"/>
          <w:docPartUnique/>
        </w:docPartObj>
      </w:sdtPr>
      <w:sdtEndPr>
        <w:rPr>
          <w:u w:val="single"/>
        </w:rPr>
      </w:sdtEndPr>
      <w:sdtContent>
        <w:p w14:paraId="1A21D1BC" w14:textId="3416766A" w:rsidR="00AD5B1A" w:rsidRPr="00AD4F5F" w:rsidRDefault="00AD5B1A" w:rsidP="00AD5B1A">
          <w:pPr>
            <w:rPr>
              <w:rFonts w:ascii="Times New Roman" w:hAnsi="Times New Roman" w:cs="Times New Roman"/>
              <w:b/>
              <w:bCs/>
            </w:rPr>
          </w:pPr>
          <w:r w:rsidRPr="00AD4F5F">
            <w:rPr>
              <w:rFonts w:ascii="Times New Roman" w:hAnsi="Times New Roman" w:cs="Times New Roman"/>
              <w:b/>
              <w:bCs/>
            </w:rPr>
            <w:t>Student name:</w:t>
          </w:r>
          <w:r w:rsidR="00AD4F5F">
            <w:rPr>
              <w:rFonts w:ascii="Times New Roman" w:hAnsi="Times New Roman" w:cs="Times New Roman"/>
              <w:b/>
              <w:bCs/>
            </w:rPr>
            <w:t xml:space="preserve"> Robertina Elena Iancu </w:t>
          </w:r>
          <w:r w:rsidRPr="00AD4F5F">
            <w:rPr>
              <w:rFonts w:ascii="Times New Roman" w:hAnsi="Times New Roman" w:cs="Times New Roman"/>
              <w:b/>
              <w:bCs/>
            </w:rPr>
            <w:tab/>
            <w:t xml:space="preserve">     </w:t>
          </w:r>
        </w:p>
        <w:p w14:paraId="1E77D564" w14:textId="36262070" w:rsidR="00AD5B1A" w:rsidRPr="00AD4F5F" w:rsidRDefault="00AD5B1A" w:rsidP="00AD5B1A">
          <w:pPr>
            <w:rPr>
              <w:rFonts w:ascii="Times New Roman" w:hAnsi="Times New Roman" w:cs="Times New Roman"/>
              <w:b/>
              <w:bCs/>
            </w:rPr>
          </w:pPr>
          <w:r w:rsidRPr="00AD4F5F">
            <w:rPr>
              <w:rFonts w:ascii="Times New Roman" w:hAnsi="Times New Roman" w:cs="Times New Roman"/>
              <w:b/>
              <w:bCs/>
            </w:rPr>
            <w:t>Programme:</w:t>
          </w:r>
          <w:r w:rsidRPr="00AD4F5F">
            <w:rPr>
              <w:rFonts w:ascii="Times New Roman" w:hAnsi="Times New Roman" w:cs="Times New Roman"/>
              <w:b/>
              <w:bCs/>
            </w:rPr>
            <w:t xml:space="preserve"> </w:t>
          </w:r>
          <w:r w:rsidRPr="00AD4F5F">
            <w:rPr>
              <w:rFonts w:ascii="Times New Roman" w:hAnsi="Times New Roman" w:cs="Times New Roman"/>
              <w:b/>
              <w:bCs/>
            </w:rPr>
            <w:t>CERT HE Social Enterprise Management</w:t>
          </w:r>
        </w:p>
        <w:p w14:paraId="76422ABA" w14:textId="05DC7BDA" w:rsidR="00AD5B1A" w:rsidRPr="00AD4F5F" w:rsidRDefault="00AD5B1A" w:rsidP="00AD5B1A">
          <w:pPr>
            <w:rPr>
              <w:rFonts w:ascii="Times New Roman" w:hAnsi="Times New Roman" w:cs="Times New Roman"/>
              <w:b/>
              <w:bCs/>
            </w:rPr>
          </w:pPr>
          <w:r w:rsidRPr="00AD4F5F">
            <w:rPr>
              <w:rFonts w:ascii="Times New Roman" w:hAnsi="Times New Roman" w:cs="Times New Roman"/>
              <w:b/>
              <w:bCs/>
            </w:rPr>
            <w:t>Module</w:t>
          </w:r>
          <w:r w:rsidRPr="00AD4F5F">
            <w:rPr>
              <w:rFonts w:ascii="Times New Roman" w:hAnsi="Times New Roman" w:cs="Times New Roman"/>
              <w:b/>
              <w:bCs/>
            </w:rPr>
            <w:t xml:space="preserve">: </w:t>
          </w:r>
          <w:r w:rsidRPr="00AD4F5F">
            <w:rPr>
              <w:rFonts w:ascii="Times New Roman" w:hAnsi="Times New Roman" w:cs="Times New Roman"/>
              <w:b/>
              <w:bCs/>
            </w:rPr>
            <w:t>Social Enterprise: Theory and Practise</w:t>
          </w:r>
        </w:p>
        <w:p w14:paraId="6AA95A48" w14:textId="5E027FD3" w:rsidR="00AD5B1A" w:rsidRPr="00AD4F5F" w:rsidRDefault="00AD5B1A" w:rsidP="00AD5B1A">
          <w:pPr>
            <w:rPr>
              <w:rFonts w:ascii="Times New Roman" w:hAnsi="Times New Roman" w:cs="Times New Roman"/>
              <w:b/>
              <w:bCs/>
            </w:rPr>
          </w:pPr>
          <w:r w:rsidRPr="00AD4F5F">
            <w:rPr>
              <w:rFonts w:ascii="Times New Roman" w:hAnsi="Times New Roman" w:cs="Times New Roman"/>
              <w:b/>
              <w:bCs/>
            </w:rPr>
            <w:t>Module code:</w:t>
          </w:r>
          <w:r w:rsidRPr="00AD4F5F">
            <w:rPr>
              <w:rFonts w:ascii="Times New Roman" w:hAnsi="Times New Roman" w:cs="Times New Roman"/>
              <w:b/>
              <w:bCs/>
            </w:rPr>
            <w:t xml:space="preserve"> </w:t>
          </w:r>
          <w:r w:rsidRPr="00AD4F5F">
            <w:rPr>
              <w:rFonts w:ascii="Times New Roman" w:hAnsi="Times New Roman" w:cs="Times New Roman"/>
              <w:b/>
              <w:bCs/>
            </w:rPr>
            <w:t>BMSE4009D</w:t>
          </w:r>
        </w:p>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AD5B1A" w14:paraId="64BD82C4" w14:textId="77777777">
            <w:tc>
              <w:tcPr>
                <w:tcW w:w="7672" w:type="dxa"/>
                <w:tcMar>
                  <w:top w:w="216" w:type="dxa"/>
                  <w:left w:w="115" w:type="dxa"/>
                  <w:bottom w:w="216" w:type="dxa"/>
                  <w:right w:w="115" w:type="dxa"/>
                </w:tcMar>
              </w:tcPr>
              <w:p w14:paraId="7DF96C52" w14:textId="721CC626" w:rsidR="00AD5B1A" w:rsidRDefault="00AD5B1A">
                <w:pPr>
                  <w:pStyle w:val="NoSpacing"/>
                  <w:rPr>
                    <w:color w:val="0F4761" w:themeColor="accent1" w:themeShade="BF"/>
                    <w:sz w:val="24"/>
                  </w:rPr>
                </w:pPr>
              </w:p>
            </w:tc>
          </w:tr>
          <w:tr w:rsidR="00AD5B1A" w14:paraId="433D7E01" w14:textId="77777777">
            <w:tc>
              <w:tcPr>
                <w:tcW w:w="7672" w:type="dxa"/>
              </w:tcPr>
              <w:sdt>
                <w:sdtPr>
                  <w:rPr>
                    <w:rFonts w:ascii="Times New Roman" w:eastAsiaTheme="majorEastAsia" w:hAnsi="Times New Roman" w:cs="Times New Roman"/>
                    <w:b/>
                    <w:bCs/>
                    <w:color w:val="156082" w:themeColor="accent1"/>
                    <w:sz w:val="88"/>
                    <w:szCs w:val="88"/>
                    <w:u w:val="single"/>
                  </w:rPr>
                  <w:alias w:val="Title"/>
                  <w:id w:val="13406919"/>
                  <w:placeholder>
                    <w:docPart w:val="52F21E7B84FE4641BA804AA10490E42E"/>
                  </w:placeholder>
                  <w:dataBinding w:prefixMappings="xmlns:ns0='http://schemas.openxmlformats.org/package/2006/metadata/core-properties' xmlns:ns1='http://purl.org/dc/elements/1.1/'" w:xpath="/ns0:coreProperties[1]/ns1:title[1]" w:storeItemID="{6C3C8BC8-F283-45AE-878A-BAB7291924A1}"/>
                  <w:text/>
                </w:sdtPr>
                <w:sdtContent>
                  <w:p w14:paraId="554E9881" w14:textId="08FDBFB6" w:rsidR="00AD5B1A" w:rsidRPr="00AD5B1A" w:rsidRDefault="00AD5B1A">
                    <w:pPr>
                      <w:pStyle w:val="NoSpacing"/>
                      <w:spacing w:line="216" w:lineRule="auto"/>
                      <w:rPr>
                        <w:rFonts w:ascii="Times New Roman" w:eastAsiaTheme="majorEastAsia" w:hAnsi="Times New Roman" w:cs="Times New Roman"/>
                        <w:b/>
                        <w:bCs/>
                        <w:color w:val="156082" w:themeColor="accent1"/>
                        <w:sz w:val="88"/>
                        <w:szCs w:val="88"/>
                        <w:u w:val="single"/>
                      </w:rPr>
                    </w:pPr>
                    <w:r w:rsidRPr="00AD5B1A">
                      <w:rPr>
                        <w:rFonts w:ascii="Times New Roman" w:eastAsiaTheme="majorEastAsia" w:hAnsi="Times New Roman" w:cs="Times New Roman"/>
                        <w:b/>
                        <w:bCs/>
                        <w:color w:val="156082" w:themeColor="accent1"/>
                        <w:sz w:val="88"/>
                        <w:szCs w:val="88"/>
                        <w:u w:val="single"/>
                      </w:rPr>
                      <w:t>Opportunities and Threats to Social Enterprise</w:t>
                    </w:r>
                  </w:p>
                </w:sdtContent>
              </w:sdt>
            </w:tc>
          </w:tr>
          <w:tr w:rsidR="00AD5B1A" w14:paraId="11B3B834" w14:textId="77777777">
            <w:tc>
              <w:tcPr>
                <w:tcW w:w="7672" w:type="dxa"/>
                <w:tcMar>
                  <w:top w:w="216" w:type="dxa"/>
                  <w:left w:w="115" w:type="dxa"/>
                  <w:bottom w:w="216" w:type="dxa"/>
                  <w:right w:w="115" w:type="dxa"/>
                </w:tcMar>
              </w:tcPr>
              <w:p w14:paraId="2917D0D8" w14:textId="1768D3E7" w:rsidR="00AD5B1A" w:rsidRPr="00AD5B1A" w:rsidRDefault="00AD5B1A">
                <w:pPr>
                  <w:pStyle w:val="NoSpacing"/>
                  <w:rPr>
                    <w:rFonts w:ascii="Times New Roman" w:hAnsi="Times New Roman" w:cs="Times New Roman"/>
                    <w:b/>
                    <w:bCs/>
                    <w:color w:val="0F4761" w:themeColor="accent1" w:themeShade="BF"/>
                    <w:sz w:val="24"/>
                    <w:u w:val="single"/>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AD5B1A" w14:paraId="71FDBFDB" w14:textId="77777777">
            <w:tc>
              <w:tcPr>
                <w:tcW w:w="7221" w:type="dxa"/>
                <w:tcMar>
                  <w:top w:w="216" w:type="dxa"/>
                  <w:left w:w="115" w:type="dxa"/>
                  <w:bottom w:w="216" w:type="dxa"/>
                  <w:right w:w="115" w:type="dxa"/>
                </w:tcMar>
              </w:tcPr>
              <w:p w14:paraId="57AD3768" w14:textId="0E4EBDA3" w:rsidR="00AD5B1A" w:rsidRDefault="00AD5B1A">
                <w:pPr>
                  <w:pStyle w:val="NoSpacing"/>
                  <w:rPr>
                    <w:color w:val="156082" w:themeColor="accent1"/>
                    <w:sz w:val="28"/>
                    <w:szCs w:val="28"/>
                  </w:rPr>
                </w:pPr>
              </w:p>
              <w:p w14:paraId="2B33818D" w14:textId="77777777" w:rsidR="00AD5B1A" w:rsidRDefault="00AD5B1A">
                <w:pPr>
                  <w:pStyle w:val="NoSpacing"/>
                  <w:rPr>
                    <w:color w:val="156082" w:themeColor="accent1"/>
                  </w:rPr>
                </w:pPr>
              </w:p>
            </w:tc>
          </w:tr>
        </w:tbl>
        <w:p w14:paraId="39A78515" w14:textId="45F2F0C2" w:rsidR="00AD5B1A" w:rsidRDefault="00AD5B1A">
          <w:pPr>
            <w:rPr>
              <w:rFonts w:ascii="Times New Roman" w:hAnsi="Times New Roman" w:cs="Times New Roman"/>
              <w:b/>
              <w:bCs/>
              <w:u w:val="single"/>
            </w:rPr>
          </w:pPr>
          <w:r>
            <w:rPr>
              <w:rFonts w:ascii="Times New Roman" w:hAnsi="Times New Roman" w:cs="Times New Roman"/>
              <w:b/>
              <w:bCs/>
              <w:u w:val="single"/>
            </w:rPr>
            <w:br w:type="page"/>
          </w:r>
        </w:p>
      </w:sdtContent>
    </w:sdt>
    <w:p w14:paraId="2E5E777E" w14:textId="62AA4860" w:rsidR="00AD5B1A" w:rsidRPr="00AD5B1A" w:rsidRDefault="00AD5B1A" w:rsidP="00AD5B1A">
      <w:pPr>
        <w:spacing w:line="480" w:lineRule="auto"/>
        <w:jc w:val="both"/>
        <w:rPr>
          <w:rFonts w:ascii="Times New Roman" w:hAnsi="Times New Roman" w:cs="Times New Roman"/>
          <w:b/>
          <w:bCs/>
          <w:u w:val="single"/>
        </w:rPr>
      </w:pPr>
      <w:r w:rsidRPr="00AD5B1A">
        <w:rPr>
          <w:rFonts w:ascii="Times New Roman" w:hAnsi="Times New Roman" w:cs="Times New Roman"/>
          <w:b/>
          <w:bCs/>
          <w:u w:val="single"/>
        </w:rPr>
        <w:lastRenderedPageBreak/>
        <w:t>Introduction</w:t>
      </w:r>
    </w:p>
    <w:p w14:paraId="3F0F02EF" w14:textId="77777777"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Social enterprises are situated at a distinctive intersection between traditional for-profit businesses and non-profit impact-focused work, where they are confronted with both formidable challenges and thrilling opportunities. Through a combination of innovation, inclusivity, and social change, they redefine value creation by pursing both financial sustainability and social impact. A SWOT analysis provides a comprehensive understanding of the intricate ecosystem of social enterprises by analysing their strengths, weaknesses, opportunities, and threats. This analysis incorporates theories such as the Triple Bottom Line, Blended Value, and Stakeholder Theory, which elucidate the factors that propel these organisations towards sustainable impact.</w:t>
      </w:r>
    </w:p>
    <w:p w14:paraId="49446B96" w14:textId="77777777" w:rsidR="00AD5B1A" w:rsidRDefault="00AD5B1A" w:rsidP="00AD5B1A">
      <w:pPr>
        <w:spacing w:line="480" w:lineRule="auto"/>
        <w:jc w:val="both"/>
        <w:rPr>
          <w:rFonts w:ascii="Times New Roman" w:hAnsi="Times New Roman" w:cs="Times New Roman"/>
        </w:rPr>
      </w:pPr>
    </w:p>
    <w:p w14:paraId="149C8FDD" w14:textId="77777777" w:rsidR="00AD5B1A" w:rsidRDefault="00AD5B1A" w:rsidP="00AD5B1A">
      <w:pPr>
        <w:spacing w:line="480" w:lineRule="auto"/>
        <w:jc w:val="both"/>
        <w:rPr>
          <w:rFonts w:ascii="Times New Roman" w:hAnsi="Times New Roman" w:cs="Times New Roman"/>
        </w:rPr>
      </w:pPr>
    </w:p>
    <w:p w14:paraId="3ED56D2F" w14:textId="77777777" w:rsidR="00AD5B1A" w:rsidRDefault="00AD5B1A" w:rsidP="00AD5B1A">
      <w:pPr>
        <w:spacing w:line="480" w:lineRule="auto"/>
        <w:jc w:val="both"/>
        <w:rPr>
          <w:rFonts w:ascii="Times New Roman" w:hAnsi="Times New Roman" w:cs="Times New Roman"/>
        </w:rPr>
      </w:pPr>
    </w:p>
    <w:p w14:paraId="1CF76695" w14:textId="77777777" w:rsidR="00AD5B1A" w:rsidRDefault="00AD5B1A" w:rsidP="00AD5B1A">
      <w:pPr>
        <w:spacing w:line="480" w:lineRule="auto"/>
        <w:jc w:val="both"/>
        <w:rPr>
          <w:rFonts w:ascii="Times New Roman" w:hAnsi="Times New Roman" w:cs="Times New Roman"/>
        </w:rPr>
      </w:pPr>
    </w:p>
    <w:p w14:paraId="2A5D56FF" w14:textId="77777777" w:rsidR="00AD5B1A" w:rsidRDefault="00AD5B1A" w:rsidP="00AD5B1A">
      <w:pPr>
        <w:spacing w:line="480" w:lineRule="auto"/>
        <w:jc w:val="both"/>
        <w:rPr>
          <w:rFonts w:ascii="Times New Roman" w:hAnsi="Times New Roman" w:cs="Times New Roman"/>
        </w:rPr>
      </w:pPr>
    </w:p>
    <w:p w14:paraId="65400219" w14:textId="77777777" w:rsidR="00AD5B1A" w:rsidRDefault="00AD5B1A" w:rsidP="00AD5B1A">
      <w:pPr>
        <w:spacing w:line="480" w:lineRule="auto"/>
        <w:jc w:val="both"/>
        <w:rPr>
          <w:rFonts w:ascii="Times New Roman" w:hAnsi="Times New Roman" w:cs="Times New Roman"/>
        </w:rPr>
      </w:pPr>
    </w:p>
    <w:p w14:paraId="25AB3799" w14:textId="77777777" w:rsidR="00AD5B1A" w:rsidRDefault="00AD5B1A" w:rsidP="00AD5B1A">
      <w:pPr>
        <w:spacing w:line="480" w:lineRule="auto"/>
        <w:jc w:val="both"/>
        <w:rPr>
          <w:rFonts w:ascii="Times New Roman" w:hAnsi="Times New Roman" w:cs="Times New Roman"/>
        </w:rPr>
      </w:pPr>
    </w:p>
    <w:p w14:paraId="47B89D0C" w14:textId="77777777" w:rsidR="00AD5B1A" w:rsidRDefault="00AD5B1A" w:rsidP="00AD5B1A">
      <w:pPr>
        <w:spacing w:line="480" w:lineRule="auto"/>
        <w:jc w:val="both"/>
        <w:rPr>
          <w:rFonts w:ascii="Times New Roman" w:hAnsi="Times New Roman" w:cs="Times New Roman"/>
        </w:rPr>
      </w:pPr>
    </w:p>
    <w:p w14:paraId="5CE6B22E" w14:textId="77777777" w:rsidR="00AD5B1A" w:rsidRDefault="00AD5B1A" w:rsidP="00AD5B1A">
      <w:pPr>
        <w:spacing w:line="480" w:lineRule="auto"/>
        <w:jc w:val="both"/>
        <w:rPr>
          <w:rFonts w:ascii="Times New Roman" w:hAnsi="Times New Roman" w:cs="Times New Roman"/>
        </w:rPr>
      </w:pPr>
    </w:p>
    <w:p w14:paraId="6F4A43B0" w14:textId="77777777" w:rsidR="00AD5B1A" w:rsidRDefault="00AD5B1A" w:rsidP="00AD5B1A">
      <w:pPr>
        <w:spacing w:line="480" w:lineRule="auto"/>
        <w:jc w:val="both"/>
        <w:rPr>
          <w:rFonts w:ascii="Times New Roman" w:hAnsi="Times New Roman" w:cs="Times New Roman"/>
        </w:rPr>
      </w:pPr>
    </w:p>
    <w:p w14:paraId="7E5520A3" w14:textId="77777777" w:rsidR="00AD5B1A" w:rsidRDefault="00AD5B1A" w:rsidP="00AD5B1A">
      <w:pPr>
        <w:spacing w:line="480" w:lineRule="auto"/>
        <w:jc w:val="both"/>
        <w:rPr>
          <w:rFonts w:ascii="Times New Roman" w:hAnsi="Times New Roman" w:cs="Times New Roman"/>
        </w:rPr>
      </w:pPr>
    </w:p>
    <w:p w14:paraId="01FD0ABF" w14:textId="77777777" w:rsidR="00AD5B1A" w:rsidRDefault="00AD5B1A" w:rsidP="00AD5B1A">
      <w:pPr>
        <w:spacing w:line="480" w:lineRule="auto"/>
        <w:jc w:val="both"/>
        <w:rPr>
          <w:rFonts w:ascii="Times New Roman" w:hAnsi="Times New Roman" w:cs="Times New Roman"/>
        </w:rPr>
      </w:pPr>
    </w:p>
    <w:p w14:paraId="3C55757F" w14:textId="0357D49A" w:rsidR="00AD5B1A" w:rsidRPr="00AD5B1A" w:rsidRDefault="00AD5B1A" w:rsidP="00AD5B1A">
      <w:pPr>
        <w:spacing w:line="480" w:lineRule="auto"/>
        <w:jc w:val="both"/>
        <w:rPr>
          <w:rFonts w:ascii="Times New Roman" w:hAnsi="Times New Roman" w:cs="Times New Roman"/>
          <w:b/>
          <w:bCs/>
          <w:u w:val="single"/>
        </w:rPr>
      </w:pPr>
      <w:r w:rsidRPr="00AD5B1A">
        <w:rPr>
          <w:rFonts w:ascii="Times New Roman" w:hAnsi="Times New Roman" w:cs="Times New Roman"/>
          <w:b/>
          <w:bCs/>
          <w:u w:val="single"/>
        </w:rPr>
        <w:lastRenderedPageBreak/>
        <w:t xml:space="preserve">Strengths </w:t>
      </w:r>
    </w:p>
    <w:p w14:paraId="4977BC65" w14:textId="77777777"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Social enterprises are distinguished by their capacity to merge profitability with purpose, which creates value that resonates with the socially conscious consumers and investors of the present day. The Triple Bottom Line theory, also known as "People, Planet, Profit," by John Elkington, underscores the importance of considering social and environmental consequences in addition to financial benefits when developing a successful business model. This principle has motivated organisations such as Patagonia to develop products that are environmentally conscious, thereby achieving profitability while simultaneously upholding their dedication to social and environmental principles.</w:t>
      </w:r>
    </w:p>
    <w:p w14:paraId="04037F6C" w14:textId="77777777"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This method is further enhanced by Jed Emerson's Blended Value Theory, which posits that social enterprises should not separate financial returns from social impact, but rather integrate the two to generate comprehensive value. An organisation such as TOMS Shoes demonstrates blended value by associating each transaction with a social mission: the provision of shoes to underprivileged communities. This method has expanded TOMS's appeal, enabling it to recruit customers who are interested in supporting social causes through their purchases. Additionally, it has reinforced the idea that profitability and impact can coexist.</w:t>
      </w:r>
    </w:p>
    <w:p w14:paraId="5E8537F3" w14:textId="77777777"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 xml:space="preserve">Additionally, the inclusive, value-driven approach is further bolstered by the Stakeholder Theory, which was devised by R. Edward Freeman. Social enterprises can establish robust, devoted networks that bolster their mission and business model by recognising a diverse range of stakeholders, such as employees, communities, and the environment. For instance, Ben &amp; Jerry's is recognised for its ethical business practices and social mission, which involve customers, suppliers, and local communities as core stakeholders, in addition to its high-quality products. This engagement is a significant asset that sets social enterprises apart from solely </w:t>
      </w:r>
      <w:r w:rsidRPr="00AD5B1A">
        <w:rPr>
          <w:rFonts w:ascii="Times New Roman" w:hAnsi="Times New Roman" w:cs="Times New Roman"/>
        </w:rPr>
        <w:lastRenderedPageBreak/>
        <w:t>profit-oriented businesses, as it reinforces the organization's purpose-driven brand and fosters long-term loyalty.</w:t>
      </w:r>
    </w:p>
    <w:p w14:paraId="07CCB6DE" w14:textId="744D194C" w:rsidR="00AD5B1A" w:rsidRPr="00AD5B1A" w:rsidRDefault="00AD5B1A" w:rsidP="00AD5B1A">
      <w:pPr>
        <w:spacing w:line="480" w:lineRule="auto"/>
        <w:jc w:val="both"/>
        <w:rPr>
          <w:rFonts w:ascii="Times New Roman" w:hAnsi="Times New Roman" w:cs="Times New Roman"/>
          <w:b/>
          <w:bCs/>
          <w:u w:val="single"/>
        </w:rPr>
      </w:pPr>
      <w:r w:rsidRPr="00AD5B1A">
        <w:rPr>
          <w:rFonts w:ascii="Times New Roman" w:hAnsi="Times New Roman" w:cs="Times New Roman"/>
          <w:b/>
          <w:bCs/>
          <w:u w:val="single"/>
        </w:rPr>
        <w:t>Weaknesses</w:t>
      </w:r>
    </w:p>
    <w:p w14:paraId="1F0375C1" w14:textId="77777777"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 xml:space="preserve">Social enterprises are confronted with inherent vulnerabilities in the process of reconciling mission-driven objectives with the requirements of a competitive marketplace, despite the advantages of integrating social objectives with profitability. The risk that organisations may compromise their social mission in pursuit of financial viability is highlighted by Mission Drift Theory, as defined by Kim Alter. This is particularly difficult in industries that are subject to high financial pressure, as market forces may result in an overemphasis on revenue at the expense of the intended social impact. For example, microfinance organisations that were initially established to assist low-income individuals have occasionally encountered mission drift </w:t>
      </w:r>
      <w:r w:rsidRPr="00AD5B1A">
        <w:rPr>
          <w:rFonts w:ascii="Times New Roman" w:hAnsi="Times New Roman" w:cs="Times New Roman"/>
        </w:rPr>
        <w:t>because of</w:t>
      </w:r>
      <w:r w:rsidRPr="00AD5B1A">
        <w:rPr>
          <w:rFonts w:ascii="Times New Roman" w:hAnsi="Times New Roman" w:cs="Times New Roman"/>
        </w:rPr>
        <w:t xml:space="preserve"> their emphasis on profitability. This has resulted in criticisms of exploitative lending practices that are in direct opposition to their original social mission.</w:t>
      </w:r>
    </w:p>
    <w:p w14:paraId="472E9221" w14:textId="77777777"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 xml:space="preserve">Julie Battilana and Matthew Lee's research on Hybrid Organisation Theory investigates the </w:t>
      </w:r>
      <w:proofErr w:type="gramStart"/>
      <w:r w:rsidRPr="00AD5B1A">
        <w:rPr>
          <w:rFonts w:ascii="Times New Roman" w:hAnsi="Times New Roman" w:cs="Times New Roman"/>
        </w:rPr>
        <w:t>manner in which</w:t>
      </w:r>
      <w:proofErr w:type="gramEnd"/>
      <w:r w:rsidRPr="00AD5B1A">
        <w:rPr>
          <w:rFonts w:ascii="Times New Roman" w:hAnsi="Times New Roman" w:cs="Times New Roman"/>
        </w:rPr>
        <w:t xml:space="preserve"> social enterprises encounter perpetual conflict between their social and commercial objectives, frequently resulting in intricate organisational structures and decision-making obstacles. Particularly as these enterprises expand and encounter a broader spectrum of market dynamics, the management of this hybrid nature necessitates a delicate equilibrium. Social enterprises may be compromised if they are not meticulously managed due to the difficulties associated with achieving this equilibrium. An example of this is The Body Shop, which initially garnered popularity due to its ethical business practices. Nevertheless, the company was subjected to scrutiny regarding its ability to uphold its social obligations within a broader corporate structure following its acquisition by L'Oréal. The acquisition underscored </w:t>
      </w:r>
      <w:r w:rsidRPr="00AD5B1A">
        <w:rPr>
          <w:rFonts w:ascii="Times New Roman" w:hAnsi="Times New Roman" w:cs="Times New Roman"/>
        </w:rPr>
        <w:lastRenderedPageBreak/>
        <w:t xml:space="preserve">the challenge that social enterprises encounter in adhering to their missions within profit-driven systems, </w:t>
      </w:r>
      <w:r w:rsidRPr="00AD5B1A">
        <w:rPr>
          <w:rFonts w:ascii="Times New Roman" w:hAnsi="Times New Roman" w:cs="Times New Roman"/>
        </w:rPr>
        <w:t>even though</w:t>
      </w:r>
      <w:r w:rsidRPr="00AD5B1A">
        <w:rPr>
          <w:rFonts w:ascii="Times New Roman" w:hAnsi="Times New Roman" w:cs="Times New Roman"/>
        </w:rPr>
        <w:t xml:space="preserve"> The Body Shop has since reaffirmed its commitment to ethical practices.</w:t>
      </w:r>
    </w:p>
    <w:p w14:paraId="700CCB9E" w14:textId="0ECD07FF" w:rsidR="00AD5B1A" w:rsidRPr="00AD5B1A" w:rsidRDefault="00AD5B1A" w:rsidP="00AD5B1A">
      <w:pPr>
        <w:spacing w:line="480" w:lineRule="auto"/>
        <w:jc w:val="both"/>
        <w:rPr>
          <w:rFonts w:ascii="Times New Roman" w:hAnsi="Times New Roman" w:cs="Times New Roman"/>
          <w:b/>
          <w:bCs/>
          <w:u w:val="single"/>
        </w:rPr>
      </w:pPr>
      <w:r w:rsidRPr="00AD5B1A">
        <w:rPr>
          <w:rFonts w:ascii="Times New Roman" w:hAnsi="Times New Roman" w:cs="Times New Roman"/>
          <w:b/>
          <w:bCs/>
          <w:u w:val="single"/>
        </w:rPr>
        <w:t xml:space="preserve">Opportunities </w:t>
      </w:r>
    </w:p>
    <w:p w14:paraId="150D3FCE" w14:textId="77777777"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The landscape in which social enterprises operate is replete with opportunities for growth, impact, and innovation, particularly as societal interest in responsible business practices continues to increase. Scaling Social Impact Theory, which was developed by Paul Bloom and J. Gregory Dees, emphasises that social enterprises can expand their scope and increase their impact by identifying critical drivers such as alliances, marketing, and effective management. Grameen Bank, a microfinance organisation that offers services to low-income individuals, exemplifies this approach by expanding their services across multiple countries, thereby effectively addressing poverty on a large scale.</w:t>
      </w:r>
    </w:p>
    <w:p w14:paraId="74E11E03" w14:textId="77777777"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 xml:space="preserve">Additionally, the expansion of Impact Investing, which is promoted by organisations such as the Rockefeller Foundation and the Global Impact Investing Network (GIIN), offers new financial opportunities for social enterprises. This investment strategy prioritises both financial returns and measurable social impact, providing social enterprises with the capital necessary to expand their operations while maintaining their </w:t>
      </w:r>
      <w:r w:rsidRPr="00AD5B1A">
        <w:rPr>
          <w:rFonts w:ascii="Times New Roman" w:hAnsi="Times New Roman" w:cs="Times New Roman"/>
        </w:rPr>
        <w:t>mission aligned</w:t>
      </w:r>
      <w:r w:rsidRPr="00AD5B1A">
        <w:rPr>
          <w:rFonts w:ascii="Times New Roman" w:hAnsi="Times New Roman" w:cs="Times New Roman"/>
        </w:rPr>
        <w:t>. Warby Parker, an eyewear company that donates a pair of spectacles for every pair sold, utilised impact investments to expand its business and improve the accessibility of vision care worldwide. Thus, impact investing facilitates the achievement of financial and social objectives by social enterprises, thereby fostering a synergistic opportunity that promotes development without compromising the organization's mission.</w:t>
      </w:r>
    </w:p>
    <w:p w14:paraId="24AE875C" w14:textId="77777777"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 xml:space="preserve">Another dimension to this opportunity is the increasing emphasis on Social Return on Investment (SROI), which was initiated by the Roberts Enterprise Development Fund (REDF). This focus allows social enterprises to quantify and communicate the tangible results of their </w:t>
      </w:r>
      <w:r w:rsidRPr="00AD5B1A">
        <w:rPr>
          <w:rFonts w:ascii="Times New Roman" w:hAnsi="Times New Roman" w:cs="Times New Roman"/>
        </w:rPr>
        <w:lastRenderedPageBreak/>
        <w:t>endeavours. Social enterprises can further empower themselves to scale by attracting investors and stakeholders who prioritise transparency and quantifiable impact through the development of SROI metrics. Solar Sister, a renewable energy social enterprise that provides solar power to marginalised African communities, employs SROI to showcase its environmental and social benefits, thereby attracting stakeholders who are in alignment with its mission.</w:t>
      </w:r>
    </w:p>
    <w:p w14:paraId="52DB3798" w14:textId="77777777" w:rsidR="00AD5B1A" w:rsidRPr="00AD5B1A" w:rsidRDefault="00AD5B1A" w:rsidP="00AD5B1A">
      <w:pPr>
        <w:spacing w:line="480" w:lineRule="auto"/>
        <w:jc w:val="both"/>
        <w:rPr>
          <w:rFonts w:ascii="Times New Roman" w:hAnsi="Times New Roman" w:cs="Times New Roman"/>
          <w:b/>
          <w:bCs/>
          <w:u w:val="single"/>
        </w:rPr>
      </w:pPr>
      <w:r w:rsidRPr="00AD5B1A">
        <w:rPr>
          <w:rFonts w:ascii="Times New Roman" w:hAnsi="Times New Roman" w:cs="Times New Roman"/>
          <w:b/>
          <w:bCs/>
          <w:u w:val="single"/>
        </w:rPr>
        <w:t>Threats</w:t>
      </w:r>
    </w:p>
    <w:p w14:paraId="4606EE16" w14:textId="77777777"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Social enterprises are confronted with substantial external threats that can impede their sustainability and expansion, despite these opportunities. One such hazard is their dependence on external resources, as elucidated by Gerald R. Salancik and Jeffrey Pfeffer in Resource Dependency Theory. Social enterprises frequently depend on funding from a variety of sources, such as government grants, philanthropic donations, and social impact investments, which may be susceptible to fluctuations. Social enterprises are susceptible to fluctuations in funding priorities due to their dependence on external resources. For example, organisations such as Solar Aid, which concentrates on solar energy access, encounter difficulties in scaling their operations and maintaining their projects when government funding for renewable energy projects decreases.</w:t>
      </w:r>
    </w:p>
    <w:p w14:paraId="2EB7B173" w14:textId="77777777"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 xml:space="preserve">Paul DiMaggio and Walter Powell's discussion of Institutional Theory and Legitimacy further emphasises the significance of legitimacy in the acquisition and maintenance of stakeholder trust by social enterprises. In an environment where societal expectations are influenced by both traditional business and nonprofit structures, social enterprises operate. Consequently, </w:t>
      </w:r>
      <w:r w:rsidRPr="00AD5B1A">
        <w:rPr>
          <w:rFonts w:ascii="Times New Roman" w:hAnsi="Times New Roman" w:cs="Times New Roman"/>
        </w:rPr>
        <w:t>to</w:t>
      </w:r>
      <w:r w:rsidRPr="00AD5B1A">
        <w:rPr>
          <w:rFonts w:ascii="Times New Roman" w:hAnsi="Times New Roman" w:cs="Times New Roman"/>
        </w:rPr>
        <w:t xml:space="preserve"> establish credibility, they must negotiate intricate societal norms and regulatory expectations. A social enterprise at risk of losing stakeholder confidence and a diminished reputation may be impeded in its growth if it fails to clearly articulate its mission or demonstrate its impact. </w:t>
      </w:r>
      <w:proofErr w:type="spellStart"/>
      <w:r w:rsidRPr="00AD5B1A">
        <w:rPr>
          <w:rFonts w:ascii="Times New Roman" w:hAnsi="Times New Roman" w:cs="Times New Roman"/>
        </w:rPr>
        <w:t>Fairphone</w:t>
      </w:r>
      <w:proofErr w:type="spellEnd"/>
      <w:r w:rsidRPr="00AD5B1A">
        <w:rPr>
          <w:rFonts w:ascii="Times New Roman" w:hAnsi="Times New Roman" w:cs="Times New Roman"/>
        </w:rPr>
        <w:t xml:space="preserve">, a sustainable smartphone manufacturer, is one of the social enterprises that are </w:t>
      </w:r>
      <w:r w:rsidRPr="00AD5B1A">
        <w:rPr>
          <w:rFonts w:ascii="Times New Roman" w:hAnsi="Times New Roman" w:cs="Times New Roman"/>
        </w:rPr>
        <w:lastRenderedPageBreak/>
        <w:t xml:space="preserve">currently grappling with the ongoing challenge of demonstrating their legitimacy in an industry where the movement towards sustainable practices is relatively new. Although this is a resource-intensive and ongoing process, </w:t>
      </w:r>
      <w:proofErr w:type="spellStart"/>
      <w:r w:rsidRPr="00AD5B1A">
        <w:rPr>
          <w:rFonts w:ascii="Times New Roman" w:hAnsi="Times New Roman" w:cs="Times New Roman"/>
        </w:rPr>
        <w:t>Fairphone's</w:t>
      </w:r>
      <w:proofErr w:type="spellEnd"/>
      <w:r w:rsidRPr="00AD5B1A">
        <w:rPr>
          <w:rFonts w:ascii="Times New Roman" w:hAnsi="Times New Roman" w:cs="Times New Roman"/>
        </w:rPr>
        <w:t xml:space="preserve"> transparency regarding its supply chain and environmental practices serves to mitigate scepticism and develop credibility.</w:t>
      </w:r>
    </w:p>
    <w:p w14:paraId="792B0D41" w14:textId="77777777"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Furthermore, Carol Weiss's Theory of Change emphasises the significance of social enterprises in articulating and monitoring their pathways to an impact. Stakeholders are increasingly demanding evidence of accountability and impact, which is why social enterprises that lack a distinct Theory of Change are subject to increased scrutiny. The absence of clarity or progress in a Theory of Change may result in the loss of support from funders or partners who prioritise measurable social outcomes.</w:t>
      </w:r>
    </w:p>
    <w:p w14:paraId="6FA11028" w14:textId="77777777" w:rsidR="00AD5B1A" w:rsidRDefault="00AD5B1A" w:rsidP="00AD5B1A">
      <w:pPr>
        <w:spacing w:line="480" w:lineRule="auto"/>
        <w:jc w:val="both"/>
        <w:rPr>
          <w:rFonts w:ascii="Times New Roman" w:hAnsi="Times New Roman" w:cs="Times New Roman"/>
        </w:rPr>
      </w:pPr>
    </w:p>
    <w:p w14:paraId="3C712903" w14:textId="77777777" w:rsidR="00AD5B1A" w:rsidRDefault="00AD5B1A" w:rsidP="00AD5B1A">
      <w:pPr>
        <w:spacing w:line="480" w:lineRule="auto"/>
        <w:jc w:val="both"/>
        <w:rPr>
          <w:rFonts w:ascii="Times New Roman" w:hAnsi="Times New Roman" w:cs="Times New Roman"/>
        </w:rPr>
      </w:pPr>
    </w:p>
    <w:p w14:paraId="0111D620" w14:textId="77777777" w:rsidR="00AD5B1A" w:rsidRDefault="00AD5B1A" w:rsidP="00AD5B1A">
      <w:pPr>
        <w:spacing w:line="480" w:lineRule="auto"/>
        <w:jc w:val="both"/>
        <w:rPr>
          <w:rFonts w:ascii="Times New Roman" w:hAnsi="Times New Roman" w:cs="Times New Roman"/>
        </w:rPr>
      </w:pPr>
    </w:p>
    <w:p w14:paraId="3667330F" w14:textId="77777777" w:rsidR="00AD5B1A" w:rsidRDefault="00AD5B1A" w:rsidP="00AD5B1A">
      <w:pPr>
        <w:spacing w:line="480" w:lineRule="auto"/>
        <w:jc w:val="both"/>
        <w:rPr>
          <w:rFonts w:ascii="Times New Roman" w:hAnsi="Times New Roman" w:cs="Times New Roman"/>
        </w:rPr>
      </w:pPr>
    </w:p>
    <w:p w14:paraId="1EBD9DB3" w14:textId="77777777" w:rsidR="00AD5B1A" w:rsidRDefault="00AD5B1A" w:rsidP="00AD5B1A">
      <w:pPr>
        <w:spacing w:line="480" w:lineRule="auto"/>
        <w:jc w:val="both"/>
        <w:rPr>
          <w:rFonts w:ascii="Times New Roman" w:hAnsi="Times New Roman" w:cs="Times New Roman"/>
        </w:rPr>
      </w:pPr>
    </w:p>
    <w:p w14:paraId="1DA6E5CF" w14:textId="77777777" w:rsidR="00AD5B1A" w:rsidRDefault="00AD5B1A" w:rsidP="00AD5B1A">
      <w:pPr>
        <w:spacing w:line="480" w:lineRule="auto"/>
        <w:jc w:val="both"/>
        <w:rPr>
          <w:rFonts w:ascii="Times New Roman" w:hAnsi="Times New Roman" w:cs="Times New Roman"/>
        </w:rPr>
      </w:pPr>
    </w:p>
    <w:p w14:paraId="5195E1F8" w14:textId="77777777" w:rsidR="00AD5B1A" w:rsidRDefault="00AD5B1A" w:rsidP="00AD5B1A">
      <w:pPr>
        <w:spacing w:line="480" w:lineRule="auto"/>
        <w:jc w:val="both"/>
        <w:rPr>
          <w:rFonts w:ascii="Times New Roman" w:hAnsi="Times New Roman" w:cs="Times New Roman"/>
        </w:rPr>
      </w:pPr>
    </w:p>
    <w:p w14:paraId="7BDDB669" w14:textId="77777777" w:rsidR="00AD5B1A" w:rsidRDefault="00AD5B1A" w:rsidP="00AD5B1A">
      <w:pPr>
        <w:spacing w:line="480" w:lineRule="auto"/>
        <w:jc w:val="both"/>
        <w:rPr>
          <w:rFonts w:ascii="Times New Roman" w:hAnsi="Times New Roman" w:cs="Times New Roman"/>
        </w:rPr>
      </w:pPr>
    </w:p>
    <w:p w14:paraId="7032791D" w14:textId="77777777" w:rsidR="00AD5B1A" w:rsidRDefault="00AD5B1A" w:rsidP="00AD5B1A">
      <w:pPr>
        <w:spacing w:line="480" w:lineRule="auto"/>
        <w:jc w:val="both"/>
        <w:rPr>
          <w:rFonts w:ascii="Times New Roman" w:hAnsi="Times New Roman" w:cs="Times New Roman"/>
        </w:rPr>
      </w:pPr>
    </w:p>
    <w:p w14:paraId="253440B8" w14:textId="77777777" w:rsidR="00AD5B1A" w:rsidRDefault="00AD5B1A" w:rsidP="00AD5B1A">
      <w:pPr>
        <w:spacing w:line="480" w:lineRule="auto"/>
        <w:jc w:val="both"/>
        <w:rPr>
          <w:rFonts w:ascii="Times New Roman" w:hAnsi="Times New Roman" w:cs="Times New Roman"/>
        </w:rPr>
      </w:pPr>
    </w:p>
    <w:p w14:paraId="68B95E02" w14:textId="77777777" w:rsidR="00AD5B1A" w:rsidRDefault="00AD5B1A" w:rsidP="00AD5B1A">
      <w:pPr>
        <w:spacing w:line="480" w:lineRule="auto"/>
        <w:jc w:val="both"/>
        <w:rPr>
          <w:rFonts w:ascii="Times New Roman" w:hAnsi="Times New Roman" w:cs="Times New Roman"/>
        </w:rPr>
      </w:pPr>
    </w:p>
    <w:p w14:paraId="54E1563E" w14:textId="77777777" w:rsidR="00AD5B1A" w:rsidRDefault="00AD5B1A" w:rsidP="00AD5B1A">
      <w:pPr>
        <w:spacing w:line="480" w:lineRule="auto"/>
        <w:jc w:val="both"/>
        <w:rPr>
          <w:rFonts w:ascii="Times New Roman" w:hAnsi="Times New Roman" w:cs="Times New Roman"/>
        </w:rPr>
      </w:pPr>
    </w:p>
    <w:p w14:paraId="4CDD7DB4" w14:textId="50A7EAA3" w:rsidR="00AD5B1A" w:rsidRPr="00AD5B1A" w:rsidRDefault="00AD5B1A" w:rsidP="00AD5B1A">
      <w:pPr>
        <w:spacing w:line="480" w:lineRule="auto"/>
        <w:jc w:val="both"/>
        <w:rPr>
          <w:rFonts w:ascii="Times New Roman" w:hAnsi="Times New Roman" w:cs="Times New Roman"/>
          <w:b/>
          <w:bCs/>
          <w:u w:val="single"/>
        </w:rPr>
      </w:pPr>
      <w:r w:rsidRPr="00AD5B1A">
        <w:rPr>
          <w:rFonts w:ascii="Times New Roman" w:hAnsi="Times New Roman" w:cs="Times New Roman"/>
          <w:b/>
          <w:bCs/>
          <w:u w:val="single"/>
        </w:rPr>
        <w:lastRenderedPageBreak/>
        <w:t>Conclusion</w:t>
      </w:r>
    </w:p>
    <w:p w14:paraId="7190876A" w14:textId="77777777"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In conclusion, social enterprises are confronted with a landscape that is replete with distinctive strengths, such as their capacity to reconcile profitability with purpose. However, they also encounter weaknesses, such as the risk of mission divergence and the intricacies of balancing hybrid objectives. There are numerous opportunities for social impact scalability and the increasing interest in impact investment; however, external dependency and legitimacy challenges necessitate vigilance. Social enterprises are provided with the theoretical and practical foundation necessary to capitalise on their assets, seize opportunities, and mitigate risks by incorporating frameworks such as the Triple Bottom Line, Blended Value Theory, and Stakeholder Theory.</w:t>
      </w:r>
    </w:p>
    <w:p w14:paraId="21A7EC00" w14:textId="65810B9F" w:rsidR="00AD5B1A" w:rsidRDefault="00AD5B1A" w:rsidP="00AD5B1A">
      <w:pPr>
        <w:spacing w:line="480" w:lineRule="auto"/>
        <w:jc w:val="both"/>
        <w:rPr>
          <w:rFonts w:ascii="Times New Roman" w:hAnsi="Times New Roman" w:cs="Times New Roman"/>
        </w:rPr>
      </w:pPr>
      <w:r w:rsidRPr="00AD5B1A">
        <w:rPr>
          <w:rFonts w:ascii="Times New Roman" w:hAnsi="Times New Roman" w:cs="Times New Roman"/>
        </w:rPr>
        <w:t>To</w:t>
      </w:r>
      <w:r w:rsidRPr="00AD5B1A">
        <w:rPr>
          <w:rFonts w:ascii="Times New Roman" w:hAnsi="Times New Roman" w:cs="Times New Roman"/>
        </w:rPr>
        <w:t xml:space="preserve"> achieve sustainable success, social enterprises must maintain their commitment to their social missions and continue to refine their business models and demonstrate their value to a diverse range of stakeholders. This is a significant undertaking; however, the beneficial effects they have on economies, communities, and the environment serve as a testament to the critical role these organisations play in influencing the future of business and social change.</w:t>
      </w:r>
    </w:p>
    <w:p w14:paraId="5E4E93FA" w14:textId="77777777" w:rsidR="00AD4F5F" w:rsidRDefault="00AD4F5F" w:rsidP="00AD5B1A">
      <w:pPr>
        <w:spacing w:line="480" w:lineRule="auto"/>
        <w:jc w:val="both"/>
        <w:rPr>
          <w:rFonts w:ascii="Times New Roman" w:hAnsi="Times New Roman" w:cs="Times New Roman"/>
        </w:rPr>
      </w:pPr>
    </w:p>
    <w:p w14:paraId="6D1352DC" w14:textId="77777777" w:rsidR="00AD4F5F" w:rsidRDefault="00AD4F5F" w:rsidP="00AD5B1A">
      <w:pPr>
        <w:spacing w:line="480" w:lineRule="auto"/>
        <w:jc w:val="both"/>
        <w:rPr>
          <w:rFonts w:ascii="Times New Roman" w:hAnsi="Times New Roman" w:cs="Times New Roman"/>
        </w:rPr>
      </w:pPr>
    </w:p>
    <w:p w14:paraId="624A42F4" w14:textId="77777777" w:rsidR="00AD4F5F" w:rsidRDefault="00AD4F5F" w:rsidP="00AD5B1A">
      <w:pPr>
        <w:spacing w:line="480" w:lineRule="auto"/>
        <w:jc w:val="both"/>
        <w:rPr>
          <w:rFonts w:ascii="Times New Roman" w:hAnsi="Times New Roman" w:cs="Times New Roman"/>
        </w:rPr>
      </w:pPr>
    </w:p>
    <w:p w14:paraId="1414F7F7" w14:textId="77777777" w:rsidR="00AD4F5F" w:rsidRDefault="00AD4F5F" w:rsidP="00AD5B1A">
      <w:pPr>
        <w:spacing w:line="480" w:lineRule="auto"/>
        <w:jc w:val="both"/>
        <w:rPr>
          <w:rFonts w:ascii="Times New Roman" w:hAnsi="Times New Roman" w:cs="Times New Roman"/>
        </w:rPr>
      </w:pPr>
    </w:p>
    <w:p w14:paraId="641998B1" w14:textId="77777777" w:rsidR="00AD4F5F" w:rsidRDefault="00AD4F5F" w:rsidP="00AD5B1A">
      <w:pPr>
        <w:spacing w:line="480" w:lineRule="auto"/>
        <w:jc w:val="both"/>
        <w:rPr>
          <w:rFonts w:ascii="Times New Roman" w:hAnsi="Times New Roman" w:cs="Times New Roman"/>
        </w:rPr>
      </w:pPr>
    </w:p>
    <w:p w14:paraId="3A545C2F" w14:textId="77777777" w:rsidR="00AD4F5F" w:rsidRDefault="00AD4F5F" w:rsidP="00AD5B1A">
      <w:pPr>
        <w:spacing w:line="480" w:lineRule="auto"/>
        <w:jc w:val="both"/>
        <w:rPr>
          <w:rFonts w:ascii="Times New Roman" w:hAnsi="Times New Roman" w:cs="Times New Roman"/>
        </w:rPr>
      </w:pPr>
    </w:p>
    <w:p w14:paraId="1D55D396" w14:textId="77777777" w:rsidR="00AD4F5F" w:rsidRDefault="00AD4F5F" w:rsidP="00AD5B1A">
      <w:pPr>
        <w:spacing w:line="480" w:lineRule="auto"/>
        <w:jc w:val="both"/>
        <w:rPr>
          <w:rFonts w:ascii="Times New Roman" w:hAnsi="Times New Roman" w:cs="Times New Roman"/>
        </w:rPr>
      </w:pPr>
    </w:p>
    <w:p w14:paraId="06126EC1" w14:textId="176E5D3C" w:rsidR="00AD4F5F" w:rsidRDefault="00AD4F5F" w:rsidP="00AD5B1A">
      <w:pPr>
        <w:spacing w:line="480" w:lineRule="auto"/>
        <w:jc w:val="both"/>
        <w:rPr>
          <w:rFonts w:ascii="Times New Roman" w:hAnsi="Times New Roman" w:cs="Times New Roman"/>
          <w:b/>
          <w:bCs/>
          <w:u w:val="single"/>
        </w:rPr>
      </w:pPr>
      <w:r w:rsidRPr="00AD4F5F">
        <w:rPr>
          <w:rFonts w:ascii="Times New Roman" w:hAnsi="Times New Roman" w:cs="Times New Roman"/>
          <w:b/>
          <w:bCs/>
          <w:u w:val="single"/>
        </w:rPr>
        <w:lastRenderedPageBreak/>
        <w:t xml:space="preserve">References </w:t>
      </w:r>
    </w:p>
    <w:p w14:paraId="78C999BF" w14:textId="77777777" w:rsidR="00AD4F5F" w:rsidRPr="00AD4F5F" w:rsidRDefault="00AD4F5F" w:rsidP="00AD5B1A">
      <w:pPr>
        <w:spacing w:line="480" w:lineRule="auto"/>
        <w:jc w:val="both"/>
        <w:rPr>
          <w:rFonts w:ascii="Times New Roman" w:hAnsi="Times New Roman" w:cs="Times New Roman"/>
          <w:b/>
          <w:bCs/>
          <w:u w:val="single"/>
        </w:rPr>
      </w:pPr>
    </w:p>
    <w:p w14:paraId="03AB4E30" w14:textId="28BE57B5" w:rsidR="00AD4F5F" w:rsidRDefault="00AD4F5F" w:rsidP="00AD4F5F">
      <w:pPr>
        <w:spacing w:line="480" w:lineRule="auto"/>
        <w:jc w:val="both"/>
        <w:rPr>
          <w:rFonts w:ascii="Times New Roman" w:hAnsi="Times New Roman" w:cs="Times New Roman"/>
        </w:rPr>
      </w:pPr>
      <w:r w:rsidRPr="00AD4F5F">
        <w:rPr>
          <w:rFonts w:ascii="Times New Roman" w:hAnsi="Times New Roman" w:cs="Times New Roman"/>
        </w:rPr>
        <w:t xml:space="preserve">Asian Development Bank. (2017). </w:t>
      </w:r>
      <w:r w:rsidRPr="00AD4F5F">
        <w:rPr>
          <w:rFonts w:ascii="Times New Roman" w:hAnsi="Times New Roman" w:cs="Times New Roman"/>
          <w:i/>
          <w:iCs/>
        </w:rPr>
        <w:t>Are social enterprises the inclusive businesses of tomorrow?</w:t>
      </w:r>
      <w:r w:rsidRPr="00AD4F5F">
        <w:rPr>
          <w:rFonts w:ascii="Times New Roman" w:hAnsi="Times New Roman" w:cs="Times New Roman"/>
        </w:rPr>
        <w:t xml:space="preserve"> (Project Number: 46240). Dalberg Global Development Advisors, Asian Development Bank. </w:t>
      </w:r>
      <w:hyperlink r:id="rId4" w:history="1">
        <w:r w:rsidRPr="008006A0">
          <w:rPr>
            <w:rStyle w:val="Hyperlink"/>
            <w:rFonts w:ascii="Times New Roman" w:hAnsi="Times New Roman" w:cs="Times New Roman"/>
          </w:rPr>
          <w:t>https://www.adb.org/sites/default/files/project-documents/46240/46240-001-tacr-en.pdf</w:t>
        </w:r>
      </w:hyperlink>
    </w:p>
    <w:p w14:paraId="1AC4CFD6" w14:textId="281C1788" w:rsidR="00AD4F5F" w:rsidRDefault="00AD4F5F" w:rsidP="00AD5B1A">
      <w:pPr>
        <w:spacing w:line="480" w:lineRule="auto"/>
        <w:jc w:val="both"/>
        <w:rPr>
          <w:rFonts w:ascii="Times New Roman" w:hAnsi="Times New Roman" w:cs="Times New Roman"/>
        </w:rPr>
      </w:pPr>
      <w:r w:rsidRPr="00AD4F5F">
        <w:rPr>
          <w:rFonts w:ascii="Times New Roman" w:hAnsi="Times New Roman" w:cs="Times New Roman"/>
        </w:rPr>
        <w:t xml:space="preserve">Bagnoli, L., &amp; </w:t>
      </w:r>
      <w:proofErr w:type="spellStart"/>
      <w:r w:rsidRPr="00AD4F5F">
        <w:rPr>
          <w:rFonts w:ascii="Times New Roman" w:hAnsi="Times New Roman" w:cs="Times New Roman"/>
        </w:rPr>
        <w:t>Megali</w:t>
      </w:r>
      <w:proofErr w:type="spellEnd"/>
      <w:r w:rsidRPr="00AD4F5F">
        <w:rPr>
          <w:rFonts w:ascii="Times New Roman" w:hAnsi="Times New Roman" w:cs="Times New Roman"/>
        </w:rPr>
        <w:t xml:space="preserve">, C. (2011). Measuring performance in social enterprises. Nonprofit and </w:t>
      </w:r>
      <w:r w:rsidRPr="00AD4F5F">
        <w:rPr>
          <w:rFonts w:ascii="Times New Roman" w:hAnsi="Times New Roman" w:cs="Times New Roman"/>
          <w:i/>
          <w:iCs/>
        </w:rPr>
        <w:t>Voluntary Sector Quarterly, 40</w:t>
      </w:r>
      <w:r w:rsidRPr="00AD4F5F">
        <w:rPr>
          <w:rFonts w:ascii="Times New Roman" w:hAnsi="Times New Roman" w:cs="Times New Roman"/>
        </w:rPr>
        <w:t xml:space="preserve">(1), 149–165. </w:t>
      </w:r>
      <w:hyperlink r:id="rId5" w:history="1">
        <w:r w:rsidRPr="008006A0">
          <w:rPr>
            <w:rStyle w:val="Hyperlink"/>
            <w:rFonts w:ascii="Times New Roman" w:hAnsi="Times New Roman" w:cs="Times New Roman"/>
          </w:rPr>
          <w:t>https://doi.org/10.1177/0899764009351111</w:t>
        </w:r>
      </w:hyperlink>
    </w:p>
    <w:p w14:paraId="61D1ACF1" w14:textId="73979F3D" w:rsidR="00AD4F5F" w:rsidRDefault="00AD4F5F" w:rsidP="00AD5B1A">
      <w:pPr>
        <w:spacing w:line="480" w:lineRule="auto"/>
        <w:jc w:val="both"/>
        <w:rPr>
          <w:rFonts w:ascii="Times New Roman" w:hAnsi="Times New Roman" w:cs="Times New Roman"/>
        </w:rPr>
      </w:pPr>
      <w:proofErr w:type="spellStart"/>
      <w:r w:rsidRPr="00AD4F5F">
        <w:rPr>
          <w:rFonts w:ascii="Times New Roman" w:hAnsi="Times New Roman" w:cs="Times New Roman"/>
        </w:rPr>
        <w:t>Borzaga</w:t>
      </w:r>
      <w:proofErr w:type="spellEnd"/>
      <w:r w:rsidRPr="00AD4F5F">
        <w:rPr>
          <w:rFonts w:ascii="Times New Roman" w:hAnsi="Times New Roman" w:cs="Times New Roman"/>
        </w:rPr>
        <w:t xml:space="preserve">, C., &amp; </w:t>
      </w:r>
      <w:proofErr w:type="spellStart"/>
      <w:r w:rsidRPr="00AD4F5F">
        <w:rPr>
          <w:rFonts w:ascii="Times New Roman" w:hAnsi="Times New Roman" w:cs="Times New Roman"/>
        </w:rPr>
        <w:t>Defourny</w:t>
      </w:r>
      <w:proofErr w:type="spellEnd"/>
      <w:r w:rsidRPr="00AD4F5F">
        <w:rPr>
          <w:rFonts w:ascii="Times New Roman" w:hAnsi="Times New Roman" w:cs="Times New Roman"/>
        </w:rPr>
        <w:t>, J. (Eds.). (2001). The emergence of social enterprise. Routledge.</w:t>
      </w:r>
    </w:p>
    <w:p w14:paraId="66F2F4A1" w14:textId="170C62D3" w:rsidR="00AD4F5F" w:rsidRDefault="00AD4F5F" w:rsidP="00AD4F5F">
      <w:pPr>
        <w:spacing w:line="480" w:lineRule="auto"/>
        <w:jc w:val="both"/>
        <w:rPr>
          <w:rFonts w:ascii="Times New Roman" w:hAnsi="Times New Roman" w:cs="Times New Roman"/>
        </w:rPr>
      </w:pPr>
      <w:r w:rsidRPr="00AD4F5F">
        <w:rPr>
          <w:rFonts w:ascii="Times New Roman" w:hAnsi="Times New Roman" w:cs="Times New Roman"/>
        </w:rPr>
        <w:t xml:space="preserve">Battilana, J., &amp; Lee, M. (2014). Advancing research on hybrid </w:t>
      </w:r>
      <w:r w:rsidRPr="00AD4F5F">
        <w:rPr>
          <w:rFonts w:ascii="Times New Roman" w:hAnsi="Times New Roman" w:cs="Times New Roman"/>
        </w:rPr>
        <w:t>organizing Insights</w:t>
      </w:r>
      <w:r w:rsidRPr="00AD4F5F">
        <w:rPr>
          <w:rFonts w:ascii="Times New Roman" w:hAnsi="Times New Roman" w:cs="Times New Roman"/>
        </w:rPr>
        <w:t xml:space="preserve"> from the study of social enterprises. </w:t>
      </w:r>
      <w:r w:rsidRPr="00AD4F5F">
        <w:rPr>
          <w:rFonts w:ascii="Times New Roman" w:hAnsi="Times New Roman" w:cs="Times New Roman"/>
          <w:i/>
          <w:iCs/>
        </w:rPr>
        <w:t>Academy of Management Annals, 8</w:t>
      </w:r>
      <w:r w:rsidRPr="00AD4F5F">
        <w:rPr>
          <w:rFonts w:ascii="Times New Roman" w:hAnsi="Times New Roman" w:cs="Times New Roman"/>
        </w:rPr>
        <w:t xml:space="preserve">(1), 397-441. </w:t>
      </w:r>
      <w:hyperlink r:id="rId6" w:history="1">
        <w:r w:rsidRPr="008006A0">
          <w:rPr>
            <w:rStyle w:val="Hyperlink"/>
            <w:rFonts w:ascii="Times New Roman" w:hAnsi="Times New Roman" w:cs="Times New Roman"/>
          </w:rPr>
          <w:t>https://doi.org/10.1080/19416520.2014.893615</w:t>
        </w:r>
      </w:hyperlink>
    </w:p>
    <w:p w14:paraId="4CD54800" w14:textId="0D0CEE4D" w:rsidR="00AD4F5F" w:rsidRDefault="00AD4F5F" w:rsidP="00AD4F5F">
      <w:pPr>
        <w:spacing w:line="480" w:lineRule="auto"/>
        <w:jc w:val="both"/>
        <w:rPr>
          <w:rFonts w:ascii="Times New Roman" w:hAnsi="Times New Roman" w:cs="Times New Roman"/>
        </w:rPr>
      </w:pPr>
      <w:r w:rsidRPr="00AD4F5F">
        <w:rPr>
          <w:rFonts w:ascii="Times New Roman" w:hAnsi="Times New Roman" w:cs="Times New Roman"/>
        </w:rPr>
        <w:t xml:space="preserve">Bloom, P. N., &amp; Dees, J. G. (2008). Cultivate your ecosystem. </w:t>
      </w:r>
      <w:r w:rsidRPr="00AD4F5F">
        <w:rPr>
          <w:rFonts w:ascii="Times New Roman" w:hAnsi="Times New Roman" w:cs="Times New Roman"/>
          <w:i/>
          <w:iCs/>
        </w:rPr>
        <w:t>Stanford Social Innovation Review, 6</w:t>
      </w:r>
      <w:r w:rsidRPr="00AD4F5F">
        <w:rPr>
          <w:rFonts w:ascii="Times New Roman" w:hAnsi="Times New Roman" w:cs="Times New Roman"/>
        </w:rPr>
        <w:t xml:space="preserve">(1), 47-53. </w:t>
      </w:r>
      <w:hyperlink r:id="rId7" w:history="1">
        <w:r w:rsidRPr="008006A0">
          <w:rPr>
            <w:rStyle w:val="Hyperlink"/>
            <w:rFonts w:ascii="Times New Roman" w:hAnsi="Times New Roman" w:cs="Times New Roman"/>
          </w:rPr>
          <w:t>https://doi.org/10.48558/9EC5-S642</w:t>
        </w:r>
      </w:hyperlink>
    </w:p>
    <w:p w14:paraId="2EF4292B" w14:textId="56142C7C" w:rsidR="00AD4F5F" w:rsidRDefault="00AD4F5F" w:rsidP="00AD4F5F">
      <w:pPr>
        <w:spacing w:line="480" w:lineRule="auto"/>
        <w:jc w:val="both"/>
        <w:rPr>
          <w:rFonts w:ascii="Times New Roman" w:hAnsi="Times New Roman" w:cs="Times New Roman"/>
        </w:rPr>
      </w:pPr>
      <w:r w:rsidRPr="00AD4F5F">
        <w:rPr>
          <w:rFonts w:ascii="Times New Roman" w:hAnsi="Times New Roman" w:cs="Times New Roman"/>
        </w:rPr>
        <w:t xml:space="preserve">Chan, A., Ryan, S., &amp; Quarter, J. (2017). Supported social enterprise: A modified social welfare organization. </w:t>
      </w:r>
      <w:r w:rsidRPr="00AD4F5F">
        <w:rPr>
          <w:rFonts w:ascii="Times New Roman" w:hAnsi="Times New Roman" w:cs="Times New Roman"/>
          <w:i/>
          <w:iCs/>
        </w:rPr>
        <w:t>Nonprofit and Voluntary Sector Quarterly, 46</w:t>
      </w:r>
      <w:r w:rsidRPr="00AD4F5F">
        <w:rPr>
          <w:rFonts w:ascii="Times New Roman" w:hAnsi="Times New Roman" w:cs="Times New Roman"/>
        </w:rPr>
        <w:t xml:space="preserve">(2), 261–279. </w:t>
      </w:r>
      <w:hyperlink r:id="rId8" w:history="1">
        <w:r w:rsidRPr="008006A0">
          <w:rPr>
            <w:rStyle w:val="Hyperlink"/>
            <w:rFonts w:ascii="Times New Roman" w:hAnsi="Times New Roman" w:cs="Times New Roman"/>
          </w:rPr>
          <w:t>https://doi.org/10.1177/0899764016655625</w:t>
        </w:r>
      </w:hyperlink>
    </w:p>
    <w:p w14:paraId="6C625AC0" w14:textId="38018FBD" w:rsidR="00AD4F5F" w:rsidRPr="00AD4F5F" w:rsidRDefault="00AD4F5F" w:rsidP="00AD4F5F">
      <w:pPr>
        <w:spacing w:line="480" w:lineRule="auto"/>
        <w:jc w:val="both"/>
        <w:rPr>
          <w:rFonts w:ascii="Times New Roman" w:hAnsi="Times New Roman" w:cs="Times New Roman"/>
        </w:rPr>
      </w:pPr>
      <w:r w:rsidRPr="00AD4F5F">
        <w:rPr>
          <w:rFonts w:ascii="Times New Roman" w:hAnsi="Times New Roman" w:cs="Times New Roman"/>
        </w:rPr>
        <w:t xml:space="preserve">Elkington, J. (1997). </w:t>
      </w:r>
      <w:r w:rsidRPr="00AD4F5F">
        <w:rPr>
          <w:rFonts w:ascii="Times New Roman" w:hAnsi="Times New Roman" w:cs="Times New Roman"/>
          <w:i/>
          <w:iCs/>
        </w:rPr>
        <w:t>Cannibals with forks: The triple bottom line of 21st century business.</w:t>
      </w:r>
      <w:r w:rsidRPr="00AD4F5F">
        <w:rPr>
          <w:rFonts w:ascii="Times New Roman" w:hAnsi="Times New Roman" w:cs="Times New Roman"/>
        </w:rPr>
        <w:t xml:space="preserve"> Capstone.</w:t>
      </w:r>
    </w:p>
    <w:p w14:paraId="0B046335" w14:textId="31A9BB5E" w:rsidR="00AD4F5F" w:rsidRDefault="00AD4F5F" w:rsidP="00AD4F5F">
      <w:pPr>
        <w:spacing w:line="480" w:lineRule="auto"/>
        <w:jc w:val="both"/>
        <w:rPr>
          <w:rFonts w:ascii="Times New Roman" w:hAnsi="Times New Roman" w:cs="Times New Roman"/>
        </w:rPr>
      </w:pPr>
      <w:r w:rsidRPr="00AD4F5F">
        <w:rPr>
          <w:rFonts w:ascii="Times New Roman" w:hAnsi="Times New Roman" w:cs="Times New Roman"/>
        </w:rPr>
        <w:t xml:space="preserve">Emerson, J. (2003). The blended value proposition: Integrating social and financial returns. </w:t>
      </w:r>
      <w:r w:rsidRPr="00AD4F5F">
        <w:rPr>
          <w:rFonts w:ascii="Times New Roman" w:hAnsi="Times New Roman" w:cs="Times New Roman"/>
          <w:i/>
          <w:iCs/>
        </w:rPr>
        <w:t>California Management Review, 45</w:t>
      </w:r>
      <w:r w:rsidRPr="00AD4F5F">
        <w:rPr>
          <w:rFonts w:ascii="Times New Roman" w:hAnsi="Times New Roman" w:cs="Times New Roman"/>
        </w:rPr>
        <w:t xml:space="preserve">(4), 35-51. </w:t>
      </w:r>
      <w:hyperlink r:id="rId9" w:history="1">
        <w:r w:rsidRPr="008006A0">
          <w:rPr>
            <w:rStyle w:val="Hyperlink"/>
            <w:rFonts w:ascii="Times New Roman" w:hAnsi="Times New Roman" w:cs="Times New Roman"/>
          </w:rPr>
          <w:t>https://doi.org/10.2307/41166187</w:t>
        </w:r>
      </w:hyperlink>
    </w:p>
    <w:p w14:paraId="0BB948FC" w14:textId="78C725DC" w:rsidR="00AD4F5F" w:rsidRPr="00AD4F5F" w:rsidRDefault="00AD4F5F" w:rsidP="00AD4F5F">
      <w:pPr>
        <w:spacing w:line="480" w:lineRule="auto"/>
        <w:jc w:val="both"/>
        <w:rPr>
          <w:rFonts w:ascii="Times New Roman" w:hAnsi="Times New Roman" w:cs="Times New Roman"/>
        </w:rPr>
      </w:pPr>
      <w:r w:rsidRPr="00AD4F5F">
        <w:rPr>
          <w:rFonts w:ascii="Times New Roman" w:hAnsi="Times New Roman" w:cs="Times New Roman"/>
        </w:rPr>
        <w:t xml:space="preserve">Freeman, R. E. (1984). </w:t>
      </w:r>
      <w:r w:rsidRPr="00AD4F5F">
        <w:rPr>
          <w:rFonts w:ascii="Times New Roman" w:hAnsi="Times New Roman" w:cs="Times New Roman"/>
          <w:i/>
          <w:iCs/>
        </w:rPr>
        <w:t>Strategic management: A stakeholder approach</w:t>
      </w:r>
      <w:r w:rsidRPr="00AD4F5F">
        <w:rPr>
          <w:rFonts w:ascii="Times New Roman" w:hAnsi="Times New Roman" w:cs="Times New Roman"/>
        </w:rPr>
        <w:t>. Cambridge University Press.</w:t>
      </w:r>
    </w:p>
    <w:p w14:paraId="5E319834" w14:textId="77777777" w:rsidR="00AD4F5F" w:rsidRPr="00AD4F5F" w:rsidRDefault="00AD4F5F" w:rsidP="00AD4F5F">
      <w:pPr>
        <w:spacing w:line="480" w:lineRule="auto"/>
        <w:jc w:val="both"/>
        <w:rPr>
          <w:rFonts w:ascii="Times New Roman" w:hAnsi="Times New Roman" w:cs="Times New Roman"/>
        </w:rPr>
      </w:pPr>
    </w:p>
    <w:p w14:paraId="7115387E" w14:textId="2FA8E69F" w:rsidR="00AD4F5F" w:rsidRPr="00AD5B1A" w:rsidRDefault="00AD4F5F" w:rsidP="00AD4F5F">
      <w:pPr>
        <w:spacing w:line="480" w:lineRule="auto"/>
        <w:jc w:val="both"/>
        <w:rPr>
          <w:rFonts w:ascii="Times New Roman" w:hAnsi="Times New Roman" w:cs="Times New Roman"/>
        </w:rPr>
      </w:pPr>
      <w:r w:rsidRPr="00AD4F5F">
        <w:rPr>
          <w:rFonts w:ascii="Times New Roman" w:hAnsi="Times New Roman" w:cs="Times New Roman"/>
        </w:rPr>
        <w:t xml:space="preserve">Pfeffer, J., &amp; Salancik, G. R. (1978). </w:t>
      </w:r>
      <w:r w:rsidRPr="00AD4F5F">
        <w:rPr>
          <w:rFonts w:ascii="Times New Roman" w:hAnsi="Times New Roman" w:cs="Times New Roman"/>
          <w:i/>
          <w:iCs/>
        </w:rPr>
        <w:t>The external control of organizations: A resource dependence perspective.</w:t>
      </w:r>
      <w:r w:rsidRPr="00AD4F5F">
        <w:rPr>
          <w:rFonts w:ascii="Times New Roman" w:hAnsi="Times New Roman" w:cs="Times New Roman"/>
        </w:rPr>
        <w:t xml:space="preserve"> Harper &amp; Row.</w:t>
      </w:r>
    </w:p>
    <w:p w14:paraId="4AE0D6F5" w14:textId="77777777" w:rsidR="00AD5B1A" w:rsidRPr="00AD5B1A" w:rsidRDefault="00AD5B1A" w:rsidP="00AD5B1A">
      <w:pPr>
        <w:spacing w:line="480" w:lineRule="auto"/>
        <w:jc w:val="both"/>
        <w:rPr>
          <w:rFonts w:ascii="Times New Roman" w:hAnsi="Times New Roman" w:cs="Times New Roman"/>
        </w:rPr>
      </w:pPr>
    </w:p>
    <w:sectPr w:rsidR="00AD5B1A" w:rsidRPr="00AD5B1A" w:rsidSect="00AD5B1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B1A"/>
    <w:rsid w:val="00930CF1"/>
    <w:rsid w:val="00AD4F5F"/>
    <w:rsid w:val="00AD5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E2A23"/>
  <w15:chartTrackingRefBased/>
  <w15:docId w15:val="{1575A056-0E28-4BBE-8B0A-FBCD3C39E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B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5B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5B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5B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5B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5B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B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B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B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B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5B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5B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5B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5B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5B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B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B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B1A"/>
    <w:rPr>
      <w:rFonts w:eastAsiaTheme="majorEastAsia" w:cstheme="majorBidi"/>
      <w:color w:val="272727" w:themeColor="text1" w:themeTint="D8"/>
    </w:rPr>
  </w:style>
  <w:style w:type="paragraph" w:styleId="Title">
    <w:name w:val="Title"/>
    <w:basedOn w:val="Normal"/>
    <w:next w:val="Normal"/>
    <w:link w:val="TitleChar"/>
    <w:uiPriority w:val="10"/>
    <w:qFormat/>
    <w:rsid w:val="00AD5B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B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B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B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B1A"/>
    <w:pPr>
      <w:spacing w:before="160"/>
      <w:jc w:val="center"/>
    </w:pPr>
    <w:rPr>
      <w:i/>
      <w:iCs/>
      <w:color w:val="404040" w:themeColor="text1" w:themeTint="BF"/>
    </w:rPr>
  </w:style>
  <w:style w:type="character" w:customStyle="1" w:styleId="QuoteChar">
    <w:name w:val="Quote Char"/>
    <w:basedOn w:val="DefaultParagraphFont"/>
    <w:link w:val="Quote"/>
    <w:uiPriority w:val="29"/>
    <w:rsid w:val="00AD5B1A"/>
    <w:rPr>
      <w:i/>
      <w:iCs/>
      <w:color w:val="404040" w:themeColor="text1" w:themeTint="BF"/>
    </w:rPr>
  </w:style>
  <w:style w:type="paragraph" w:styleId="ListParagraph">
    <w:name w:val="List Paragraph"/>
    <w:basedOn w:val="Normal"/>
    <w:uiPriority w:val="34"/>
    <w:qFormat/>
    <w:rsid w:val="00AD5B1A"/>
    <w:pPr>
      <w:ind w:left="720"/>
      <w:contextualSpacing/>
    </w:pPr>
  </w:style>
  <w:style w:type="character" w:styleId="IntenseEmphasis">
    <w:name w:val="Intense Emphasis"/>
    <w:basedOn w:val="DefaultParagraphFont"/>
    <w:uiPriority w:val="21"/>
    <w:qFormat/>
    <w:rsid w:val="00AD5B1A"/>
    <w:rPr>
      <w:i/>
      <w:iCs/>
      <w:color w:val="0F4761" w:themeColor="accent1" w:themeShade="BF"/>
    </w:rPr>
  </w:style>
  <w:style w:type="paragraph" w:styleId="IntenseQuote">
    <w:name w:val="Intense Quote"/>
    <w:basedOn w:val="Normal"/>
    <w:next w:val="Normal"/>
    <w:link w:val="IntenseQuoteChar"/>
    <w:uiPriority w:val="30"/>
    <w:qFormat/>
    <w:rsid w:val="00AD5B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5B1A"/>
    <w:rPr>
      <w:i/>
      <w:iCs/>
      <w:color w:val="0F4761" w:themeColor="accent1" w:themeShade="BF"/>
    </w:rPr>
  </w:style>
  <w:style w:type="character" w:styleId="IntenseReference">
    <w:name w:val="Intense Reference"/>
    <w:basedOn w:val="DefaultParagraphFont"/>
    <w:uiPriority w:val="32"/>
    <w:qFormat/>
    <w:rsid w:val="00AD5B1A"/>
    <w:rPr>
      <w:b/>
      <w:bCs/>
      <w:smallCaps/>
      <w:color w:val="0F4761" w:themeColor="accent1" w:themeShade="BF"/>
      <w:spacing w:val="5"/>
    </w:rPr>
  </w:style>
  <w:style w:type="paragraph" w:styleId="NoSpacing">
    <w:name w:val="No Spacing"/>
    <w:link w:val="NoSpacingChar"/>
    <w:uiPriority w:val="1"/>
    <w:qFormat/>
    <w:rsid w:val="00AD5B1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D5B1A"/>
    <w:rPr>
      <w:rFonts w:eastAsiaTheme="minorEastAsia"/>
      <w:kern w:val="0"/>
      <w:sz w:val="22"/>
      <w:szCs w:val="22"/>
      <w:lang w:val="en-US"/>
      <w14:ligatures w14:val="none"/>
    </w:rPr>
  </w:style>
  <w:style w:type="character" w:styleId="Hyperlink">
    <w:name w:val="Hyperlink"/>
    <w:basedOn w:val="DefaultParagraphFont"/>
    <w:uiPriority w:val="99"/>
    <w:unhideWhenUsed/>
    <w:rsid w:val="00AD4F5F"/>
    <w:rPr>
      <w:color w:val="467886" w:themeColor="hyperlink"/>
      <w:u w:val="single"/>
    </w:rPr>
  </w:style>
  <w:style w:type="character" w:styleId="UnresolvedMention">
    <w:name w:val="Unresolved Mention"/>
    <w:basedOn w:val="DefaultParagraphFont"/>
    <w:uiPriority w:val="99"/>
    <w:semiHidden/>
    <w:unhideWhenUsed/>
    <w:rsid w:val="00AD4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34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899764016655625" TargetMode="External"/><Relationship Id="rId3" Type="http://schemas.openxmlformats.org/officeDocument/2006/relationships/webSettings" Target="webSettings.xml"/><Relationship Id="rId7" Type="http://schemas.openxmlformats.org/officeDocument/2006/relationships/hyperlink" Target="https://doi.org/10.48558/9EC5-S642"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19416520.2014.893615" TargetMode="External"/><Relationship Id="rId11" Type="http://schemas.openxmlformats.org/officeDocument/2006/relationships/glossaryDocument" Target="glossary/document.xml"/><Relationship Id="rId5" Type="http://schemas.openxmlformats.org/officeDocument/2006/relationships/hyperlink" Target="https://doi.org/10.1177/0899764009351111" TargetMode="External"/><Relationship Id="rId10" Type="http://schemas.openxmlformats.org/officeDocument/2006/relationships/fontTable" Target="fontTable.xml"/><Relationship Id="rId4" Type="http://schemas.openxmlformats.org/officeDocument/2006/relationships/hyperlink" Target="https://www.adb.org/sites/default/files/project-documents/46240/46240-001-tacr-en.pdf" TargetMode="External"/><Relationship Id="rId9" Type="http://schemas.openxmlformats.org/officeDocument/2006/relationships/hyperlink" Target="https://doi.org/10.2307/4116618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2F21E7B84FE4641BA804AA10490E42E"/>
        <w:category>
          <w:name w:val="General"/>
          <w:gallery w:val="placeholder"/>
        </w:category>
        <w:types>
          <w:type w:val="bbPlcHdr"/>
        </w:types>
        <w:behaviors>
          <w:behavior w:val="content"/>
        </w:behaviors>
        <w:guid w:val="{9D482435-2B0C-4CC3-85C8-BCB81E9BB3CE}"/>
      </w:docPartPr>
      <w:docPartBody>
        <w:p w:rsidR="00000000" w:rsidRDefault="000E186B" w:rsidP="000E186B">
          <w:pPr>
            <w:pStyle w:val="52F21E7B84FE4641BA804AA10490E42E"/>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86B"/>
    <w:rsid w:val="000E186B"/>
    <w:rsid w:val="00930CF1"/>
    <w:rsid w:val="00C67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9AC560F80D04DA498602810ADD7008E">
    <w:name w:val="F9AC560F80D04DA498602810ADD7008E"/>
    <w:rsid w:val="000E186B"/>
  </w:style>
  <w:style w:type="paragraph" w:customStyle="1" w:styleId="52F21E7B84FE4641BA804AA10490E42E">
    <w:name w:val="52F21E7B84FE4641BA804AA10490E42E"/>
    <w:rsid w:val="000E186B"/>
  </w:style>
  <w:style w:type="paragraph" w:customStyle="1" w:styleId="791E37EB03CE4BC6A9BA19124720CD24">
    <w:name w:val="791E37EB03CE4BC6A9BA19124720CD24"/>
    <w:rsid w:val="000E186B"/>
  </w:style>
  <w:style w:type="paragraph" w:customStyle="1" w:styleId="936E1A014D54430CB4F39CD9A39744E3">
    <w:name w:val="936E1A014D54430CB4F39CD9A39744E3"/>
    <w:rsid w:val="000E186B"/>
  </w:style>
  <w:style w:type="paragraph" w:customStyle="1" w:styleId="941C6C941C934154AC6B9154C155A85F">
    <w:name w:val="941C6C941C934154AC6B9154C155A85F"/>
    <w:rsid w:val="000E18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1961</Words>
  <Characters>11181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Opportunities and Threats to Social Enterprise</dc:title>
  <dc:subject/>
  <dc:creator>Mirabela Voican (1907947)</dc:creator>
  <cp:keywords/>
  <dc:description/>
  <cp:lastModifiedBy>Mirabela Voican (1907947)</cp:lastModifiedBy>
  <cp:revision>1</cp:revision>
  <dcterms:created xsi:type="dcterms:W3CDTF">2024-11-06T03:38:00Z</dcterms:created>
  <dcterms:modified xsi:type="dcterms:W3CDTF">2024-11-06T03:59:00Z</dcterms:modified>
</cp:coreProperties>
</file>