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A754E4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F1A5E">
              <w:rPr>
                <w:rFonts w:ascii="Times New Roman" w:hAnsi="Times New Roman" w:cs="Times New Roman"/>
                <w:b/>
                <w:color w:val="auto"/>
                <w:sz w:val="48"/>
              </w:rPr>
              <w:t>Debbie Piercy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7AECB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F1A5E">
              <w:rPr>
                <w:rFonts w:ascii="Times New Roman" w:hAnsi="Times New Roman" w:cs="Times New Roman"/>
                <w:b/>
                <w:sz w:val="48"/>
              </w:rPr>
              <w:t xml:space="preserve"> </w:t>
            </w:r>
            <w:r w:rsidR="00FF1A5E">
              <w:rPr>
                <w:rFonts w:ascii="Times New Roman" w:hAnsi="Times New Roman" w:cs="Times New Roman"/>
                <w:b/>
                <w:sz w:val="48"/>
              </w:rPr>
              <w:t>2421171@student.uwtsd.ac.uk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D2626F5" w:rsidR="0085230E" w:rsidRPr="005D3F07" w:rsidRDefault="00FF1A5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2421171</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AC6004A" w14:textId="759182E0" w:rsidR="009907EE" w:rsidRDefault="009907EE" w:rsidP="009907EE">
            <w:pPr>
              <w:jc w:val="both"/>
              <w:rPr>
                <w:iCs/>
                <w:sz w:val="24"/>
                <w:szCs w:val="24"/>
              </w:rPr>
            </w:pPr>
            <w:r w:rsidRPr="009907EE">
              <w:rPr>
                <w:iCs/>
                <w:sz w:val="24"/>
                <w:szCs w:val="24"/>
              </w:rPr>
              <w:t xml:space="preserve">This case study critically reflects on a safeguarding assessment undertaken in my area of practice concerning a child, referred to throughout as </w:t>
            </w:r>
            <w:r w:rsidR="000E0422">
              <w:rPr>
                <w:iCs/>
                <w:sz w:val="24"/>
                <w:szCs w:val="24"/>
              </w:rPr>
              <w:t>Child 2</w:t>
            </w:r>
            <w:r w:rsidRPr="009907EE">
              <w:rPr>
                <w:iCs/>
                <w:sz w:val="24"/>
                <w:szCs w:val="24"/>
              </w:rPr>
              <w:t xml:space="preserve"> to protect confidentiality. All names, locations, schools, placements and identifying information have been anonymised. The situation demonstrates the complexity of safeguarding practice, particularly where a child is living in foster care and concerns are raised about possible physical harm by a person within the foster family. It also demonstrates the importance of listening to the child, collaborative working, professional judgement, information sharing, and understanding the relationship between legislation, policy, theory and practice in Wales.</w:t>
            </w:r>
          </w:p>
          <w:p w14:paraId="2DF52F13" w14:textId="77777777" w:rsidR="003A22A2" w:rsidRPr="009907EE" w:rsidRDefault="003A22A2" w:rsidP="009907EE">
            <w:pPr>
              <w:jc w:val="both"/>
              <w:rPr>
                <w:iCs/>
                <w:sz w:val="24"/>
                <w:szCs w:val="24"/>
              </w:rPr>
            </w:pPr>
          </w:p>
          <w:p w14:paraId="5905F5F7" w14:textId="4B462EC1" w:rsidR="009907EE" w:rsidRPr="009907EE" w:rsidRDefault="009907EE" w:rsidP="009907EE">
            <w:pPr>
              <w:jc w:val="both"/>
              <w:rPr>
                <w:iCs/>
                <w:sz w:val="24"/>
                <w:szCs w:val="24"/>
              </w:rPr>
            </w:pPr>
            <w:r w:rsidRPr="009907EE">
              <w:rPr>
                <w:iCs/>
                <w:sz w:val="24"/>
                <w:szCs w:val="24"/>
              </w:rPr>
              <w:t>The concerns emerged during family time</w:t>
            </w:r>
            <w:r w:rsidR="003A22A2">
              <w:rPr>
                <w:iCs/>
                <w:sz w:val="24"/>
                <w:szCs w:val="24"/>
              </w:rPr>
              <w:t>,</w:t>
            </w:r>
            <w:r w:rsidRPr="009907EE">
              <w:rPr>
                <w:iCs/>
                <w:sz w:val="24"/>
                <w:szCs w:val="24"/>
              </w:rPr>
              <w:t xml:space="preserve"> </w:t>
            </w:r>
            <w:r w:rsidR="000E0422">
              <w:rPr>
                <w:iCs/>
                <w:sz w:val="24"/>
                <w:szCs w:val="24"/>
              </w:rPr>
              <w:t>Child 2</w:t>
            </w:r>
            <w:r w:rsidRPr="009907EE">
              <w:rPr>
                <w:iCs/>
                <w:sz w:val="24"/>
                <w:szCs w:val="24"/>
              </w:rPr>
              <w:t xml:space="preserve"> told their mother about a recent accident at school and removed their cardigan to show a graze extending across the right shoulder blade towards the underarm. There was a significant graze and yellowing bruise. </w:t>
            </w:r>
            <w:r w:rsidR="000E0422">
              <w:rPr>
                <w:iCs/>
                <w:sz w:val="24"/>
                <w:szCs w:val="24"/>
              </w:rPr>
              <w:t>Child 2</w:t>
            </w:r>
            <w:r w:rsidRPr="009907EE">
              <w:rPr>
                <w:iCs/>
                <w:sz w:val="24"/>
                <w:szCs w:val="24"/>
              </w:rPr>
              <w:t xml:space="preserve"> initially explained that the injury had happened on a wall at school. While talking, </w:t>
            </w:r>
            <w:r w:rsidR="000E0422">
              <w:rPr>
                <w:iCs/>
                <w:sz w:val="24"/>
                <w:szCs w:val="24"/>
              </w:rPr>
              <w:t>Child 2</w:t>
            </w:r>
            <w:r w:rsidRPr="009907EE">
              <w:rPr>
                <w:iCs/>
                <w:sz w:val="24"/>
                <w:szCs w:val="24"/>
              </w:rPr>
              <w:t xml:space="preserve"> was wearing a short-sleeved polo shirt and their mother noticed additional marks on the upper arms. There were small puncture or half-moon shaped marks on the right upper arm which had scabbed over and less obvious marks on the left upper arm.</w:t>
            </w:r>
          </w:p>
          <w:p w14:paraId="54B9F1D3" w14:textId="6E12F957" w:rsidR="009907EE" w:rsidRPr="009907EE" w:rsidRDefault="009907EE" w:rsidP="009907EE">
            <w:pPr>
              <w:jc w:val="both"/>
              <w:rPr>
                <w:iCs/>
                <w:sz w:val="24"/>
                <w:szCs w:val="24"/>
              </w:rPr>
            </w:pPr>
            <w:r w:rsidRPr="009907EE">
              <w:rPr>
                <w:iCs/>
                <w:sz w:val="24"/>
                <w:szCs w:val="24"/>
              </w:rPr>
              <w:t xml:space="preserve">When </w:t>
            </w:r>
            <w:r w:rsidR="000E0422">
              <w:rPr>
                <w:iCs/>
                <w:sz w:val="24"/>
                <w:szCs w:val="24"/>
              </w:rPr>
              <w:t>Child 2</w:t>
            </w:r>
            <w:r w:rsidRPr="009907EE">
              <w:rPr>
                <w:iCs/>
                <w:sz w:val="24"/>
                <w:szCs w:val="24"/>
              </w:rPr>
              <w:t xml:space="preserve"> was asked about the marks, they explained that the adult daughter of the foster carer had been shouting because she had to get up at 4am for work. </w:t>
            </w:r>
            <w:r w:rsidR="000E0422">
              <w:rPr>
                <w:iCs/>
                <w:sz w:val="24"/>
                <w:szCs w:val="24"/>
              </w:rPr>
              <w:t>Child 2</w:t>
            </w:r>
            <w:r w:rsidRPr="009907EE">
              <w:rPr>
                <w:iCs/>
                <w:sz w:val="24"/>
                <w:szCs w:val="24"/>
              </w:rPr>
              <w:t xml:space="preserve"> stated that the adult daughter had grabbed both arms. </w:t>
            </w:r>
            <w:r w:rsidR="000E0422">
              <w:rPr>
                <w:iCs/>
                <w:sz w:val="24"/>
                <w:szCs w:val="24"/>
              </w:rPr>
              <w:t>Child 2</w:t>
            </w:r>
            <w:r w:rsidRPr="009907EE">
              <w:rPr>
                <w:iCs/>
                <w:sz w:val="24"/>
                <w:szCs w:val="24"/>
              </w:rPr>
              <w:t xml:space="preserve"> appeared to believe they had done something wrong, which was important to recognise because this could have influenced how they understood and disclosed what had happened. Their mother and I reassured </w:t>
            </w:r>
            <w:r w:rsidR="000E0422">
              <w:rPr>
                <w:iCs/>
                <w:sz w:val="24"/>
                <w:szCs w:val="24"/>
              </w:rPr>
              <w:t>Child 2</w:t>
            </w:r>
            <w:r w:rsidRPr="009907EE">
              <w:rPr>
                <w:iCs/>
                <w:sz w:val="24"/>
                <w:szCs w:val="24"/>
              </w:rPr>
              <w:t xml:space="preserve"> that they had not done anything wrong.</w:t>
            </w:r>
          </w:p>
          <w:p w14:paraId="32B46569" w14:textId="3E8792C1" w:rsidR="009907EE" w:rsidRDefault="000E0422" w:rsidP="009907EE">
            <w:pPr>
              <w:jc w:val="both"/>
              <w:rPr>
                <w:iCs/>
                <w:sz w:val="24"/>
                <w:szCs w:val="24"/>
              </w:rPr>
            </w:pPr>
            <w:r>
              <w:rPr>
                <w:iCs/>
                <w:sz w:val="24"/>
                <w:szCs w:val="24"/>
              </w:rPr>
              <w:lastRenderedPageBreak/>
              <w:t>Child 2</w:t>
            </w:r>
            <w:r w:rsidR="009907EE" w:rsidRPr="009907EE">
              <w:rPr>
                <w:iCs/>
                <w:sz w:val="24"/>
                <w:szCs w:val="24"/>
              </w:rPr>
              <w:t xml:space="preserve"> then disclosed that the adult daughter sometimes slapped them on the bottom and legs. Their mother became visibly distressed and tried to contain her emotions. I recognised that her reaction could potentially influence </w:t>
            </w:r>
            <w:r>
              <w:rPr>
                <w:iCs/>
                <w:sz w:val="24"/>
                <w:szCs w:val="24"/>
              </w:rPr>
              <w:t>Child 2</w:t>
            </w:r>
            <w:r w:rsidR="009907EE" w:rsidRPr="009907EE">
              <w:rPr>
                <w:iCs/>
                <w:sz w:val="24"/>
                <w:szCs w:val="24"/>
              </w:rPr>
              <w:t xml:space="preserve">'s communication, so I remained calm and provided reassurance while ensuring the information was recorded accurately. When the Team Leader arrived, </w:t>
            </w:r>
            <w:r>
              <w:rPr>
                <w:iCs/>
                <w:sz w:val="24"/>
                <w:szCs w:val="24"/>
              </w:rPr>
              <w:t>Child 2</w:t>
            </w:r>
            <w:r w:rsidR="009907EE" w:rsidRPr="009907EE">
              <w:rPr>
                <w:iCs/>
                <w:sz w:val="24"/>
                <w:szCs w:val="24"/>
              </w:rPr>
              <w:t xml:space="preserve"> was spoken to separately and was able to explain what had happened. </w:t>
            </w:r>
            <w:r>
              <w:rPr>
                <w:iCs/>
                <w:sz w:val="24"/>
                <w:szCs w:val="24"/>
              </w:rPr>
              <w:t>Child 2</w:t>
            </w:r>
            <w:r w:rsidR="009907EE" w:rsidRPr="009907EE">
              <w:rPr>
                <w:iCs/>
                <w:sz w:val="24"/>
                <w:szCs w:val="24"/>
              </w:rPr>
              <w:t xml:space="preserve"> demonstrated how their arms had been held by gripping </w:t>
            </w:r>
            <w:r w:rsidR="003A22A2">
              <w:rPr>
                <w:iCs/>
                <w:sz w:val="24"/>
                <w:szCs w:val="24"/>
              </w:rPr>
              <w:t>my</w:t>
            </w:r>
            <w:r w:rsidR="009907EE" w:rsidRPr="009907EE">
              <w:rPr>
                <w:iCs/>
                <w:sz w:val="24"/>
                <w:szCs w:val="24"/>
              </w:rPr>
              <w:t xml:space="preserve"> upper arms tightly. They explained that the incident had happened in their bedroom because the adult daughter was angry about </w:t>
            </w:r>
            <w:r w:rsidR="003A22A2">
              <w:rPr>
                <w:iCs/>
                <w:sz w:val="24"/>
                <w:szCs w:val="24"/>
              </w:rPr>
              <w:t xml:space="preserve">her </w:t>
            </w:r>
            <w:r w:rsidR="009907EE" w:rsidRPr="009907EE">
              <w:rPr>
                <w:iCs/>
                <w:sz w:val="24"/>
                <w:szCs w:val="24"/>
              </w:rPr>
              <w:t xml:space="preserve">making noise when she had work early the following morning. </w:t>
            </w:r>
            <w:r>
              <w:rPr>
                <w:iCs/>
                <w:sz w:val="24"/>
                <w:szCs w:val="24"/>
              </w:rPr>
              <w:t>Child 2</w:t>
            </w:r>
            <w:r w:rsidR="009907EE" w:rsidRPr="009907EE">
              <w:rPr>
                <w:iCs/>
                <w:sz w:val="24"/>
                <w:szCs w:val="24"/>
              </w:rPr>
              <w:t xml:space="preserve"> also stated that the slapping had happened before.</w:t>
            </w:r>
            <w:r w:rsidR="003A22A2">
              <w:rPr>
                <w:iCs/>
                <w:sz w:val="24"/>
                <w:szCs w:val="24"/>
              </w:rPr>
              <w:t xml:space="preserve"> </w:t>
            </w:r>
            <w:r>
              <w:rPr>
                <w:iCs/>
                <w:sz w:val="24"/>
                <w:szCs w:val="24"/>
              </w:rPr>
              <w:t>Child 2</w:t>
            </w:r>
            <w:r w:rsidR="009907EE" w:rsidRPr="009907EE">
              <w:rPr>
                <w:iCs/>
                <w:sz w:val="24"/>
                <w:szCs w:val="24"/>
              </w:rPr>
              <w:t xml:space="preserve"> later repeated the same account during transport to a new placement to </w:t>
            </w:r>
            <w:r w:rsidR="00574855" w:rsidRPr="009907EE">
              <w:rPr>
                <w:iCs/>
                <w:sz w:val="24"/>
                <w:szCs w:val="24"/>
              </w:rPr>
              <w:t>me</w:t>
            </w:r>
            <w:r w:rsidR="009907EE" w:rsidRPr="009907EE">
              <w:rPr>
                <w:iCs/>
                <w:sz w:val="24"/>
                <w:szCs w:val="24"/>
              </w:rPr>
              <w:t xml:space="preserve"> and another social worker. They disclosed that the adult daughter had slapped them regularly and described one previous occasion when they had been hit around the ear, leaving the ear sore and causing them to sleep on the opposite side because of the pain. The information was subsequently repeated to other professionals, including the paediatrician undertaking the child protection medical assessment. The consistency of the child's account was important, although I recognised that consistency alone should not determine whether an allegation is believed. Professional judgement needed to consider the whole body of information, the child's presentation, physical evidence, medical findings and information from other agencies.</w:t>
            </w:r>
          </w:p>
          <w:p w14:paraId="0762D511" w14:textId="77777777" w:rsidR="003A22A2" w:rsidRPr="009907EE" w:rsidRDefault="003A22A2" w:rsidP="009907EE">
            <w:pPr>
              <w:jc w:val="both"/>
              <w:rPr>
                <w:iCs/>
                <w:sz w:val="24"/>
                <w:szCs w:val="24"/>
              </w:rPr>
            </w:pPr>
          </w:p>
          <w:p w14:paraId="4DA328B6" w14:textId="232ABB52" w:rsidR="009907EE" w:rsidRPr="009907EE" w:rsidRDefault="009907EE" w:rsidP="009907EE">
            <w:pPr>
              <w:jc w:val="both"/>
              <w:rPr>
                <w:iCs/>
                <w:sz w:val="24"/>
                <w:szCs w:val="24"/>
              </w:rPr>
            </w:pPr>
            <w:r w:rsidRPr="009907EE">
              <w:rPr>
                <w:iCs/>
                <w:sz w:val="24"/>
                <w:szCs w:val="24"/>
              </w:rPr>
              <w:t xml:space="preserve">The concerns progressed to a strategy discussion and then to a Section 47 joint child protection enquiry involving social services and the police under the Children Act </w:t>
            </w:r>
            <w:r w:rsidR="003E4404">
              <w:rPr>
                <w:iCs/>
                <w:sz w:val="24"/>
                <w:szCs w:val="24"/>
              </w:rPr>
              <w:t>(</w:t>
            </w:r>
            <w:r w:rsidRPr="009907EE">
              <w:rPr>
                <w:iCs/>
                <w:sz w:val="24"/>
                <w:szCs w:val="24"/>
              </w:rPr>
              <w:t>1989</w:t>
            </w:r>
            <w:r w:rsidR="003E4404">
              <w:rPr>
                <w:iCs/>
                <w:sz w:val="24"/>
                <w:szCs w:val="24"/>
              </w:rPr>
              <w:t>)</w:t>
            </w:r>
            <w:r w:rsidRPr="009907EE">
              <w:rPr>
                <w:iCs/>
                <w:sz w:val="24"/>
                <w:szCs w:val="24"/>
              </w:rPr>
              <w:t xml:space="preserve">. I did not attend the strategy discussion; my manager attended and information from the assessment and disclosures was shared. A child protection medical examination was completed and confirmed that the injuries were non-accidental. </w:t>
            </w:r>
            <w:r w:rsidR="000E0422">
              <w:rPr>
                <w:iCs/>
                <w:sz w:val="24"/>
                <w:szCs w:val="24"/>
              </w:rPr>
              <w:t>Child 2</w:t>
            </w:r>
            <w:r w:rsidRPr="009907EE">
              <w:rPr>
                <w:iCs/>
                <w:sz w:val="24"/>
                <w:szCs w:val="24"/>
              </w:rPr>
              <w:t xml:space="preserve"> was moved to a new placement to safeguard them while further enquiries continued. An Achieving Best Evidence interview was also undertaken in two parts to support </w:t>
            </w:r>
            <w:r w:rsidR="000E0422">
              <w:rPr>
                <w:iCs/>
                <w:sz w:val="24"/>
                <w:szCs w:val="24"/>
              </w:rPr>
              <w:t>Child 2</w:t>
            </w:r>
            <w:r w:rsidRPr="009907EE">
              <w:rPr>
                <w:iCs/>
                <w:sz w:val="24"/>
                <w:szCs w:val="24"/>
              </w:rPr>
              <w:t xml:space="preserve"> to remain comfortable and able to participate. Further enquiries regarding the foster carer and adult daughter were ongoing and a police investigation was continuing.</w:t>
            </w:r>
          </w:p>
          <w:p w14:paraId="4AE4A91E" w14:textId="69381FA3" w:rsidR="00C37C2D" w:rsidRDefault="009907EE" w:rsidP="00C37C2D">
            <w:pPr>
              <w:jc w:val="both"/>
              <w:rPr>
                <w:iCs/>
                <w:sz w:val="24"/>
                <w:szCs w:val="24"/>
              </w:rPr>
            </w:pPr>
            <w:r w:rsidRPr="009907EE">
              <w:rPr>
                <w:iCs/>
                <w:sz w:val="24"/>
                <w:szCs w:val="24"/>
              </w:rPr>
              <w:t xml:space="preserve">The assessment therefore required me to move beyond simply recording what </w:t>
            </w:r>
            <w:r w:rsidR="000E0422">
              <w:rPr>
                <w:iCs/>
                <w:sz w:val="24"/>
                <w:szCs w:val="24"/>
              </w:rPr>
              <w:t>Child 2</w:t>
            </w:r>
            <w:r w:rsidRPr="009907EE">
              <w:rPr>
                <w:iCs/>
                <w:sz w:val="24"/>
                <w:szCs w:val="24"/>
              </w:rPr>
              <w:t xml:space="preserve"> had said and to analyse the meaning and significance of the information. Parker, Bradley and Bradley (2017) describe assessment as involving the gathering, analysis and interpretation of information to inform planning and intervention. In this situation, the assessment needed to consider the child's account alongside the injuries, the context in which the disclosures were made, the relationships within the foster placement, the child's emotional response and the information obtained by other professionals. </w:t>
            </w:r>
            <w:r w:rsidR="00C37C2D" w:rsidRPr="00C37C2D">
              <w:rPr>
                <w:iCs/>
                <w:sz w:val="24"/>
                <w:szCs w:val="24"/>
              </w:rPr>
              <w:t xml:space="preserve">Davies and Duckett (2016) stress that it is very important to listen to children’s voices and recognise signs of abuse in proactive child protection practice. It reinforced my belief that </w:t>
            </w:r>
            <w:r w:rsidR="000E0422">
              <w:rPr>
                <w:iCs/>
                <w:sz w:val="24"/>
                <w:szCs w:val="24"/>
              </w:rPr>
              <w:t>Child 2</w:t>
            </w:r>
            <w:r w:rsidR="00C37C2D" w:rsidRPr="00C37C2D">
              <w:rPr>
                <w:iCs/>
                <w:sz w:val="24"/>
                <w:szCs w:val="24"/>
              </w:rPr>
              <w:t>’s communication needed to be taken seriously without dismissing it or reaching conclusions beyond the evidence available.</w:t>
            </w:r>
          </w:p>
          <w:p w14:paraId="22010865" w14:textId="77777777" w:rsidR="003E4404" w:rsidRPr="00C37C2D" w:rsidRDefault="003E4404" w:rsidP="00C37C2D">
            <w:pPr>
              <w:jc w:val="both"/>
              <w:rPr>
                <w:iCs/>
                <w:sz w:val="24"/>
                <w:szCs w:val="24"/>
              </w:rPr>
            </w:pPr>
          </w:p>
          <w:p w14:paraId="0717EC9C" w14:textId="08D86DAD" w:rsidR="009907EE" w:rsidRDefault="00C37C2D" w:rsidP="009907EE">
            <w:pPr>
              <w:jc w:val="both"/>
              <w:rPr>
                <w:iCs/>
                <w:sz w:val="24"/>
                <w:szCs w:val="24"/>
              </w:rPr>
            </w:pPr>
            <w:r w:rsidRPr="00C37C2D">
              <w:rPr>
                <w:iCs/>
                <w:sz w:val="24"/>
                <w:szCs w:val="24"/>
              </w:rPr>
              <w:t xml:space="preserve">Systems theory was particularly relevant because </w:t>
            </w:r>
            <w:r w:rsidR="000E0422">
              <w:rPr>
                <w:iCs/>
                <w:sz w:val="24"/>
                <w:szCs w:val="24"/>
              </w:rPr>
              <w:t>Child 2</w:t>
            </w:r>
            <w:r w:rsidRPr="00C37C2D">
              <w:rPr>
                <w:iCs/>
                <w:sz w:val="24"/>
                <w:szCs w:val="24"/>
              </w:rPr>
              <w:t xml:space="preserve"> could not be understood separately from the different systems around them</w:t>
            </w:r>
            <w:r w:rsidR="009907EE" w:rsidRPr="009907EE">
              <w:rPr>
                <w:iCs/>
                <w:sz w:val="24"/>
                <w:szCs w:val="24"/>
              </w:rPr>
              <w:t xml:space="preserve">. Teater (2014) explains that systems theory and an ecological perspective can help social workers understand the interaction between individuals and their environments. In this case, </w:t>
            </w:r>
            <w:r w:rsidR="000E0422">
              <w:rPr>
                <w:iCs/>
                <w:sz w:val="24"/>
                <w:szCs w:val="24"/>
              </w:rPr>
              <w:t>Child 2</w:t>
            </w:r>
            <w:r w:rsidR="009907EE" w:rsidRPr="009907EE">
              <w:rPr>
                <w:iCs/>
                <w:sz w:val="24"/>
                <w:szCs w:val="24"/>
              </w:rPr>
              <w:t xml:space="preserve">'s experience was influenced by their relationship with their mother, foster carers and other members of the foster household, education, health professionals, social services and the police. The placement itself was intended to provide safety and stability, yet the allegation suggested that a person within that environment may </w:t>
            </w:r>
            <w:r w:rsidR="009907EE" w:rsidRPr="009907EE">
              <w:rPr>
                <w:iCs/>
                <w:sz w:val="24"/>
                <w:szCs w:val="24"/>
              </w:rPr>
              <w:lastRenderedPageBreak/>
              <w:t>have caused harm. This created an important professional tension because a placement that was expected to provide protection had potentially become a source of risk.</w:t>
            </w:r>
            <w:r w:rsidR="003E4404">
              <w:rPr>
                <w:iCs/>
                <w:sz w:val="24"/>
                <w:szCs w:val="24"/>
              </w:rPr>
              <w:t xml:space="preserve"> </w:t>
            </w:r>
            <w:r w:rsidR="009907EE" w:rsidRPr="009907EE">
              <w:rPr>
                <w:iCs/>
                <w:sz w:val="24"/>
                <w:szCs w:val="24"/>
              </w:rPr>
              <w:t xml:space="preserve">The systems perspective also helped me consider the wider impact of the situation. </w:t>
            </w:r>
            <w:r w:rsidR="000E0422">
              <w:rPr>
                <w:iCs/>
                <w:sz w:val="24"/>
                <w:szCs w:val="24"/>
              </w:rPr>
              <w:t>Child 2</w:t>
            </w:r>
            <w:r w:rsidR="009907EE" w:rsidRPr="009907EE">
              <w:rPr>
                <w:iCs/>
                <w:sz w:val="24"/>
                <w:szCs w:val="24"/>
              </w:rPr>
              <w:t xml:space="preserve"> had experienced disruption, changes in relationships and a move to another placement. Their mother was distressed and felt that the foster carers and local authority had failed </w:t>
            </w:r>
            <w:r w:rsidR="000E0422">
              <w:rPr>
                <w:iCs/>
                <w:sz w:val="24"/>
                <w:szCs w:val="24"/>
              </w:rPr>
              <w:t>Child 2</w:t>
            </w:r>
            <w:r w:rsidR="009907EE" w:rsidRPr="009907EE">
              <w:rPr>
                <w:iCs/>
                <w:sz w:val="24"/>
                <w:szCs w:val="24"/>
              </w:rPr>
              <w:t>. The foster carers were also affected by allegations and the investigation, while the adult daughter was subject to safeguarding and police processes. Professionals were required to work together while managing different responsibilities and sources of information. Teater (2014) is useful here because theory provides a way of understanding how different parts of a person's environment interact rather than locating the problem solely within the child or individual adult.</w:t>
            </w:r>
          </w:p>
          <w:p w14:paraId="623FF433" w14:textId="77777777" w:rsidR="003A22A2" w:rsidRPr="009907EE" w:rsidRDefault="003A22A2" w:rsidP="009907EE">
            <w:pPr>
              <w:jc w:val="both"/>
              <w:rPr>
                <w:iCs/>
                <w:sz w:val="24"/>
                <w:szCs w:val="24"/>
              </w:rPr>
            </w:pPr>
          </w:p>
          <w:p w14:paraId="3BDCC55C" w14:textId="0BFE62A0" w:rsidR="009907EE" w:rsidRPr="009907EE" w:rsidRDefault="009907EE" w:rsidP="009907EE">
            <w:pPr>
              <w:jc w:val="both"/>
              <w:rPr>
                <w:iCs/>
                <w:sz w:val="24"/>
                <w:szCs w:val="24"/>
              </w:rPr>
            </w:pPr>
            <w:r w:rsidRPr="009907EE">
              <w:rPr>
                <w:iCs/>
                <w:sz w:val="24"/>
                <w:szCs w:val="24"/>
              </w:rPr>
              <w:t xml:space="preserve">Trauma-informed practice was also important in understanding </w:t>
            </w:r>
            <w:r w:rsidR="000E0422">
              <w:rPr>
                <w:iCs/>
                <w:sz w:val="24"/>
                <w:szCs w:val="24"/>
              </w:rPr>
              <w:t>Child 2</w:t>
            </w:r>
            <w:r w:rsidRPr="009907EE">
              <w:rPr>
                <w:iCs/>
                <w:sz w:val="24"/>
                <w:szCs w:val="24"/>
              </w:rPr>
              <w:t xml:space="preserve">'s behaviour. </w:t>
            </w:r>
            <w:r w:rsidR="000E0422">
              <w:rPr>
                <w:iCs/>
                <w:sz w:val="24"/>
                <w:szCs w:val="24"/>
              </w:rPr>
              <w:t>Child 2</w:t>
            </w:r>
            <w:r w:rsidRPr="009907EE">
              <w:rPr>
                <w:iCs/>
                <w:sz w:val="24"/>
                <w:szCs w:val="24"/>
              </w:rPr>
              <w:t xml:space="preserve"> appeared to have normalised some of the physical treatment and stated that they did not mind what had happened because it had only hurt for part of the night. They also appeared worried that the foster carer would be angry for telling the truth and described the adult daughter as someone who could make them move from "green to red". I was careful not to interpret these statements beyond what </w:t>
            </w:r>
            <w:r w:rsidR="000E0422">
              <w:rPr>
                <w:iCs/>
                <w:sz w:val="24"/>
                <w:szCs w:val="24"/>
              </w:rPr>
              <w:t>Child 2</w:t>
            </w:r>
            <w:r w:rsidRPr="009907EE">
              <w:rPr>
                <w:iCs/>
                <w:sz w:val="24"/>
                <w:szCs w:val="24"/>
              </w:rPr>
              <w:t xml:space="preserve"> was communicating, but they made me consider how repeated experiences of fear, anger or harm may affect a child's understanding of what is normal in relationships. </w:t>
            </w:r>
            <w:r w:rsidR="000E0422">
              <w:rPr>
                <w:iCs/>
                <w:sz w:val="24"/>
                <w:szCs w:val="24"/>
              </w:rPr>
              <w:t>Child 2</w:t>
            </w:r>
            <w:r w:rsidRPr="009907EE">
              <w:rPr>
                <w:iCs/>
                <w:sz w:val="24"/>
                <w:szCs w:val="24"/>
              </w:rPr>
              <w:t xml:space="preserve"> also appeared to seek closeness and reassurance from adults, which reinforced the importance of predictable boundaries, consistency and safe relationships. Rather than assuming that a child will automatically recognise harmful behaviour as unacceptable, trauma-informed practice requires consideration of how previous experiences can influence behaviour, attachment and disclosure.</w:t>
            </w:r>
          </w:p>
          <w:p w14:paraId="1F8C261A" w14:textId="6DFE8276" w:rsidR="009907EE" w:rsidRDefault="009907EE" w:rsidP="009907EE">
            <w:pPr>
              <w:jc w:val="both"/>
              <w:rPr>
                <w:iCs/>
                <w:sz w:val="24"/>
                <w:szCs w:val="24"/>
              </w:rPr>
            </w:pPr>
            <w:r w:rsidRPr="009907EE">
              <w:rPr>
                <w:iCs/>
                <w:sz w:val="24"/>
                <w:szCs w:val="24"/>
              </w:rPr>
              <w:t xml:space="preserve">I also considered strengths-based and child-centred practice. </w:t>
            </w:r>
            <w:r w:rsidR="000E0422">
              <w:rPr>
                <w:iCs/>
                <w:sz w:val="24"/>
                <w:szCs w:val="24"/>
              </w:rPr>
              <w:t>Child 2</w:t>
            </w:r>
            <w:r w:rsidRPr="009907EE">
              <w:rPr>
                <w:iCs/>
                <w:sz w:val="24"/>
                <w:szCs w:val="24"/>
              </w:rPr>
              <w:t xml:space="preserve"> was able to communicate what had happened and repeatedly provide information to different professionals. Although the circumstances were distressing, this demonstrated resilience and an ability to seek help. A strengths-based approach did not mean minimising the harm; instead, it meant recognising </w:t>
            </w:r>
            <w:r w:rsidR="000E0422">
              <w:rPr>
                <w:iCs/>
                <w:sz w:val="24"/>
                <w:szCs w:val="24"/>
              </w:rPr>
              <w:t>Child 2</w:t>
            </w:r>
            <w:r w:rsidRPr="009907EE">
              <w:rPr>
                <w:iCs/>
                <w:sz w:val="24"/>
                <w:szCs w:val="24"/>
              </w:rPr>
              <w:t xml:space="preserve">'s abilities while ensuring that responsibility for safety remained with adults and agencies. Parker, Bradley and Bradley (2017) emphasise the importance of assessment informing appropriate planning and intervention, while Teater (2014) identifies strengths and empowerment as important approaches within social work. In practice, this meant listening to </w:t>
            </w:r>
            <w:r w:rsidR="000E0422">
              <w:rPr>
                <w:iCs/>
                <w:sz w:val="24"/>
                <w:szCs w:val="24"/>
              </w:rPr>
              <w:t>Child 2</w:t>
            </w:r>
            <w:r w:rsidRPr="009907EE">
              <w:rPr>
                <w:iCs/>
                <w:sz w:val="24"/>
                <w:szCs w:val="24"/>
              </w:rPr>
              <w:t>, explaining what was happening in an age-appropriate way and ensuring that they were not made responsible for resolving the situation.</w:t>
            </w:r>
          </w:p>
          <w:p w14:paraId="66CB9D17" w14:textId="77777777" w:rsidR="003A22A2" w:rsidRPr="009907EE" w:rsidRDefault="003A22A2" w:rsidP="009907EE">
            <w:pPr>
              <w:jc w:val="both"/>
              <w:rPr>
                <w:iCs/>
                <w:sz w:val="24"/>
                <w:szCs w:val="24"/>
              </w:rPr>
            </w:pPr>
          </w:p>
          <w:p w14:paraId="5E9E7874" w14:textId="4B3ABC35" w:rsidR="009907EE" w:rsidRPr="009907EE" w:rsidRDefault="009907EE" w:rsidP="009907EE">
            <w:pPr>
              <w:jc w:val="both"/>
              <w:rPr>
                <w:iCs/>
                <w:sz w:val="24"/>
                <w:szCs w:val="24"/>
              </w:rPr>
            </w:pPr>
            <w:r w:rsidRPr="009907EE">
              <w:rPr>
                <w:iCs/>
                <w:sz w:val="24"/>
                <w:szCs w:val="24"/>
              </w:rPr>
              <w:t xml:space="preserve">Communication was central throughout the assessment. Koprowska (2010) emphasises that social work communication requires flexibility and responsiveness rather than relying on one fixed approach. This was particularly important because </w:t>
            </w:r>
            <w:r w:rsidR="000E0422">
              <w:rPr>
                <w:iCs/>
                <w:sz w:val="24"/>
                <w:szCs w:val="24"/>
              </w:rPr>
              <w:t>Child 2</w:t>
            </w:r>
            <w:r w:rsidRPr="009907EE">
              <w:rPr>
                <w:iCs/>
                <w:sz w:val="24"/>
                <w:szCs w:val="24"/>
              </w:rPr>
              <w:t xml:space="preserve"> was communicating through words, behaviour, demonstration and emotional expression. When </w:t>
            </w:r>
            <w:r w:rsidR="000E0422">
              <w:rPr>
                <w:iCs/>
                <w:sz w:val="24"/>
                <w:szCs w:val="24"/>
              </w:rPr>
              <w:t>Child 2</w:t>
            </w:r>
            <w:r w:rsidRPr="009907EE">
              <w:rPr>
                <w:iCs/>
                <w:sz w:val="24"/>
                <w:szCs w:val="24"/>
              </w:rPr>
              <w:t xml:space="preserve"> physically demonstrated how their arms had been held, this was meaningful communication and needed to be recorded accurately without exaggeration. I also had to be aware of my own non-verbal communication because children can be highly sensitive to adult reactions. Remaining calm and avoiding expressions of shock or disbelief helped reduce the possibility of influencing </w:t>
            </w:r>
            <w:r w:rsidR="000E0422">
              <w:rPr>
                <w:iCs/>
                <w:sz w:val="24"/>
                <w:szCs w:val="24"/>
              </w:rPr>
              <w:t>Child 2</w:t>
            </w:r>
            <w:r w:rsidRPr="009907EE">
              <w:rPr>
                <w:iCs/>
                <w:sz w:val="24"/>
                <w:szCs w:val="24"/>
              </w:rPr>
              <w:t>'s account.</w:t>
            </w:r>
          </w:p>
          <w:p w14:paraId="007FDF26" w14:textId="55D4280A" w:rsidR="009907EE" w:rsidRPr="009907EE" w:rsidRDefault="009907EE" w:rsidP="009907EE">
            <w:pPr>
              <w:jc w:val="both"/>
              <w:rPr>
                <w:iCs/>
                <w:sz w:val="24"/>
                <w:szCs w:val="24"/>
              </w:rPr>
            </w:pPr>
            <w:r w:rsidRPr="009907EE">
              <w:rPr>
                <w:iCs/>
                <w:sz w:val="24"/>
                <w:szCs w:val="24"/>
              </w:rPr>
              <w:t xml:space="preserve">The communication with </w:t>
            </w:r>
            <w:r w:rsidR="000E0422">
              <w:rPr>
                <w:iCs/>
                <w:sz w:val="24"/>
                <w:szCs w:val="24"/>
              </w:rPr>
              <w:t>Child 2</w:t>
            </w:r>
            <w:r w:rsidRPr="009907EE">
              <w:rPr>
                <w:iCs/>
                <w:sz w:val="24"/>
                <w:szCs w:val="24"/>
              </w:rPr>
              <w:t xml:space="preserve"> also raised an issue of power. Adults involved in safeguarding have institutional authority, while children are often dependent on adults for care, transport, </w:t>
            </w:r>
            <w:r w:rsidRPr="009907EE">
              <w:rPr>
                <w:iCs/>
                <w:sz w:val="24"/>
                <w:szCs w:val="24"/>
              </w:rPr>
              <w:lastRenderedPageBreak/>
              <w:t xml:space="preserve">housing and decision-making. Tedam's (2021) 4D2P approach, involving Discuss, Discover, Decide and Disrupt and underpinned by Power and Privilege, helped me reflect on how power operated within the situation. The first stage, Discuss, involves creating opportunities to explore experiences rather than assuming what is happening. Discovering </w:t>
            </w:r>
            <w:r w:rsidR="000E0422">
              <w:rPr>
                <w:iCs/>
                <w:sz w:val="24"/>
                <w:szCs w:val="24"/>
              </w:rPr>
              <w:t>Child 2</w:t>
            </w:r>
            <w:r w:rsidRPr="009907EE">
              <w:rPr>
                <w:iCs/>
                <w:sz w:val="24"/>
                <w:szCs w:val="24"/>
              </w:rPr>
              <w:t xml:space="preserve">'s account required listening carefully and noticing the difference between what adults might consider ordinary behaviour and what the child experienced as frightening or harmful. Deciding required professional judgement based on evidence and risk. Disrupting meant challenging harmful practice and changing the circumstances so that </w:t>
            </w:r>
            <w:r w:rsidR="000E0422">
              <w:rPr>
                <w:iCs/>
                <w:sz w:val="24"/>
                <w:szCs w:val="24"/>
              </w:rPr>
              <w:t>Child 2</w:t>
            </w:r>
            <w:r w:rsidRPr="009907EE">
              <w:rPr>
                <w:iCs/>
                <w:sz w:val="24"/>
                <w:szCs w:val="24"/>
              </w:rPr>
              <w:t xml:space="preserve"> was safer.</w:t>
            </w:r>
          </w:p>
          <w:p w14:paraId="44A06296" w14:textId="2ECE6E6A" w:rsidR="009907EE" w:rsidRPr="009907EE" w:rsidRDefault="009907EE" w:rsidP="009907EE">
            <w:pPr>
              <w:jc w:val="both"/>
              <w:rPr>
                <w:iCs/>
                <w:sz w:val="24"/>
                <w:szCs w:val="24"/>
              </w:rPr>
            </w:pPr>
            <w:r w:rsidRPr="009907EE">
              <w:rPr>
                <w:iCs/>
                <w:sz w:val="24"/>
                <w:szCs w:val="24"/>
              </w:rPr>
              <w:t xml:space="preserve">The 4D2P model also encouraged me to consider privilege and assumptions. I needed to avoid assuming that because </w:t>
            </w:r>
            <w:r w:rsidR="000E0422">
              <w:rPr>
                <w:iCs/>
                <w:sz w:val="24"/>
                <w:szCs w:val="24"/>
              </w:rPr>
              <w:t>Child 2</w:t>
            </w:r>
            <w:r w:rsidRPr="009907EE">
              <w:rPr>
                <w:iCs/>
                <w:sz w:val="24"/>
                <w:szCs w:val="24"/>
              </w:rPr>
              <w:t xml:space="preserve"> was living with foster carers they were automatically safe, or that an adult within a foster household would behave appropriately simply because they were connected to an approved placement. Equally, I needed to avoid making assumptions about the foster carer's intentions or reaching a conclusion before the investigation was completed. Anti-oppressive practice required me to recognise the unequal power between adults and </w:t>
            </w:r>
            <w:r w:rsidR="000E0422">
              <w:rPr>
                <w:iCs/>
                <w:sz w:val="24"/>
                <w:szCs w:val="24"/>
              </w:rPr>
              <w:t>Child 2</w:t>
            </w:r>
            <w:r w:rsidRPr="009907EE">
              <w:rPr>
                <w:iCs/>
                <w:sz w:val="24"/>
                <w:szCs w:val="24"/>
              </w:rPr>
              <w:t>, while also maintaining fairness towards adults who were subject to allegations. This was an important balance because safeguarding requires decisive action where risk is identified but also requires evidence-based and proportionate professional judgement.</w:t>
            </w:r>
          </w:p>
          <w:p w14:paraId="57F2EDA8" w14:textId="706C8122" w:rsidR="009907EE" w:rsidRPr="009907EE" w:rsidRDefault="009907EE" w:rsidP="009907EE">
            <w:pPr>
              <w:jc w:val="both"/>
              <w:rPr>
                <w:iCs/>
                <w:sz w:val="24"/>
                <w:szCs w:val="24"/>
              </w:rPr>
            </w:pPr>
            <w:r w:rsidRPr="009907EE">
              <w:rPr>
                <w:iCs/>
                <w:sz w:val="24"/>
                <w:szCs w:val="24"/>
              </w:rPr>
              <w:t xml:space="preserve">Power also existed between professionals. Social workers, police officers, health professionals and education staff each held different forms of authority, information and expertise. Rutter and Brown (2015) argue that professional judgement requires critical thinking and consideration of evidence rather than relying on assumptions. In this case, I needed to recognise that my interpretation was only one part of a wider assessment. The medical assessment, police enquiries, social work information and </w:t>
            </w:r>
            <w:r w:rsidR="000E0422">
              <w:rPr>
                <w:iCs/>
                <w:sz w:val="24"/>
                <w:szCs w:val="24"/>
              </w:rPr>
              <w:t>Child 2</w:t>
            </w:r>
            <w:r w:rsidRPr="009907EE">
              <w:rPr>
                <w:iCs/>
                <w:sz w:val="24"/>
                <w:szCs w:val="24"/>
              </w:rPr>
              <w:t>'s account all contributed to the professional picture. I therefore needed to remain open to information that might confirm or challenge my initial understanding.</w:t>
            </w:r>
          </w:p>
          <w:p w14:paraId="1D94312E" w14:textId="3D26979E" w:rsidR="009907EE" w:rsidRPr="009907EE" w:rsidRDefault="009907EE" w:rsidP="009907EE">
            <w:pPr>
              <w:jc w:val="both"/>
              <w:rPr>
                <w:iCs/>
                <w:sz w:val="24"/>
                <w:szCs w:val="24"/>
              </w:rPr>
            </w:pPr>
            <w:r w:rsidRPr="009907EE">
              <w:rPr>
                <w:iCs/>
                <w:sz w:val="24"/>
                <w:szCs w:val="24"/>
              </w:rPr>
              <w:t xml:space="preserve">The situation also required consideration of race, culture and class as part of anti-discriminatory and anti-oppressive practice. I needed to be alert to the possibility that assumptions about families, parenting, social class or cultural behaviour could influence professional judgement. At the same time, I could not introduce cultural explanations that were not evidenced in the assessment. My responsibility was to consider whether any aspect of </w:t>
            </w:r>
            <w:r w:rsidR="000E0422">
              <w:rPr>
                <w:iCs/>
                <w:sz w:val="24"/>
                <w:szCs w:val="24"/>
              </w:rPr>
              <w:t>Child 2</w:t>
            </w:r>
            <w:r w:rsidRPr="009907EE">
              <w:rPr>
                <w:iCs/>
                <w:sz w:val="24"/>
                <w:szCs w:val="24"/>
              </w:rPr>
              <w:t>'s identity or circumstances created additional barriers to being heard or protected, without stereotyping the child or family. Tedam (2021) is particularly relevant because anti-oppressive practice requires practitioners to examine how power and privilege can influence both relationships and professional decision-making.</w:t>
            </w:r>
          </w:p>
          <w:p w14:paraId="592F81CF" w14:textId="0991D959" w:rsidR="009907EE" w:rsidRPr="009907EE" w:rsidRDefault="009907EE" w:rsidP="009907EE">
            <w:pPr>
              <w:jc w:val="both"/>
              <w:rPr>
                <w:iCs/>
                <w:sz w:val="24"/>
                <w:szCs w:val="24"/>
              </w:rPr>
            </w:pPr>
            <w:r w:rsidRPr="009907EE">
              <w:rPr>
                <w:iCs/>
                <w:sz w:val="24"/>
                <w:szCs w:val="24"/>
              </w:rPr>
              <w:t xml:space="preserve">Bassot (2016) describes critical reflection as involving examination of assumptions, values and experiences rather than simply describing what happened. Reflecting on this case made me consider my own emotional response. I felt concerned and protective towards </w:t>
            </w:r>
            <w:r w:rsidR="000E0422">
              <w:rPr>
                <w:iCs/>
                <w:sz w:val="24"/>
                <w:szCs w:val="24"/>
              </w:rPr>
              <w:t>Child 2</w:t>
            </w:r>
            <w:r w:rsidRPr="009907EE">
              <w:rPr>
                <w:iCs/>
                <w:sz w:val="24"/>
                <w:szCs w:val="24"/>
              </w:rPr>
              <w:t>, particularly when they described previous incidents and appeared to minimise the impact of the physical harm. However, I recognised that being emotionally affected could potentially influence my judgement if I allowed my feelings to become the basis for decision-making. I therefore needed to separate my emotional response from the evidence while still recognising that emotional reactions can be important indicators for reflection.</w:t>
            </w:r>
          </w:p>
          <w:p w14:paraId="0E93C2B6" w14:textId="00155F86" w:rsidR="009907EE" w:rsidRPr="009907EE" w:rsidRDefault="009907EE" w:rsidP="009907EE">
            <w:pPr>
              <w:jc w:val="both"/>
              <w:rPr>
                <w:iCs/>
                <w:sz w:val="24"/>
                <w:szCs w:val="24"/>
              </w:rPr>
            </w:pPr>
            <w:r w:rsidRPr="009907EE">
              <w:rPr>
                <w:iCs/>
                <w:sz w:val="24"/>
                <w:szCs w:val="24"/>
              </w:rPr>
              <w:t xml:space="preserve">Maclean, Finch and Tedam's (2018) SHARE model also supported my reflection because it encouraged me to consider the situation in a structured way and examine my responses, assumptions and learning rather than simply recounting events. I recognised that my initial </w:t>
            </w:r>
            <w:r w:rsidRPr="009907EE">
              <w:rPr>
                <w:iCs/>
                <w:sz w:val="24"/>
                <w:szCs w:val="24"/>
              </w:rPr>
              <w:lastRenderedPageBreak/>
              <w:t>instinct was to focus on the immediate physical harm, but reflection encouraged me to consider the wider relationships, power dynamics and organisational context. Schön's</w:t>
            </w:r>
            <w:r w:rsidR="000E0422">
              <w:rPr>
                <w:iCs/>
                <w:sz w:val="24"/>
                <w:szCs w:val="24"/>
              </w:rPr>
              <w:t xml:space="preserve"> (1992)</w:t>
            </w:r>
            <w:r w:rsidRPr="009907EE">
              <w:rPr>
                <w:iCs/>
                <w:sz w:val="24"/>
                <w:szCs w:val="24"/>
              </w:rPr>
              <w:t xml:space="preserve"> reflective approach was also relevant because I was required to reflect both during the situation and afterwards. In practice, I had to think and respond while safeguarding concerns were emerging, then later analyse why decisions were made and what I could learn from the experience.</w:t>
            </w:r>
          </w:p>
          <w:p w14:paraId="55A171CB" w14:textId="382ECEA9" w:rsidR="009907EE" w:rsidRPr="009907EE" w:rsidRDefault="009907EE" w:rsidP="009907EE">
            <w:pPr>
              <w:jc w:val="both"/>
              <w:rPr>
                <w:iCs/>
                <w:sz w:val="24"/>
                <w:szCs w:val="24"/>
              </w:rPr>
            </w:pPr>
            <w:r w:rsidRPr="009907EE">
              <w:rPr>
                <w:iCs/>
                <w:sz w:val="24"/>
                <w:szCs w:val="24"/>
              </w:rPr>
              <w:t xml:space="preserve">The legal framework was central to the assessment. The Children Act </w:t>
            </w:r>
            <w:r w:rsidR="000E0422">
              <w:rPr>
                <w:iCs/>
                <w:sz w:val="24"/>
                <w:szCs w:val="24"/>
              </w:rPr>
              <w:t>(</w:t>
            </w:r>
            <w:r w:rsidRPr="009907EE">
              <w:rPr>
                <w:iCs/>
                <w:sz w:val="24"/>
                <w:szCs w:val="24"/>
              </w:rPr>
              <w:t>1989</w:t>
            </w:r>
            <w:r w:rsidR="000E0422">
              <w:rPr>
                <w:iCs/>
                <w:sz w:val="24"/>
                <w:szCs w:val="24"/>
              </w:rPr>
              <w:t>)</w:t>
            </w:r>
            <w:r w:rsidRPr="009907EE">
              <w:rPr>
                <w:iCs/>
                <w:sz w:val="24"/>
                <w:szCs w:val="24"/>
              </w:rPr>
              <w:t xml:space="preserve"> provides the statutory basis for child protection enquiries, including Section 47 where there is reasonable cause to suspect that a child is suffering, or is likely to suffer, significant harm. In this case, the combination of </w:t>
            </w:r>
            <w:r w:rsidR="000E0422">
              <w:rPr>
                <w:iCs/>
                <w:sz w:val="24"/>
                <w:szCs w:val="24"/>
              </w:rPr>
              <w:t>Child 2</w:t>
            </w:r>
            <w:r w:rsidRPr="009907EE">
              <w:rPr>
                <w:iCs/>
                <w:sz w:val="24"/>
                <w:szCs w:val="24"/>
              </w:rPr>
              <w:t xml:space="preserve">'s disclosures, physical injuries and information suggesting repeated physical chastisement provided serious safeguarding concerns. The purpose was not simply to establish whether an adult had committed an offence but to determine whether </w:t>
            </w:r>
            <w:r w:rsidR="000E0422">
              <w:rPr>
                <w:iCs/>
                <w:sz w:val="24"/>
                <w:szCs w:val="24"/>
              </w:rPr>
              <w:t>Child 2</w:t>
            </w:r>
            <w:r w:rsidRPr="009907EE">
              <w:rPr>
                <w:iCs/>
                <w:sz w:val="24"/>
                <w:szCs w:val="24"/>
              </w:rPr>
              <w:t xml:space="preserve"> was suffering or likely to suffer significant harm and what action was necessary to protect them.</w:t>
            </w:r>
          </w:p>
          <w:p w14:paraId="2D9762FF" w14:textId="7DC69FDB" w:rsidR="009907EE" w:rsidRPr="009907EE" w:rsidRDefault="009907EE" w:rsidP="009907EE">
            <w:pPr>
              <w:jc w:val="both"/>
              <w:rPr>
                <w:iCs/>
                <w:sz w:val="24"/>
                <w:szCs w:val="24"/>
              </w:rPr>
            </w:pPr>
            <w:r w:rsidRPr="009907EE">
              <w:rPr>
                <w:iCs/>
                <w:sz w:val="24"/>
                <w:szCs w:val="24"/>
              </w:rPr>
              <w:t xml:space="preserve">The Children Act </w:t>
            </w:r>
            <w:r w:rsidR="000E0422">
              <w:rPr>
                <w:iCs/>
                <w:sz w:val="24"/>
                <w:szCs w:val="24"/>
              </w:rPr>
              <w:t>(</w:t>
            </w:r>
            <w:r w:rsidRPr="009907EE">
              <w:rPr>
                <w:iCs/>
                <w:sz w:val="24"/>
                <w:szCs w:val="24"/>
              </w:rPr>
              <w:t>2004</w:t>
            </w:r>
            <w:r w:rsidR="000E0422">
              <w:rPr>
                <w:iCs/>
                <w:sz w:val="24"/>
                <w:szCs w:val="24"/>
              </w:rPr>
              <w:t>)</w:t>
            </w:r>
            <w:r w:rsidRPr="009907EE">
              <w:rPr>
                <w:iCs/>
                <w:sz w:val="24"/>
                <w:szCs w:val="24"/>
              </w:rPr>
              <w:t xml:space="preserve"> is also relevant because it strengthened duties around cooperation and safeguarding arrangements between agencies. This was reflected in the joint involvement of social services, police and health professionals. The case demonstrated that safeguarding cannot be managed effectively by one agency working in isolation. Information held by different professionals contributed to the assessment and helped build a fuller picture of risk.</w:t>
            </w:r>
          </w:p>
          <w:p w14:paraId="23BD99D8" w14:textId="74397648" w:rsidR="009907EE" w:rsidRPr="009907EE" w:rsidRDefault="009907EE" w:rsidP="009907EE">
            <w:pPr>
              <w:jc w:val="both"/>
              <w:rPr>
                <w:iCs/>
                <w:sz w:val="24"/>
                <w:szCs w:val="24"/>
              </w:rPr>
            </w:pPr>
            <w:r w:rsidRPr="009907EE">
              <w:rPr>
                <w:iCs/>
                <w:sz w:val="24"/>
                <w:szCs w:val="24"/>
              </w:rPr>
              <w:t xml:space="preserve">In Wales, the Social Services and Well-being (Wales) Act </w:t>
            </w:r>
            <w:r w:rsidR="000E0422">
              <w:rPr>
                <w:iCs/>
                <w:sz w:val="24"/>
                <w:szCs w:val="24"/>
              </w:rPr>
              <w:t>(</w:t>
            </w:r>
            <w:r w:rsidRPr="009907EE">
              <w:rPr>
                <w:iCs/>
                <w:sz w:val="24"/>
                <w:szCs w:val="24"/>
              </w:rPr>
              <w:t>2014</w:t>
            </w:r>
            <w:r w:rsidR="000E0422">
              <w:rPr>
                <w:iCs/>
                <w:sz w:val="24"/>
                <w:szCs w:val="24"/>
              </w:rPr>
              <w:t>)</w:t>
            </w:r>
            <w:r w:rsidRPr="009907EE">
              <w:rPr>
                <w:iCs/>
                <w:sz w:val="24"/>
                <w:szCs w:val="24"/>
              </w:rPr>
              <w:t xml:space="preserve"> provides the central statutory framework for social services and includes specific safeguarding duties under Part 7. The Act places wellbeing, voice and control, prevention and partnership at the centre of social care. In this case, safeguarding </w:t>
            </w:r>
            <w:r w:rsidR="000E0422">
              <w:rPr>
                <w:iCs/>
                <w:sz w:val="24"/>
                <w:szCs w:val="24"/>
              </w:rPr>
              <w:t>Child 2</w:t>
            </w:r>
            <w:r w:rsidRPr="009907EE">
              <w:rPr>
                <w:iCs/>
                <w:sz w:val="24"/>
                <w:szCs w:val="24"/>
              </w:rPr>
              <w:t xml:space="preserve"> required immediate protective action while also ensuring that their views and experiences remained central. Moving </w:t>
            </w:r>
            <w:r w:rsidR="000E0422">
              <w:rPr>
                <w:iCs/>
                <w:sz w:val="24"/>
                <w:szCs w:val="24"/>
              </w:rPr>
              <w:t>Child 2</w:t>
            </w:r>
            <w:r w:rsidRPr="009907EE">
              <w:rPr>
                <w:iCs/>
                <w:sz w:val="24"/>
                <w:szCs w:val="24"/>
              </w:rPr>
              <w:t xml:space="preserve"> to a new placement was therefore not simply a procedural decision; it was an intervention intended to reduce immediate risk and support their wellbeing.</w:t>
            </w:r>
          </w:p>
          <w:p w14:paraId="3BC3B8B4" w14:textId="77777777" w:rsidR="009907EE" w:rsidRPr="009907EE" w:rsidRDefault="009907EE" w:rsidP="009907EE">
            <w:pPr>
              <w:jc w:val="both"/>
              <w:rPr>
                <w:iCs/>
                <w:sz w:val="24"/>
                <w:szCs w:val="24"/>
              </w:rPr>
            </w:pPr>
            <w:r w:rsidRPr="009907EE">
              <w:rPr>
                <w:iCs/>
                <w:sz w:val="24"/>
                <w:szCs w:val="24"/>
              </w:rPr>
              <w:t>The Wales Safeguarding Procedures (2019) and Working Together to Safeguard People: Volume 5 (Welsh Government, 2019) provided the practice framework for responding to the concerns. The strategy discussion was important because it allowed information to be shared, risks to be considered and decisions to be made about the need for Section 47 enquiries and immediate protective action. The subsequent Section 47 enquiry demonstrated the interface between social care and police responsibilities. Social services were responsible for the child's welfare and protection, while the police had responsibility for investigating potential criminal offences. These responsibilities were connected but not identical.</w:t>
            </w:r>
          </w:p>
          <w:p w14:paraId="5E91A4EF" w14:textId="5769C230" w:rsidR="009907EE" w:rsidRDefault="009907EE" w:rsidP="009907EE">
            <w:pPr>
              <w:jc w:val="both"/>
              <w:rPr>
                <w:iCs/>
                <w:sz w:val="24"/>
                <w:szCs w:val="24"/>
              </w:rPr>
            </w:pPr>
            <w:r w:rsidRPr="009907EE">
              <w:rPr>
                <w:iCs/>
                <w:sz w:val="24"/>
                <w:szCs w:val="24"/>
              </w:rPr>
              <w:t>A particularly important aspect of this case was the application of Section 5 of the Wales Safeguarding Procedures</w:t>
            </w:r>
            <w:r w:rsidR="00A356A4">
              <w:rPr>
                <w:iCs/>
                <w:sz w:val="24"/>
                <w:szCs w:val="24"/>
              </w:rPr>
              <w:t xml:space="preserve"> </w:t>
            </w:r>
            <w:r w:rsidR="00A356A4" w:rsidRPr="009907EE">
              <w:rPr>
                <w:iCs/>
                <w:sz w:val="24"/>
                <w:szCs w:val="24"/>
              </w:rPr>
              <w:t xml:space="preserve">(2019) </w:t>
            </w:r>
            <w:r w:rsidRPr="009907EE">
              <w:rPr>
                <w:iCs/>
                <w:sz w:val="24"/>
                <w:szCs w:val="24"/>
              </w:rPr>
              <w:t xml:space="preserve">concerning safeguarding allegations or concerns about practitioners and people in positions of trust. Foster carers are included within this type of safeguarding framework. This was significant because the concerns related not simply to an incident within a family home but to an adult connected to a foster placement where </w:t>
            </w:r>
            <w:r w:rsidR="000E0422">
              <w:rPr>
                <w:iCs/>
                <w:sz w:val="24"/>
                <w:szCs w:val="24"/>
              </w:rPr>
              <w:t>Child 2</w:t>
            </w:r>
            <w:r w:rsidRPr="009907EE">
              <w:rPr>
                <w:iCs/>
                <w:sz w:val="24"/>
                <w:szCs w:val="24"/>
              </w:rPr>
              <w:t xml:space="preserve"> was expected to be safeguarded. The Section 5 process therefore provided an additional framework for managing allegations alongside the child protection and police investigation. Critically, this demonstrated that safeguarding procedures must operate together rather than being treated as separate processes.</w:t>
            </w:r>
          </w:p>
          <w:p w14:paraId="63161A7E" w14:textId="77777777" w:rsidR="00A356A4" w:rsidRPr="009907EE" w:rsidRDefault="00A356A4" w:rsidP="009907EE">
            <w:pPr>
              <w:jc w:val="both"/>
              <w:rPr>
                <w:iCs/>
                <w:sz w:val="24"/>
                <w:szCs w:val="24"/>
              </w:rPr>
            </w:pPr>
          </w:p>
          <w:p w14:paraId="147152F9" w14:textId="77777777" w:rsidR="009907EE" w:rsidRDefault="009907EE" w:rsidP="009907EE">
            <w:pPr>
              <w:jc w:val="both"/>
              <w:rPr>
                <w:iCs/>
                <w:sz w:val="24"/>
                <w:szCs w:val="24"/>
              </w:rPr>
            </w:pPr>
            <w:r w:rsidRPr="009907EE">
              <w:rPr>
                <w:iCs/>
                <w:sz w:val="24"/>
                <w:szCs w:val="24"/>
              </w:rPr>
              <w:t xml:space="preserve">The situation created a difficult tension because it was not possible to share all information with the foster carers while enquiries were continuing. From one perspective, information sharing was necessary to support safeguarding and professional coordination. From another, </w:t>
            </w:r>
            <w:r w:rsidRPr="009907EE">
              <w:rPr>
                <w:iCs/>
                <w:sz w:val="24"/>
                <w:szCs w:val="24"/>
              </w:rPr>
              <w:lastRenderedPageBreak/>
              <w:t>premature disclosure could potentially compromise the police investigation or affect evidence. Working Together to Safeguard People (Welsh Government, 2019) emphasises the importance of clear roles, information sharing and effective collaboration. My experience demonstrated that these principles can be difficult to achieve in practice when professionals have different responsibilities, working patterns and timescales. Communication with the police was sometimes challenging because of differences in availability and working patterns. This reinforced for me that multi-agency working requires more than simply having several professionals involved; it requires active communication, clarity about responsibility and timely information exchange.</w:t>
            </w:r>
          </w:p>
          <w:p w14:paraId="31A5D2EE" w14:textId="77777777" w:rsidR="00A356A4" w:rsidRPr="009907EE" w:rsidRDefault="00A356A4" w:rsidP="009907EE">
            <w:pPr>
              <w:jc w:val="both"/>
              <w:rPr>
                <w:iCs/>
                <w:sz w:val="24"/>
                <w:szCs w:val="24"/>
              </w:rPr>
            </w:pPr>
          </w:p>
          <w:p w14:paraId="5A88CE62" w14:textId="413957ED" w:rsidR="009907EE" w:rsidRPr="009907EE" w:rsidRDefault="009907EE" w:rsidP="009907EE">
            <w:pPr>
              <w:jc w:val="both"/>
              <w:rPr>
                <w:iCs/>
                <w:sz w:val="24"/>
                <w:szCs w:val="24"/>
              </w:rPr>
            </w:pPr>
            <w:r w:rsidRPr="009907EE">
              <w:rPr>
                <w:iCs/>
                <w:sz w:val="24"/>
                <w:szCs w:val="24"/>
              </w:rPr>
              <w:t xml:space="preserve">The Human Rights Act </w:t>
            </w:r>
            <w:r w:rsidR="00A356A4">
              <w:rPr>
                <w:iCs/>
                <w:sz w:val="24"/>
                <w:szCs w:val="24"/>
              </w:rPr>
              <w:t>(</w:t>
            </w:r>
            <w:r w:rsidRPr="009907EE">
              <w:rPr>
                <w:iCs/>
                <w:sz w:val="24"/>
                <w:szCs w:val="24"/>
              </w:rPr>
              <w:t>1998</w:t>
            </w:r>
            <w:r w:rsidR="00A356A4">
              <w:rPr>
                <w:iCs/>
                <w:sz w:val="24"/>
                <w:szCs w:val="24"/>
              </w:rPr>
              <w:t>)</w:t>
            </w:r>
            <w:r w:rsidRPr="009907EE">
              <w:rPr>
                <w:iCs/>
                <w:sz w:val="24"/>
                <w:szCs w:val="24"/>
              </w:rPr>
              <w:t xml:space="preserve"> was also relevant. Safeguarding decisions need to balance </w:t>
            </w:r>
            <w:r w:rsidR="000E0422">
              <w:rPr>
                <w:iCs/>
                <w:sz w:val="24"/>
                <w:szCs w:val="24"/>
              </w:rPr>
              <w:t>Child 2</w:t>
            </w:r>
            <w:r w:rsidRPr="009907EE">
              <w:rPr>
                <w:iCs/>
                <w:sz w:val="24"/>
                <w:szCs w:val="24"/>
              </w:rPr>
              <w:t xml:space="preserve">'s rights to protection and dignity with the rights of adults involved in the investigation. Article 3 protection from inhuman or degrading treatment and Article 8 respect for private and family life are particularly relevant to the balance between protection, family relationships and intervention. This reinforced the need for proportionate decision-making. Protecting </w:t>
            </w:r>
            <w:r w:rsidR="000E0422">
              <w:rPr>
                <w:iCs/>
                <w:sz w:val="24"/>
                <w:szCs w:val="24"/>
              </w:rPr>
              <w:t>Child 2</w:t>
            </w:r>
            <w:r w:rsidRPr="009907EE">
              <w:rPr>
                <w:iCs/>
                <w:sz w:val="24"/>
                <w:szCs w:val="24"/>
              </w:rPr>
              <w:t xml:space="preserve"> did not mean that the rights of adults could simply be disregarded; instead, professionals had to act lawfully, fairly and proportionately while prioritising the child's safety.</w:t>
            </w:r>
          </w:p>
          <w:p w14:paraId="4D625AB8" w14:textId="4561E808" w:rsidR="009907EE" w:rsidRPr="009907EE" w:rsidRDefault="009907EE" w:rsidP="009907EE">
            <w:pPr>
              <w:jc w:val="both"/>
              <w:rPr>
                <w:iCs/>
                <w:sz w:val="24"/>
                <w:szCs w:val="24"/>
              </w:rPr>
            </w:pPr>
            <w:r w:rsidRPr="009907EE">
              <w:rPr>
                <w:iCs/>
                <w:sz w:val="24"/>
                <w:szCs w:val="24"/>
              </w:rPr>
              <w:t xml:space="preserve">The United Nations Convention on the Rights of the Child (UNCRC, 1989) was equally important, particularly Article 3 concerning the best interests of the child and Article 12 concerning the child's right to express their views and have them given appropriate weight. </w:t>
            </w:r>
            <w:r w:rsidR="000E0422">
              <w:rPr>
                <w:iCs/>
                <w:sz w:val="24"/>
                <w:szCs w:val="24"/>
              </w:rPr>
              <w:t>Child 2</w:t>
            </w:r>
            <w:r w:rsidRPr="009907EE">
              <w:rPr>
                <w:iCs/>
                <w:sz w:val="24"/>
                <w:szCs w:val="24"/>
              </w:rPr>
              <w:t xml:space="preserve"> was actively involved in the process by being listened to and supported to explain what had happened. Their repeated disclosures demonstrated why children must not be treated as passive recipients of safeguarding decisions. The child's voice needed to influence assessment and intervention while professionals remained responsible for determining risk and taking protective action.</w:t>
            </w:r>
          </w:p>
          <w:p w14:paraId="513F2BDF" w14:textId="1C94AF16" w:rsidR="009907EE" w:rsidRDefault="009907EE" w:rsidP="009907EE">
            <w:pPr>
              <w:jc w:val="both"/>
              <w:rPr>
                <w:iCs/>
                <w:sz w:val="24"/>
                <w:szCs w:val="24"/>
              </w:rPr>
            </w:pPr>
            <w:r w:rsidRPr="009907EE">
              <w:rPr>
                <w:iCs/>
                <w:sz w:val="24"/>
                <w:szCs w:val="24"/>
              </w:rPr>
              <w:t xml:space="preserve">The Equality Act </w:t>
            </w:r>
            <w:r w:rsidR="00A356A4">
              <w:rPr>
                <w:iCs/>
                <w:sz w:val="24"/>
                <w:szCs w:val="24"/>
              </w:rPr>
              <w:t>(</w:t>
            </w:r>
            <w:r w:rsidRPr="009907EE">
              <w:rPr>
                <w:iCs/>
                <w:sz w:val="24"/>
                <w:szCs w:val="24"/>
              </w:rPr>
              <w:t>2010</w:t>
            </w:r>
            <w:r w:rsidR="00A356A4">
              <w:rPr>
                <w:iCs/>
                <w:sz w:val="24"/>
                <w:szCs w:val="24"/>
              </w:rPr>
              <w:t>)</w:t>
            </w:r>
            <w:r w:rsidRPr="009907EE">
              <w:rPr>
                <w:iCs/>
                <w:sz w:val="24"/>
                <w:szCs w:val="24"/>
              </w:rPr>
              <w:t xml:space="preserve"> also informed my thinking. Anti-discriminatory practice requires practitioners to consider whether prejudice, stereotyping or unequal treatment may affect assessment and intervention. In a safeguarding context, this includes being alert to assumptions about family structure, social class, culture, disability, race or other protected characteristics. I recognised that anti-oppressive practice did not mean treating everyone identically; it meant considering individual circumstances and ensuring that power differences did not prevent </w:t>
            </w:r>
            <w:r w:rsidR="000E0422">
              <w:rPr>
                <w:iCs/>
                <w:sz w:val="24"/>
                <w:szCs w:val="24"/>
              </w:rPr>
              <w:t>Child 2</w:t>
            </w:r>
            <w:r w:rsidRPr="009907EE">
              <w:rPr>
                <w:iCs/>
                <w:sz w:val="24"/>
                <w:szCs w:val="24"/>
              </w:rPr>
              <w:t xml:space="preserve"> from being heard or protected.</w:t>
            </w:r>
          </w:p>
          <w:p w14:paraId="1B5921FC" w14:textId="77777777" w:rsidR="00A356A4" w:rsidRPr="009907EE" w:rsidRDefault="00A356A4" w:rsidP="009907EE">
            <w:pPr>
              <w:jc w:val="both"/>
              <w:rPr>
                <w:iCs/>
                <w:sz w:val="24"/>
                <w:szCs w:val="24"/>
              </w:rPr>
            </w:pPr>
          </w:p>
          <w:p w14:paraId="5A04A408" w14:textId="1465F28E" w:rsidR="009907EE" w:rsidRDefault="009907EE" w:rsidP="009907EE">
            <w:pPr>
              <w:jc w:val="both"/>
              <w:rPr>
                <w:iCs/>
                <w:sz w:val="24"/>
                <w:szCs w:val="24"/>
              </w:rPr>
            </w:pPr>
            <w:r w:rsidRPr="009907EE">
              <w:rPr>
                <w:iCs/>
                <w:sz w:val="24"/>
                <w:szCs w:val="24"/>
              </w:rPr>
              <w:t xml:space="preserve">The Welsh Language (Wales) Measure </w:t>
            </w:r>
            <w:r w:rsidR="003E4404">
              <w:rPr>
                <w:iCs/>
                <w:sz w:val="24"/>
                <w:szCs w:val="24"/>
              </w:rPr>
              <w:t>(</w:t>
            </w:r>
            <w:r w:rsidRPr="009907EE">
              <w:rPr>
                <w:iCs/>
                <w:sz w:val="24"/>
                <w:szCs w:val="24"/>
              </w:rPr>
              <w:t>2011</w:t>
            </w:r>
            <w:r w:rsidR="003E4404">
              <w:rPr>
                <w:iCs/>
                <w:sz w:val="24"/>
                <w:szCs w:val="24"/>
              </w:rPr>
              <w:t>)</w:t>
            </w:r>
            <w:r w:rsidRPr="009907EE">
              <w:rPr>
                <w:iCs/>
                <w:sz w:val="24"/>
                <w:szCs w:val="24"/>
              </w:rPr>
              <w:t xml:space="preserve"> was also relevant to working in Wales because language is part of identity and access to services. Although Welsh language needs were not identified as a particular issue in this case, the legislation reinforced the principle that communication should be accessible and responsive to the individual. The Welsh Government's More than Just Words </w:t>
            </w:r>
            <w:r w:rsidR="00A356A4">
              <w:rPr>
                <w:iCs/>
                <w:sz w:val="24"/>
                <w:szCs w:val="24"/>
              </w:rPr>
              <w:t xml:space="preserve">Framework </w:t>
            </w:r>
            <w:r w:rsidR="00A356A4" w:rsidRPr="00A356A4">
              <w:rPr>
                <w:iCs/>
                <w:sz w:val="24"/>
                <w:szCs w:val="24"/>
              </w:rPr>
              <w:t>(Welsh Government, 2022)</w:t>
            </w:r>
            <w:r w:rsidR="00A356A4">
              <w:rPr>
                <w:iCs/>
                <w:sz w:val="24"/>
                <w:szCs w:val="24"/>
              </w:rPr>
              <w:t>,</w:t>
            </w:r>
            <w:r w:rsidRPr="009907EE">
              <w:rPr>
                <w:iCs/>
                <w:sz w:val="24"/>
                <w:szCs w:val="24"/>
              </w:rPr>
              <w:t xml:space="preserve"> further supports the Active Offer in health and social care. In this case, the key issue was not that </w:t>
            </w:r>
            <w:r w:rsidR="000E0422">
              <w:rPr>
                <w:iCs/>
                <w:sz w:val="24"/>
                <w:szCs w:val="24"/>
              </w:rPr>
              <w:t>Child 2</w:t>
            </w:r>
            <w:r w:rsidRPr="009907EE">
              <w:rPr>
                <w:iCs/>
                <w:sz w:val="24"/>
                <w:szCs w:val="24"/>
              </w:rPr>
              <w:t xml:space="preserve"> required Welsh-language provision, but that professionals had to communicate in a way that was meaningful and understandable to the child.</w:t>
            </w:r>
            <w:r w:rsidR="00A356A4">
              <w:rPr>
                <w:iCs/>
                <w:sz w:val="24"/>
                <w:szCs w:val="24"/>
              </w:rPr>
              <w:t xml:space="preserve"> </w:t>
            </w:r>
            <w:r w:rsidRPr="009907EE">
              <w:rPr>
                <w:iCs/>
                <w:sz w:val="24"/>
                <w:szCs w:val="24"/>
              </w:rPr>
              <w:t xml:space="preserve">The Well-being of Future Generations (Wales) Act </w:t>
            </w:r>
            <w:r w:rsidR="00A356A4">
              <w:rPr>
                <w:iCs/>
                <w:sz w:val="24"/>
                <w:szCs w:val="24"/>
              </w:rPr>
              <w:t>(</w:t>
            </w:r>
            <w:r w:rsidRPr="009907EE">
              <w:rPr>
                <w:iCs/>
                <w:sz w:val="24"/>
                <w:szCs w:val="24"/>
              </w:rPr>
              <w:t>2015</w:t>
            </w:r>
            <w:r w:rsidR="00A356A4">
              <w:rPr>
                <w:iCs/>
                <w:sz w:val="24"/>
                <w:szCs w:val="24"/>
              </w:rPr>
              <w:t>)</w:t>
            </w:r>
            <w:r w:rsidRPr="009907EE">
              <w:rPr>
                <w:iCs/>
                <w:sz w:val="24"/>
                <w:szCs w:val="24"/>
              </w:rPr>
              <w:t xml:space="preserve"> also provides a wider Welsh context. Its emphasis on long-term wellbeing, prevention, integration and collaboration is relevant because safeguarding should not end when the immediate risk is removed. Moving </w:t>
            </w:r>
            <w:r w:rsidR="000E0422">
              <w:rPr>
                <w:iCs/>
                <w:sz w:val="24"/>
                <w:szCs w:val="24"/>
              </w:rPr>
              <w:t>Child 2</w:t>
            </w:r>
            <w:r w:rsidRPr="009907EE">
              <w:rPr>
                <w:iCs/>
                <w:sz w:val="24"/>
                <w:szCs w:val="24"/>
              </w:rPr>
              <w:t xml:space="preserve"> to safety was necessary, but longer-term intervention also needed to consider emotional wellbeing, stability, relationships, education </w:t>
            </w:r>
            <w:r w:rsidRPr="009907EE">
              <w:rPr>
                <w:iCs/>
                <w:sz w:val="24"/>
                <w:szCs w:val="24"/>
              </w:rPr>
              <w:lastRenderedPageBreak/>
              <w:t>and recovery. This reflects the need to think beyond immediate crisis management and consider sustainable outcomes for children.</w:t>
            </w:r>
          </w:p>
          <w:p w14:paraId="68E89C28" w14:textId="77777777" w:rsidR="00A356A4" w:rsidRPr="009907EE" w:rsidRDefault="00A356A4" w:rsidP="009907EE">
            <w:pPr>
              <w:jc w:val="both"/>
              <w:rPr>
                <w:iCs/>
                <w:sz w:val="24"/>
                <w:szCs w:val="24"/>
              </w:rPr>
            </w:pPr>
          </w:p>
          <w:p w14:paraId="7F15B0C7" w14:textId="6152E008" w:rsidR="009907EE" w:rsidRPr="009907EE" w:rsidRDefault="009907EE" w:rsidP="009907EE">
            <w:pPr>
              <w:jc w:val="both"/>
              <w:rPr>
                <w:iCs/>
                <w:sz w:val="24"/>
                <w:szCs w:val="24"/>
              </w:rPr>
            </w:pPr>
            <w:r w:rsidRPr="009907EE">
              <w:rPr>
                <w:iCs/>
                <w:sz w:val="24"/>
                <w:szCs w:val="24"/>
              </w:rPr>
              <w:t xml:space="preserve">The wider relationship between Welsh social services, the United Kingdom, the European Union and international frameworks also needs to be acknowledged. Social services and safeguarding are primarily devolved matters in Wales, while criminal law and policing operate within the wider UK constitutional framework. The Children Act </w:t>
            </w:r>
            <w:r w:rsidR="00A356A4">
              <w:rPr>
                <w:iCs/>
                <w:sz w:val="24"/>
                <w:szCs w:val="24"/>
              </w:rPr>
              <w:t>(</w:t>
            </w:r>
            <w:r w:rsidRPr="009907EE">
              <w:rPr>
                <w:iCs/>
                <w:sz w:val="24"/>
                <w:szCs w:val="24"/>
              </w:rPr>
              <w:t>1989</w:t>
            </w:r>
            <w:r w:rsidR="00A356A4">
              <w:rPr>
                <w:iCs/>
                <w:sz w:val="24"/>
                <w:szCs w:val="24"/>
              </w:rPr>
              <w:t>)</w:t>
            </w:r>
            <w:r w:rsidRPr="009907EE">
              <w:rPr>
                <w:iCs/>
                <w:sz w:val="24"/>
                <w:szCs w:val="24"/>
              </w:rPr>
              <w:t xml:space="preserve"> and </w:t>
            </w:r>
            <w:r w:rsidR="00A356A4">
              <w:rPr>
                <w:iCs/>
                <w:sz w:val="24"/>
                <w:szCs w:val="24"/>
              </w:rPr>
              <w:t>(</w:t>
            </w:r>
            <w:r w:rsidRPr="009907EE">
              <w:rPr>
                <w:iCs/>
                <w:sz w:val="24"/>
                <w:szCs w:val="24"/>
              </w:rPr>
              <w:t>2004</w:t>
            </w:r>
            <w:r w:rsidR="00A356A4">
              <w:rPr>
                <w:iCs/>
                <w:sz w:val="24"/>
                <w:szCs w:val="24"/>
              </w:rPr>
              <w:t>)</w:t>
            </w:r>
            <w:r w:rsidRPr="009907EE">
              <w:rPr>
                <w:iCs/>
                <w:sz w:val="24"/>
                <w:szCs w:val="24"/>
              </w:rPr>
              <w:t xml:space="preserve"> therefore remain important UK legislative frameworks alongside the Welsh Social Services and Well-being Act </w:t>
            </w:r>
            <w:r w:rsidR="00A356A4">
              <w:rPr>
                <w:iCs/>
                <w:sz w:val="24"/>
                <w:szCs w:val="24"/>
              </w:rPr>
              <w:t>(</w:t>
            </w:r>
            <w:r w:rsidRPr="009907EE">
              <w:rPr>
                <w:iCs/>
                <w:sz w:val="24"/>
                <w:szCs w:val="24"/>
              </w:rPr>
              <w:t>2014</w:t>
            </w:r>
            <w:r w:rsidR="00A356A4">
              <w:rPr>
                <w:iCs/>
                <w:sz w:val="24"/>
                <w:szCs w:val="24"/>
              </w:rPr>
              <w:t>)</w:t>
            </w:r>
            <w:r w:rsidRPr="009907EE">
              <w:rPr>
                <w:iCs/>
                <w:sz w:val="24"/>
                <w:szCs w:val="24"/>
              </w:rPr>
              <w:t xml:space="preserve"> and Welsh </w:t>
            </w:r>
            <w:r w:rsidR="00A356A4">
              <w:rPr>
                <w:iCs/>
                <w:sz w:val="24"/>
                <w:szCs w:val="24"/>
              </w:rPr>
              <w:t>S</w:t>
            </w:r>
            <w:r w:rsidRPr="009907EE">
              <w:rPr>
                <w:iCs/>
                <w:sz w:val="24"/>
                <w:szCs w:val="24"/>
              </w:rPr>
              <w:t xml:space="preserve">afeguarding </w:t>
            </w:r>
            <w:r w:rsidR="00A356A4">
              <w:rPr>
                <w:iCs/>
                <w:sz w:val="24"/>
                <w:szCs w:val="24"/>
              </w:rPr>
              <w:t>P</w:t>
            </w:r>
            <w:r w:rsidRPr="009907EE">
              <w:rPr>
                <w:iCs/>
                <w:sz w:val="24"/>
                <w:szCs w:val="24"/>
              </w:rPr>
              <w:t>rocedures</w:t>
            </w:r>
            <w:r w:rsidR="00A356A4">
              <w:rPr>
                <w:iCs/>
                <w:sz w:val="24"/>
                <w:szCs w:val="24"/>
              </w:rPr>
              <w:t xml:space="preserve"> </w:t>
            </w:r>
            <w:r w:rsidR="00A356A4" w:rsidRPr="00A356A4">
              <w:rPr>
                <w:iCs/>
                <w:sz w:val="24"/>
                <w:szCs w:val="24"/>
              </w:rPr>
              <w:t>(2019)</w:t>
            </w:r>
            <w:r w:rsidRPr="009907EE">
              <w:rPr>
                <w:iCs/>
                <w:sz w:val="24"/>
                <w:szCs w:val="24"/>
              </w:rPr>
              <w:t xml:space="preserve">. Following the UK's withdrawal from the European Union, EU institutions no longer provide the direct legislative framework for Welsh social services that they did when the UK was a member state. However, the case demonstrates that Welsh safeguarding practice remains situated within wider international human rights principles, particularly through the UNCRC </w:t>
            </w:r>
            <w:r w:rsidR="00A356A4">
              <w:rPr>
                <w:iCs/>
                <w:sz w:val="24"/>
                <w:szCs w:val="24"/>
              </w:rPr>
              <w:t xml:space="preserve">(1989) </w:t>
            </w:r>
            <w:r w:rsidRPr="009907EE">
              <w:rPr>
                <w:iCs/>
                <w:sz w:val="24"/>
                <w:szCs w:val="24"/>
              </w:rPr>
              <w:t xml:space="preserve">and the Human Rights Act </w:t>
            </w:r>
            <w:r w:rsidR="00A356A4">
              <w:rPr>
                <w:iCs/>
                <w:sz w:val="24"/>
                <w:szCs w:val="24"/>
              </w:rPr>
              <w:t>(</w:t>
            </w:r>
            <w:r w:rsidRPr="009907EE">
              <w:rPr>
                <w:iCs/>
                <w:sz w:val="24"/>
                <w:szCs w:val="24"/>
              </w:rPr>
              <w:t>1998</w:t>
            </w:r>
            <w:r w:rsidR="00A356A4">
              <w:rPr>
                <w:iCs/>
                <w:sz w:val="24"/>
                <w:szCs w:val="24"/>
              </w:rPr>
              <w:t>)</w:t>
            </w:r>
            <w:r w:rsidRPr="009907EE">
              <w:rPr>
                <w:iCs/>
                <w:sz w:val="24"/>
                <w:szCs w:val="24"/>
              </w:rPr>
              <w:t>. This interface is important because social work practice is shaped by local Welsh legislation while also being influenced by UK-wide law and international rights frameworks.</w:t>
            </w:r>
          </w:p>
          <w:p w14:paraId="6DDA4A70" w14:textId="3FB13F39" w:rsidR="009907EE" w:rsidRDefault="009907EE" w:rsidP="009907EE">
            <w:pPr>
              <w:jc w:val="both"/>
              <w:rPr>
                <w:iCs/>
                <w:sz w:val="24"/>
                <w:szCs w:val="24"/>
              </w:rPr>
            </w:pPr>
            <w:r w:rsidRPr="009907EE">
              <w:rPr>
                <w:iCs/>
                <w:sz w:val="24"/>
                <w:szCs w:val="24"/>
              </w:rPr>
              <w:t xml:space="preserve">Collaboration with </w:t>
            </w:r>
            <w:r w:rsidR="000E0422">
              <w:rPr>
                <w:iCs/>
                <w:sz w:val="24"/>
                <w:szCs w:val="24"/>
              </w:rPr>
              <w:t>Child 2</w:t>
            </w:r>
            <w:r w:rsidRPr="009907EE">
              <w:rPr>
                <w:iCs/>
                <w:sz w:val="24"/>
                <w:szCs w:val="24"/>
              </w:rPr>
              <w:t xml:space="preserve">, their mother and other professionals was essential. Warren (2003) identifies participation as an important part of social work because people should have meaningful opportunities to contribute to decisions affecting their lives. </w:t>
            </w:r>
            <w:r w:rsidR="000E0422">
              <w:rPr>
                <w:iCs/>
                <w:sz w:val="24"/>
                <w:szCs w:val="24"/>
              </w:rPr>
              <w:t>Child 2</w:t>
            </w:r>
            <w:r w:rsidRPr="009907EE">
              <w:rPr>
                <w:iCs/>
                <w:sz w:val="24"/>
                <w:szCs w:val="24"/>
              </w:rPr>
              <w:t>'s mother was an important source of information and advocate for her child, but she was also emotionally affected by the situation. Her distress needed to be recognised without allowing her emotions to determine the outcome of the assessment. She expressed feeling betrayed by the foster carers and let down by the local authority. This demonstrated the impact safeguarding investigations can have on families as well as children.</w:t>
            </w:r>
            <w:r w:rsidR="00A356A4">
              <w:rPr>
                <w:iCs/>
                <w:sz w:val="24"/>
                <w:szCs w:val="24"/>
              </w:rPr>
              <w:t xml:space="preserve"> </w:t>
            </w:r>
            <w:r w:rsidRPr="009907EE">
              <w:rPr>
                <w:iCs/>
                <w:sz w:val="24"/>
                <w:szCs w:val="24"/>
              </w:rPr>
              <w:t xml:space="preserve">The foster carers and adult daughter were also affected by the process. It was important to recognise their rights and the potential impact of allegations while maintaining the central safeguarding responsibility towards </w:t>
            </w:r>
            <w:r w:rsidR="000E0422">
              <w:rPr>
                <w:iCs/>
                <w:sz w:val="24"/>
                <w:szCs w:val="24"/>
              </w:rPr>
              <w:t>Child 2</w:t>
            </w:r>
            <w:r w:rsidRPr="009907EE">
              <w:rPr>
                <w:iCs/>
                <w:sz w:val="24"/>
                <w:szCs w:val="24"/>
              </w:rPr>
              <w:t>. The professional challenge was to avoid either assuming guilt or allowing concern about the impact on adults to weaken protective action. The Section 5 process and police investigation provided mechanisms for managing this tension fairly.</w:t>
            </w:r>
          </w:p>
          <w:p w14:paraId="01C1B6C6" w14:textId="77777777" w:rsidR="00BB2B12" w:rsidRPr="009907EE" w:rsidRDefault="00BB2B12" w:rsidP="009907EE">
            <w:pPr>
              <w:jc w:val="both"/>
              <w:rPr>
                <w:iCs/>
                <w:sz w:val="24"/>
                <w:szCs w:val="24"/>
              </w:rPr>
            </w:pPr>
          </w:p>
          <w:p w14:paraId="6A66A2CC" w14:textId="77777777" w:rsidR="009907EE" w:rsidRDefault="009907EE" w:rsidP="009907EE">
            <w:pPr>
              <w:jc w:val="both"/>
              <w:rPr>
                <w:iCs/>
                <w:sz w:val="24"/>
                <w:szCs w:val="24"/>
              </w:rPr>
            </w:pPr>
            <w:r w:rsidRPr="009907EE">
              <w:rPr>
                <w:iCs/>
                <w:sz w:val="24"/>
                <w:szCs w:val="24"/>
              </w:rPr>
              <w:t>The case also demonstrated the importance of professional boundaries and supervision. Because the information was emotionally significant, I needed to ensure that my own feelings did not influence how I recorded or interpreted information. Social work requires practitioners to be accountable for professional judgement, and Rutter and Brown (2015) emphasise the importance of critical thinking in reaching decisions in complex circumstances. Supervision and discussion with senior colleagues therefore provided an important safeguard against working in isolation or becoming overly influenced by my own interpretation.</w:t>
            </w:r>
          </w:p>
          <w:p w14:paraId="6708183D" w14:textId="77777777" w:rsidR="00BB2B12" w:rsidRPr="009907EE" w:rsidRDefault="00BB2B12" w:rsidP="009907EE">
            <w:pPr>
              <w:jc w:val="both"/>
              <w:rPr>
                <w:iCs/>
                <w:sz w:val="24"/>
                <w:szCs w:val="24"/>
              </w:rPr>
            </w:pPr>
          </w:p>
          <w:p w14:paraId="7E804C8A" w14:textId="042670A8" w:rsidR="009907EE" w:rsidRPr="009907EE" w:rsidRDefault="009907EE" w:rsidP="009907EE">
            <w:pPr>
              <w:jc w:val="both"/>
              <w:rPr>
                <w:iCs/>
                <w:sz w:val="24"/>
                <w:szCs w:val="24"/>
              </w:rPr>
            </w:pPr>
            <w:r w:rsidRPr="009907EE">
              <w:rPr>
                <w:iCs/>
                <w:sz w:val="24"/>
                <w:szCs w:val="24"/>
              </w:rPr>
              <w:t xml:space="preserve">Looking back, one of the most important learning points for me is that safeguarding assessment is not simply about identifying whether an injury has occurred. It involves understanding the child's lived experience, relationships, environment, communication, history and current level of risk. The fact that </w:t>
            </w:r>
            <w:r w:rsidR="000E0422">
              <w:rPr>
                <w:iCs/>
                <w:sz w:val="24"/>
                <w:szCs w:val="24"/>
              </w:rPr>
              <w:t>Child 2</w:t>
            </w:r>
            <w:r w:rsidRPr="009907EE">
              <w:rPr>
                <w:iCs/>
                <w:sz w:val="24"/>
                <w:szCs w:val="24"/>
              </w:rPr>
              <w:t xml:space="preserve"> initially described one injury as an accident did not mean that other concerns should be overlooked. Equally, the later disclosures could not be considered in isolation from the wider evidence. The assessment required professional curiosity, but also professional restraint.</w:t>
            </w:r>
          </w:p>
          <w:p w14:paraId="1B054192" w14:textId="22C4EBB9" w:rsidR="009907EE" w:rsidRDefault="009907EE" w:rsidP="009907EE">
            <w:pPr>
              <w:jc w:val="both"/>
              <w:rPr>
                <w:iCs/>
                <w:sz w:val="24"/>
                <w:szCs w:val="24"/>
              </w:rPr>
            </w:pPr>
            <w:r w:rsidRPr="009907EE">
              <w:rPr>
                <w:iCs/>
                <w:sz w:val="24"/>
                <w:szCs w:val="24"/>
              </w:rPr>
              <w:t xml:space="preserve">I have also learned that a child's acceptance or minimisation of harmful behaviour should not automatically be interpreted as evidence that the behaviour was harmless. </w:t>
            </w:r>
            <w:r w:rsidR="000E0422">
              <w:rPr>
                <w:iCs/>
                <w:sz w:val="24"/>
                <w:szCs w:val="24"/>
              </w:rPr>
              <w:t>Child 2</w:t>
            </w:r>
            <w:r w:rsidRPr="009907EE">
              <w:rPr>
                <w:iCs/>
                <w:sz w:val="24"/>
                <w:szCs w:val="24"/>
              </w:rPr>
              <w:t xml:space="preserve">'s statement </w:t>
            </w:r>
            <w:r w:rsidRPr="009907EE">
              <w:rPr>
                <w:iCs/>
                <w:sz w:val="24"/>
                <w:szCs w:val="24"/>
              </w:rPr>
              <w:lastRenderedPageBreak/>
              <w:t>that they did not mind because the pain had only lasted part of the night made me consider how children may adapt their understanding of behaviour within relationships. This strengthened my understanding of trauma-informed, child-centred practice and the need to explore meaning without leading the child.</w:t>
            </w:r>
          </w:p>
          <w:p w14:paraId="47AA64C3" w14:textId="77777777" w:rsidR="00BB2B12" w:rsidRPr="009907EE" w:rsidRDefault="00BB2B12" w:rsidP="009907EE">
            <w:pPr>
              <w:jc w:val="both"/>
              <w:rPr>
                <w:iCs/>
                <w:sz w:val="24"/>
                <w:szCs w:val="24"/>
              </w:rPr>
            </w:pPr>
          </w:p>
          <w:p w14:paraId="33B14632" w14:textId="35A952C4" w:rsidR="009907EE" w:rsidRDefault="009907EE" w:rsidP="009907EE">
            <w:pPr>
              <w:jc w:val="both"/>
              <w:rPr>
                <w:iCs/>
                <w:sz w:val="24"/>
                <w:szCs w:val="24"/>
              </w:rPr>
            </w:pPr>
            <w:r w:rsidRPr="009907EE">
              <w:rPr>
                <w:iCs/>
                <w:sz w:val="24"/>
                <w:szCs w:val="24"/>
              </w:rPr>
              <w:t xml:space="preserve">The case strengthened my understanding of the importance of listening to children while maintaining professional responsibility. </w:t>
            </w:r>
            <w:r w:rsidR="000E0422">
              <w:rPr>
                <w:iCs/>
                <w:sz w:val="24"/>
                <w:szCs w:val="24"/>
              </w:rPr>
              <w:t>Child 2</w:t>
            </w:r>
            <w:r w:rsidRPr="009907EE">
              <w:rPr>
                <w:iCs/>
                <w:sz w:val="24"/>
                <w:szCs w:val="24"/>
              </w:rPr>
              <w:t xml:space="preserve"> was not responsible for proving what had happened or deciding what action should follow. My responsibility was to ensure that their voice was accurately heard, recorded and considered alongside other evidence. The subsequent medical findings and repeated disclosures demonstrated the value of taking concerns seriously and using multi-agency processes to establish a fuller understanding of risk.</w:t>
            </w:r>
          </w:p>
          <w:p w14:paraId="7078A2D1" w14:textId="77777777" w:rsidR="00BB2B12" w:rsidRPr="009907EE" w:rsidRDefault="00BB2B12" w:rsidP="009907EE">
            <w:pPr>
              <w:jc w:val="both"/>
              <w:rPr>
                <w:iCs/>
                <w:sz w:val="24"/>
                <w:szCs w:val="24"/>
              </w:rPr>
            </w:pPr>
          </w:p>
          <w:p w14:paraId="32DEC2EF" w14:textId="7FCB1E46" w:rsidR="009907EE" w:rsidRDefault="009907EE" w:rsidP="009907EE">
            <w:pPr>
              <w:jc w:val="both"/>
              <w:rPr>
                <w:iCs/>
                <w:sz w:val="24"/>
                <w:szCs w:val="24"/>
              </w:rPr>
            </w:pPr>
            <w:r w:rsidRPr="009907EE">
              <w:rPr>
                <w:iCs/>
                <w:sz w:val="24"/>
                <w:szCs w:val="24"/>
              </w:rPr>
              <w:t>Reflecting on the case through Bassot (2016) and Maclean, Finch and Tedam (2018) has also made me more aware of the need to question my assumptions. I recognised that I could have assumed that a foster placement represented safety, or that a child would always recognise and report harmful behaviour immediately. I now understand more clearly that safeguarding requires practitioners to remain curious about what is happening beneath the surface. This is particularly important where a child may be dependent on the adults around them.</w:t>
            </w:r>
          </w:p>
          <w:p w14:paraId="49C2CA15" w14:textId="77777777" w:rsidR="00BB2B12" w:rsidRPr="009907EE" w:rsidRDefault="00BB2B12" w:rsidP="009907EE">
            <w:pPr>
              <w:jc w:val="both"/>
              <w:rPr>
                <w:iCs/>
                <w:sz w:val="24"/>
                <w:szCs w:val="24"/>
              </w:rPr>
            </w:pPr>
          </w:p>
          <w:p w14:paraId="26E90B57" w14:textId="77777777" w:rsidR="009907EE" w:rsidRDefault="009907EE" w:rsidP="009907EE">
            <w:pPr>
              <w:jc w:val="both"/>
              <w:rPr>
                <w:iCs/>
                <w:sz w:val="24"/>
                <w:szCs w:val="24"/>
              </w:rPr>
            </w:pPr>
            <w:r w:rsidRPr="009907EE">
              <w:rPr>
                <w:iCs/>
                <w:sz w:val="24"/>
                <w:szCs w:val="24"/>
              </w:rPr>
              <w:t>The case has also reinforced for me that good multi-agency working is not simply about professionals attending the same meeting. It requires respectful challenge, clarity of roles, effective communication and shared responsibility. The difficulties experienced with police communication and timescales demonstrated how easily safeguarding can become fragmented when agencies have different priorities or availability. In future practice, I would continue to ensure that information is shared promptly, responsibilities are clearly recorded and unresolved communication difficulties are escalated rather than allowed to affect safeguarding.</w:t>
            </w:r>
          </w:p>
          <w:p w14:paraId="5765182A" w14:textId="77777777" w:rsidR="00BB2B12" w:rsidRPr="009907EE" w:rsidRDefault="00BB2B12" w:rsidP="009907EE">
            <w:pPr>
              <w:jc w:val="both"/>
              <w:rPr>
                <w:iCs/>
                <w:sz w:val="24"/>
                <w:szCs w:val="24"/>
              </w:rPr>
            </w:pPr>
          </w:p>
          <w:p w14:paraId="5564CB24" w14:textId="165F4DA3" w:rsidR="009907EE" w:rsidRPr="009907EE" w:rsidRDefault="00BB2B12" w:rsidP="009907EE">
            <w:pPr>
              <w:jc w:val="both"/>
              <w:rPr>
                <w:iCs/>
                <w:sz w:val="24"/>
                <w:szCs w:val="24"/>
              </w:rPr>
            </w:pPr>
            <w:r>
              <w:rPr>
                <w:iCs/>
                <w:sz w:val="24"/>
                <w:szCs w:val="24"/>
              </w:rPr>
              <w:t>This</w:t>
            </w:r>
            <w:r w:rsidR="009907EE" w:rsidRPr="009907EE">
              <w:rPr>
                <w:iCs/>
                <w:sz w:val="24"/>
                <w:szCs w:val="24"/>
              </w:rPr>
              <w:t xml:space="preserve"> case has significantly developed my understanding of complex safeguarding in Wales. It required me to integrate legislation, policy, theory, evidence, communication and professional judgement rather than relying on one source of information. The Social Services and Well-being (Wales) Act </w:t>
            </w:r>
            <w:r w:rsidR="00A356A4">
              <w:rPr>
                <w:iCs/>
                <w:sz w:val="24"/>
                <w:szCs w:val="24"/>
              </w:rPr>
              <w:t>(</w:t>
            </w:r>
            <w:r w:rsidR="009907EE" w:rsidRPr="009907EE">
              <w:rPr>
                <w:iCs/>
                <w:sz w:val="24"/>
                <w:szCs w:val="24"/>
              </w:rPr>
              <w:t>2014</w:t>
            </w:r>
            <w:r w:rsidR="00A356A4">
              <w:rPr>
                <w:iCs/>
                <w:sz w:val="24"/>
                <w:szCs w:val="24"/>
              </w:rPr>
              <w:t>)</w:t>
            </w:r>
            <w:r w:rsidR="009907EE" w:rsidRPr="009907EE">
              <w:rPr>
                <w:iCs/>
                <w:sz w:val="24"/>
                <w:szCs w:val="24"/>
              </w:rPr>
              <w:t xml:space="preserve">, Children Act </w:t>
            </w:r>
            <w:r w:rsidR="00A356A4">
              <w:rPr>
                <w:iCs/>
                <w:sz w:val="24"/>
                <w:szCs w:val="24"/>
              </w:rPr>
              <w:t>(</w:t>
            </w:r>
            <w:r w:rsidR="009907EE" w:rsidRPr="009907EE">
              <w:rPr>
                <w:iCs/>
                <w:sz w:val="24"/>
                <w:szCs w:val="24"/>
              </w:rPr>
              <w:t>1989</w:t>
            </w:r>
            <w:r w:rsidR="00A356A4">
              <w:rPr>
                <w:iCs/>
                <w:sz w:val="24"/>
                <w:szCs w:val="24"/>
              </w:rPr>
              <w:t>)</w:t>
            </w:r>
            <w:r w:rsidR="009907EE" w:rsidRPr="009907EE">
              <w:rPr>
                <w:iCs/>
                <w:sz w:val="24"/>
                <w:szCs w:val="24"/>
              </w:rPr>
              <w:t xml:space="preserve"> and </w:t>
            </w:r>
            <w:r w:rsidR="00A356A4">
              <w:rPr>
                <w:iCs/>
                <w:sz w:val="24"/>
                <w:szCs w:val="24"/>
              </w:rPr>
              <w:t>(</w:t>
            </w:r>
            <w:r w:rsidR="009907EE" w:rsidRPr="009907EE">
              <w:rPr>
                <w:iCs/>
                <w:sz w:val="24"/>
                <w:szCs w:val="24"/>
              </w:rPr>
              <w:t>2004</w:t>
            </w:r>
            <w:r w:rsidR="00A356A4">
              <w:rPr>
                <w:iCs/>
                <w:sz w:val="24"/>
                <w:szCs w:val="24"/>
              </w:rPr>
              <w:t>)</w:t>
            </w:r>
            <w:r w:rsidR="009907EE" w:rsidRPr="009907EE">
              <w:rPr>
                <w:iCs/>
                <w:sz w:val="24"/>
                <w:szCs w:val="24"/>
              </w:rPr>
              <w:t>, Wales Safeguarding Procedures</w:t>
            </w:r>
            <w:r w:rsidR="003E4404">
              <w:rPr>
                <w:iCs/>
                <w:sz w:val="24"/>
                <w:szCs w:val="24"/>
              </w:rPr>
              <w:t xml:space="preserve"> (2019)</w:t>
            </w:r>
            <w:r w:rsidR="009907EE" w:rsidRPr="009907EE">
              <w:rPr>
                <w:iCs/>
                <w:sz w:val="24"/>
                <w:szCs w:val="24"/>
              </w:rPr>
              <w:t>, Working Together to Safeguard People</w:t>
            </w:r>
            <w:r w:rsidR="003E4404">
              <w:rPr>
                <w:iCs/>
                <w:sz w:val="24"/>
                <w:szCs w:val="24"/>
              </w:rPr>
              <w:t xml:space="preserve"> (2019)</w:t>
            </w:r>
            <w:r w:rsidR="009907EE" w:rsidRPr="009907EE">
              <w:rPr>
                <w:iCs/>
                <w:sz w:val="24"/>
                <w:szCs w:val="24"/>
              </w:rPr>
              <w:t xml:space="preserve">, Human Rights Act </w:t>
            </w:r>
            <w:r w:rsidR="003E4404">
              <w:rPr>
                <w:iCs/>
                <w:sz w:val="24"/>
                <w:szCs w:val="24"/>
              </w:rPr>
              <w:t>(</w:t>
            </w:r>
            <w:r w:rsidR="009907EE" w:rsidRPr="009907EE">
              <w:rPr>
                <w:iCs/>
                <w:sz w:val="24"/>
                <w:szCs w:val="24"/>
              </w:rPr>
              <w:t>1998</w:t>
            </w:r>
            <w:r w:rsidR="003E4404">
              <w:rPr>
                <w:iCs/>
                <w:sz w:val="24"/>
                <w:szCs w:val="24"/>
              </w:rPr>
              <w:t>)</w:t>
            </w:r>
            <w:r w:rsidR="009907EE" w:rsidRPr="009907EE">
              <w:rPr>
                <w:iCs/>
                <w:sz w:val="24"/>
                <w:szCs w:val="24"/>
              </w:rPr>
              <w:t xml:space="preserve">, Equality Act </w:t>
            </w:r>
            <w:r w:rsidR="003E4404">
              <w:rPr>
                <w:iCs/>
                <w:sz w:val="24"/>
                <w:szCs w:val="24"/>
              </w:rPr>
              <w:t>(</w:t>
            </w:r>
            <w:r w:rsidR="009907EE" w:rsidRPr="009907EE">
              <w:rPr>
                <w:iCs/>
                <w:sz w:val="24"/>
                <w:szCs w:val="24"/>
              </w:rPr>
              <w:t>2010</w:t>
            </w:r>
            <w:r w:rsidR="003E4404">
              <w:rPr>
                <w:iCs/>
                <w:sz w:val="24"/>
                <w:szCs w:val="24"/>
              </w:rPr>
              <w:t>)</w:t>
            </w:r>
            <w:r w:rsidR="009907EE" w:rsidRPr="009907EE">
              <w:rPr>
                <w:iCs/>
                <w:sz w:val="24"/>
                <w:szCs w:val="24"/>
              </w:rPr>
              <w:t xml:space="preserve">, Welsh Language (Wales) Measure </w:t>
            </w:r>
            <w:r w:rsidR="003E4404">
              <w:rPr>
                <w:iCs/>
                <w:sz w:val="24"/>
                <w:szCs w:val="24"/>
              </w:rPr>
              <w:t>(</w:t>
            </w:r>
            <w:r w:rsidR="009907EE" w:rsidRPr="009907EE">
              <w:rPr>
                <w:iCs/>
                <w:sz w:val="24"/>
                <w:szCs w:val="24"/>
              </w:rPr>
              <w:t>2011</w:t>
            </w:r>
            <w:r w:rsidR="003E4404">
              <w:rPr>
                <w:iCs/>
                <w:sz w:val="24"/>
                <w:szCs w:val="24"/>
              </w:rPr>
              <w:t>)</w:t>
            </w:r>
            <w:r w:rsidR="009907EE" w:rsidRPr="009907EE">
              <w:rPr>
                <w:iCs/>
                <w:sz w:val="24"/>
                <w:szCs w:val="24"/>
              </w:rPr>
              <w:t xml:space="preserve">, Well-being of Future Generations (Wales) Act </w:t>
            </w:r>
            <w:r w:rsidR="003E4404">
              <w:rPr>
                <w:iCs/>
                <w:sz w:val="24"/>
                <w:szCs w:val="24"/>
              </w:rPr>
              <w:t>(</w:t>
            </w:r>
            <w:r w:rsidR="009907EE" w:rsidRPr="009907EE">
              <w:rPr>
                <w:iCs/>
                <w:sz w:val="24"/>
                <w:szCs w:val="24"/>
              </w:rPr>
              <w:t>2015</w:t>
            </w:r>
            <w:r w:rsidR="003E4404">
              <w:rPr>
                <w:iCs/>
                <w:sz w:val="24"/>
                <w:szCs w:val="24"/>
              </w:rPr>
              <w:t>)</w:t>
            </w:r>
            <w:r w:rsidR="009907EE" w:rsidRPr="009907EE">
              <w:rPr>
                <w:iCs/>
                <w:sz w:val="24"/>
                <w:szCs w:val="24"/>
              </w:rPr>
              <w:t xml:space="preserve"> and UNCRC </w:t>
            </w:r>
            <w:r w:rsidR="003E4404">
              <w:rPr>
                <w:iCs/>
                <w:sz w:val="24"/>
                <w:szCs w:val="24"/>
              </w:rPr>
              <w:t xml:space="preserve">(1989) </w:t>
            </w:r>
            <w:r w:rsidR="009907EE" w:rsidRPr="009907EE">
              <w:rPr>
                <w:iCs/>
                <w:sz w:val="24"/>
                <w:szCs w:val="24"/>
              </w:rPr>
              <w:t>provided the legal and policy context. Systems theory</w:t>
            </w:r>
            <w:r w:rsidR="003E4404">
              <w:rPr>
                <w:iCs/>
                <w:sz w:val="24"/>
                <w:szCs w:val="24"/>
              </w:rPr>
              <w:t xml:space="preserve"> (Teater 2014)</w:t>
            </w:r>
            <w:r w:rsidR="009907EE" w:rsidRPr="009907EE">
              <w:rPr>
                <w:iCs/>
                <w:sz w:val="24"/>
                <w:szCs w:val="24"/>
              </w:rPr>
              <w:t xml:space="preserve">, strengths-based practice, trauma-informed thinking, anti-oppressive practice and the 4D2P model </w:t>
            </w:r>
            <w:r w:rsidR="003E4404" w:rsidRPr="009907EE">
              <w:rPr>
                <w:iCs/>
                <w:sz w:val="24"/>
                <w:szCs w:val="24"/>
              </w:rPr>
              <w:t xml:space="preserve">Tedam (2021) </w:t>
            </w:r>
            <w:r w:rsidR="009907EE" w:rsidRPr="009907EE">
              <w:rPr>
                <w:iCs/>
                <w:sz w:val="24"/>
                <w:szCs w:val="24"/>
              </w:rPr>
              <w:t>helped me understand the child and family within their wider relationships and environments. Critical reflection helped me examine my own values, emotional responses and assumptions.</w:t>
            </w:r>
          </w:p>
          <w:p w14:paraId="22A4848A" w14:textId="400845A7" w:rsidR="009907EE" w:rsidRPr="009907EE" w:rsidRDefault="009907EE" w:rsidP="009907EE">
            <w:pPr>
              <w:jc w:val="both"/>
              <w:rPr>
                <w:iCs/>
                <w:sz w:val="24"/>
                <w:szCs w:val="24"/>
              </w:rPr>
            </w:pPr>
            <w:r w:rsidRPr="009907EE">
              <w:rPr>
                <w:iCs/>
                <w:sz w:val="24"/>
                <w:szCs w:val="24"/>
              </w:rPr>
              <w:t xml:space="preserve">Most importantly, the experience strengthened my understanding that safeguarding requires both decisive action and thoughtful professional judgement. </w:t>
            </w:r>
            <w:r w:rsidR="000E0422">
              <w:rPr>
                <w:iCs/>
                <w:sz w:val="24"/>
                <w:szCs w:val="24"/>
              </w:rPr>
              <w:t>Child 2</w:t>
            </w:r>
            <w:r w:rsidRPr="009907EE">
              <w:rPr>
                <w:iCs/>
                <w:sz w:val="24"/>
                <w:szCs w:val="24"/>
              </w:rPr>
              <w:t xml:space="preserve">'s safety had to remain central, but this did not remove the need for fairness, evidence, proportionality or respect for the rights of others. Moving </w:t>
            </w:r>
            <w:r w:rsidR="000E0422">
              <w:rPr>
                <w:iCs/>
                <w:sz w:val="24"/>
                <w:szCs w:val="24"/>
              </w:rPr>
              <w:t>Child 2</w:t>
            </w:r>
            <w:r w:rsidRPr="009907EE">
              <w:rPr>
                <w:iCs/>
                <w:sz w:val="24"/>
                <w:szCs w:val="24"/>
              </w:rPr>
              <w:t xml:space="preserve"> to a safer placement, completing the child protection medical, undertaking the Section 47 enquiry and progressing the Section 5 process demonstrated how different safeguarding mechanisms can work together. The experience </w:t>
            </w:r>
            <w:r w:rsidRPr="009907EE">
              <w:rPr>
                <w:iCs/>
                <w:sz w:val="24"/>
                <w:szCs w:val="24"/>
              </w:rPr>
              <w:lastRenderedPageBreak/>
              <w:t xml:space="preserve">has strengthened my confidence in child-centred, </w:t>
            </w:r>
            <w:r w:rsidR="00574855">
              <w:rPr>
                <w:iCs/>
                <w:sz w:val="24"/>
                <w:szCs w:val="24"/>
              </w:rPr>
              <w:t>person</w:t>
            </w:r>
            <w:r w:rsidRPr="009907EE">
              <w:rPr>
                <w:iCs/>
                <w:sz w:val="24"/>
                <w:szCs w:val="24"/>
              </w:rPr>
              <w:t>-centred and outcome-focused practice and has reinforced my responsibility to remain professionally curious, reflective and willing to challenge where a child's safety may be compromised.</w:t>
            </w:r>
          </w:p>
          <w:p w14:paraId="20370495" w14:textId="79B79501" w:rsidR="00D3203C" w:rsidRDefault="00D3203C" w:rsidP="00FF7EBB">
            <w:pPr>
              <w:jc w:val="both"/>
              <w:rPr>
                <w:iCs/>
                <w:sz w:val="24"/>
                <w:szCs w:val="24"/>
              </w:rPr>
            </w:pPr>
          </w:p>
          <w:p w14:paraId="597DE1B4" w14:textId="7BCD9524" w:rsidR="009907EE" w:rsidRPr="009907EE" w:rsidRDefault="009907EE" w:rsidP="00FF7EBB">
            <w:pPr>
              <w:jc w:val="both"/>
              <w:rPr>
                <w:b/>
                <w:bCs/>
                <w:iCs/>
                <w:sz w:val="24"/>
                <w:szCs w:val="24"/>
              </w:rPr>
            </w:pPr>
            <w:r w:rsidRPr="009907EE">
              <w:rPr>
                <w:b/>
                <w:bCs/>
                <w:iCs/>
                <w:sz w:val="24"/>
                <w:szCs w:val="24"/>
              </w:rPr>
              <w:t>Word Count:</w:t>
            </w:r>
            <w:r>
              <w:rPr>
                <w:b/>
                <w:bCs/>
                <w:iCs/>
                <w:sz w:val="24"/>
                <w:szCs w:val="24"/>
              </w:rPr>
              <w:t>41</w:t>
            </w:r>
            <w:r w:rsidR="003E4404">
              <w:rPr>
                <w:b/>
                <w:bCs/>
                <w:iCs/>
                <w:sz w:val="24"/>
                <w:szCs w:val="24"/>
              </w:rPr>
              <w:t>17</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95933" w14:textId="77777777" w:rsidR="00B62937" w:rsidRDefault="00B62937">
      <w:r>
        <w:separator/>
      </w:r>
    </w:p>
  </w:endnote>
  <w:endnote w:type="continuationSeparator" w:id="0">
    <w:p w14:paraId="33C28F07" w14:textId="77777777" w:rsidR="00B62937" w:rsidRDefault="00B62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44F01" w14:textId="77777777" w:rsidR="00B62937" w:rsidRDefault="00B62937">
      <w:r>
        <w:separator/>
      </w:r>
    </w:p>
  </w:footnote>
  <w:footnote w:type="continuationSeparator" w:id="0">
    <w:p w14:paraId="31C33AE6" w14:textId="77777777" w:rsidR="00B62937" w:rsidRDefault="00B62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422"/>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2A2"/>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404"/>
    <w:rsid w:val="003E4B70"/>
    <w:rsid w:val="003E54CF"/>
    <w:rsid w:val="003E5FBA"/>
    <w:rsid w:val="003F1233"/>
    <w:rsid w:val="003F67A4"/>
    <w:rsid w:val="00400786"/>
    <w:rsid w:val="00401FDA"/>
    <w:rsid w:val="004046F0"/>
    <w:rsid w:val="0040623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855"/>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6C0"/>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7EE"/>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6A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2937"/>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2B12"/>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37C2D"/>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A5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10</Pages>
  <Words>4473</Words>
  <Characters>25497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Debbie1 Piercy</cp:lastModifiedBy>
  <cp:revision>9</cp:revision>
  <cp:lastPrinted>2020-02-11T19:20:00Z</cp:lastPrinted>
  <dcterms:created xsi:type="dcterms:W3CDTF">2026-10-05T14:25:00Z</dcterms:created>
  <dcterms:modified xsi:type="dcterms:W3CDTF">2026-10-05T18:14:00Z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