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11627" w14:textId="77777777" w:rsidR="00504DE5" w:rsidRDefault="00504DE5" w:rsidP="00504DE5">
      <w:pPr>
        <w:spacing w:line="480" w:lineRule="auto"/>
        <w:jc w:val="both"/>
        <w:rPr>
          <w:rFonts w:ascii="Times New Roman" w:hAnsi="Times New Roman" w:cs="Times New Roman"/>
          <w:sz w:val="24"/>
          <w:szCs w:val="24"/>
        </w:rPr>
      </w:pPr>
    </w:p>
    <w:p w14:paraId="0AF0C929" w14:textId="77777777" w:rsidR="00504DE5" w:rsidRDefault="00504DE5" w:rsidP="00504DE5">
      <w:pPr>
        <w:spacing w:line="480" w:lineRule="auto"/>
        <w:jc w:val="both"/>
        <w:rPr>
          <w:rFonts w:ascii="Times New Roman" w:hAnsi="Times New Roman" w:cs="Times New Roman"/>
          <w:sz w:val="24"/>
          <w:szCs w:val="24"/>
        </w:rPr>
      </w:pPr>
    </w:p>
    <w:p w14:paraId="0D1D9237" w14:textId="77777777" w:rsidR="00504DE5" w:rsidRDefault="00504DE5" w:rsidP="00504DE5">
      <w:pPr>
        <w:spacing w:line="480" w:lineRule="auto"/>
        <w:jc w:val="both"/>
        <w:rPr>
          <w:rFonts w:ascii="Times New Roman" w:hAnsi="Times New Roman" w:cs="Times New Roman"/>
          <w:sz w:val="24"/>
          <w:szCs w:val="24"/>
        </w:rPr>
      </w:pPr>
    </w:p>
    <w:p w14:paraId="6F092E5D" w14:textId="5261CDB6" w:rsidR="009026F7" w:rsidRPr="00E1674B" w:rsidRDefault="009026F7" w:rsidP="00504DE5">
      <w:pPr>
        <w:spacing w:line="480" w:lineRule="auto"/>
        <w:jc w:val="both"/>
        <w:rPr>
          <w:rFonts w:ascii="Arial" w:hAnsi="Arial" w:cs="Arial"/>
          <w:b/>
          <w:bCs/>
          <w:sz w:val="24"/>
          <w:szCs w:val="24"/>
        </w:rPr>
      </w:pPr>
      <w:r w:rsidRPr="00E1674B">
        <w:rPr>
          <w:rFonts w:ascii="Arial" w:hAnsi="Arial" w:cs="Arial"/>
          <w:b/>
          <w:bCs/>
          <w:sz w:val="24"/>
          <w:szCs w:val="24"/>
        </w:rPr>
        <w:t>HOSPITALITY ORGANISATIONS: MARRIOT INTERNATIONAL AND ACCOR INTERNATIONAL</w:t>
      </w:r>
    </w:p>
    <w:p w14:paraId="5F07CB7D" w14:textId="10465063" w:rsidR="00EB2A54" w:rsidRDefault="00EB2A54"/>
    <w:p w14:paraId="7486A7F9" w14:textId="6CE6FCA2" w:rsidR="009026F7" w:rsidRDefault="009026F7"/>
    <w:p w14:paraId="7476B262" w14:textId="08A64A39" w:rsidR="009026F7" w:rsidRDefault="009026F7"/>
    <w:p w14:paraId="6E7A207B" w14:textId="5E3CFC3A" w:rsidR="009026F7" w:rsidRDefault="009026F7"/>
    <w:p w14:paraId="64A52C7D" w14:textId="2FA89512" w:rsidR="009026F7" w:rsidRDefault="009026F7"/>
    <w:p w14:paraId="1718C87E" w14:textId="77777777" w:rsidR="00E1674B" w:rsidRPr="00E1674B" w:rsidRDefault="00E1674B" w:rsidP="00E1674B">
      <w:pPr>
        <w:suppressAutoHyphens/>
        <w:autoSpaceDN w:val="0"/>
        <w:spacing w:after="0" w:line="360" w:lineRule="auto"/>
        <w:jc w:val="both"/>
        <w:rPr>
          <w:rFonts w:ascii="Arial" w:eastAsia="Calibri" w:hAnsi="Arial" w:cs="Arial"/>
          <w:sz w:val="24"/>
          <w:szCs w:val="24"/>
          <w:lang w:val="en-GB"/>
        </w:rPr>
      </w:pPr>
    </w:p>
    <w:p w14:paraId="12EA7C40" w14:textId="77777777" w:rsidR="00E1674B" w:rsidRDefault="00E1674B" w:rsidP="00E1674B">
      <w:pPr>
        <w:suppressAutoHyphens/>
        <w:autoSpaceDN w:val="0"/>
        <w:spacing w:after="0" w:line="360" w:lineRule="auto"/>
        <w:rPr>
          <w:rFonts w:ascii="Arial" w:eastAsia="Calibri" w:hAnsi="Arial" w:cs="Arial"/>
          <w:b/>
          <w:bCs/>
          <w:sz w:val="24"/>
          <w:szCs w:val="24"/>
          <w:lang w:val="fr-FR"/>
        </w:rPr>
      </w:pPr>
    </w:p>
    <w:p w14:paraId="3D6EE909" w14:textId="77777777" w:rsidR="00E1674B" w:rsidRDefault="00E1674B" w:rsidP="00E1674B">
      <w:pPr>
        <w:suppressAutoHyphens/>
        <w:autoSpaceDN w:val="0"/>
        <w:spacing w:after="0" w:line="360" w:lineRule="auto"/>
        <w:rPr>
          <w:rFonts w:ascii="Arial" w:eastAsia="Calibri" w:hAnsi="Arial" w:cs="Arial"/>
          <w:b/>
          <w:bCs/>
          <w:sz w:val="24"/>
          <w:szCs w:val="24"/>
          <w:lang w:val="fr-FR"/>
        </w:rPr>
      </w:pPr>
    </w:p>
    <w:p w14:paraId="7EEE46F6" w14:textId="77777777" w:rsidR="00E1674B" w:rsidRDefault="00E1674B" w:rsidP="00E1674B">
      <w:pPr>
        <w:suppressAutoHyphens/>
        <w:autoSpaceDN w:val="0"/>
        <w:spacing w:after="0" w:line="360" w:lineRule="auto"/>
        <w:rPr>
          <w:rFonts w:ascii="Arial" w:eastAsia="Calibri" w:hAnsi="Arial" w:cs="Arial"/>
          <w:b/>
          <w:bCs/>
          <w:sz w:val="24"/>
          <w:szCs w:val="24"/>
          <w:lang w:val="fr-FR"/>
        </w:rPr>
      </w:pPr>
    </w:p>
    <w:p w14:paraId="311E62C9" w14:textId="77777777" w:rsidR="00E1674B" w:rsidRDefault="00E1674B" w:rsidP="00E1674B">
      <w:pPr>
        <w:suppressAutoHyphens/>
        <w:autoSpaceDN w:val="0"/>
        <w:spacing w:after="0" w:line="360" w:lineRule="auto"/>
        <w:rPr>
          <w:rFonts w:ascii="Arial" w:eastAsia="Calibri" w:hAnsi="Arial" w:cs="Arial"/>
          <w:b/>
          <w:bCs/>
          <w:sz w:val="24"/>
          <w:szCs w:val="24"/>
          <w:lang w:val="fr-FR"/>
        </w:rPr>
      </w:pPr>
    </w:p>
    <w:p w14:paraId="2CD0553A" w14:textId="16255444" w:rsidR="00E1674B" w:rsidRPr="00E1674B" w:rsidRDefault="00E1674B" w:rsidP="00E1674B">
      <w:pPr>
        <w:suppressAutoHyphens/>
        <w:autoSpaceDN w:val="0"/>
        <w:spacing w:after="0" w:line="360" w:lineRule="auto"/>
        <w:rPr>
          <w:rFonts w:ascii="Arial" w:eastAsia="Calibri" w:hAnsi="Arial" w:cs="Arial"/>
          <w:b/>
          <w:bCs/>
          <w:sz w:val="24"/>
          <w:szCs w:val="24"/>
          <w:lang w:val="fr-FR"/>
        </w:rPr>
      </w:pPr>
      <w:r w:rsidRPr="00E1674B">
        <w:rPr>
          <w:rFonts w:ascii="Arial" w:eastAsia="Calibri" w:hAnsi="Arial" w:cs="Arial"/>
          <w:b/>
          <w:bCs/>
          <w:sz w:val="24"/>
          <w:szCs w:val="24"/>
          <w:lang w:val="fr-FR"/>
        </w:rPr>
        <w:t>Student Name : MARIUS CIOCEA</w:t>
      </w:r>
    </w:p>
    <w:p w14:paraId="4F626889" w14:textId="44CD9D48" w:rsidR="00E1674B" w:rsidRPr="00E1674B" w:rsidRDefault="00E1674B" w:rsidP="00E1674B">
      <w:pPr>
        <w:suppressAutoHyphens/>
        <w:autoSpaceDN w:val="0"/>
        <w:spacing w:after="0" w:line="360" w:lineRule="auto"/>
        <w:rPr>
          <w:rFonts w:ascii="Arial" w:eastAsia="Calibri" w:hAnsi="Arial" w:cs="Arial"/>
          <w:b/>
          <w:bCs/>
          <w:sz w:val="24"/>
          <w:szCs w:val="24"/>
          <w:lang w:val="fr-FR"/>
        </w:rPr>
      </w:pPr>
      <w:r w:rsidRPr="00E1674B">
        <w:rPr>
          <w:rFonts w:ascii="Arial" w:eastAsia="Calibri" w:hAnsi="Arial" w:cs="Arial"/>
          <w:b/>
          <w:bCs/>
          <w:sz w:val="24"/>
          <w:szCs w:val="24"/>
          <w:lang w:val="fr-FR"/>
        </w:rPr>
        <w:t xml:space="preserve">Student ID </w:t>
      </w:r>
      <w:r w:rsidRPr="00E1674B">
        <w:rPr>
          <w:rFonts w:ascii="Arial" w:eastAsia="Calibri" w:hAnsi="Arial" w:cs="Arial"/>
          <w:b/>
          <w:bCs/>
          <w:sz w:val="24"/>
          <w:szCs w:val="24"/>
          <w:lang w:val="fr-FR"/>
        </w:rPr>
        <w:t>Number :</w:t>
      </w:r>
      <w:r w:rsidRPr="00E1674B">
        <w:rPr>
          <w:rFonts w:ascii="Arial" w:eastAsia="Calibri" w:hAnsi="Arial" w:cs="Arial"/>
          <w:b/>
          <w:bCs/>
          <w:sz w:val="24"/>
          <w:szCs w:val="24"/>
          <w:lang w:val="fr-FR"/>
        </w:rPr>
        <w:t xml:space="preserve"> 2111529</w:t>
      </w:r>
    </w:p>
    <w:p w14:paraId="0D514124" w14:textId="753F2FCA" w:rsidR="00E1674B" w:rsidRPr="00E1674B" w:rsidRDefault="00E1674B" w:rsidP="00E1674B">
      <w:pPr>
        <w:suppressAutoHyphens/>
        <w:autoSpaceDN w:val="0"/>
        <w:spacing w:after="0" w:line="360" w:lineRule="auto"/>
        <w:rPr>
          <w:rFonts w:ascii="Arial" w:eastAsia="Calibri" w:hAnsi="Arial" w:cs="Arial"/>
          <w:b/>
          <w:bCs/>
          <w:sz w:val="24"/>
          <w:szCs w:val="24"/>
          <w:lang w:val="fr-FR"/>
        </w:rPr>
      </w:pPr>
      <w:r>
        <w:rPr>
          <w:rFonts w:ascii="Arial" w:eastAsia="Calibri" w:hAnsi="Arial" w:cs="Arial"/>
          <w:b/>
          <w:bCs/>
          <w:sz w:val="24"/>
          <w:szCs w:val="24"/>
          <w:lang w:val="fr-FR"/>
        </w:rPr>
        <w:t xml:space="preserve">Financial management for the Hotel Industry </w:t>
      </w:r>
      <w:r w:rsidRPr="00E1674B">
        <w:rPr>
          <w:rFonts w:ascii="Arial" w:eastAsia="Calibri" w:hAnsi="Arial" w:cs="Arial"/>
          <w:b/>
          <w:bCs/>
          <w:sz w:val="24"/>
          <w:szCs w:val="24"/>
          <w:lang w:val="fr-FR"/>
        </w:rPr>
        <w:t>(BMIH500</w:t>
      </w:r>
      <w:r>
        <w:rPr>
          <w:rFonts w:ascii="Arial" w:eastAsia="Calibri" w:hAnsi="Arial" w:cs="Arial"/>
          <w:b/>
          <w:bCs/>
          <w:sz w:val="24"/>
          <w:szCs w:val="24"/>
          <w:lang w:val="fr-FR"/>
        </w:rPr>
        <w:t>7</w:t>
      </w:r>
      <w:r w:rsidR="002671A3">
        <w:rPr>
          <w:rFonts w:ascii="Arial" w:eastAsia="Calibri" w:hAnsi="Arial" w:cs="Arial"/>
          <w:b/>
          <w:bCs/>
          <w:sz w:val="24"/>
          <w:szCs w:val="24"/>
          <w:lang w:val="fr-FR"/>
        </w:rPr>
        <w:t>, BMIH5002</w:t>
      </w:r>
      <w:r w:rsidRPr="00E1674B">
        <w:rPr>
          <w:rFonts w:ascii="Arial" w:eastAsia="Calibri" w:hAnsi="Arial" w:cs="Arial"/>
          <w:b/>
          <w:bCs/>
          <w:sz w:val="24"/>
          <w:szCs w:val="24"/>
          <w:lang w:val="fr-FR"/>
        </w:rPr>
        <w:t>)</w:t>
      </w:r>
    </w:p>
    <w:p w14:paraId="013CAEBD" w14:textId="67484264" w:rsidR="00E1674B" w:rsidRPr="00E1674B" w:rsidRDefault="00E1674B" w:rsidP="00E1674B">
      <w:pPr>
        <w:suppressAutoHyphens/>
        <w:autoSpaceDN w:val="0"/>
        <w:spacing w:after="0" w:line="360" w:lineRule="auto"/>
        <w:rPr>
          <w:rFonts w:ascii="Arial" w:eastAsia="Calibri" w:hAnsi="Arial" w:cs="Arial"/>
          <w:b/>
          <w:bCs/>
          <w:sz w:val="24"/>
          <w:szCs w:val="24"/>
          <w:lang w:val="fr-FR"/>
        </w:rPr>
      </w:pPr>
      <w:r w:rsidRPr="00E1674B">
        <w:rPr>
          <w:rFonts w:ascii="Arial" w:eastAsia="Calibri" w:hAnsi="Arial" w:cs="Arial"/>
          <w:b/>
          <w:bCs/>
          <w:sz w:val="24"/>
          <w:szCs w:val="24"/>
          <w:lang w:val="fr-FR"/>
        </w:rPr>
        <w:t>Lecturer :</w:t>
      </w:r>
      <w:r w:rsidRPr="00E1674B">
        <w:rPr>
          <w:rFonts w:ascii="Arial" w:eastAsia="Calibri" w:hAnsi="Arial" w:cs="Arial"/>
          <w:b/>
          <w:bCs/>
          <w:sz w:val="24"/>
          <w:szCs w:val="24"/>
          <w:lang w:val="fr-FR"/>
        </w:rPr>
        <w:t xml:space="preserve"> Dale Clarke</w:t>
      </w:r>
    </w:p>
    <w:p w14:paraId="716BAF53" w14:textId="4B31F08C" w:rsidR="009026F7" w:rsidRDefault="009026F7"/>
    <w:p w14:paraId="55E60C31" w14:textId="756E8BC3" w:rsidR="009026F7" w:rsidRDefault="009026F7"/>
    <w:p w14:paraId="2CF4C17C" w14:textId="44AF7F73" w:rsidR="009026F7" w:rsidRDefault="009026F7"/>
    <w:p w14:paraId="1BB92A9B" w14:textId="29A44F42" w:rsidR="009026F7" w:rsidRDefault="009026F7"/>
    <w:p w14:paraId="1F814D60" w14:textId="3E8230C5" w:rsidR="009026F7" w:rsidRDefault="009026F7"/>
    <w:p w14:paraId="2395C7B1" w14:textId="441A87C6" w:rsidR="009026F7" w:rsidRDefault="009026F7"/>
    <w:p w14:paraId="48D792CB" w14:textId="112743C0" w:rsidR="009026F7" w:rsidRDefault="009026F7"/>
    <w:p w14:paraId="2A5ED399" w14:textId="12E86CED" w:rsidR="009026F7" w:rsidRDefault="009026F7"/>
    <w:p w14:paraId="79A7797D" w14:textId="28ECB5DC" w:rsidR="009026F7" w:rsidRDefault="009026F7"/>
    <w:p w14:paraId="1C097FBB" w14:textId="3375F55D" w:rsidR="009026F7" w:rsidRDefault="009026F7"/>
    <w:p w14:paraId="4F52AEC0" w14:textId="3206DDE8" w:rsidR="009026F7" w:rsidRDefault="009026F7"/>
    <w:p w14:paraId="4C7BE52C" w14:textId="4813A54C" w:rsidR="009026F7" w:rsidRDefault="009026F7"/>
    <w:p w14:paraId="34B9260F" w14:textId="3DF5D1EF" w:rsidR="009026F7" w:rsidRDefault="009026F7"/>
    <w:p w14:paraId="02DF4062" w14:textId="49B5A9BF" w:rsidR="009026F7" w:rsidRPr="00E1674B" w:rsidRDefault="009026F7" w:rsidP="00504DE5">
      <w:pPr>
        <w:spacing w:line="360" w:lineRule="auto"/>
        <w:jc w:val="both"/>
        <w:rPr>
          <w:b/>
          <w:bCs/>
        </w:rPr>
      </w:pPr>
    </w:p>
    <w:p w14:paraId="3B01876E" w14:textId="10084608" w:rsidR="009026F7" w:rsidRDefault="009026F7" w:rsidP="00504DE5">
      <w:pPr>
        <w:spacing w:line="360" w:lineRule="auto"/>
        <w:ind w:firstLine="720"/>
        <w:jc w:val="both"/>
        <w:rPr>
          <w:rFonts w:ascii="Times New Roman" w:hAnsi="Times New Roman" w:cs="Times New Roman"/>
          <w:b/>
          <w:bCs/>
          <w:sz w:val="24"/>
          <w:szCs w:val="24"/>
        </w:rPr>
      </w:pPr>
      <w:r w:rsidRPr="00E1674B">
        <w:rPr>
          <w:rFonts w:ascii="Times New Roman" w:hAnsi="Times New Roman" w:cs="Times New Roman"/>
          <w:b/>
          <w:bCs/>
          <w:sz w:val="24"/>
          <w:szCs w:val="24"/>
        </w:rPr>
        <w:t>HOSPITALITY ORGANISATIONS: MARRIOT INTERNATIONAL AND ACCOR INTERNATIONAL</w:t>
      </w:r>
    </w:p>
    <w:p w14:paraId="28734B52" w14:textId="6A1D406C" w:rsidR="00E1674B" w:rsidRDefault="00E1674B" w:rsidP="00504DE5">
      <w:pPr>
        <w:spacing w:line="360" w:lineRule="auto"/>
        <w:ind w:firstLine="720"/>
        <w:jc w:val="both"/>
        <w:rPr>
          <w:rFonts w:ascii="Times New Roman" w:hAnsi="Times New Roman" w:cs="Times New Roman"/>
          <w:b/>
          <w:bCs/>
          <w:sz w:val="24"/>
          <w:szCs w:val="24"/>
        </w:rPr>
      </w:pPr>
    </w:p>
    <w:p w14:paraId="7F3D5732" w14:textId="77777777" w:rsidR="00E1674B" w:rsidRPr="00E1674B" w:rsidRDefault="00E1674B" w:rsidP="00504DE5">
      <w:pPr>
        <w:spacing w:line="360" w:lineRule="auto"/>
        <w:ind w:firstLine="720"/>
        <w:jc w:val="both"/>
        <w:rPr>
          <w:rFonts w:ascii="Times New Roman" w:hAnsi="Times New Roman" w:cs="Times New Roman"/>
          <w:b/>
          <w:bCs/>
          <w:sz w:val="24"/>
          <w:szCs w:val="24"/>
        </w:rPr>
      </w:pPr>
    </w:p>
    <w:p w14:paraId="44B54B25" w14:textId="77777777" w:rsidR="009026F7" w:rsidRPr="006E319F" w:rsidRDefault="009026F7" w:rsidP="00504DE5">
      <w:pPr>
        <w:spacing w:line="360" w:lineRule="auto"/>
        <w:jc w:val="both"/>
        <w:rPr>
          <w:rFonts w:ascii="Arial" w:hAnsi="Arial" w:cs="Arial"/>
          <w:b/>
          <w:bCs/>
          <w:sz w:val="24"/>
          <w:szCs w:val="24"/>
        </w:rPr>
      </w:pPr>
      <w:r w:rsidRPr="006E319F">
        <w:rPr>
          <w:rFonts w:ascii="Arial" w:hAnsi="Arial" w:cs="Arial"/>
          <w:b/>
          <w:bCs/>
          <w:sz w:val="24"/>
          <w:szCs w:val="24"/>
        </w:rPr>
        <w:t>Introduction</w:t>
      </w:r>
    </w:p>
    <w:p w14:paraId="7A10AF84" w14:textId="18BDEB81" w:rsidR="009026F7" w:rsidRPr="006E319F" w:rsidRDefault="009026F7" w:rsidP="00504DE5">
      <w:pPr>
        <w:spacing w:line="360" w:lineRule="auto"/>
        <w:ind w:firstLine="720"/>
        <w:jc w:val="both"/>
        <w:rPr>
          <w:rFonts w:ascii="Arial" w:hAnsi="Arial" w:cs="Arial"/>
          <w:sz w:val="24"/>
          <w:szCs w:val="24"/>
        </w:rPr>
      </w:pPr>
      <w:r w:rsidRPr="006E319F">
        <w:rPr>
          <w:rFonts w:ascii="Arial" w:hAnsi="Arial" w:cs="Arial"/>
          <w:sz w:val="24"/>
          <w:szCs w:val="24"/>
        </w:rPr>
        <w:t>According to Alonso. (2022, p. 103201), the global hospitality industry has continued to experience tremendous growth due to numerous dynamics in the business environment. The global hospitality industry has enjoyed a massive growth spurt in the last decade. A decade ago, the end of the financial crisis presented greater opportunities for players’ success in the international hospitality sector. Based on the results from the World Bank, the global economy witnessed about 3% growth annually before the emergence of the worldwide coronavirus pandemic (Alonso, 2022, p. 103201; Sofi, 2020, p. 611). However, the pandemic has had a ripple effect on organisation</w:t>
      </w:r>
      <w:r w:rsidR="00BC30DE" w:rsidRPr="006E319F">
        <w:rPr>
          <w:rFonts w:ascii="Arial" w:hAnsi="Arial" w:cs="Arial"/>
          <w:sz w:val="24"/>
          <w:szCs w:val="24"/>
        </w:rPr>
        <w:t>'</w:t>
      </w:r>
      <w:r w:rsidRPr="006E319F">
        <w:rPr>
          <w:rFonts w:ascii="Arial" w:hAnsi="Arial" w:cs="Arial"/>
          <w:sz w:val="24"/>
          <w:szCs w:val="24"/>
        </w:rPr>
        <w:t xml:space="preserve">s growth and success in the sector. The containment measures and financial impact of the pandemic have affected the management and operations of the players in the industry. Therefore, the strategic analysis provides opportunities for further improvement regarding business growth and profitability (Hossain, 2022, p. 88). Investment decisions are based on the growth potentials of business </w:t>
      </w:r>
      <w:r w:rsidR="00BC30DE" w:rsidRPr="006E319F">
        <w:rPr>
          <w:rFonts w:ascii="Arial" w:hAnsi="Arial" w:cs="Arial"/>
          <w:sz w:val="24"/>
          <w:szCs w:val="24"/>
        </w:rPr>
        <w:t>organisation</w:t>
      </w:r>
      <w:r w:rsidRPr="006E319F">
        <w:rPr>
          <w:rFonts w:ascii="Arial" w:hAnsi="Arial" w:cs="Arial"/>
          <w:sz w:val="24"/>
          <w:szCs w:val="24"/>
        </w:rPr>
        <w:t xml:space="preserve">. Marriot International and Accor International are some of the leading </w:t>
      </w:r>
      <w:r w:rsidR="00BC30DE" w:rsidRPr="006E319F">
        <w:rPr>
          <w:rFonts w:ascii="Arial" w:hAnsi="Arial" w:cs="Arial"/>
          <w:sz w:val="24"/>
          <w:szCs w:val="24"/>
        </w:rPr>
        <w:t>organisation</w:t>
      </w:r>
      <w:r w:rsidRPr="006E319F">
        <w:rPr>
          <w:rFonts w:ascii="Arial" w:hAnsi="Arial" w:cs="Arial"/>
          <w:sz w:val="24"/>
          <w:szCs w:val="24"/>
        </w:rPr>
        <w:t xml:space="preserve"> in the global hospitality sector (</w:t>
      </w:r>
      <w:proofErr w:type="spellStart"/>
      <w:r w:rsidRPr="006E319F">
        <w:rPr>
          <w:rFonts w:ascii="Arial" w:hAnsi="Arial" w:cs="Arial"/>
          <w:sz w:val="24"/>
          <w:szCs w:val="24"/>
        </w:rPr>
        <w:t>Bharwani</w:t>
      </w:r>
      <w:proofErr w:type="spellEnd"/>
      <w:r w:rsidRPr="006E319F">
        <w:rPr>
          <w:rFonts w:ascii="Arial" w:hAnsi="Arial" w:cs="Arial"/>
          <w:sz w:val="24"/>
          <w:szCs w:val="24"/>
        </w:rPr>
        <w:t xml:space="preserve"> and Mathews, </w:t>
      </w:r>
      <w:r w:rsidR="00BC30DE" w:rsidRPr="006E319F">
        <w:rPr>
          <w:rFonts w:ascii="Arial" w:hAnsi="Arial" w:cs="Arial"/>
          <w:sz w:val="24"/>
          <w:szCs w:val="24"/>
        </w:rPr>
        <w:t>2021, p.</w:t>
      </w:r>
      <w:r w:rsidRPr="006E319F">
        <w:rPr>
          <w:rFonts w:ascii="Arial" w:hAnsi="Arial" w:cs="Arial"/>
          <w:sz w:val="24"/>
          <w:szCs w:val="24"/>
        </w:rPr>
        <w:t xml:space="preserve"> 578; Luo, 2020, p. 75). The hospitality industry is poised for further growth due to the increasing accessibility among the general population to undertake hospitality services. This report will evaluate various comparisons for the chosen international </w:t>
      </w:r>
      <w:r w:rsidR="00BC30DE" w:rsidRPr="006E319F">
        <w:rPr>
          <w:rFonts w:ascii="Arial" w:hAnsi="Arial" w:cs="Arial"/>
          <w:sz w:val="24"/>
          <w:szCs w:val="24"/>
        </w:rPr>
        <w:t>organisation</w:t>
      </w:r>
      <w:r w:rsidRPr="006E319F">
        <w:rPr>
          <w:rFonts w:ascii="Arial" w:hAnsi="Arial" w:cs="Arial"/>
          <w:sz w:val="24"/>
          <w:szCs w:val="24"/>
        </w:rPr>
        <w:t xml:space="preserve">. </w:t>
      </w:r>
    </w:p>
    <w:p w14:paraId="020469E9" w14:textId="763B60F3" w:rsidR="009026F7" w:rsidRPr="006E319F" w:rsidRDefault="009026F7" w:rsidP="00504DE5">
      <w:pPr>
        <w:spacing w:line="360" w:lineRule="auto"/>
        <w:ind w:firstLine="720"/>
        <w:jc w:val="both"/>
        <w:rPr>
          <w:rFonts w:ascii="Arial" w:hAnsi="Arial" w:cs="Arial"/>
          <w:b/>
          <w:bCs/>
          <w:sz w:val="24"/>
          <w:szCs w:val="24"/>
        </w:rPr>
      </w:pPr>
      <w:r w:rsidRPr="006E319F">
        <w:rPr>
          <w:rFonts w:ascii="Arial" w:hAnsi="Arial" w:cs="Arial"/>
          <w:b/>
          <w:bCs/>
          <w:sz w:val="24"/>
          <w:szCs w:val="24"/>
        </w:rPr>
        <w:t xml:space="preserve">Overviews of the Selected </w:t>
      </w:r>
      <w:r w:rsidR="00BC30DE" w:rsidRPr="006E319F">
        <w:rPr>
          <w:rFonts w:ascii="Arial" w:hAnsi="Arial" w:cs="Arial"/>
          <w:b/>
          <w:bCs/>
          <w:sz w:val="24"/>
          <w:szCs w:val="24"/>
        </w:rPr>
        <w:t>Organisation</w:t>
      </w:r>
    </w:p>
    <w:p w14:paraId="7E5FC7EA" w14:textId="500D8BC0" w:rsidR="009026F7" w:rsidRPr="006E319F" w:rsidRDefault="009026F7" w:rsidP="00504DE5">
      <w:pPr>
        <w:spacing w:line="360" w:lineRule="auto"/>
        <w:ind w:firstLine="720"/>
        <w:jc w:val="both"/>
        <w:rPr>
          <w:rFonts w:ascii="Arial" w:hAnsi="Arial" w:cs="Arial"/>
          <w:sz w:val="24"/>
          <w:szCs w:val="24"/>
        </w:rPr>
      </w:pPr>
      <w:r w:rsidRPr="006E319F">
        <w:rPr>
          <w:rFonts w:ascii="Arial" w:hAnsi="Arial" w:cs="Arial"/>
          <w:sz w:val="24"/>
          <w:szCs w:val="24"/>
        </w:rPr>
        <w:t xml:space="preserve">Accor International is a hospitality firm founded in France - the organisation manages resorts, hotels, and franchises and owns numerous holiday homes. Accor Internationals is ranked </w:t>
      </w:r>
      <w:r w:rsidR="009C75A8" w:rsidRPr="006E319F">
        <w:rPr>
          <w:rFonts w:ascii="Arial" w:hAnsi="Arial" w:cs="Arial"/>
          <w:sz w:val="24"/>
          <w:szCs w:val="24"/>
        </w:rPr>
        <w:t>sixth largest</w:t>
      </w:r>
      <w:r w:rsidRPr="006E319F">
        <w:rPr>
          <w:rFonts w:ascii="Arial" w:hAnsi="Arial" w:cs="Arial"/>
          <w:sz w:val="24"/>
          <w:szCs w:val="24"/>
        </w:rPr>
        <w:t xml:space="preserve"> in the hospitality sector and one of Europe’s most </w:t>
      </w:r>
      <w:r w:rsidRPr="006E319F">
        <w:rPr>
          <w:rFonts w:ascii="Arial" w:hAnsi="Arial" w:cs="Arial"/>
          <w:sz w:val="24"/>
          <w:szCs w:val="24"/>
        </w:rPr>
        <w:lastRenderedPageBreak/>
        <w:t xml:space="preserve">prominent </w:t>
      </w:r>
      <w:r w:rsidR="00487F54" w:rsidRPr="006E319F">
        <w:rPr>
          <w:rFonts w:ascii="Arial" w:hAnsi="Arial" w:cs="Arial"/>
          <w:sz w:val="24"/>
          <w:szCs w:val="24"/>
        </w:rPr>
        <w:t>organisation</w:t>
      </w:r>
      <w:r w:rsidRPr="006E319F">
        <w:rPr>
          <w:rFonts w:ascii="Arial" w:hAnsi="Arial" w:cs="Arial"/>
          <w:sz w:val="24"/>
          <w:szCs w:val="24"/>
        </w:rPr>
        <w:t xml:space="preserve"> in the industry. As a holding Company, Accor International mainly deals in the operations and investment in hotel properties. It operates through different segments to promote diversity in the competitive industry (</w:t>
      </w:r>
      <w:proofErr w:type="spellStart"/>
      <w:r w:rsidRPr="006E319F">
        <w:rPr>
          <w:rFonts w:ascii="Arial" w:hAnsi="Arial" w:cs="Arial"/>
          <w:sz w:val="24"/>
          <w:szCs w:val="24"/>
        </w:rPr>
        <w:t>Peypoch</w:t>
      </w:r>
      <w:proofErr w:type="spellEnd"/>
      <w:r w:rsidRPr="006E319F">
        <w:rPr>
          <w:rFonts w:ascii="Arial" w:hAnsi="Arial" w:cs="Arial"/>
          <w:sz w:val="24"/>
          <w:szCs w:val="24"/>
        </w:rPr>
        <w:t>, 2022, p.109; Wang, 2021, p. 6112). The hotel services align with Accor International’s business as a franchisor and hotel manager. Thus, the hotel assets segment consists of the group’s owned and leased hotels. The segment focuses on hotel operations in Eastern Europe and part of Brazil. The new business segment corresponds to the new businesses created by the group, such as digital services for independent hotels, including luxury homes. The organisation provides the most diverse product portfolio with more than 40 hotel brands in all segments ranging from luxury to economy (Rahimi and Kozak, 2017,p. 44). The hospitality ecosystem encompasses entertainment, restaurants, bars, businesses services and solutions to enhance its overall performance.</w:t>
      </w:r>
    </w:p>
    <w:p w14:paraId="7B5E0FE6" w14:textId="77777777" w:rsidR="009026F7" w:rsidRPr="006E319F" w:rsidRDefault="009026F7" w:rsidP="00504DE5">
      <w:pPr>
        <w:spacing w:line="360" w:lineRule="auto"/>
        <w:ind w:firstLine="720"/>
        <w:jc w:val="both"/>
        <w:rPr>
          <w:rFonts w:ascii="Arial" w:hAnsi="Arial" w:cs="Arial"/>
          <w:sz w:val="24"/>
          <w:szCs w:val="24"/>
        </w:rPr>
      </w:pPr>
      <w:r w:rsidRPr="006E319F">
        <w:rPr>
          <w:rFonts w:ascii="Arial" w:hAnsi="Arial" w:cs="Arial"/>
          <w:sz w:val="24"/>
          <w:szCs w:val="24"/>
        </w:rPr>
        <w:t>On the other hand, Marriott International, Inc. is a US-based multinational company operating, franchising, and licensing lodgings, including timeshare properties, residential, and hotels. The North American Full-Service segment (luxury and premium brands in the US and Canada), the North American Limited-Service (properties in the US and Canada), and the Asia Pacific (all brand tiers in Asia Pacific regions) are some the Marriott International Inc’s business segments (</w:t>
      </w:r>
      <w:proofErr w:type="spellStart"/>
      <w:r w:rsidRPr="006E319F">
        <w:rPr>
          <w:rFonts w:ascii="Arial" w:hAnsi="Arial" w:cs="Arial"/>
          <w:sz w:val="24"/>
          <w:szCs w:val="24"/>
        </w:rPr>
        <w:t>Catana</w:t>
      </w:r>
      <w:proofErr w:type="spellEnd"/>
      <w:r w:rsidRPr="006E319F">
        <w:rPr>
          <w:rFonts w:ascii="Arial" w:hAnsi="Arial" w:cs="Arial"/>
          <w:sz w:val="24"/>
          <w:szCs w:val="24"/>
        </w:rPr>
        <w:t xml:space="preserve"> and Tomas, 2021, p. 222). Other international segments are in the Middle East, Africa, Latin America, and the Caribbean (Nishat, 2021, p344). The business organisation is headquartered in Bethesda, Maryland. J. Willard Marriott, alongside his wife Alice Marriot, founded the business organisation. Marriot International, Inc. was established in 1993 with the splitting of the Marriott Corporation into two distinct companies - Host Marriott Corporation owning properties and Marriott International, Inc., which franchises and manages properties (Jones and Comfort, 2019, p. 12). Marriott International, Inc. has continued to experience tremendous growth, irrespective of the existing challenges and dynamics in the hospitality industry. </w:t>
      </w:r>
    </w:p>
    <w:p w14:paraId="6294E117" w14:textId="77777777" w:rsidR="009026F7" w:rsidRPr="006E319F" w:rsidRDefault="009026F7" w:rsidP="00504DE5">
      <w:pPr>
        <w:spacing w:line="360" w:lineRule="auto"/>
        <w:jc w:val="both"/>
        <w:rPr>
          <w:rFonts w:ascii="Arial" w:hAnsi="Arial" w:cs="Arial"/>
          <w:b/>
          <w:bCs/>
          <w:sz w:val="24"/>
          <w:szCs w:val="24"/>
        </w:rPr>
      </w:pPr>
      <w:r w:rsidRPr="006E319F">
        <w:rPr>
          <w:rFonts w:ascii="Arial" w:hAnsi="Arial" w:cs="Arial"/>
          <w:b/>
          <w:bCs/>
          <w:sz w:val="24"/>
          <w:szCs w:val="24"/>
        </w:rPr>
        <w:t>Total Revenue</w:t>
      </w:r>
    </w:p>
    <w:p w14:paraId="048C16FC" w14:textId="44C66D50" w:rsidR="009026F7" w:rsidRPr="006E319F" w:rsidRDefault="009026F7" w:rsidP="00504DE5">
      <w:pPr>
        <w:spacing w:line="360" w:lineRule="auto"/>
        <w:ind w:firstLine="720"/>
        <w:jc w:val="both"/>
        <w:rPr>
          <w:rFonts w:ascii="Arial" w:hAnsi="Arial" w:cs="Arial"/>
          <w:sz w:val="24"/>
          <w:szCs w:val="24"/>
        </w:rPr>
      </w:pPr>
      <w:r w:rsidRPr="006E319F">
        <w:rPr>
          <w:rFonts w:ascii="Arial" w:hAnsi="Arial" w:cs="Arial"/>
          <w:sz w:val="24"/>
          <w:szCs w:val="24"/>
        </w:rPr>
        <w:t xml:space="preserve">Marriott International, Inc. has continued to experience significant improvement in revenue collection from various product portfolios. According to the latest financial reports, its current revenue is $19.29 Billion as of 2022 - a significant improvement </w:t>
      </w:r>
      <w:r w:rsidRPr="006E319F">
        <w:rPr>
          <w:rFonts w:ascii="Arial" w:hAnsi="Arial" w:cs="Arial"/>
          <w:sz w:val="24"/>
          <w:szCs w:val="24"/>
        </w:rPr>
        <w:lastRenderedPageBreak/>
        <w:t xml:space="preserve">from the previous $ 13.85 billion and $ 10.57 billion in 2021 and 2020, respectively. The total revenues for the business organisation increased by 66.59% and 31.09% in 2022 and 2021, respectively. The business organisation signed 23000 rooms globally, representing 30% conversions from rival brands (Mun, 2022, p. 103159). The additional units are more likely to improve the organisation’s total revenue in the next fiscal year. </w:t>
      </w:r>
    </w:p>
    <w:p w14:paraId="3505E7AC" w14:textId="77777777" w:rsidR="009026F7" w:rsidRPr="006E319F" w:rsidRDefault="009026F7" w:rsidP="00504DE5">
      <w:pPr>
        <w:spacing w:line="360" w:lineRule="auto"/>
        <w:ind w:firstLine="720"/>
        <w:jc w:val="both"/>
        <w:rPr>
          <w:rFonts w:ascii="Arial" w:hAnsi="Arial" w:cs="Arial"/>
          <w:sz w:val="24"/>
          <w:szCs w:val="24"/>
        </w:rPr>
      </w:pPr>
      <w:r w:rsidRPr="006E319F">
        <w:rPr>
          <w:rFonts w:ascii="Arial" w:hAnsi="Arial" w:cs="Arial"/>
          <w:sz w:val="24"/>
          <w:szCs w:val="24"/>
        </w:rPr>
        <w:t>On the other hand, according to the recent financial report from Accor International, Inc., the business rebounded significantly in the first quarter (HI) 2022, about two years after the pandemic - which greatly affected the tourism and hospitality sector (</w:t>
      </w:r>
      <w:proofErr w:type="spellStart"/>
      <w:r w:rsidRPr="006E319F">
        <w:rPr>
          <w:rFonts w:ascii="Arial" w:hAnsi="Arial" w:cs="Arial"/>
          <w:sz w:val="24"/>
          <w:szCs w:val="24"/>
        </w:rPr>
        <w:t>Rudež</w:t>
      </w:r>
      <w:proofErr w:type="spellEnd"/>
      <w:r w:rsidRPr="006E319F">
        <w:rPr>
          <w:rFonts w:ascii="Arial" w:hAnsi="Arial" w:cs="Arial"/>
          <w:sz w:val="24"/>
          <w:szCs w:val="24"/>
        </w:rPr>
        <w:t xml:space="preserve">, 2022, p. 10431). The reported H1 2022 revenue of the company is €1,725 million, representing about a 97% improvement from the previous year. The organisation has attained a significant 11% increase in hotel </w:t>
      </w:r>
      <w:proofErr w:type="gramStart"/>
      <w:r w:rsidRPr="006E319F">
        <w:rPr>
          <w:rFonts w:ascii="Arial" w:hAnsi="Arial" w:cs="Arial"/>
          <w:sz w:val="24"/>
          <w:szCs w:val="24"/>
        </w:rPr>
        <w:t>services;</w:t>
      </w:r>
      <w:proofErr w:type="gramEnd"/>
      <w:r w:rsidRPr="006E319F">
        <w:rPr>
          <w:rFonts w:ascii="Arial" w:hAnsi="Arial" w:cs="Arial"/>
          <w:sz w:val="24"/>
          <w:szCs w:val="24"/>
        </w:rPr>
        <w:t xml:space="preserve"> and a 57% rise in hotel assets and others (</w:t>
      </w:r>
      <w:proofErr w:type="spellStart"/>
      <w:r w:rsidRPr="006E319F">
        <w:rPr>
          <w:rFonts w:ascii="Arial" w:hAnsi="Arial" w:cs="Arial"/>
          <w:sz w:val="24"/>
          <w:szCs w:val="24"/>
        </w:rPr>
        <w:t>Rudež</w:t>
      </w:r>
      <w:proofErr w:type="spellEnd"/>
      <w:r w:rsidRPr="006E319F">
        <w:rPr>
          <w:rFonts w:ascii="Arial" w:hAnsi="Arial" w:cs="Arial"/>
          <w:sz w:val="24"/>
          <w:szCs w:val="24"/>
        </w:rPr>
        <w:t xml:space="preserve">, 2022, p. 10431). Hotel service revenue has achieved fundamental improvement from the Management and Franchise (M&amp;F) and services. The growth is linked to the cessation of the coronavirus pandemic in the last two years across the globe. </w:t>
      </w:r>
    </w:p>
    <w:p w14:paraId="3E9579A4" w14:textId="77777777" w:rsidR="009026F7" w:rsidRPr="006E319F" w:rsidRDefault="009026F7" w:rsidP="00504DE5">
      <w:pPr>
        <w:spacing w:line="360" w:lineRule="auto"/>
        <w:jc w:val="both"/>
        <w:rPr>
          <w:rFonts w:ascii="Arial" w:hAnsi="Arial" w:cs="Arial"/>
          <w:b/>
          <w:bCs/>
          <w:sz w:val="24"/>
          <w:szCs w:val="24"/>
        </w:rPr>
      </w:pPr>
      <w:r w:rsidRPr="006E319F">
        <w:rPr>
          <w:rFonts w:ascii="Arial" w:hAnsi="Arial" w:cs="Arial"/>
          <w:b/>
          <w:bCs/>
          <w:sz w:val="24"/>
          <w:szCs w:val="24"/>
        </w:rPr>
        <w:t>Market Position</w:t>
      </w:r>
    </w:p>
    <w:p w14:paraId="07685F59" w14:textId="630D8F39" w:rsidR="009026F7" w:rsidRPr="006E319F" w:rsidRDefault="009026F7" w:rsidP="00504DE5">
      <w:pPr>
        <w:spacing w:line="360" w:lineRule="auto"/>
        <w:ind w:firstLine="720"/>
        <w:jc w:val="both"/>
        <w:rPr>
          <w:rFonts w:ascii="Arial" w:hAnsi="Arial" w:cs="Arial"/>
          <w:sz w:val="24"/>
          <w:szCs w:val="24"/>
        </w:rPr>
      </w:pPr>
      <w:r w:rsidRPr="006E319F">
        <w:rPr>
          <w:rFonts w:ascii="Arial" w:hAnsi="Arial" w:cs="Arial"/>
          <w:sz w:val="24"/>
          <w:szCs w:val="24"/>
        </w:rPr>
        <w:t>Effective marketing strategies help improve the market positioning of a business organisation. Marriot International, Inc. leverages numerous strategies to improve its market position. For instance, most products are highly differentiated to make them unique. Famous brands include the classic luxury and Ritz-Carton, which are attractive to customers looking for hospitality services (</w:t>
      </w:r>
      <w:proofErr w:type="spellStart"/>
      <w:r w:rsidRPr="006E319F">
        <w:rPr>
          <w:rFonts w:ascii="Arial" w:hAnsi="Arial" w:cs="Arial"/>
          <w:sz w:val="24"/>
          <w:szCs w:val="24"/>
        </w:rPr>
        <w:t>Krupskyi</w:t>
      </w:r>
      <w:proofErr w:type="spellEnd"/>
      <w:r w:rsidRPr="006E319F">
        <w:rPr>
          <w:rFonts w:ascii="Arial" w:hAnsi="Arial" w:cs="Arial"/>
          <w:sz w:val="24"/>
          <w:szCs w:val="24"/>
        </w:rPr>
        <w:t xml:space="preserve">, 2019, p. 36; </w:t>
      </w:r>
      <w:proofErr w:type="spellStart"/>
      <w:r w:rsidRPr="006E319F">
        <w:rPr>
          <w:rFonts w:ascii="Arial" w:hAnsi="Arial" w:cs="Arial"/>
          <w:sz w:val="24"/>
          <w:szCs w:val="24"/>
        </w:rPr>
        <w:t>Gardini</w:t>
      </w:r>
      <w:proofErr w:type="spellEnd"/>
      <w:r w:rsidRPr="006E319F">
        <w:rPr>
          <w:rFonts w:ascii="Arial" w:hAnsi="Arial" w:cs="Arial"/>
          <w:sz w:val="24"/>
          <w:szCs w:val="24"/>
        </w:rPr>
        <w:t>, 2022, p. 244). Second, Marriot International, Inc. adopts a demand-and-supply pricing approach. The competitive pricing strategy is directly linked to the actions of the competitors in influencing the prices in the market. Another important category of the products is premium hotels. In many cases, the interiors of the rooms are less luxurious, but accommodation has a high price tag. In other words, the management adopts product differentiation based on the location of its rooms and hotels. The issue of convenience is central in determining the pricing of its products (</w:t>
      </w:r>
      <w:proofErr w:type="spellStart"/>
      <w:r w:rsidRPr="006E319F">
        <w:rPr>
          <w:rFonts w:ascii="Arial" w:hAnsi="Arial" w:cs="Arial"/>
          <w:sz w:val="24"/>
          <w:szCs w:val="24"/>
        </w:rPr>
        <w:t>Bharwani</w:t>
      </w:r>
      <w:proofErr w:type="spellEnd"/>
      <w:r w:rsidRPr="006E319F">
        <w:rPr>
          <w:rFonts w:ascii="Arial" w:hAnsi="Arial" w:cs="Arial"/>
          <w:sz w:val="24"/>
          <w:szCs w:val="24"/>
        </w:rPr>
        <w:t xml:space="preserve"> and Mathews, </w:t>
      </w:r>
      <w:proofErr w:type="gramStart"/>
      <w:r w:rsidRPr="006E319F">
        <w:rPr>
          <w:rFonts w:ascii="Arial" w:hAnsi="Arial" w:cs="Arial"/>
          <w:sz w:val="24"/>
          <w:szCs w:val="24"/>
        </w:rPr>
        <w:t>2021,p.</w:t>
      </w:r>
      <w:proofErr w:type="gramEnd"/>
      <w:r w:rsidRPr="006E319F">
        <w:rPr>
          <w:rFonts w:ascii="Arial" w:hAnsi="Arial" w:cs="Arial"/>
          <w:sz w:val="24"/>
          <w:szCs w:val="24"/>
        </w:rPr>
        <w:t xml:space="preserve"> 573). The identified marketing positioning strategies are primarily responsible for the improved financial performance of the business organisation. </w:t>
      </w:r>
    </w:p>
    <w:p w14:paraId="6F0D2401" w14:textId="72F70B46" w:rsidR="009026F7" w:rsidRPr="006E319F" w:rsidRDefault="009026F7" w:rsidP="00504DE5">
      <w:pPr>
        <w:spacing w:line="360" w:lineRule="auto"/>
        <w:ind w:firstLine="720"/>
        <w:jc w:val="both"/>
        <w:rPr>
          <w:rFonts w:ascii="Arial" w:hAnsi="Arial" w:cs="Arial"/>
          <w:sz w:val="24"/>
          <w:szCs w:val="24"/>
        </w:rPr>
      </w:pPr>
      <w:r w:rsidRPr="006E319F">
        <w:rPr>
          <w:rFonts w:ascii="Arial" w:hAnsi="Arial" w:cs="Arial"/>
          <w:sz w:val="24"/>
          <w:szCs w:val="24"/>
        </w:rPr>
        <w:lastRenderedPageBreak/>
        <w:t>On the other hand, Accor International, Inc. also leverages improved marketing strategies to strengthen its market presence in the wake of stiff competition. Usually, the marketing approach of Accor Hotels evaluates the brand with the marketing mix strategy - product, price, place, and promotion. The marketing campaigns are quite effective (</w:t>
      </w:r>
      <w:proofErr w:type="spellStart"/>
      <w:r w:rsidRPr="006E319F">
        <w:rPr>
          <w:rFonts w:ascii="Arial" w:hAnsi="Arial" w:cs="Arial"/>
          <w:sz w:val="24"/>
          <w:szCs w:val="24"/>
        </w:rPr>
        <w:t>Yilmazel</w:t>
      </w:r>
      <w:proofErr w:type="spellEnd"/>
      <w:r w:rsidRPr="006E319F">
        <w:rPr>
          <w:rFonts w:ascii="Arial" w:hAnsi="Arial" w:cs="Arial"/>
          <w:sz w:val="24"/>
          <w:szCs w:val="24"/>
        </w:rPr>
        <w:t xml:space="preserve"> and </w:t>
      </w:r>
      <w:proofErr w:type="spellStart"/>
      <w:r w:rsidRPr="006E319F">
        <w:rPr>
          <w:rFonts w:ascii="Arial" w:hAnsi="Arial" w:cs="Arial"/>
          <w:sz w:val="24"/>
          <w:szCs w:val="24"/>
        </w:rPr>
        <w:t>Özer</w:t>
      </w:r>
      <w:proofErr w:type="spellEnd"/>
      <w:r w:rsidRPr="006E319F">
        <w:rPr>
          <w:rFonts w:ascii="Arial" w:hAnsi="Arial" w:cs="Arial"/>
          <w:sz w:val="24"/>
          <w:szCs w:val="24"/>
        </w:rPr>
        <w:t xml:space="preserve">, 2022, p. 162). The marketing team mainly focuses on creating and maintaining customer loyalty by implementing the loyalty program (Le Club Accor Hotels). Clients can redeem points for booking rooms and services at various facilities. Second, the Hotels are situated globally in </w:t>
      </w:r>
      <w:r w:rsidR="009C75A8" w:rsidRPr="006E319F">
        <w:rPr>
          <w:rFonts w:ascii="Arial" w:hAnsi="Arial" w:cs="Arial"/>
          <w:sz w:val="24"/>
          <w:szCs w:val="24"/>
        </w:rPr>
        <w:t>all economically</w:t>
      </w:r>
      <w:r w:rsidRPr="006E319F">
        <w:rPr>
          <w:rFonts w:ascii="Arial" w:hAnsi="Arial" w:cs="Arial"/>
          <w:sz w:val="24"/>
          <w:szCs w:val="24"/>
        </w:rPr>
        <w:t xml:space="preserve">, nationally, and culturally significant tourist destinations. The Accor Hotel brands are available in Paris, Dubai, Hongkong, Jakarta, and Bali, among other places. Based on the physical evidence aspect of </w:t>
      </w:r>
      <w:r w:rsidR="009C75A8" w:rsidRPr="006E319F">
        <w:rPr>
          <w:rFonts w:ascii="Arial" w:hAnsi="Arial" w:cs="Arial"/>
          <w:sz w:val="24"/>
          <w:szCs w:val="24"/>
        </w:rPr>
        <w:t>promotion, the</w:t>
      </w:r>
      <w:r w:rsidRPr="006E319F">
        <w:rPr>
          <w:rFonts w:ascii="Arial" w:hAnsi="Arial" w:cs="Arial"/>
          <w:sz w:val="24"/>
          <w:szCs w:val="24"/>
        </w:rPr>
        <w:t xml:space="preserve"> business organisation has different properties located in various locations across the globe (</w:t>
      </w:r>
      <w:proofErr w:type="spellStart"/>
      <w:r w:rsidRPr="006E319F">
        <w:rPr>
          <w:rFonts w:ascii="Arial" w:hAnsi="Arial" w:cs="Arial"/>
          <w:sz w:val="24"/>
          <w:szCs w:val="24"/>
        </w:rPr>
        <w:t>Nozdreva</w:t>
      </w:r>
      <w:proofErr w:type="spellEnd"/>
      <w:r w:rsidRPr="006E319F">
        <w:rPr>
          <w:rFonts w:ascii="Arial" w:hAnsi="Arial" w:cs="Arial"/>
          <w:sz w:val="24"/>
          <w:szCs w:val="24"/>
        </w:rPr>
        <w:t xml:space="preserve"> and </w:t>
      </w:r>
      <w:proofErr w:type="spellStart"/>
      <w:r w:rsidRPr="006E319F">
        <w:rPr>
          <w:rFonts w:ascii="Arial" w:hAnsi="Arial" w:cs="Arial"/>
          <w:sz w:val="24"/>
          <w:szCs w:val="24"/>
        </w:rPr>
        <w:t>Churakova</w:t>
      </w:r>
      <w:proofErr w:type="spellEnd"/>
      <w:r w:rsidRPr="006E319F">
        <w:rPr>
          <w:rFonts w:ascii="Arial" w:hAnsi="Arial" w:cs="Arial"/>
          <w:sz w:val="24"/>
          <w:szCs w:val="24"/>
        </w:rPr>
        <w:t xml:space="preserve">, 2021, p. 218). The market positioning strategies have enabled the organisation to achieve tremendous growth and profitability. </w:t>
      </w:r>
    </w:p>
    <w:p w14:paraId="662B2B94" w14:textId="77777777" w:rsidR="009026F7" w:rsidRPr="006E319F" w:rsidRDefault="009026F7" w:rsidP="00504DE5">
      <w:pPr>
        <w:spacing w:line="360" w:lineRule="auto"/>
        <w:jc w:val="both"/>
        <w:rPr>
          <w:rFonts w:ascii="Arial" w:hAnsi="Arial" w:cs="Arial"/>
          <w:sz w:val="24"/>
          <w:szCs w:val="24"/>
        </w:rPr>
      </w:pPr>
      <w:r w:rsidRPr="006E319F">
        <w:rPr>
          <w:rFonts w:ascii="Arial" w:hAnsi="Arial" w:cs="Arial"/>
          <w:b/>
          <w:bCs/>
          <w:sz w:val="24"/>
          <w:szCs w:val="24"/>
        </w:rPr>
        <w:t>Growth</w:t>
      </w:r>
      <w:r w:rsidRPr="006E319F">
        <w:rPr>
          <w:rFonts w:ascii="Arial" w:hAnsi="Arial" w:cs="Arial"/>
          <w:sz w:val="24"/>
          <w:szCs w:val="24"/>
        </w:rPr>
        <w:t xml:space="preserve"> </w:t>
      </w:r>
      <w:r w:rsidRPr="006E319F">
        <w:rPr>
          <w:rFonts w:ascii="Arial" w:hAnsi="Arial" w:cs="Arial"/>
          <w:b/>
          <w:bCs/>
          <w:sz w:val="24"/>
          <w:szCs w:val="24"/>
        </w:rPr>
        <w:t>Potential</w:t>
      </w:r>
    </w:p>
    <w:p w14:paraId="5F26B47E" w14:textId="77777777" w:rsidR="009026F7" w:rsidRPr="006E319F" w:rsidRDefault="009026F7" w:rsidP="00504DE5">
      <w:pPr>
        <w:spacing w:line="360" w:lineRule="auto"/>
        <w:ind w:firstLine="720"/>
        <w:jc w:val="both"/>
        <w:rPr>
          <w:rFonts w:ascii="Arial" w:hAnsi="Arial" w:cs="Arial"/>
          <w:sz w:val="24"/>
          <w:szCs w:val="24"/>
        </w:rPr>
      </w:pPr>
      <w:r w:rsidRPr="006E319F">
        <w:rPr>
          <w:rFonts w:ascii="Arial" w:hAnsi="Arial" w:cs="Arial"/>
          <w:sz w:val="24"/>
          <w:szCs w:val="24"/>
        </w:rPr>
        <w:t>The overarching aim of strategic management and analysis includes evaluating opportunities and setbacks for business growth. Both Marriot International and Accor International, Inc. have unlimited growth potential, irrespective of the dynamics in the tourism and hospitality sector. For instance, Accor International is set to achieve an improved global presence by acquiring 300 additional properties between 2022-23. The current Accor’s luxury and premium offerings present a significant growth opportunity for driving up the value of Accor’s product portfolios. Economy and mid-scale product segments will be central in improving the sales volume - the balance will be significant for the success of the business organisation, especially in providing more flexible growth opportunities. The organisation’s management also boasts versatile brands with a considerable product segment that will experience exponential growth in the next five years. Mercure, Ibis Styles, and Greet are some of the versatile brands (</w:t>
      </w:r>
      <w:proofErr w:type="spellStart"/>
      <w:r w:rsidRPr="006E319F">
        <w:rPr>
          <w:rFonts w:ascii="Arial" w:hAnsi="Arial" w:cs="Arial"/>
          <w:sz w:val="24"/>
          <w:szCs w:val="24"/>
        </w:rPr>
        <w:t>MacKenzie</w:t>
      </w:r>
      <w:proofErr w:type="spellEnd"/>
      <w:r w:rsidRPr="006E319F">
        <w:rPr>
          <w:rFonts w:ascii="Arial" w:hAnsi="Arial" w:cs="Arial"/>
          <w:sz w:val="24"/>
          <w:szCs w:val="24"/>
        </w:rPr>
        <w:t xml:space="preserve"> and Gannon, 2019, p. 2411-2427; Jones and Comfort, 2019, p 12). Moreover, the management focuses on lifestyle - a critical segment of the global tourism and hospitality sector. For instance, Ennismore is one of the most crucial brands in addressing the business need to respond to the ever-changing tastes and preferences of the targeted customers in the industry. Conversely, Marriott International has developed a robust plan to improve its global presence through </w:t>
      </w:r>
      <w:r w:rsidRPr="006E319F">
        <w:rPr>
          <w:rFonts w:ascii="Arial" w:hAnsi="Arial" w:cs="Arial"/>
          <w:sz w:val="24"/>
          <w:szCs w:val="24"/>
        </w:rPr>
        <w:lastRenderedPageBreak/>
        <w:t>improved expansion campaigns. The company aims to enhance room and revenue share via many approaches, including expansion of the hotel property portfolio and reward programs. African countries present significant opportunities for the company to expand its operations (</w:t>
      </w:r>
      <w:proofErr w:type="spellStart"/>
      <w:r w:rsidRPr="006E319F">
        <w:rPr>
          <w:rFonts w:ascii="Arial" w:hAnsi="Arial" w:cs="Arial"/>
          <w:sz w:val="24"/>
          <w:szCs w:val="24"/>
        </w:rPr>
        <w:t>Dhir</w:t>
      </w:r>
      <w:proofErr w:type="spellEnd"/>
      <w:r w:rsidRPr="006E319F">
        <w:rPr>
          <w:rFonts w:ascii="Arial" w:hAnsi="Arial" w:cs="Arial"/>
          <w:sz w:val="24"/>
          <w:szCs w:val="24"/>
        </w:rPr>
        <w:t xml:space="preserve"> and </w:t>
      </w:r>
      <w:proofErr w:type="spellStart"/>
      <w:r w:rsidRPr="006E319F">
        <w:rPr>
          <w:rFonts w:ascii="Arial" w:hAnsi="Arial" w:cs="Arial"/>
          <w:sz w:val="24"/>
          <w:szCs w:val="24"/>
        </w:rPr>
        <w:t>Dhir</w:t>
      </w:r>
      <w:proofErr w:type="spellEnd"/>
      <w:r w:rsidRPr="006E319F">
        <w:rPr>
          <w:rFonts w:ascii="Arial" w:hAnsi="Arial" w:cs="Arial"/>
          <w:sz w:val="24"/>
          <w:szCs w:val="24"/>
        </w:rPr>
        <w:t>, 2019, p. 153). The company is also planning to introduce other popular select-service brands such as Courtyard, Element, and Aloft Hotels. Other necessary plans for improving the company’s growth include adopting corporate social responsibility (CSR) programs, such as the “Spirit to serve our communities”, which will be crucial in enabling the company to counter competition from rival companies. Investments in Africa are expected to yield approximately $250 (</w:t>
      </w:r>
      <w:proofErr w:type="spellStart"/>
      <w:r w:rsidRPr="006E319F">
        <w:rPr>
          <w:rFonts w:ascii="Arial" w:hAnsi="Arial" w:cs="Arial"/>
          <w:sz w:val="24"/>
          <w:szCs w:val="24"/>
        </w:rPr>
        <w:t>Dhir</w:t>
      </w:r>
      <w:proofErr w:type="spellEnd"/>
      <w:r w:rsidRPr="006E319F">
        <w:rPr>
          <w:rFonts w:ascii="Arial" w:hAnsi="Arial" w:cs="Arial"/>
          <w:sz w:val="24"/>
          <w:szCs w:val="24"/>
        </w:rPr>
        <w:t xml:space="preserve"> and </w:t>
      </w:r>
      <w:proofErr w:type="spellStart"/>
      <w:r w:rsidRPr="006E319F">
        <w:rPr>
          <w:rFonts w:ascii="Arial" w:hAnsi="Arial" w:cs="Arial"/>
          <w:sz w:val="24"/>
          <w:szCs w:val="24"/>
        </w:rPr>
        <w:t>Dhir</w:t>
      </w:r>
      <w:proofErr w:type="spellEnd"/>
      <w:r w:rsidRPr="006E319F">
        <w:rPr>
          <w:rFonts w:ascii="Arial" w:hAnsi="Arial" w:cs="Arial"/>
          <w:sz w:val="24"/>
          <w:szCs w:val="24"/>
        </w:rPr>
        <w:t xml:space="preserve">, 2019, p. 147-162). Usually, Marriott International has a business strategy </w:t>
      </w:r>
      <w:proofErr w:type="spellStart"/>
      <w:r w:rsidRPr="006E319F">
        <w:rPr>
          <w:rFonts w:ascii="Arial" w:hAnsi="Arial" w:cs="Arial"/>
          <w:sz w:val="24"/>
          <w:szCs w:val="24"/>
        </w:rPr>
        <w:t>emphasising</w:t>
      </w:r>
      <w:proofErr w:type="spellEnd"/>
      <w:r w:rsidRPr="006E319F">
        <w:rPr>
          <w:rFonts w:ascii="Arial" w:hAnsi="Arial" w:cs="Arial"/>
          <w:sz w:val="24"/>
          <w:szCs w:val="24"/>
        </w:rPr>
        <w:t xml:space="preserve"> the need to treat team members to enable them to serve the organisation diligently in return. Therefore, the management is focusing on improving human resource management practices to unlock the potential of human resources. </w:t>
      </w:r>
    </w:p>
    <w:p w14:paraId="6AE741B4" w14:textId="77777777" w:rsidR="009026F7" w:rsidRPr="006E319F" w:rsidRDefault="009026F7" w:rsidP="00504DE5">
      <w:pPr>
        <w:spacing w:line="360" w:lineRule="auto"/>
        <w:jc w:val="both"/>
        <w:rPr>
          <w:rFonts w:ascii="Arial" w:hAnsi="Arial" w:cs="Arial"/>
          <w:b/>
          <w:bCs/>
          <w:sz w:val="24"/>
          <w:szCs w:val="24"/>
        </w:rPr>
      </w:pPr>
      <w:r w:rsidRPr="006E319F">
        <w:rPr>
          <w:rFonts w:ascii="Arial" w:hAnsi="Arial" w:cs="Arial"/>
          <w:b/>
          <w:bCs/>
          <w:sz w:val="24"/>
          <w:szCs w:val="24"/>
        </w:rPr>
        <w:t>Financial Commitment to CSR</w:t>
      </w:r>
    </w:p>
    <w:p w14:paraId="74D84C54" w14:textId="5AE8D298" w:rsidR="009026F7" w:rsidRPr="006E319F" w:rsidRDefault="009026F7" w:rsidP="00504DE5">
      <w:pPr>
        <w:spacing w:line="360" w:lineRule="auto"/>
        <w:ind w:firstLine="720"/>
        <w:jc w:val="both"/>
        <w:rPr>
          <w:rFonts w:ascii="Arial" w:hAnsi="Arial" w:cs="Arial"/>
          <w:sz w:val="24"/>
          <w:szCs w:val="24"/>
        </w:rPr>
      </w:pPr>
      <w:r w:rsidRPr="006E319F">
        <w:rPr>
          <w:rFonts w:ascii="Arial" w:hAnsi="Arial" w:cs="Arial"/>
          <w:sz w:val="24"/>
          <w:szCs w:val="24"/>
        </w:rPr>
        <w:t>According to Marin-</w:t>
      </w:r>
      <w:proofErr w:type="spellStart"/>
      <w:r w:rsidRPr="006E319F">
        <w:rPr>
          <w:rFonts w:ascii="Arial" w:hAnsi="Arial" w:cs="Arial"/>
          <w:sz w:val="24"/>
          <w:szCs w:val="24"/>
        </w:rPr>
        <w:t>Pantelescu</w:t>
      </w:r>
      <w:proofErr w:type="spellEnd"/>
      <w:r w:rsidRPr="006E319F">
        <w:rPr>
          <w:rFonts w:ascii="Arial" w:hAnsi="Arial" w:cs="Arial"/>
          <w:sz w:val="24"/>
          <w:szCs w:val="24"/>
        </w:rPr>
        <w:t xml:space="preserve"> (2021, p.166), CSR programs help improve the relationship between business </w:t>
      </w:r>
      <w:proofErr w:type="spellStart"/>
      <w:r w:rsidRPr="006E319F">
        <w:rPr>
          <w:rFonts w:ascii="Arial" w:hAnsi="Arial" w:cs="Arial"/>
          <w:sz w:val="24"/>
          <w:szCs w:val="24"/>
        </w:rPr>
        <w:t>organisations</w:t>
      </w:r>
      <w:proofErr w:type="spellEnd"/>
      <w:r w:rsidRPr="006E319F">
        <w:rPr>
          <w:rFonts w:ascii="Arial" w:hAnsi="Arial" w:cs="Arial"/>
          <w:sz w:val="24"/>
          <w:szCs w:val="24"/>
        </w:rPr>
        <w:t xml:space="preserve"> and the communities they serve. Marriott International and Accor International, Inc. are committed to improving the welfare of the communities in their geographical areas of operations. For instance, Marriott Hotels is committing increased financial resources to strengthen its Serve360 program. According to Le Bo</w:t>
      </w:r>
      <w:r w:rsidR="009C75A8" w:rsidRPr="006E319F">
        <w:rPr>
          <w:rFonts w:ascii="Arial" w:hAnsi="Arial" w:cs="Arial"/>
          <w:sz w:val="24"/>
          <w:szCs w:val="24"/>
        </w:rPr>
        <w:t>,</w:t>
      </w:r>
      <w:r w:rsidRPr="006E319F">
        <w:rPr>
          <w:rFonts w:ascii="Arial" w:hAnsi="Arial" w:cs="Arial"/>
          <w:sz w:val="24"/>
          <w:szCs w:val="24"/>
        </w:rPr>
        <w:t xml:space="preserve"> (2022, p. 102945), CSR programs aim to improve people’s lives. The activities include empowering people through opportunities and nurturing the world by providing additional support and related services. More financial resources are allocated to improving human resource management practices, for example, inviting women to lead their departments in direct capacities. The management is also committed to eliminating inequalities by employing people with disabilities and considering veterans for employment in the sector. Marriot international also allocates financial resources to assist immigrants in finding employment opportunities and the necessary financial support.</w:t>
      </w:r>
    </w:p>
    <w:p w14:paraId="28F51593" w14:textId="77777777" w:rsidR="009026F7" w:rsidRPr="006E319F" w:rsidRDefault="009026F7" w:rsidP="00504DE5">
      <w:pPr>
        <w:spacing w:line="360" w:lineRule="auto"/>
        <w:ind w:firstLine="720"/>
        <w:jc w:val="both"/>
        <w:rPr>
          <w:rFonts w:ascii="Arial" w:hAnsi="Arial" w:cs="Arial"/>
          <w:sz w:val="24"/>
          <w:szCs w:val="24"/>
        </w:rPr>
      </w:pPr>
      <w:r w:rsidRPr="006E319F">
        <w:rPr>
          <w:rFonts w:ascii="Arial" w:hAnsi="Arial" w:cs="Arial"/>
          <w:sz w:val="24"/>
          <w:szCs w:val="24"/>
        </w:rPr>
        <w:t xml:space="preserve">On the other hand, Accor International, Inc. has also continued to commit to improving the administration of relevant services as part of the CSR initiatives. The company is deeply committed to ensuring sustainable value creation, including playing essential roles in giving back to the community. Through collaboration with the relevant </w:t>
      </w:r>
      <w:r w:rsidRPr="006E319F">
        <w:rPr>
          <w:rFonts w:ascii="Arial" w:hAnsi="Arial" w:cs="Arial"/>
          <w:sz w:val="24"/>
          <w:szCs w:val="24"/>
        </w:rPr>
        <w:lastRenderedPageBreak/>
        <w:t>stakeholders, the company has been instrumental in child protection, biodiversity, and improved water and energy management. Active involvement in CSR initiatives allows the business to improve its relationship with the public, which can translate to further growth potential.</w:t>
      </w:r>
    </w:p>
    <w:p w14:paraId="5D4960F9" w14:textId="77777777" w:rsidR="009026F7" w:rsidRPr="006E319F" w:rsidRDefault="009026F7" w:rsidP="00504DE5">
      <w:pPr>
        <w:spacing w:line="360" w:lineRule="auto"/>
        <w:jc w:val="both"/>
        <w:rPr>
          <w:rFonts w:ascii="Arial" w:hAnsi="Arial" w:cs="Arial"/>
          <w:b/>
          <w:bCs/>
          <w:sz w:val="24"/>
          <w:szCs w:val="24"/>
        </w:rPr>
      </w:pPr>
      <w:r w:rsidRPr="006E319F">
        <w:rPr>
          <w:rFonts w:ascii="Arial" w:hAnsi="Arial" w:cs="Arial"/>
          <w:b/>
          <w:bCs/>
          <w:sz w:val="24"/>
          <w:szCs w:val="24"/>
        </w:rPr>
        <w:t>Conclusion</w:t>
      </w:r>
    </w:p>
    <w:p w14:paraId="2133B84A" w14:textId="755C69A8" w:rsidR="009026F7" w:rsidRPr="006E319F" w:rsidRDefault="009026F7" w:rsidP="00504DE5">
      <w:pPr>
        <w:spacing w:line="360" w:lineRule="auto"/>
        <w:ind w:firstLine="720"/>
        <w:jc w:val="both"/>
        <w:rPr>
          <w:rFonts w:ascii="Arial" w:hAnsi="Arial" w:cs="Arial"/>
          <w:sz w:val="24"/>
          <w:szCs w:val="24"/>
        </w:rPr>
      </w:pPr>
      <w:r w:rsidRPr="006E319F">
        <w:rPr>
          <w:rFonts w:ascii="Arial" w:hAnsi="Arial" w:cs="Arial"/>
          <w:sz w:val="24"/>
          <w:szCs w:val="24"/>
        </w:rPr>
        <w:t>It is imperative to note the comparison of the two companies has provided in-depth insights into various aspects of strategic management that can counter competition in the tourism and hotel industry. Accor International can leverage modern technologies to enhance its marketing campaigns and generate real-time data to enable the management to meet the ever-changing tastes and preferences of the customers in the sector. The assessment of differentiations used in Marriott, including its features and management of risk factors, revealed the need for the management to adopt improved and relevant innovations to counter competition from well-established international companies. Furthermore, effective management of human and financial resources presents a greater opportunity for the continued growth and profitability of Marriott International Company. The management of Marriott should continue with the CSR programs to better its brand recognition, achieve a positive business reputation, and enhance sales and customer loyalty. Besides, Marriott International Inc. should improve its market differentiation to differentiate itself from competitors by providing customised services that cater to individual customer needs.</w:t>
      </w:r>
    </w:p>
    <w:p w14:paraId="754E474B" w14:textId="5711EC6D" w:rsidR="009026F7" w:rsidRPr="006E319F" w:rsidRDefault="009026F7" w:rsidP="00504DE5">
      <w:pPr>
        <w:spacing w:line="360" w:lineRule="auto"/>
        <w:ind w:firstLine="720"/>
        <w:jc w:val="both"/>
        <w:rPr>
          <w:rFonts w:ascii="Arial" w:hAnsi="Arial" w:cs="Arial"/>
          <w:sz w:val="24"/>
          <w:szCs w:val="24"/>
        </w:rPr>
      </w:pPr>
    </w:p>
    <w:p w14:paraId="5BA525DB" w14:textId="77777777" w:rsidR="009026F7" w:rsidRPr="006E319F" w:rsidRDefault="009026F7" w:rsidP="00504DE5">
      <w:pPr>
        <w:keepNext/>
        <w:keepLines/>
        <w:spacing w:before="240" w:after="0" w:line="360" w:lineRule="auto"/>
        <w:jc w:val="both"/>
        <w:outlineLvl w:val="0"/>
        <w:rPr>
          <w:rFonts w:ascii="Arial" w:eastAsiaTheme="majorEastAsia" w:hAnsi="Arial" w:cs="Arial"/>
          <w:b/>
          <w:bCs/>
          <w:sz w:val="24"/>
          <w:szCs w:val="24"/>
        </w:rPr>
      </w:pPr>
      <w:r w:rsidRPr="006E319F">
        <w:rPr>
          <w:rFonts w:ascii="Arial" w:eastAsiaTheme="majorEastAsia" w:hAnsi="Arial" w:cs="Arial"/>
          <w:b/>
          <w:bCs/>
          <w:sz w:val="24"/>
          <w:szCs w:val="24"/>
        </w:rPr>
        <w:t>References</w:t>
      </w:r>
    </w:p>
    <w:p w14:paraId="69AA33B3" w14:textId="77777777" w:rsidR="009026F7" w:rsidRPr="006E319F" w:rsidRDefault="009026F7" w:rsidP="00504DE5">
      <w:pPr>
        <w:spacing w:line="360" w:lineRule="auto"/>
        <w:ind w:left="720" w:hanging="720"/>
        <w:jc w:val="both"/>
        <w:rPr>
          <w:rFonts w:ascii="Arial" w:hAnsi="Arial" w:cs="Arial"/>
          <w:noProof/>
          <w:sz w:val="24"/>
          <w:szCs w:val="24"/>
        </w:rPr>
      </w:pPr>
      <w:r w:rsidRPr="006E319F">
        <w:rPr>
          <w:rFonts w:ascii="Arial" w:hAnsi="Arial" w:cs="Arial"/>
          <w:noProof/>
          <w:sz w:val="24"/>
          <w:szCs w:val="24"/>
        </w:rPr>
        <w:t xml:space="preserve">Alonso, A. D., Bressan, A., Kok, S. K., Sakellarios, N., Vu, O. T., O’Shea, M., &amp; Santoni, L. J. (2022). ‘Overcoming the unprecedented: Micro, small and medium hospitality enterprises under COVID-19.’ </w:t>
      </w:r>
      <w:r w:rsidRPr="006E319F">
        <w:rPr>
          <w:rFonts w:ascii="Arial" w:hAnsi="Arial" w:cs="Arial"/>
          <w:i/>
          <w:iCs/>
          <w:noProof/>
          <w:sz w:val="24"/>
          <w:szCs w:val="24"/>
        </w:rPr>
        <w:t xml:space="preserve">International Journal of Hospitality Management, </w:t>
      </w:r>
      <w:r w:rsidRPr="006E319F">
        <w:rPr>
          <w:rFonts w:ascii="Arial" w:hAnsi="Arial" w:cs="Arial"/>
          <w:iCs/>
          <w:noProof/>
          <w:sz w:val="24"/>
          <w:szCs w:val="24"/>
        </w:rPr>
        <w:t>103</w:t>
      </w:r>
      <w:r w:rsidRPr="006E319F">
        <w:rPr>
          <w:rFonts w:ascii="Arial" w:hAnsi="Arial" w:cs="Arial"/>
          <w:noProof/>
          <w:sz w:val="24"/>
          <w:szCs w:val="24"/>
        </w:rPr>
        <w:t xml:space="preserve">, pp. 103201. </w:t>
      </w:r>
      <w:r w:rsidRPr="006E319F">
        <w:rPr>
          <w:rFonts w:ascii="Arial" w:hAnsi="Arial" w:cs="Arial"/>
          <w:sz w:val="24"/>
          <w:szCs w:val="24"/>
        </w:rPr>
        <w:t>Available at</w:t>
      </w:r>
      <w:r w:rsidRPr="006E319F">
        <w:rPr>
          <w:rFonts w:ascii="Arial" w:hAnsi="Arial" w:cs="Arial"/>
          <w:noProof/>
          <w:color w:val="000000" w:themeColor="text1"/>
          <w:sz w:val="24"/>
          <w:szCs w:val="24"/>
        </w:rPr>
        <w:t xml:space="preserve">: </w:t>
      </w:r>
      <w:hyperlink r:id="rId4" w:history="1">
        <w:r w:rsidRPr="006E319F">
          <w:rPr>
            <w:rFonts w:ascii="Arial" w:hAnsi="Arial" w:cs="Arial"/>
            <w:noProof/>
            <w:color w:val="000000" w:themeColor="text1"/>
            <w:sz w:val="24"/>
            <w:szCs w:val="24"/>
          </w:rPr>
          <w:t>https://doi.org/10.1016/j.ijhm.2022.103201</w:t>
        </w:r>
      </w:hyperlink>
      <w:r w:rsidRPr="006E319F">
        <w:rPr>
          <w:rFonts w:ascii="Arial" w:hAnsi="Arial" w:cs="Arial"/>
          <w:noProof/>
          <w:color w:val="0563C1" w:themeColor="hyperlink"/>
          <w:sz w:val="24"/>
          <w:szCs w:val="24"/>
          <w:u w:val="single"/>
        </w:rPr>
        <w:t xml:space="preserve"> </w:t>
      </w:r>
      <w:r w:rsidRPr="006E319F">
        <w:rPr>
          <w:rFonts w:ascii="Arial" w:hAnsi="Arial" w:cs="Arial"/>
          <w:noProof/>
          <w:sz w:val="24"/>
          <w:szCs w:val="24"/>
        </w:rPr>
        <w:t>(Accessed: 29 January 2023).</w:t>
      </w:r>
    </w:p>
    <w:p w14:paraId="418E3E82" w14:textId="77777777" w:rsidR="009026F7" w:rsidRPr="006E319F" w:rsidRDefault="009026F7" w:rsidP="00504DE5">
      <w:pPr>
        <w:spacing w:line="360" w:lineRule="auto"/>
        <w:ind w:left="720" w:hanging="720"/>
        <w:jc w:val="both"/>
        <w:rPr>
          <w:rFonts w:ascii="Arial" w:hAnsi="Arial" w:cs="Arial"/>
          <w:noProof/>
          <w:sz w:val="24"/>
          <w:szCs w:val="24"/>
        </w:rPr>
      </w:pPr>
      <w:r w:rsidRPr="006E319F">
        <w:rPr>
          <w:rFonts w:ascii="Arial" w:hAnsi="Arial" w:cs="Arial"/>
          <w:noProof/>
          <w:sz w:val="24"/>
          <w:szCs w:val="24"/>
        </w:rPr>
        <w:t xml:space="preserve">Bharwani, S., &amp; Mathews, D. (2021). ‘Post-pandemic pressures to pivot: tech transformations in luxury hotels.’ </w:t>
      </w:r>
      <w:r w:rsidRPr="006E319F">
        <w:rPr>
          <w:rFonts w:ascii="Arial" w:hAnsi="Arial" w:cs="Arial"/>
          <w:i/>
          <w:iCs/>
          <w:noProof/>
          <w:sz w:val="24"/>
          <w:szCs w:val="24"/>
        </w:rPr>
        <w:t xml:space="preserve">Worldwide Hospitality and Tourism Themes, </w:t>
      </w:r>
      <w:r w:rsidRPr="006E319F">
        <w:rPr>
          <w:rFonts w:ascii="Arial" w:hAnsi="Arial" w:cs="Arial"/>
          <w:iCs/>
          <w:noProof/>
          <w:sz w:val="24"/>
          <w:szCs w:val="24"/>
        </w:rPr>
        <w:t>13</w:t>
      </w:r>
      <w:r w:rsidRPr="006E319F">
        <w:rPr>
          <w:rFonts w:ascii="Arial" w:hAnsi="Arial" w:cs="Arial"/>
          <w:noProof/>
          <w:sz w:val="24"/>
          <w:szCs w:val="24"/>
        </w:rPr>
        <w:t xml:space="preserve">(5), pp. 569-583. Available at: </w:t>
      </w:r>
      <w:hyperlink r:id="rId5" w:history="1">
        <w:r w:rsidRPr="006E319F">
          <w:rPr>
            <w:rFonts w:ascii="Arial" w:hAnsi="Arial" w:cs="Arial"/>
            <w:noProof/>
            <w:color w:val="000000" w:themeColor="text1"/>
            <w:sz w:val="24"/>
            <w:szCs w:val="24"/>
          </w:rPr>
          <w:t>https://doi.org/10.1108/WHATT-05-2021-0072</w:t>
        </w:r>
      </w:hyperlink>
      <w:r w:rsidRPr="006E319F">
        <w:rPr>
          <w:rFonts w:ascii="Arial" w:hAnsi="Arial" w:cs="Arial"/>
          <w:noProof/>
          <w:color w:val="000000" w:themeColor="text1"/>
          <w:sz w:val="24"/>
          <w:szCs w:val="24"/>
          <w:u w:val="single"/>
        </w:rPr>
        <w:t xml:space="preserve"> </w:t>
      </w:r>
      <w:r w:rsidRPr="006E319F">
        <w:rPr>
          <w:rFonts w:ascii="Arial" w:hAnsi="Arial" w:cs="Arial"/>
          <w:noProof/>
          <w:sz w:val="24"/>
          <w:szCs w:val="24"/>
        </w:rPr>
        <w:t>(Accessed: 29 January 2023).</w:t>
      </w:r>
    </w:p>
    <w:p w14:paraId="0900CAF6" w14:textId="77777777" w:rsidR="009026F7" w:rsidRPr="006E319F" w:rsidRDefault="009026F7" w:rsidP="00504DE5">
      <w:pPr>
        <w:spacing w:line="360" w:lineRule="auto"/>
        <w:ind w:left="720" w:hanging="720"/>
        <w:jc w:val="both"/>
        <w:rPr>
          <w:rFonts w:ascii="Arial" w:hAnsi="Arial" w:cs="Arial"/>
          <w:noProof/>
          <w:sz w:val="24"/>
          <w:szCs w:val="24"/>
        </w:rPr>
      </w:pPr>
      <w:r w:rsidRPr="006E319F">
        <w:rPr>
          <w:rFonts w:ascii="Arial" w:hAnsi="Arial" w:cs="Arial"/>
          <w:noProof/>
          <w:sz w:val="24"/>
          <w:szCs w:val="24"/>
        </w:rPr>
        <w:lastRenderedPageBreak/>
        <w:t xml:space="preserve">Catana, Ş. A., &amp; Toma, S. G. (2021). ‘Entrepreneurship in the hospitality industry. Case study: Marriott International.’ </w:t>
      </w:r>
      <w:r w:rsidRPr="006E319F">
        <w:rPr>
          <w:rFonts w:ascii="Arial" w:hAnsi="Arial" w:cs="Arial"/>
          <w:i/>
          <w:iCs/>
          <w:noProof/>
          <w:sz w:val="24"/>
          <w:szCs w:val="24"/>
        </w:rPr>
        <w:t xml:space="preserve">SEA-Practical Application of Science, </w:t>
      </w:r>
      <w:r w:rsidRPr="006E319F">
        <w:rPr>
          <w:rFonts w:ascii="Arial" w:hAnsi="Arial" w:cs="Arial"/>
          <w:iCs/>
          <w:noProof/>
          <w:sz w:val="24"/>
          <w:szCs w:val="24"/>
        </w:rPr>
        <w:t>27</w:t>
      </w:r>
      <w:r w:rsidRPr="006E319F">
        <w:rPr>
          <w:rFonts w:ascii="Arial" w:hAnsi="Arial" w:cs="Arial"/>
          <w:noProof/>
          <w:sz w:val="24"/>
          <w:szCs w:val="24"/>
        </w:rPr>
        <w:t xml:space="preserve">, pp. 221-225. </w:t>
      </w:r>
      <w:r w:rsidRPr="006E319F">
        <w:rPr>
          <w:rFonts w:ascii="Arial" w:hAnsi="Arial" w:cs="Arial"/>
          <w:sz w:val="24"/>
          <w:szCs w:val="24"/>
        </w:rPr>
        <w:t>Available at</w:t>
      </w:r>
      <w:r w:rsidRPr="006E319F">
        <w:rPr>
          <w:rFonts w:ascii="Arial" w:hAnsi="Arial" w:cs="Arial"/>
          <w:noProof/>
          <w:sz w:val="24"/>
          <w:szCs w:val="24"/>
        </w:rPr>
        <w:t xml:space="preserve">: </w:t>
      </w:r>
      <w:hyperlink r:id="rId6" w:history="1">
        <w:r w:rsidRPr="006E319F">
          <w:rPr>
            <w:rFonts w:ascii="Arial" w:hAnsi="Arial" w:cs="Arial"/>
            <w:noProof/>
            <w:color w:val="000000" w:themeColor="text1"/>
            <w:sz w:val="24"/>
            <w:szCs w:val="24"/>
          </w:rPr>
          <w:t>https://seaopenresearch.eu/Journals/articles/SPAS_27_6.pdf</w:t>
        </w:r>
      </w:hyperlink>
      <w:r w:rsidRPr="006E319F">
        <w:rPr>
          <w:rFonts w:ascii="Arial" w:hAnsi="Arial" w:cs="Arial"/>
          <w:noProof/>
          <w:color w:val="0563C1" w:themeColor="hyperlink"/>
          <w:sz w:val="24"/>
          <w:szCs w:val="24"/>
          <w:u w:val="single"/>
        </w:rPr>
        <w:t xml:space="preserve"> </w:t>
      </w:r>
      <w:r w:rsidRPr="006E319F">
        <w:rPr>
          <w:rFonts w:ascii="Arial" w:hAnsi="Arial" w:cs="Arial"/>
          <w:noProof/>
          <w:sz w:val="24"/>
          <w:szCs w:val="24"/>
        </w:rPr>
        <w:t>(Accessed: 29 January 2023).</w:t>
      </w:r>
    </w:p>
    <w:p w14:paraId="7E76E8A6" w14:textId="77777777" w:rsidR="009026F7" w:rsidRPr="006E319F" w:rsidRDefault="009026F7" w:rsidP="00504DE5">
      <w:pPr>
        <w:spacing w:line="360" w:lineRule="auto"/>
        <w:ind w:left="720" w:hanging="720"/>
        <w:jc w:val="both"/>
        <w:rPr>
          <w:rFonts w:ascii="Arial" w:hAnsi="Arial" w:cs="Arial"/>
          <w:noProof/>
          <w:sz w:val="24"/>
          <w:szCs w:val="24"/>
        </w:rPr>
      </w:pPr>
      <w:r w:rsidRPr="006E319F">
        <w:rPr>
          <w:rFonts w:ascii="Arial" w:hAnsi="Arial" w:cs="Arial"/>
          <w:noProof/>
          <w:sz w:val="24"/>
          <w:szCs w:val="24"/>
        </w:rPr>
        <w:t xml:space="preserve">Dhir, S., &amp; Dhir, S. (2019). ‘Marriott Hotels. Cases in Strategic Management.’ </w:t>
      </w:r>
      <w:r w:rsidRPr="006E319F">
        <w:rPr>
          <w:rFonts w:ascii="Arial" w:hAnsi="Arial" w:cs="Arial"/>
          <w:i/>
          <w:iCs/>
          <w:noProof/>
          <w:sz w:val="24"/>
          <w:szCs w:val="24"/>
        </w:rPr>
        <w:t>A Flexibility Perspective</w:t>
      </w:r>
      <w:r w:rsidRPr="006E319F">
        <w:rPr>
          <w:rFonts w:ascii="Arial" w:hAnsi="Arial" w:cs="Arial"/>
          <w:noProof/>
          <w:sz w:val="24"/>
          <w:szCs w:val="24"/>
        </w:rPr>
        <w:t xml:space="preserve">, pp. 147-162. </w:t>
      </w:r>
      <w:r w:rsidRPr="006E319F">
        <w:rPr>
          <w:rFonts w:ascii="Arial" w:hAnsi="Arial" w:cs="Arial"/>
          <w:sz w:val="24"/>
          <w:szCs w:val="24"/>
        </w:rPr>
        <w:t xml:space="preserve">DOI: </w:t>
      </w:r>
      <w:hyperlink r:id="rId7" w:history="1">
        <w:r w:rsidRPr="006E319F">
          <w:rPr>
            <w:rFonts w:ascii="Arial" w:hAnsi="Arial" w:cs="Arial"/>
            <w:noProof/>
            <w:color w:val="000000" w:themeColor="text1"/>
            <w:sz w:val="24"/>
            <w:szCs w:val="24"/>
          </w:rPr>
          <w:t>10.1007/978-981-13-7064-9_9</w:t>
        </w:r>
      </w:hyperlink>
      <w:r w:rsidRPr="006E319F">
        <w:rPr>
          <w:rFonts w:ascii="Arial" w:hAnsi="Arial" w:cs="Arial"/>
          <w:noProof/>
          <w:color w:val="000000" w:themeColor="text1"/>
          <w:sz w:val="24"/>
          <w:szCs w:val="24"/>
          <w:u w:val="single"/>
        </w:rPr>
        <w:t xml:space="preserve"> </w:t>
      </w:r>
    </w:p>
    <w:p w14:paraId="32C82BBB" w14:textId="77777777" w:rsidR="009026F7" w:rsidRPr="006E319F" w:rsidRDefault="009026F7" w:rsidP="00504DE5">
      <w:pPr>
        <w:spacing w:line="360" w:lineRule="auto"/>
        <w:ind w:left="720" w:hanging="720"/>
        <w:jc w:val="both"/>
        <w:rPr>
          <w:rFonts w:ascii="Arial" w:hAnsi="Arial" w:cs="Arial"/>
          <w:noProof/>
          <w:sz w:val="24"/>
          <w:szCs w:val="24"/>
        </w:rPr>
      </w:pPr>
      <w:r w:rsidRPr="006E319F">
        <w:rPr>
          <w:rFonts w:ascii="Arial" w:hAnsi="Arial" w:cs="Arial"/>
          <w:noProof/>
          <w:sz w:val="24"/>
          <w:szCs w:val="24"/>
        </w:rPr>
        <w:t xml:space="preserve">Gardini, M. A. (2022). </w:t>
      </w:r>
      <w:r w:rsidRPr="006E319F">
        <w:rPr>
          <w:rFonts w:ascii="Arial" w:hAnsi="Arial" w:cs="Arial"/>
          <w:i/>
          <w:iCs/>
          <w:noProof/>
          <w:sz w:val="24"/>
          <w:szCs w:val="24"/>
        </w:rPr>
        <w:t xml:space="preserve">Brand Portfolio Management. In Encyclopedia of Tourism Management and Marketing </w:t>
      </w:r>
      <w:r w:rsidRPr="006E319F">
        <w:rPr>
          <w:rFonts w:ascii="Arial" w:hAnsi="Arial" w:cs="Arial"/>
          <w:iCs/>
          <w:noProof/>
          <w:sz w:val="24"/>
          <w:szCs w:val="24"/>
        </w:rPr>
        <w:t>(pp. 362-365).</w:t>
      </w:r>
      <w:r w:rsidRPr="006E319F">
        <w:rPr>
          <w:rFonts w:ascii="Arial" w:hAnsi="Arial" w:cs="Arial"/>
          <w:noProof/>
          <w:sz w:val="24"/>
          <w:szCs w:val="24"/>
        </w:rPr>
        <w:t xml:space="preserve"> Edward Elgar Publishing. </w:t>
      </w:r>
      <w:r w:rsidRPr="006E319F">
        <w:rPr>
          <w:rFonts w:ascii="Arial" w:hAnsi="Arial" w:cs="Arial"/>
          <w:sz w:val="24"/>
          <w:szCs w:val="24"/>
        </w:rPr>
        <w:t>Available at:</w:t>
      </w:r>
      <w:r w:rsidRPr="006E319F">
        <w:rPr>
          <w:rFonts w:ascii="Arial" w:hAnsi="Arial" w:cs="Arial"/>
          <w:noProof/>
          <w:sz w:val="24"/>
          <w:szCs w:val="24"/>
        </w:rPr>
        <w:t xml:space="preserve"> </w:t>
      </w:r>
      <w:hyperlink r:id="rId8" w:history="1">
        <w:r w:rsidRPr="006E319F">
          <w:rPr>
            <w:rFonts w:ascii="Arial" w:hAnsi="Arial" w:cs="Arial"/>
            <w:noProof/>
            <w:color w:val="000000" w:themeColor="text1"/>
            <w:sz w:val="24"/>
            <w:szCs w:val="24"/>
          </w:rPr>
          <w:t>https://doi.org/10.1080/13527266.2022.2151770</w:t>
        </w:r>
      </w:hyperlink>
      <w:r w:rsidRPr="006E319F">
        <w:rPr>
          <w:rFonts w:ascii="Arial" w:hAnsi="Arial" w:cs="Arial"/>
          <w:noProof/>
          <w:color w:val="0563C1" w:themeColor="hyperlink"/>
          <w:sz w:val="24"/>
          <w:szCs w:val="24"/>
          <w:u w:val="single"/>
        </w:rPr>
        <w:t xml:space="preserve"> </w:t>
      </w:r>
      <w:r w:rsidRPr="006E319F">
        <w:rPr>
          <w:rFonts w:ascii="Arial" w:hAnsi="Arial" w:cs="Arial"/>
          <w:noProof/>
          <w:sz w:val="24"/>
          <w:szCs w:val="24"/>
        </w:rPr>
        <w:t>(Accessed: 29 January 2023).</w:t>
      </w:r>
    </w:p>
    <w:p w14:paraId="44426F7D" w14:textId="77777777" w:rsidR="009026F7" w:rsidRPr="006E319F" w:rsidRDefault="009026F7" w:rsidP="00504DE5">
      <w:pPr>
        <w:spacing w:line="360" w:lineRule="auto"/>
        <w:ind w:left="720" w:hanging="720"/>
        <w:jc w:val="both"/>
        <w:rPr>
          <w:rFonts w:ascii="Arial" w:hAnsi="Arial" w:cs="Arial"/>
          <w:noProof/>
          <w:sz w:val="24"/>
          <w:szCs w:val="24"/>
        </w:rPr>
      </w:pPr>
      <w:r w:rsidRPr="006E319F">
        <w:rPr>
          <w:rFonts w:ascii="Arial" w:hAnsi="Arial" w:cs="Arial"/>
          <w:noProof/>
          <w:sz w:val="24"/>
          <w:szCs w:val="24"/>
        </w:rPr>
        <w:t xml:space="preserve">Hossain, M. S., Hussain, K., Kannan, S., &amp; Kunju Raman Nair, S. K. (2022). ‘Determinants of sustainable competitive advantage from resource-based view: implications for hotel industry.’ </w:t>
      </w:r>
      <w:r w:rsidRPr="006E319F">
        <w:rPr>
          <w:rFonts w:ascii="Arial" w:hAnsi="Arial" w:cs="Arial"/>
          <w:i/>
          <w:iCs/>
          <w:noProof/>
          <w:sz w:val="24"/>
          <w:szCs w:val="24"/>
        </w:rPr>
        <w:t xml:space="preserve">Journal of Hospitality and Tourism Insights, </w:t>
      </w:r>
      <w:r w:rsidRPr="006E319F">
        <w:rPr>
          <w:rFonts w:ascii="Arial" w:hAnsi="Arial" w:cs="Arial"/>
          <w:iCs/>
          <w:noProof/>
          <w:sz w:val="24"/>
          <w:szCs w:val="24"/>
        </w:rPr>
        <w:t>5</w:t>
      </w:r>
      <w:r w:rsidRPr="006E319F">
        <w:rPr>
          <w:rFonts w:ascii="Arial" w:hAnsi="Arial" w:cs="Arial"/>
          <w:noProof/>
          <w:sz w:val="24"/>
          <w:szCs w:val="24"/>
        </w:rPr>
        <w:t xml:space="preserve">(1), pp. 79-98. </w:t>
      </w:r>
      <w:r w:rsidRPr="006E319F">
        <w:rPr>
          <w:rFonts w:ascii="Arial" w:hAnsi="Arial" w:cs="Arial"/>
          <w:sz w:val="24"/>
          <w:szCs w:val="24"/>
        </w:rPr>
        <w:t>Available at:</w:t>
      </w:r>
      <w:r w:rsidRPr="006E319F">
        <w:rPr>
          <w:rFonts w:ascii="Arial" w:hAnsi="Arial" w:cs="Arial"/>
          <w:noProof/>
          <w:sz w:val="24"/>
          <w:szCs w:val="24"/>
        </w:rPr>
        <w:t xml:space="preserve"> </w:t>
      </w:r>
      <w:hyperlink r:id="rId9" w:history="1">
        <w:r w:rsidRPr="006E319F">
          <w:rPr>
            <w:rFonts w:ascii="Arial" w:hAnsi="Arial" w:cs="Arial"/>
            <w:noProof/>
            <w:color w:val="000000" w:themeColor="text1"/>
            <w:sz w:val="24"/>
            <w:szCs w:val="24"/>
          </w:rPr>
          <w:t>https://doi.org/10.1108/JHTI-08-2020-0152</w:t>
        </w:r>
      </w:hyperlink>
      <w:r w:rsidRPr="006E319F">
        <w:rPr>
          <w:rFonts w:ascii="Arial" w:hAnsi="Arial" w:cs="Arial"/>
          <w:noProof/>
          <w:color w:val="000000" w:themeColor="text1"/>
          <w:sz w:val="24"/>
          <w:szCs w:val="24"/>
          <w:u w:val="single"/>
        </w:rPr>
        <w:t xml:space="preserve"> </w:t>
      </w:r>
      <w:r w:rsidRPr="006E319F">
        <w:rPr>
          <w:rFonts w:ascii="Arial" w:hAnsi="Arial" w:cs="Arial"/>
          <w:noProof/>
          <w:sz w:val="24"/>
          <w:szCs w:val="24"/>
        </w:rPr>
        <w:t>(Accessed: 29 January 2023).</w:t>
      </w:r>
    </w:p>
    <w:p w14:paraId="19A27031" w14:textId="43BA28F1" w:rsidR="009026F7" w:rsidRPr="006E319F" w:rsidRDefault="009026F7" w:rsidP="00504DE5">
      <w:pPr>
        <w:pStyle w:val="Bibliography"/>
        <w:spacing w:line="360" w:lineRule="auto"/>
        <w:ind w:left="720" w:hanging="720"/>
        <w:jc w:val="both"/>
        <w:rPr>
          <w:rFonts w:ascii="Arial" w:hAnsi="Arial" w:cs="Arial"/>
          <w:noProof/>
          <w:sz w:val="24"/>
          <w:szCs w:val="24"/>
        </w:rPr>
      </w:pPr>
      <w:r w:rsidRPr="006E319F">
        <w:rPr>
          <w:rFonts w:ascii="Arial" w:hAnsi="Arial" w:cs="Arial"/>
          <w:noProof/>
          <w:sz w:val="24"/>
          <w:szCs w:val="24"/>
        </w:rPr>
        <w:t xml:space="preserve">Jones, P., &amp; Comfort, D. (2019). ‘Sustainable development goals and the world’s leading hotel groups.’ </w:t>
      </w:r>
      <w:r w:rsidRPr="006E319F">
        <w:rPr>
          <w:rFonts w:ascii="Arial" w:hAnsi="Arial" w:cs="Arial"/>
          <w:i/>
          <w:iCs/>
          <w:noProof/>
          <w:sz w:val="24"/>
          <w:szCs w:val="24"/>
        </w:rPr>
        <w:t xml:space="preserve">Athens Journal of Tourism, </w:t>
      </w:r>
      <w:r w:rsidRPr="006E319F">
        <w:rPr>
          <w:rFonts w:ascii="Arial" w:hAnsi="Arial" w:cs="Arial"/>
          <w:iCs/>
          <w:noProof/>
          <w:sz w:val="24"/>
          <w:szCs w:val="24"/>
        </w:rPr>
        <w:t>6</w:t>
      </w:r>
      <w:r w:rsidRPr="006E319F">
        <w:rPr>
          <w:rFonts w:ascii="Arial" w:hAnsi="Arial" w:cs="Arial"/>
          <w:noProof/>
          <w:sz w:val="24"/>
          <w:szCs w:val="24"/>
        </w:rPr>
        <w:t xml:space="preserve">(1), pp. 1-14. </w:t>
      </w:r>
      <w:r w:rsidRPr="006E319F">
        <w:rPr>
          <w:rFonts w:ascii="Arial" w:hAnsi="Arial" w:cs="Arial"/>
          <w:sz w:val="24"/>
          <w:szCs w:val="24"/>
        </w:rPr>
        <w:t>Available at:</w:t>
      </w:r>
      <w:r w:rsidRPr="006E319F">
        <w:rPr>
          <w:rFonts w:ascii="Arial" w:hAnsi="Arial" w:cs="Arial"/>
          <w:noProof/>
          <w:sz w:val="24"/>
          <w:szCs w:val="24"/>
        </w:rPr>
        <w:t xml:space="preserve"> </w:t>
      </w:r>
      <w:hyperlink r:id="rId10" w:history="1">
        <w:r w:rsidRPr="006E319F">
          <w:rPr>
            <w:rStyle w:val="Hyperlink"/>
            <w:rFonts w:ascii="Arial" w:hAnsi="Arial" w:cs="Arial"/>
            <w:noProof/>
            <w:color w:val="000000" w:themeColor="text1"/>
            <w:sz w:val="24"/>
            <w:szCs w:val="24"/>
            <w:u w:val="none"/>
          </w:rPr>
          <w:t>doi:10.30958/ajt.6-1-1</w:t>
        </w:r>
      </w:hyperlink>
      <w:r w:rsidRPr="006E319F">
        <w:rPr>
          <w:rFonts w:ascii="Arial" w:hAnsi="Arial" w:cs="Arial"/>
          <w:noProof/>
          <w:sz w:val="24"/>
          <w:szCs w:val="24"/>
        </w:rPr>
        <w:t>(Accessed: 29 January 2023).</w:t>
      </w:r>
    </w:p>
    <w:p w14:paraId="07B6DA60" w14:textId="77777777" w:rsidR="009026F7" w:rsidRPr="006E319F" w:rsidRDefault="009026F7" w:rsidP="00504DE5">
      <w:pPr>
        <w:pStyle w:val="Bibliography"/>
        <w:spacing w:line="360" w:lineRule="auto"/>
        <w:ind w:left="720" w:hanging="720"/>
        <w:jc w:val="both"/>
        <w:rPr>
          <w:rFonts w:ascii="Arial" w:hAnsi="Arial" w:cs="Arial"/>
          <w:noProof/>
          <w:sz w:val="24"/>
          <w:szCs w:val="24"/>
        </w:rPr>
      </w:pPr>
      <w:r w:rsidRPr="006E319F">
        <w:rPr>
          <w:rFonts w:ascii="Arial" w:hAnsi="Arial" w:cs="Arial"/>
          <w:noProof/>
          <w:sz w:val="24"/>
          <w:szCs w:val="24"/>
        </w:rPr>
        <w:t xml:space="preserve">Krupskyi, O. P., Dzhusov, O., Meshko, N., Britchenko, I., &amp; Prytykin, A. (2019). ‘Key sources when formulating competitive advantages for hotel chains.’ </w:t>
      </w:r>
      <w:r w:rsidRPr="006E319F">
        <w:rPr>
          <w:rFonts w:ascii="Arial" w:hAnsi="Arial" w:cs="Arial"/>
          <w:i/>
          <w:iCs/>
          <w:noProof/>
          <w:sz w:val="24"/>
          <w:szCs w:val="24"/>
        </w:rPr>
        <w:t xml:space="preserve">Tourism: An International Interdisciplinary Journal, </w:t>
      </w:r>
      <w:r w:rsidRPr="006E319F">
        <w:rPr>
          <w:rFonts w:ascii="Arial" w:hAnsi="Arial" w:cs="Arial"/>
          <w:iCs/>
          <w:noProof/>
          <w:sz w:val="24"/>
          <w:szCs w:val="24"/>
        </w:rPr>
        <w:t>67</w:t>
      </w:r>
      <w:r w:rsidRPr="006E319F">
        <w:rPr>
          <w:rFonts w:ascii="Arial" w:hAnsi="Arial" w:cs="Arial"/>
          <w:noProof/>
          <w:sz w:val="24"/>
          <w:szCs w:val="24"/>
        </w:rPr>
        <w:t xml:space="preserve">(1), pp. 34-46. Available at: </w:t>
      </w:r>
      <w:bookmarkStart w:id="0" w:name="_Hlk126046149"/>
      <w:r w:rsidRPr="006E319F">
        <w:rPr>
          <w:rStyle w:val="Hyperlink"/>
          <w:rFonts w:ascii="Arial" w:hAnsi="Arial" w:cs="Arial"/>
          <w:noProof/>
          <w:color w:val="000000" w:themeColor="text1"/>
          <w:sz w:val="24"/>
          <w:szCs w:val="24"/>
          <w:u w:val="none"/>
        </w:rPr>
        <w:t>https://hrcak.srce.hr/file/318807</w:t>
      </w:r>
      <w:bookmarkEnd w:id="0"/>
      <w:r w:rsidRPr="006E319F">
        <w:rPr>
          <w:rFonts w:ascii="Arial" w:hAnsi="Arial" w:cs="Arial"/>
          <w:noProof/>
          <w:color w:val="000000" w:themeColor="text1"/>
          <w:sz w:val="24"/>
          <w:szCs w:val="24"/>
        </w:rPr>
        <w:t xml:space="preserve"> </w:t>
      </w:r>
      <w:r w:rsidRPr="006E319F">
        <w:rPr>
          <w:rFonts w:ascii="Arial" w:hAnsi="Arial" w:cs="Arial"/>
          <w:noProof/>
          <w:sz w:val="24"/>
          <w:szCs w:val="24"/>
        </w:rPr>
        <w:t>(Accessed: 29 January 2023).</w:t>
      </w:r>
    </w:p>
    <w:p w14:paraId="0CE44ECC" w14:textId="77777777" w:rsidR="009026F7" w:rsidRPr="006E319F" w:rsidRDefault="009026F7" w:rsidP="00504DE5">
      <w:pPr>
        <w:pStyle w:val="Bibliography"/>
        <w:spacing w:line="360" w:lineRule="auto"/>
        <w:ind w:left="720" w:hanging="720"/>
        <w:jc w:val="both"/>
        <w:rPr>
          <w:rFonts w:ascii="Arial" w:hAnsi="Arial" w:cs="Arial"/>
          <w:noProof/>
          <w:sz w:val="24"/>
          <w:szCs w:val="24"/>
        </w:rPr>
      </w:pPr>
      <w:r w:rsidRPr="006E319F">
        <w:rPr>
          <w:rFonts w:ascii="Arial" w:hAnsi="Arial" w:cs="Arial"/>
          <w:noProof/>
          <w:sz w:val="24"/>
          <w:szCs w:val="24"/>
        </w:rPr>
        <w:t>Le Bot, C., Perrigot, R., Déjean, F., &amp; Oxibar, B. (2022). ‘Corporate Social Responsibility in franchise chains: Specificities, insights from French franchise chains’ CSD, and avenues for future research.’</w:t>
      </w:r>
      <w:r w:rsidRPr="006E319F">
        <w:rPr>
          <w:rFonts w:ascii="Arial" w:hAnsi="Arial" w:cs="Arial"/>
          <w:i/>
          <w:iCs/>
          <w:noProof/>
          <w:sz w:val="24"/>
          <w:szCs w:val="24"/>
        </w:rPr>
        <w:t xml:space="preserve">Journal of Retailing and Consumer Services, </w:t>
      </w:r>
      <w:r w:rsidRPr="006E319F">
        <w:rPr>
          <w:rFonts w:ascii="Arial" w:hAnsi="Arial" w:cs="Arial"/>
          <w:iCs/>
          <w:noProof/>
          <w:sz w:val="24"/>
          <w:szCs w:val="24"/>
        </w:rPr>
        <w:t>66</w:t>
      </w:r>
      <w:r w:rsidRPr="006E319F">
        <w:rPr>
          <w:rFonts w:ascii="Arial" w:hAnsi="Arial" w:cs="Arial"/>
          <w:noProof/>
          <w:sz w:val="24"/>
          <w:szCs w:val="24"/>
        </w:rPr>
        <w:t xml:space="preserve">, pp. 102945. Available at: </w:t>
      </w:r>
      <w:hyperlink r:id="rId11" w:history="1">
        <w:r w:rsidRPr="006E319F">
          <w:rPr>
            <w:rStyle w:val="Hyperlink"/>
            <w:rFonts w:ascii="Arial" w:hAnsi="Arial" w:cs="Arial"/>
            <w:noProof/>
            <w:color w:val="000000" w:themeColor="text1"/>
            <w:sz w:val="24"/>
            <w:szCs w:val="24"/>
            <w:u w:val="none"/>
          </w:rPr>
          <w:t>https://doi.org/10.1016/j.jretconser.2022.102945</w:t>
        </w:r>
      </w:hyperlink>
      <w:r w:rsidRPr="006E319F">
        <w:rPr>
          <w:rStyle w:val="Hyperlink"/>
          <w:rFonts w:ascii="Arial" w:hAnsi="Arial" w:cs="Arial"/>
          <w:noProof/>
          <w:color w:val="000000" w:themeColor="text1"/>
          <w:sz w:val="24"/>
          <w:szCs w:val="24"/>
        </w:rPr>
        <w:t xml:space="preserve"> </w:t>
      </w:r>
      <w:r w:rsidRPr="006E319F">
        <w:rPr>
          <w:rFonts w:ascii="Arial" w:hAnsi="Arial" w:cs="Arial"/>
          <w:noProof/>
          <w:sz w:val="24"/>
          <w:szCs w:val="24"/>
        </w:rPr>
        <w:t>(Accessed: 29 January 2023).</w:t>
      </w:r>
    </w:p>
    <w:p w14:paraId="2DAFAB3F" w14:textId="77777777" w:rsidR="009026F7" w:rsidRPr="006E319F" w:rsidRDefault="009026F7" w:rsidP="00504DE5">
      <w:pPr>
        <w:pStyle w:val="Bibliography"/>
        <w:spacing w:line="360" w:lineRule="auto"/>
        <w:ind w:left="720" w:hanging="720"/>
        <w:jc w:val="both"/>
        <w:rPr>
          <w:rFonts w:ascii="Arial" w:hAnsi="Arial" w:cs="Arial"/>
          <w:noProof/>
          <w:sz w:val="24"/>
          <w:szCs w:val="24"/>
        </w:rPr>
      </w:pPr>
      <w:r w:rsidRPr="006E319F">
        <w:rPr>
          <w:rFonts w:ascii="Arial" w:hAnsi="Arial" w:cs="Arial"/>
          <w:noProof/>
          <w:sz w:val="24"/>
          <w:szCs w:val="24"/>
        </w:rPr>
        <w:t xml:space="preserve">Luo, J., Huang, S., &amp; Wang, R. (2020). ‘A fine-grained sentiment analysis of online guest reviews of economy hotels in China.’ </w:t>
      </w:r>
      <w:r w:rsidRPr="006E319F">
        <w:rPr>
          <w:rFonts w:ascii="Arial" w:hAnsi="Arial" w:cs="Arial"/>
          <w:i/>
          <w:iCs/>
          <w:noProof/>
          <w:sz w:val="24"/>
          <w:szCs w:val="24"/>
        </w:rPr>
        <w:t xml:space="preserve">Journal of Hospitality Marketing &amp; Management, </w:t>
      </w:r>
      <w:r w:rsidRPr="006E319F">
        <w:rPr>
          <w:rFonts w:ascii="Arial" w:hAnsi="Arial" w:cs="Arial"/>
          <w:iCs/>
          <w:noProof/>
          <w:sz w:val="24"/>
          <w:szCs w:val="24"/>
        </w:rPr>
        <w:t>30</w:t>
      </w:r>
      <w:r w:rsidRPr="006E319F">
        <w:rPr>
          <w:rFonts w:ascii="Arial" w:hAnsi="Arial" w:cs="Arial"/>
          <w:noProof/>
          <w:sz w:val="24"/>
          <w:szCs w:val="24"/>
        </w:rPr>
        <w:t xml:space="preserve">(1), pp. 71-95. Available at: </w:t>
      </w:r>
      <w:hyperlink r:id="rId12" w:history="1">
        <w:r w:rsidRPr="006E319F">
          <w:rPr>
            <w:rStyle w:val="Hyperlink"/>
            <w:rFonts w:ascii="Arial" w:hAnsi="Arial" w:cs="Arial"/>
            <w:noProof/>
            <w:color w:val="000000" w:themeColor="text1"/>
            <w:sz w:val="24"/>
            <w:szCs w:val="24"/>
            <w:u w:val="none"/>
          </w:rPr>
          <w:t>https://doi.org/10.1080/19368623.2020.1772163</w:t>
        </w:r>
      </w:hyperlink>
      <w:r w:rsidRPr="006E319F">
        <w:rPr>
          <w:rStyle w:val="Hyperlink"/>
          <w:rFonts w:ascii="Arial" w:hAnsi="Arial" w:cs="Arial"/>
          <w:noProof/>
          <w:color w:val="000000" w:themeColor="text1"/>
          <w:sz w:val="24"/>
          <w:szCs w:val="24"/>
        </w:rPr>
        <w:t xml:space="preserve"> </w:t>
      </w:r>
      <w:r w:rsidRPr="006E319F">
        <w:rPr>
          <w:rFonts w:ascii="Arial" w:hAnsi="Arial" w:cs="Arial"/>
          <w:noProof/>
          <w:sz w:val="24"/>
          <w:szCs w:val="24"/>
        </w:rPr>
        <w:t>(Accessed: 29 January 2023).</w:t>
      </w:r>
    </w:p>
    <w:p w14:paraId="47496023" w14:textId="77777777" w:rsidR="009026F7" w:rsidRPr="006E319F" w:rsidRDefault="009026F7" w:rsidP="00504DE5">
      <w:pPr>
        <w:pStyle w:val="Bibliography"/>
        <w:spacing w:line="360" w:lineRule="auto"/>
        <w:ind w:left="720" w:hanging="720"/>
        <w:jc w:val="both"/>
        <w:rPr>
          <w:rFonts w:ascii="Arial" w:hAnsi="Arial" w:cs="Arial"/>
          <w:noProof/>
          <w:sz w:val="24"/>
          <w:szCs w:val="24"/>
        </w:rPr>
      </w:pPr>
      <w:r w:rsidRPr="006E319F">
        <w:rPr>
          <w:rFonts w:ascii="Arial" w:hAnsi="Arial" w:cs="Arial"/>
          <w:noProof/>
          <w:sz w:val="24"/>
          <w:szCs w:val="24"/>
        </w:rPr>
        <w:t xml:space="preserve">MacKenzie, N., &amp; Gannon, M. J. (2019). ‘Exploring the antecedents of sustainable tourism development.’ </w:t>
      </w:r>
      <w:r w:rsidRPr="006E319F">
        <w:rPr>
          <w:rFonts w:ascii="Arial" w:hAnsi="Arial" w:cs="Arial"/>
          <w:i/>
          <w:iCs/>
          <w:noProof/>
          <w:sz w:val="24"/>
          <w:szCs w:val="24"/>
        </w:rPr>
        <w:t>International Journal of Contemporary Hospitality Management</w:t>
      </w:r>
      <w:r w:rsidRPr="006E319F">
        <w:rPr>
          <w:rFonts w:ascii="Arial" w:hAnsi="Arial" w:cs="Arial"/>
          <w:iCs/>
          <w:noProof/>
          <w:sz w:val="24"/>
          <w:szCs w:val="24"/>
        </w:rPr>
        <w:t>, 31</w:t>
      </w:r>
      <w:r w:rsidRPr="006E319F">
        <w:rPr>
          <w:rFonts w:ascii="Arial" w:hAnsi="Arial" w:cs="Arial"/>
          <w:noProof/>
          <w:sz w:val="24"/>
          <w:szCs w:val="24"/>
        </w:rPr>
        <w:t xml:space="preserve">(6), pp. 2411-2427. Available at: </w:t>
      </w:r>
      <w:hyperlink r:id="rId13" w:history="1">
        <w:r w:rsidRPr="006E319F">
          <w:rPr>
            <w:rStyle w:val="Hyperlink"/>
            <w:rFonts w:ascii="Arial" w:hAnsi="Arial" w:cs="Arial"/>
            <w:noProof/>
            <w:color w:val="000000" w:themeColor="text1"/>
            <w:sz w:val="24"/>
            <w:szCs w:val="24"/>
            <w:u w:val="none"/>
          </w:rPr>
          <w:t>https://doi.org/10.1108/IJCHM-05-2018-0384</w:t>
        </w:r>
      </w:hyperlink>
      <w:r w:rsidRPr="006E319F">
        <w:rPr>
          <w:rStyle w:val="Hyperlink"/>
          <w:rFonts w:ascii="Arial" w:hAnsi="Arial" w:cs="Arial"/>
          <w:noProof/>
          <w:color w:val="000000" w:themeColor="text1"/>
          <w:sz w:val="24"/>
          <w:szCs w:val="24"/>
        </w:rPr>
        <w:t xml:space="preserve"> </w:t>
      </w:r>
      <w:r w:rsidRPr="006E319F">
        <w:rPr>
          <w:rFonts w:ascii="Arial" w:hAnsi="Arial" w:cs="Arial"/>
          <w:noProof/>
          <w:sz w:val="24"/>
          <w:szCs w:val="24"/>
        </w:rPr>
        <w:t>(Accessed: 29 January 2023).</w:t>
      </w:r>
    </w:p>
    <w:p w14:paraId="40733448" w14:textId="77777777" w:rsidR="009026F7" w:rsidRPr="006E319F" w:rsidRDefault="009026F7" w:rsidP="00504DE5">
      <w:pPr>
        <w:pStyle w:val="Bibliography"/>
        <w:spacing w:line="360" w:lineRule="auto"/>
        <w:ind w:left="720" w:hanging="720"/>
        <w:jc w:val="both"/>
        <w:rPr>
          <w:rFonts w:ascii="Arial" w:hAnsi="Arial" w:cs="Arial"/>
          <w:noProof/>
          <w:sz w:val="24"/>
          <w:szCs w:val="24"/>
        </w:rPr>
      </w:pPr>
      <w:r w:rsidRPr="006E319F">
        <w:rPr>
          <w:rFonts w:ascii="Arial" w:hAnsi="Arial" w:cs="Arial"/>
          <w:noProof/>
          <w:sz w:val="24"/>
          <w:szCs w:val="24"/>
        </w:rPr>
        <w:t>Marin-Pantelescu, A. (2021). ‘</w:t>
      </w:r>
      <w:r w:rsidRPr="006E319F">
        <w:rPr>
          <w:rFonts w:ascii="Arial" w:hAnsi="Arial" w:cs="Arial"/>
          <w:iCs/>
          <w:noProof/>
          <w:sz w:val="24"/>
          <w:szCs w:val="24"/>
        </w:rPr>
        <w:t>CSR in the Tourism Industry.’ In</w:t>
      </w:r>
      <w:r w:rsidRPr="006E319F">
        <w:rPr>
          <w:rFonts w:ascii="Arial" w:hAnsi="Arial" w:cs="Arial"/>
          <w:i/>
          <w:iCs/>
          <w:noProof/>
          <w:sz w:val="24"/>
          <w:szCs w:val="24"/>
        </w:rPr>
        <w:t xml:space="preserve"> CSR and Management Accounting Challenges in a Time of Global Crises </w:t>
      </w:r>
      <w:r w:rsidRPr="006E319F">
        <w:rPr>
          <w:rFonts w:ascii="Arial" w:hAnsi="Arial" w:cs="Arial"/>
          <w:iCs/>
          <w:noProof/>
          <w:sz w:val="24"/>
          <w:szCs w:val="24"/>
        </w:rPr>
        <w:t>(pp. 103-127).</w:t>
      </w:r>
      <w:r w:rsidRPr="006E319F">
        <w:rPr>
          <w:rFonts w:ascii="Arial" w:hAnsi="Arial" w:cs="Arial"/>
          <w:noProof/>
          <w:sz w:val="24"/>
          <w:szCs w:val="24"/>
        </w:rPr>
        <w:t xml:space="preserve"> DOI: </w:t>
      </w:r>
      <w:hyperlink r:id="rId14" w:history="1">
        <w:r w:rsidRPr="006E319F">
          <w:rPr>
            <w:rStyle w:val="Hyperlink"/>
            <w:rFonts w:ascii="Arial" w:hAnsi="Arial" w:cs="Arial"/>
            <w:noProof/>
            <w:color w:val="000000" w:themeColor="text1"/>
            <w:sz w:val="24"/>
            <w:szCs w:val="24"/>
            <w:u w:val="none"/>
          </w:rPr>
          <w:t>10.4018/978-1-7998-8069-1.ch006</w:t>
        </w:r>
      </w:hyperlink>
      <w:r w:rsidRPr="006E319F">
        <w:rPr>
          <w:rStyle w:val="Hyperlink"/>
          <w:rFonts w:ascii="Arial" w:hAnsi="Arial" w:cs="Arial"/>
          <w:noProof/>
          <w:color w:val="000000" w:themeColor="text1"/>
          <w:sz w:val="24"/>
          <w:szCs w:val="24"/>
          <w:u w:val="none"/>
        </w:rPr>
        <w:t>.</w:t>
      </w:r>
    </w:p>
    <w:p w14:paraId="1EA99662" w14:textId="77777777" w:rsidR="009026F7" w:rsidRPr="006E319F" w:rsidRDefault="009026F7" w:rsidP="00504DE5">
      <w:pPr>
        <w:pStyle w:val="Bibliography"/>
        <w:spacing w:line="360" w:lineRule="auto"/>
        <w:ind w:left="720" w:hanging="720"/>
        <w:jc w:val="both"/>
        <w:rPr>
          <w:rFonts w:ascii="Arial" w:hAnsi="Arial" w:cs="Arial"/>
          <w:noProof/>
          <w:sz w:val="24"/>
          <w:szCs w:val="24"/>
        </w:rPr>
      </w:pPr>
      <w:r w:rsidRPr="006E319F">
        <w:rPr>
          <w:rFonts w:ascii="Arial" w:hAnsi="Arial" w:cs="Arial"/>
          <w:noProof/>
          <w:sz w:val="24"/>
          <w:szCs w:val="24"/>
        </w:rPr>
        <w:t xml:space="preserve">Mun, S. G., Park, E. O., &amp; Woo, L. (2022). ‘Strategic target customers of food and beverage offerings in full-service hotels: Outside-hotel customers.’ </w:t>
      </w:r>
      <w:r w:rsidRPr="006E319F">
        <w:rPr>
          <w:rFonts w:ascii="Arial" w:hAnsi="Arial" w:cs="Arial"/>
          <w:i/>
          <w:iCs/>
          <w:noProof/>
          <w:sz w:val="24"/>
          <w:szCs w:val="24"/>
        </w:rPr>
        <w:t xml:space="preserve">International Journal of Hospitality Management, </w:t>
      </w:r>
      <w:r w:rsidRPr="006E319F">
        <w:rPr>
          <w:rFonts w:ascii="Arial" w:hAnsi="Arial" w:cs="Arial"/>
          <w:iCs/>
          <w:noProof/>
          <w:sz w:val="24"/>
          <w:szCs w:val="24"/>
        </w:rPr>
        <w:t>102</w:t>
      </w:r>
      <w:r w:rsidRPr="006E319F">
        <w:rPr>
          <w:rFonts w:ascii="Arial" w:hAnsi="Arial" w:cs="Arial"/>
          <w:noProof/>
          <w:sz w:val="24"/>
          <w:szCs w:val="24"/>
        </w:rPr>
        <w:t xml:space="preserve">, pp. 103159. Available at: </w:t>
      </w:r>
      <w:hyperlink r:id="rId15" w:history="1">
        <w:r w:rsidRPr="006E319F">
          <w:rPr>
            <w:rStyle w:val="Hyperlink"/>
            <w:rFonts w:ascii="Arial" w:hAnsi="Arial" w:cs="Arial"/>
            <w:noProof/>
            <w:color w:val="000000" w:themeColor="text1"/>
            <w:sz w:val="24"/>
            <w:szCs w:val="24"/>
            <w:u w:val="none"/>
          </w:rPr>
          <w:t>https://doi.org/10.1016/j.ijhm.2022.103159</w:t>
        </w:r>
      </w:hyperlink>
      <w:r w:rsidRPr="006E319F">
        <w:rPr>
          <w:rStyle w:val="Hyperlink"/>
          <w:rFonts w:ascii="Arial" w:hAnsi="Arial" w:cs="Arial"/>
          <w:noProof/>
          <w:sz w:val="24"/>
          <w:szCs w:val="24"/>
        </w:rPr>
        <w:t xml:space="preserve"> </w:t>
      </w:r>
      <w:r w:rsidRPr="006E319F">
        <w:rPr>
          <w:rFonts w:ascii="Arial" w:hAnsi="Arial" w:cs="Arial"/>
          <w:noProof/>
          <w:sz w:val="24"/>
          <w:szCs w:val="24"/>
        </w:rPr>
        <w:t>(Accessed: 29 January 2023).</w:t>
      </w:r>
    </w:p>
    <w:p w14:paraId="6AFAFA7A" w14:textId="77777777" w:rsidR="009026F7" w:rsidRPr="006E319F" w:rsidRDefault="009026F7" w:rsidP="00504DE5">
      <w:pPr>
        <w:pStyle w:val="Bibliography"/>
        <w:spacing w:line="360" w:lineRule="auto"/>
        <w:ind w:left="720" w:hanging="720"/>
        <w:jc w:val="both"/>
        <w:rPr>
          <w:rFonts w:ascii="Arial" w:hAnsi="Arial" w:cs="Arial"/>
          <w:noProof/>
          <w:sz w:val="24"/>
          <w:szCs w:val="24"/>
        </w:rPr>
      </w:pPr>
      <w:r w:rsidRPr="006E319F">
        <w:rPr>
          <w:rFonts w:ascii="Arial" w:hAnsi="Arial" w:cs="Arial"/>
          <w:noProof/>
          <w:sz w:val="24"/>
          <w:szCs w:val="24"/>
        </w:rPr>
        <w:t xml:space="preserve">Nishat, R. I. (2021). </w:t>
      </w:r>
      <w:r w:rsidRPr="006E319F">
        <w:rPr>
          <w:rFonts w:ascii="Arial" w:hAnsi="Arial" w:cs="Arial"/>
          <w:i/>
          <w:iCs/>
          <w:noProof/>
          <w:sz w:val="24"/>
          <w:szCs w:val="24"/>
        </w:rPr>
        <w:t>Effectiveness of marketing strategies for renaissance Dhaka Gulshan Hotel.</w:t>
      </w:r>
      <w:r w:rsidRPr="006E319F">
        <w:rPr>
          <w:rFonts w:ascii="Arial" w:hAnsi="Arial" w:cs="Arial"/>
          <w:noProof/>
          <w:sz w:val="24"/>
          <w:szCs w:val="24"/>
        </w:rPr>
        <w:t xml:space="preserve"> Available at: </w:t>
      </w:r>
      <w:hyperlink r:id="rId16" w:history="1">
        <w:r w:rsidRPr="006E319F">
          <w:rPr>
            <w:rStyle w:val="Hyperlink"/>
            <w:rFonts w:ascii="Arial" w:hAnsi="Arial" w:cs="Arial"/>
            <w:noProof/>
            <w:color w:val="000000" w:themeColor="text1"/>
            <w:sz w:val="24"/>
            <w:szCs w:val="24"/>
            <w:u w:val="none"/>
          </w:rPr>
          <w:t>http://hdl.handle.net/10361/15235</w:t>
        </w:r>
      </w:hyperlink>
      <w:r w:rsidRPr="006E319F">
        <w:rPr>
          <w:rStyle w:val="Hyperlink"/>
          <w:rFonts w:ascii="Arial" w:hAnsi="Arial" w:cs="Arial"/>
          <w:noProof/>
          <w:color w:val="000000" w:themeColor="text1"/>
          <w:sz w:val="24"/>
          <w:szCs w:val="24"/>
        </w:rPr>
        <w:t xml:space="preserve"> </w:t>
      </w:r>
      <w:r w:rsidRPr="006E319F">
        <w:rPr>
          <w:rFonts w:ascii="Arial" w:hAnsi="Arial" w:cs="Arial"/>
          <w:noProof/>
          <w:sz w:val="24"/>
          <w:szCs w:val="24"/>
        </w:rPr>
        <w:t>(Accessed: 29 January 2023).</w:t>
      </w:r>
    </w:p>
    <w:p w14:paraId="39680219" w14:textId="77777777" w:rsidR="009026F7" w:rsidRPr="006E319F" w:rsidRDefault="009026F7" w:rsidP="00504DE5">
      <w:pPr>
        <w:pStyle w:val="Bibliography"/>
        <w:spacing w:line="360" w:lineRule="auto"/>
        <w:ind w:left="720" w:hanging="720"/>
        <w:jc w:val="both"/>
        <w:rPr>
          <w:rFonts w:ascii="Arial" w:hAnsi="Arial" w:cs="Arial"/>
          <w:noProof/>
          <w:sz w:val="24"/>
          <w:szCs w:val="24"/>
        </w:rPr>
      </w:pPr>
      <w:r w:rsidRPr="006E319F">
        <w:rPr>
          <w:rFonts w:ascii="Arial" w:hAnsi="Arial" w:cs="Arial"/>
          <w:noProof/>
          <w:sz w:val="24"/>
          <w:szCs w:val="24"/>
        </w:rPr>
        <w:t xml:space="preserve">Nozdreva, R., &amp; Churakova, A. (2021). ‘Digital tools in empirical marketing strategies of global hotel companies.’ In </w:t>
      </w:r>
      <w:r w:rsidRPr="006E319F">
        <w:rPr>
          <w:rFonts w:ascii="Arial" w:hAnsi="Arial" w:cs="Arial"/>
          <w:i/>
          <w:noProof/>
          <w:sz w:val="24"/>
          <w:szCs w:val="24"/>
        </w:rPr>
        <w:t>Digital Strategies in a Global Market</w:t>
      </w:r>
      <w:r w:rsidRPr="006E319F">
        <w:rPr>
          <w:rFonts w:ascii="Arial" w:hAnsi="Arial" w:cs="Arial"/>
          <w:noProof/>
          <w:sz w:val="24"/>
          <w:szCs w:val="24"/>
        </w:rPr>
        <w:t xml:space="preserve">, pp. 213-227. Available at: </w:t>
      </w:r>
      <w:hyperlink r:id="rId17" w:history="1">
        <w:r w:rsidRPr="006E319F">
          <w:rPr>
            <w:rStyle w:val="Hyperlink"/>
            <w:rFonts w:ascii="Arial" w:hAnsi="Arial" w:cs="Arial"/>
            <w:noProof/>
            <w:color w:val="000000" w:themeColor="text1"/>
            <w:sz w:val="24"/>
            <w:szCs w:val="24"/>
            <w:u w:val="none"/>
          </w:rPr>
          <w:t>https://doi.org/10.1007/978-3-030-58267-8_16</w:t>
        </w:r>
      </w:hyperlink>
      <w:r w:rsidRPr="006E319F">
        <w:rPr>
          <w:rFonts w:ascii="Arial" w:hAnsi="Arial" w:cs="Arial"/>
          <w:noProof/>
          <w:sz w:val="24"/>
          <w:szCs w:val="24"/>
        </w:rPr>
        <w:t xml:space="preserve"> (Accessed: 29 January 2023).</w:t>
      </w:r>
    </w:p>
    <w:p w14:paraId="66254296" w14:textId="77777777" w:rsidR="009026F7" w:rsidRPr="006E319F" w:rsidRDefault="009026F7" w:rsidP="00504DE5">
      <w:pPr>
        <w:pStyle w:val="Bibliography"/>
        <w:spacing w:line="360" w:lineRule="auto"/>
        <w:ind w:left="720" w:hanging="720"/>
        <w:jc w:val="both"/>
        <w:rPr>
          <w:rFonts w:ascii="Arial" w:hAnsi="Arial" w:cs="Arial"/>
          <w:noProof/>
          <w:sz w:val="24"/>
          <w:szCs w:val="24"/>
        </w:rPr>
      </w:pPr>
      <w:r w:rsidRPr="006E319F">
        <w:rPr>
          <w:rFonts w:ascii="Arial" w:hAnsi="Arial" w:cs="Arial"/>
          <w:noProof/>
          <w:sz w:val="24"/>
          <w:szCs w:val="24"/>
        </w:rPr>
        <w:t>Peypoch, N. (2022). ‘</w:t>
      </w:r>
      <w:r w:rsidRPr="006E319F">
        <w:rPr>
          <w:rFonts w:ascii="Arial" w:hAnsi="Arial" w:cs="Arial"/>
          <w:iCs/>
          <w:noProof/>
          <w:sz w:val="24"/>
          <w:szCs w:val="24"/>
        </w:rPr>
        <w:t>Market behavior of tourism firms and its effects on the boundaries of firm.’</w:t>
      </w:r>
      <w:r w:rsidRPr="006E319F">
        <w:rPr>
          <w:rFonts w:ascii="Arial" w:hAnsi="Arial" w:cs="Arial"/>
          <w:i/>
          <w:iCs/>
          <w:noProof/>
          <w:sz w:val="24"/>
          <w:szCs w:val="24"/>
        </w:rPr>
        <w:t xml:space="preserve"> </w:t>
      </w:r>
      <w:r w:rsidRPr="006E319F">
        <w:rPr>
          <w:rFonts w:ascii="Arial" w:hAnsi="Arial" w:cs="Arial"/>
          <w:iCs/>
          <w:noProof/>
          <w:sz w:val="24"/>
          <w:szCs w:val="24"/>
        </w:rPr>
        <w:t>In</w:t>
      </w:r>
      <w:r w:rsidRPr="006E319F">
        <w:rPr>
          <w:rFonts w:ascii="Arial" w:hAnsi="Arial" w:cs="Arial"/>
          <w:i/>
          <w:iCs/>
          <w:noProof/>
          <w:sz w:val="24"/>
          <w:szCs w:val="24"/>
        </w:rPr>
        <w:t xml:space="preserve"> A Modern Guide to Tourism Economics (pp. 100-115).</w:t>
      </w:r>
      <w:r w:rsidRPr="006E319F">
        <w:rPr>
          <w:rFonts w:ascii="Arial" w:hAnsi="Arial" w:cs="Arial"/>
          <w:noProof/>
          <w:sz w:val="24"/>
          <w:szCs w:val="24"/>
        </w:rPr>
        <w:t xml:space="preserve"> Edward Elgar Publishing. Available at:</w:t>
      </w:r>
      <w:r w:rsidRPr="006E319F">
        <w:rPr>
          <w:rFonts w:ascii="Arial" w:hAnsi="Arial" w:cs="Arial"/>
          <w:noProof/>
          <w:color w:val="000000" w:themeColor="text1"/>
          <w:sz w:val="24"/>
          <w:szCs w:val="24"/>
        </w:rPr>
        <w:t xml:space="preserve"> </w:t>
      </w:r>
      <w:hyperlink r:id="rId18" w:history="1">
        <w:r w:rsidRPr="006E319F">
          <w:rPr>
            <w:rStyle w:val="Hyperlink"/>
            <w:rFonts w:ascii="Arial" w:hAnsi="Arial" w:cs="Arial"/>
            <w:noProof/>
            <w:color w:val="000000" w:themeColor="text1"/>
            <w:sz w:val="24"/>
            <w:szCs w:val="24"/>
            <w:u w:val="none"/>
          </w:rPr>
          <w:t>https://doi.org/10.4337/9781800378766.00012</w:t>
        </w:r>
      </w:hyperlink>
      <w:r w:rsidRPr="006E319F">
        <w:rPr>
          <w:rStyle w:val="Hyperlink"/>
          <w:rFonts w:ascii="Arial" w:hAnsi="Arial" w:cs="Arial"/>
          <w:noProof/>
          <w:sz w:val="24"/>
          <w:szCs w:val="24"/>
        </w:rPr>
        <w:t xml:space="preserve"> </w:t>
      </w:r>
      <w:r w:rsidRPr="006E319F">
        <w:rPr>
          <w:rFonts w:ascii="Arial" w:hAnsi="Arial" w:cs="Arial"/>
          <w:noProof/>
          <w:sz w:val="24"/>
          <w:szCs w:val="24"/>
        </w:rPr>
        <w:t>(Accessed: 29 January 2023).</w:t>
      </w:r>
    </w:p>
    <w:p w14:paraId="3E78559A" w14:textId="77777777" w:rsidR="009026F7" w:rsidRPr="006E319F" w:rsidRDefault="009026F7" w:rsidP="00504DE5">
      <w:pPr>
        <w:pStyle w:val="Bibliography"/>
        <w:spacing w:line="360" w:lineRule="auto"/>
        <w:ind w:left="720" w:hanging="720"/>
        <w:jc w:val="both"/>
        <w:rPr>
          <w:rFonts w:ascii="Arial" w:hAnsi="Arial" w:cs="Arial"/>
          <w:noProof/>
          <w:sz w:val="24"/>
          <w:szCs w:val="24"/>
        </w:rPr>
      </w:pPr>
      <w:r w:rsidRPr="006E319F">
        <w:rPr>
          <w:rFonts w:ascii="Arial" w:hAnsi="Arial" w:cs="Arial"/>
          <w:noProof/>
          <w:sz w:val="24"/>
          <w:szCs w:val="24"/>
        </w:rPr>
        <w:t xml:space="preserve">Rahimi, R., &amp; Kozak, M. (2017). ‘Impact of customer relationship management on customer satisfaction: The case of a budget hotel chain.’ </w:t>
      </w:r>
      <w:r w:rsidRPr="006E319F">
        <w:rPr>
          <w:rFonts w:ascii="Arial" w:hAnsi="Arial" w:cs="Arial"/>
          <w:i/>
          <w:iCs/>
          <w:noProof/>
          <w:sz w:val="24"/>
          <w:szCs w:val="24"/>
        </w:rPr>
        <w:t xml:space="preserve">Journal of travel &amp; tourism marketing, </w:t>
      </w:r>
      <w:r w:rsidRPr="006E319F">
        <w:rPr>
          <w:rFonts w:ascii="Arial" w:hAnsi="Arial" w:cs="Arial"/>
          <w:iCs/>
          <w:noProof/>
          <w:sz w:val="24"/>
          <w:szCs w:val="24"/>
        </w:rPr>
        <w:t>34</w:t>
      </w:r>
      <w:r w:rsidRPr="006E319F">
        <w:rPr>
          <w:rFonts w:ascii="Arial" w:hAnsi="Arial" w:cs="Arial"/>
          <w:noProof/>
          <w:sz w:val="24"/>
          <w:szCs w:val="24"/>
        </w:rPr>
        <w:t xml:space="preserve">(1), pp. 40-51. Available at: </w:t>
      </w:r>
      <w:hyperlink r:id="rId19" w:history="1">
        <w:r w:rsidRPr="006E319F">
          <w:rPr>
            <w:rStyle w:val="Hyperlink"/>
            <w:rFonts w:ascii="Arial" w:hAnsi="Arial" w:cs="Arial"/>
            <w:noProof/>
            <w:color w:val="000000" w:themeColor="text1"/>
            <w:sz w:val="24"/>
            <w:szCs w:val="24"/>
            <w:u w:val="none"/>
          </w:rPr>
          <w:t>https://doi.org/10.1080/10548408.2015.1130108</w:t>
        </w:r>
      </w:hyperlink>
      <w:r w:rsidRPr="006E319F">
        <w:rPr>
          <w:rStyle w:val="Hyperlink"/>
          <w:rFonts w:ascii="Arial" w:hAnsi="Arial" w:cs="Arial"/>
          <w:noProof/>
          <w:color w:val="000000" w:themeColor="text1"/>
          <w:sz w:val="24"/>
          <w:szCs w:val="24"/>
        </w:rPr>
        <w:t xml:space="preserve"> </w:t>
      </w:r>
      <w:r w:rsidRPr="006E319F">
        <w:rPr>
          <w:rFonts w:ascii="Arial" w:hAnsi="Arial" w:cs="Arial"/>
          <w:noProof/>
          <w:sz w:val="24"/>
          <w:szCs w:val="24"/>
        </w:rPr>
        <w:t>(Accessed: 29 January 2023).</w:t>
      </w:r>
    </w:p>
    <w:p w14:paraId="1C4D8635" w14:textId="77777777" w:rsidR="009026F7" w:rsidRPr="006E319F" w:rsidRDefault="009026F7" w:rsidP="00504DE5">
      <w:pPr>
        <w:pStyle w:val="Bibliography"/>
        <w:spacing w:line="360" w:lineRule="auto"/>
        <w:ind w:left="720" w:hanging="720"/>
        <w:jc w:val="both"/>
        <w:rPr>
          <w:rFonts w:ascii="Arial" w:hAnsi="Arial" w:cs="Arial"/>
          <w:noProof/>
          <w:sz w:val="24"/>
          <w:szCs w:val="24"/>
        </w:rPr>
      </w:pPr>
      <w:r w:rsidRPr="006E319F">
        <w:rPr>
          <w:rFonts w:ascii="Arial" w:hAnsi="Arial" w:cs="Arial"/>
          <w:noProof/>
          <w:sz w:val="24"/>
          <w:szCs w:val="24"/>
        </w:rPr>
        <w:lastRenderedPageBreak/>
        <w:t xml:space="preserve">Rudež, H. N. (2022). ‘The impact of the Covid-19 pandemic on investor sentiments: evidence from 12 selected major tourism-related companies.’ </w:t>
      </w:r>
      <w:r w:rsidRPr="006E319F">
        <w:rPr>
          <w:rFonts w:ascii="Arial" w:hAnsi="Arial" w:cs="Arial"/>
          <w:i/>
          <w:iCs/>
          <w:noProof/>
          <w:sz w:val="24"/>
          <w:szCs w:val="24"/>
        </w:rPr>
        <w:t xml:space="preserve">Managing Global Transitions, </w:t>
      </w:r>
      <w:r w:rsidRPr="006E319F">
        <w:rPr>
          <w:rFonts w:ascii="Arial" w:hAnsi="Arial" w:cs="Arial"/>
          <w:iCs/>
          <w:noProof/>
          <w:sz w:val="24"/>
          <w:szCs w:val="24"/>
        </w:rPr>
        <w:t>20</w:t>
      </w:r>
      <w:r w:rsidRPr="006E319F">
        <w:rPr>
          <w:rFonts w:ascii="Arial" w:hAnsi="Arial" w:cs="Arial"/>
          <w:noProof/>
          <w:sz w:val="24"/>
          <w:szCs w:val="24"/>
        </w:rPr>
        <w:t xml:space="preserve">(1), pp. 10431. Available at: </w:t>
      </w:r>
      <w:hyperlink r:id="rId20" w:history="1">
        <w:r w:rsidRPr="006E319F">
          <w:rPr>
            <w:rStyle w:val="Hyperlink"/>
            <w:rFonts w:ascii="Arial" w:hAnsi="Arial" w:cs="Arial"/>
            <w:noProof/>
            <w:color w:val="000000" w:themeColor="text1"/>
            <w:sz w:val="24"/>
            <w:szCs w:val="24"/>
            <w:u w:val="none"/>
          </w:rPr>
          <w:t>https://www.hippocampus.si/ISSN/1854-6935/20.43-58.pdf</w:t>
        </w:r>
      </w:hyperlink>
      <w:r w:rsidRPr="006E319F">
        <w:rPr>
          <w:rStyle w:val="Hyperlink"/>
          <w:rFonts w:ascii="Arial" w:hAnsi="Arial" w:cs="Arial"/>
          <w:noProof/>
          <w:sz w:val="24"/>
          <w:szCs w:val="24"/>
        </w:rPr>
        <w:t xml:space="preserve"> </w:t>
      </w:r>
      <w:r w:rsidRPr="006E319F">
        <w:rPr>
          <w:rFonts w:ascii="Arial" w:hAnsi="Arial" w:cs="Arial"/>
          <w:noProof/>
          <w:sz w:val="24"/>
          <w:szCs w:val="24"/>
        </w:rPr>
        <w:t>(Accessed: 29 January 2023).</w:t>
      </w:r>
    </w:p>
    <w:p w14:paraId="65227259" w14:textId="77777777" w:rsidR="009026F7" w:rsidRPr="006E319F" w:rsidRDefault="009026F7" w:rsidP="00504DE5">
      <w:pPr>
        <w:pStyle w:val="Bibliography"/>
        <w:spacing w:line="360" w:lineRule="auto"/>
        <w:ind w:left="720" w:hanging="720"/>
        <w:jc w:val="both"/>
        <w:rPr>
          <w:rFonts w:ascii="Arial" w:hAnsi="Arial" w:cs="Arial"/>
          <w:noProof/>
          <w:sz w:val="24"/>
          <w:szCs w:val="24"/>
        </w:rPr>
      </w:pPr>
      <w:r w:rsidRPr="006E319F">
        <w:rPr>
          <w:rFonts w:ascii="Arial" w:hAnsi="Arial" w:cs="Arial"/>
          <w:noProof/>
          <w:sz w:val="24"/>
          <w:szCs w:val="24"/>
        </w:rPr>
        <w:t xml:space="preserve">Sofi, M. R., Bashir, I., Parry, M. A., &amp; Dar, A. (2020). ‘The effect of customer relationship management (CRM) dimensions on hotel customer’s satisfaction in Kashmir.’ </w:t>
      </w:r>
      <w:r w:rsidRPr="006E319F">
        <w:rPr>
          <w:rFonts w:ascii="Arial" w:hAnsi="Arial" w:cs="Arial"/>
          <w:i/>
          <w:iCs/>
          <w:noProof/>
          <w:sz w:val="24"/>
          <w:szCs w:val="24"/>
        </w:rPr>
        <w:t>International Journal of Tourism Cities</w:t>
      </w:r>
      <w:r w:rsidRPr="006E319F">
        <w:rPr>
          <w:rFonts w:ascii="Arial" w:hAnsi="Arial" w:cs="Arial"/>
          <w:iCs/>
          <w:noProof/>
          <w:sz w:val="24"/>
          <w:szCs w:val="24"/>
        </w:rPr>
        <w:t>, 6</w:t>
      </w:r>
      <w:r w:rsidRPr="006E319F">
        <w:rPr>
          <w:rFonts w:ascii="Arial" w:hAnsi="Arial" w:cs="Arial"/>
          <w:noProof/>
          <w:sz w:val="24"/>
          <w:szCs w:val="24"/>
        </w:rPr>
        <w:t>(3), pp. 601-620.</w:t>
      </w:r>
      <w:r w:rsidRPr="006E319F">
        <w:rPr>
          <w:rFonts w:ascii="Arial" w:hAnsi="Arial" w:cs="Arial"/>
          <w:sz w:val="24"/>
          <w:szCs w:val="24"/>
        </w:rPr>
        <w:t xml:space="preserve"> </w:t>
      </w:r>
      <w:r w:rsidRPr="006E319F">
        <w:rPr>
          <w:rFonts w:ascii="Arial" w:hAnsi="Arial" w:cs="Arial"/>
          <w:noProof/>
          <w:sz w:val="24"/>
          <w:szCs w:val="24"/>
        </w:rPr>
        <w:t xml:space="preserve">Available at: </w:t>
      </w:r>
      <w:hyperlink r:id="rId21" w:history="1">
        <w:r w:rsidRPr="006E319F">
          <w:rPr>
            <w:rStyle w:val="Hyperlink"/>
            <w:rFonts w:ascii="Arial" w:hAnsi="Arial" w:cs="Arial"/>
            <w:noProof/>
            <w:color w:val="000000" w:themeColor="text1"/>
            <w:sz w:val="24"/>
            <w:szCs w:val="24"/>
            <w:u w:val="none"/>
          </w:rPr>
          <w:t>https://doi.org/10.1108/IJTC-06-2019-0075</w:t>
        </w:r>
      </w:hyperlink>
      <w:r w:rsidRPr="006E319F">
        <w:rPr>
          <w:rFonts w:ascii="Arial" w:hAnsi="Arial" w:cs="Arial"/>
          <w:noProof/>
          <w:sz w:val="24"/>
          <w:szCs w:val="24"/>
        </w:rPr>
        <w:t xml:space="preserve"> (Accessed: 29 January 2023).</w:t>
      </w:r>
    </w:p>
    <w:p w14:paraId="7589AB07" w14:textId="77777777" w:rsidR="009026F7" w:rsidRPr="006E319F" w:rsidRDefault="009026F7" w:rsidP="00504DE5">
      <w:pPr>
        <w:pStyle w:val="Bibliography"/>
        <w:spacing w:line="360" w:lineRule="auto"/>
        <w:ind w:left="720" w:hanging="720"/>
        <w:jc w:val="both"/>
        <w:rPr>
          <w:rFonts w:ascii="Arial" w:hAnsi="Arial" w:cs="Arial"/>
          <w:noProof/>
          <w:sz w:val="24"/>
          <w:szCs w:val="24"/>
        </w:rPr>
      </w:pPr>
      <w:r w:rsidRPr="006E319F">
        <w:rPr>
          <w:rFonts w:ascii="Arial" w:hAnsi="Arial" w:cs="Arial"/>
          <w:noProof/>
          <w:sz w:val="24"/>
          <w:szCs w:val="24"/>
        </w:rPr>
        <w:t xml:space="preserve">Wang, Z., Wang, Y., Liu, Z., Cheng, J., &amp; Chen, X. (2021). ‘Strategic management of product recovery and its environmental impact.’ </w:t>
      </w:r>
      <w:r w:rsidRPr="006E319F">
        <w:rPr>
          <w:rFonts w:ascii="Arial" w:hAnsi="Arial" w:cs="Arial"/>
          <w:i/>
          <w:iCs/>
          <w:noProof/>
          <w:sz w:val="24"/>
          <w:szCs w:val="24"/>
        </w:rPr>
        <w:t xml:space="preserve">International Journal of Production Research, </w:t>
      </w:r>
      <w:r w:rsidRPr="006E319F">
        <w:rPr>
          <w:rFonts w:ascii="Arial" w:hAnsi="Arial" w:cs="Arial"/>
          <w:iCs/>
          <w:noProof/>
          <w:sz w:val="24"/>
          <w:szCs w:val="24"/>
        </w:rPr>
        <w:t>59</w:t>
      </w:r>
      <w:r w:rsidRPr="006E319F">
        <w:rPr>
          <w:rFonts w:ascii="Arial" w:hAnsi="Arial" w:cs="Arial"/>
          <w:noProof/>
          <w:sz w:val="24"/>
          <w:szCs w:val="24"/>
        </w:rPr>
        <w:t xml:space="preserve">(20), pp. 6104-6124. Available at: </w:t>
      </w:r>
      <w:hyperlink r:id="rId22" w:history="1">
        <w:r w:rsidRPr="006E319F">
          <w:rPr>
            <w:rStyle w:val="Hyperlink"/>
            <w:rFonts w:ascii="Arial" w:hAnsi="Arial" w:cs="Arial"/>
            <w:noProof/>
            <w:color w:val="000000" w:themeColor="text1"/>
            <w:sz w:val="24"/>
            <w:szCs w:val="24"/>
            <w:u w:val="none"/>
          </w:rPr>
          <w:t>https://doi.org/10.1080/00207543.2020.1804637</w:t>
        </w:r>
      </w:hyperlink>
      <w:r w:rsidRPr="006E319F">
        <w:rPr>
          <w:rStyle w:val="Hyperlink"/>
          <w:rFonts w:ascii="Arial" w:hAnsi="Arial" w:cs="Arial"/>
          <w:noProof/>
          <w:color w:val="000000" w:themeColor="text1"/>
          <w:sz w:val="24"/>
          <w:szCs w:val="24"/>
        </w:rPr>
        <w:t xml:space="preserve"> </w:t>
      </w:r>
      <w:r w:rsidRPr="006E319F">
        <w:rPr>
          <w:rFonts w:ascii="Arial" w:hAnsi="Arial" w:cs="Arial"/>
          <w:noProof/>
          <w:sz w:val="24"/>
          <w:szCs w:val="24"/>
        </w:rPr>
        <w:t>(Accessed: 29 January 2023).</w:t>
      </w:r>
    </w:p>
    <w:p w14:paraId="046826E6" w14:textId="7DC503C5" w:rsidR="009026F7" w:rsidRPr="006E319F" w:rsidRDefault="009026F7" w:rsidP="009C75A8">
      <w:pPr>
        <w:pStyle w:val="Bibliography"/>
        <w:spacing w:line="360" w:lineRule="auto"/>
        <w:ind w:left="720" w:hanging="720"/>
        <w:jc w:val="both"/>
        <w:rPr>
          <w:rStyle w:val="Hyperlink"/>
          <w:rFonts w:ascii="Arial" w:hAnsi="Arial" w:cs="Arial"/>
          <w:noProof/>
          <w:color w:val="auto"/>
          <w:sz w:val="24"/>
          <w:szCs w:val="24"/>
          <w:u w:val="none"/>
        </w:rPr>
      </w:pPr>
      <w:r w:rsidRPr="006E319F">
        <w:rPr>
          <w:rFonts w:ascii="Arial" w:hAnsi="Arial" w:cs="Arial"/>
          <w:noProof/>
          <w:sz w:val="24"/>
          <w:szCs w:val="24"/>
        </w:rPr>
        <w:t xml:space="preserve">Yilmazel, S. E., &amp; Özer, L. (2022). ‘Brand portfolio strategies effects on consumers’ attitude.” </w:t>
      </w:r>
      <w:r w:rsidRPr="006E319F">
        <w:rPr>
          <w:rFonts w:ascii="Arial" w:hAnsi="Arial" w:cs="Arial"/>
          <w:i/>
          <w:iCs/>
          <w:noProof/>
          <w:sz w:val="24"/>
          <w:szCs w:val="24"/>
        </w:rPr>
        <w:t xml:space="preserve">Marketing Intelligence &amp; Planning, </w:t>
      </w:r>
      <w:r w:rsidRPr="006E319F">
        <w:rPr>
          <w:rFonts w:ascii="Arial" w:hAnsi="Arial" w:cs="Arial"/>
          <w:iCs/>
          <w:noProof/>
          <w:sz w:val="24"/>
          <w:szCs w:val="24"/>
        </w:rPr>
        <w:t>40</w:t>
      </w:r>
      <w:r w:rsidRPr="006E319F">
        <w:rPr>
          <w:rFonts w:ascii="Arial" w:hAnsi="Arial" w:cs="Arial"/>
          <w:noProof/>
          <w:sz w:val="24"/>
          <w:szCs w:val="24"/>
        </w:rPr>
        <w:t>(1), pp. 138-152. Available at:</w:t>
      </w:r>
      <w:r w:rsidR="009C75A8" w:rsidRPr="006E319F">
        <w:rPr>
          <w:rFonts w:ascii="Arial" w:hAnsi="Arial" w:cs="Arial"/>
          <w:noProof/>
          <w:sz w:val="24"/>
          <w:szCs w:val="24"/>
        </w:rPr>
        <w:t xml:space="preserve"> </w:t>
      </w:r>
      <w:r w:rsidRPr="006E319F">
        <w:rPr>
          <w:rStyle w:val="Hyperlink"/>
          <w:rFonts w:ascii="Arial" w:hAnsi="Arial" w:cs="Arial"/>
          <w:noProof/>
          <w:color w:val="000000" w:themeColor="text1"/>
          <w:sz w:val="24"/>
          <w:szCs w:val="24"/>
          <w:u w:val="none"/>
        </w:rPr>
        <w:t>https://doi.org/10.1108/MIP-06-2021-0204 (Accessed: 29 January 2023).</w:t>
      </w:r>
    </w:p>
    <w:p w14:paraId="65A7E5E4" w14:textId="2AA8FBF4" w:rsidR="009026F7" w:rsidRPr="006E319F" w:rsidRDefault="009026F7" w:rsidP="009026F7">
      <w:pPr>
        <w:spacing w:line="480" w:lineRule="auto"/>
        <w:ind w:firstLine="720"/>
        <w:rPr>
          <w:rFonts w:ascii="Arial" w:hAnsi="Arial" w:cs="Arial"/>
          <w:sz w:val="24"/>
          <w:szCs w:val="24"/>
        </w:rPr>
      </w:pPr>
    </w:p>
    <w:p w14:paraId="6EE7AF7E" w14:textId="5831BB75" w:rsidR="009026F7" w:rsidRPr="00D9661F" w:rsidRDefault="009026F7" w:rsidP="009026F7">
      <w:pPr>
        <w:spacing w:line="480" w:lineRule="auto"/>
        <w:ind w:firstLine="720"/>
        <w:rPr>
          <w:rFonts w:ascii="Times New Roman" w:hAnsi="Times New Roman" w:cs="Times New Roman"/>
          <w:sz w:val="24"/>
          <w:szCs w:val="24"/>
        </w:rPr>
      </w:pPr>
    </w:p>
    <w:p w14:paraId="6D2A5C6D" w14:textId="77777777" w:rsidR="009026F7" w:rsidRPr="00D9661F" w:rsidRDefault="009026F7" w:rsidP="009026F7">
      <w:pPr>
        <w:spacing w:line="480" w:lineRule="auto"/>
        <w:ind w:firstLine="720"/>
        <w:rPr>
          <w:rFonts w:ascii="Times New Roman" w:hAnsi="Times New Roman" w:cs="Times New Roman"/>
          <w:sz w:val="24"/>
          <w:szCs w:val="24"/>
        </w:rPr>
      </w:pPr>
    </w:p>
    <w:p w14:paraId="593DDC6E" w14:textId="77777777" w:rsidR="009026F7" w:rsidRDefault="009026F7"/>
    <w:sectPr w:rsidR="009026F7" w:rsidSect="00CF5D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DQ3NDMzNjAxMTM0MjdV0lEKTi0uzszPAykwqgUAQFRv8CwAAAA="/>
  </w:docVars>
  <w:rsids>
    <w:rsidRoot w:val="009026F7"/>
    <w:rsid w:val="002671A3"/>
    <w:rsid w:val="00487F54"/>
    <w:rsid w:val="00504DE5"/>
    <w:rsid w:val="006E319F"/>
    <w:rsid w:val="009026F7"/>
    <w:rsid w:val="009C75A8"/>
    <w:rsid w:val="00BC30DE"/>
    <w:rsid w:val="00CF5DE3"/>
    <w:rsid w:val="00E1674B"/>
    <w:rsid w:val="00EB2A5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98C96"/>
  <w15:chartTrackingRefBased/>
  <w15:docId w15:val="{16E38004-940D-441D-8A92-F247AEBED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6F7"/>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9026F7"/>
  </w:style>
  <w:style w:type="character" w:styleId="Hyperlink">
    <w:name w:val="Hyperlink"/>
    <w:basedOn w:val="DefaultParagraphFont"/>
    <w:uiPriority w:val="99"/>
    <w:unhideWhenUsed/>
    <w:rsid w:val="009026F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130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webSettings" Target="webSettings.xml"/><Relationship Id="rId21" Type="http://schemas.openxmlformats.org/officeDocument/2006/relationships/hyperlink" Target="about:blank" TargetMode="Externa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settings" Target="settings.xml"/><Relationship Id="rId16" Type="http://schemas.openxmlformats.org/officeDocument/2006/relationships/hyperlink" Target="about:blank" TargetMode="External"/><Relationship Id="rId20" Type="http://schemas.openxmlformats.org/officeDocument/2006/relationships/hyperlink" Target="about:blank" TargetMode="External"/><Relationship Id="rId1" Type="http://schemas.openxmlformats.org/officeDocument/2006/relationships/styles" Target="styles.xml"/><Relationship Id="rId6" Type="http://schemas.openxmlformats.org/officeDocument/2006/relationships/hyperlink" Target="about:blank" TargetMode="External"/><Relationship Id="rId11" Type="http://schemas.openxmlformats.org/officeDocument/2006/relationships/hyperlink" Target="about:blank" TargetMode="External"/><Relationship Id="rId24" Type="http://schemas.openxmlformats.org/officeDocument/2006/relationships/theme" Target="theme/theme1.xml"/><Relationship Id="rId5" Type="http://schemas.openxmlformats.org/officeDocument/2006/relationships/hyperlink" Target="about:blank" TargetMode="External"/><Relationship Id="rId15" Type="http://schemas.openxmlformats.org/officeDocument/2006/relationships/hyperlink" Target="about:blank" TargetMode="External"/><Relationship Id="rId23" Type="http://schemas.openxmlformats.org/officeDocument/2006/relationships/fontTable" Target="fontTable.xm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hyperlink" Target="about:blank" TargetMode="Externa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10</Pages>
  <Words>2960</Words>
  <Characters>16877</Characters>
  <Application>Microsoft Office Word</Application>
  <DocSecurity>0</DocSecurity>
  <Lines>140</Lines>
  <Paragraphs>39</Paragraphs>
  <ScaleCrop>false</ScaleCrop>
  <Company/>
  <LinksUpToDate>false</LinksUpToDate>
  <CharactersWithSpaces>19798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marius</dc:creator>
  <cp:keywords/>
  <dc:description/>
  <cp:lastModifiedBy>marius marius</cp:lastModifiedBy>
  <cp:revision>8</cp:revision>
  <dcterms:created xsi:type="dcterms:W3CDTF">2023-02-01T09:17:00Z</dcterms:created>
  <dcterms:modified xsi:type="dcterms:W3CDTF">2023-02-01T09:54:00Z</dcterms:modified>
</cp:coreProperties>
</file>