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865DF" w14:textId="77777777" w:rsidR="00555ADD" w:rsidRPr="00555ADD" w:rsidRDefault="00555ADD" w:rsidP="00555ADD">
      <w:r w:rsidRPr="00555ADD">
        <w:t>The Concept of Holistic Child Development</w:t>
      </w:r>
    </w:p>
    <w:p w14:paraId="29B8F148" w14:textId="77777777" w:rsidR="00555ADD" w:rsidRPr="00555ADD" w:rsidRDefault="00555ADD" w:rsidP="00555ADD">
      <w:r w:rsidRPr="00555ADD">
        <w:t>Introduction</w:t>
      </w:r>
      <w:r w:rsidRPr="00555ADD">
        <w:br/>
        <w:t xml:space="preserve">This essay will define the concept of holistic child development and explore three key areas: relationships, safety, and play, and how they contribute to the child’s overall growth, linking them to Maslow’s Hierarchy of Needs. The word 'concept' is defined </w:t>
      </w:r>
      <w:r w:rsidRPr="00555ADD">
        <w:rPr>
          <w:b/>
          <w:bCs/>
        </w:rPr>
        <w:t>as “an idea, theory, etc. about a particular subject” (Cambridge Dictionary, 2019).</w:t>
      </w:r>
      <w:r w:rsidRPr="00555ADD">
        <w:t xml:space="preserve"> The concept of holistic development must be understood in the context of early years education and care. According to Lindon and Brodie (2016), children naturally use all areas of development together. For example, when children explore a forest school, they engage in a variety of skills that support their overall development. Physically, they move and explore the environment; socially, they interact with others; emotionally, they build confidence; and cognitively, they solve problems. This combination of skills aids their overall holistic development. David et al. (2003), cited in Brodie (2018), agree that children’s development is interconnected across all areas, and they develop and learn holistically.</w:t>
      </w:r>
    </w:p>
    <w:p w14:paraId="370D25C2" w14:textId="77777777" w:rsidR="00555ADD" w:rsidRPr="00555ADD" w:rsidRDefault="00555ADD" w:rsidP="00555ADD"/>
    <w:p w14:paraId="0E6E4BB6" w14:textId="77777777" w:rsidR="00555ADD" w:rsidRPr="00555ADD" w:rsidRDefault="00555ADD" w:rsidP="00555ADD">
      <w:r w:rsidRPr="00555ADD">
        <w:t>Relationships</w:t>
      </w:r>
      <w:r w:rsidRPr="00555ADD">
        <w:br/>
        <w:t>In the concept of holistic development, consideration must be given to how relationships play a key role in a child’s overall growth. According to Bowlby’s (1969) attachment theory, children who receive support and care from their parents by building trust and confidence are better equipped to explore their environment. Bowlby (1969) adds that these early positive relationship experiences develop children’s confidence and resilience, which improves their ability to handle challenges.</w:t>
      </w:r>
    </w:p>
    <w:p w14:paraId="385B3C7D" w14:textId="77777777" w:rsidR="00555ADD" w:rsidRPr="00555ADD" w:rsidRDefault="00555ADD" w:rsidP="00555ADD">
      <w:r w:rsidRPr="00555ADD">
        <w:t>In practice, children are given opportunities to interact through circle time discussions, small group tasks, and access to the role-play area, all of which build on their physical, social, emotional, and cognitive development. Practitioners encourage children to build on their social interaction during playtime, modelling positive interaction such as sharing and encouraging each other through praise, as well as showing empathy when a child is upset and supporting them. Trust and confidence are developed through consistent support and positive reinforcement, allowing children to feel confident and secure as they learn.</w:t>
      </w:r>
    </w:p>
    <w:p w14:paraId="1F2C6A2B" w14:textId="77777777" w:rsidR="00555ADD" w:rsidRPr="00555ADD" w:rsidRDefault="00555ADD" w:rsidP="00555ADD">
      <w:r w:rsidRPr="00555ADD">
        <w:t>This approach links to Maslow’s Hierarchy of Needs, as safety, belonging, and esteem provide the foundation for social, emotional, and cognitive development, supporting their holistic development to reach self-actualisation—the ability to problem-solve and reach their potential. In contrast, practitioners must understand that negative or inconsistent interaction can negatively impact relationships. According to Weinberg (2012), when an adult does not understand a child’s needs, it disrupts their desire for connection. Undesirable behaviours, such as attention-seeking, may occur when a child is trying to gain attention. This links to Maslow’s Hierarchy of Needs third layer for connection and belonging. Children who do not form positive relationships can become stuck at this stage, as their need for connection is unmet, which can negatively impact their holistic development.</w:t>
      </w:r>
    </w:p>
    <w:p w14:paraId="05F1B689" w14:textId="77777777" w:rsidR="00555ADD" w:rsidRPr="00555ADD" w:rsidRDefault="00555ADD" w:rsidP="00555ADD"/>
    <w:p w14:paraId="24F4611D" w14:textId="77777777" w:rsidR="00555ADD" w:rsidRPr="00555ADD" w:rsidRDefault="00555ADD" w:rsidP="00555ADD">
      <w:r w:rsidRPr="00555ADD">
        <w:t>Safety</w:t>
      </w:r>
      <w:r w:rsidRPr="00555ADD">
        <w:br/>
        <w:t xml:space="preserve">In addition to relationships, emphasis must be given to safety within holistic development. According to McMahon and Dyer (2018), practitioners have a duty to safeguard children, and this should be central to their approach. Vain (2023) points out that a safe environment is </w:t>
      </w:r>
      <w:r w:rsidRPr="00555ADD">
        <w:lastRenderedPageBreak/>
        <w:t>important for children’s brain development as it supports their social and cognitive skills and keeps them physically and emotionally safe.</w:t>
      </w:r>
    </w:p>
    <w:p w14:paraId="4E3E69FB" w14:textId="77777777" w:rsidR="00555ADD" w:rsidRPr="00555ADD" w:rsidRDefault="00555ADD" w:rsidP="00555ADD">
      <w:r w:rsidRPr="00555ADD">
        <w:t>In practice, to keep children safe, the environment is secured with gates and lock systems to protect against outside threats. Risk assessments are conducted to identify and reduce potential hazards. Additionally, adult supervision ensures safe interactions amongst children, while safeguarding procedures are in place to identify and report any concerns. Furthermore, predictable routines help a child feel secure, reducing anxiety and promoting positive behaviour.</w:t>
      </w:r>
    </w:p>
    <w:p w14:paraId="4B7490DC" w14:textId="77777777" w:rsidR="00555ADD" w:rsidRPr="00555ADD" w:rsidRDefault="00555ADD" w:rsidP="00555ADD">
      <w:r w:rsidRPr="00555ADD">
        <w:t>In contrast, while a secure environment supports a child’s holistic development, the situation may be different in an unsafe environment. According to Weinberg (2012), when a child’s life is unstable due to family issues like conflict or violence, the focus is solely on feeling safe, impacting their holistic development. Rankins (2019) states that Bowlby called this an ‘insecure base,’ which can affect how the brain develops and disrupt new connections in the brain from being formed.</w:t>
      </w:r>
    </w:p>
    <w:p w14:paraId="51E6171F" w14:textId="77777777" w:rsidR="00555ADD" w:rsidRPr="00555ADD" w:rsidRDefault="00555ADD" w:rsidP="00555ADD">
      <w:r w:rsidRPr="00555ADD">
        <w:t>In practice, supporting the child using a trauma-informed approach means creating a secure base to help build relationships. The Office for Health Improvement and Disparities (2022) states trauma-informed approaches help to reduce the negative effects of traumatic experiences and support both mental and physical health. In Maslow’s first layer of hierarchy, health is a key part of a basic need. By applying the trauma-informed approach, well-being is supported, building a foundation to grow and move forward in other areas that contribute to their holistic development.</w:t>
      </w:r>
    </w:p>
    <w:p w14:paraId="0311D9E1" w14:textId="77777777" w:rsidR="00555ADD" w:rsidRPr="00555ADD" w:rsidRDefault="00555ADD" w:rsidP="00555ADD"/>
    <w:p w14:paraId="5EE04981" w14:textId="77777777" w:rsidR="00555ADD" w:rsidRPr="00555ADD" w:rsidRDefault="00555ADD" w:rsidP="00555ADD">
      <w:r w:rsidRPr="00555ADD">
        <w:t>Play</w:t>
      </w:r>
      <w:r w:rsidRPr="00555ADD">
        <w:br/>
        <w:t xml:space="preserve">Finally, according to </w:t>
      </w:r>
      <w:proofErr w:type="spellStart"/>
      <w:r w:rsidRPr="00555ADD">
        <w:t>Nijhof</w:t>
      </w:r>
      <w:proofErr w:type="spellEnd"/>
      <w:r w:rsidRPr="00555ADD">
        <w:t xml:space="preserve"> et al. (2018), play is an important part of supporting children’s holistic development and is crucial for their overall healthy growth. “Froebel described play as the highest expression of human development in childhood, for it alone is the free expression of what is in the child’s soul” (Stella and Powell, 2020, p.3). The Welsh Government (2022) adds that play experiences should be engaging, incorporate children’s preferences and interests, and support their holistic development.</w:t>
      </w:r>
    </w:p>
    <w:p w14:paraId="5D70BF9E" w14:textId="77777777" w:rsidR="00555ADD" w:rsidRPr="00555ADD" w:rsidRDefault="00555ADD" w:rsidP="00555ADD">
      <w:r w:rsidRPr="00555ADD">
        <w:t>In practice, a variety of choices are provided through continuous provision, and children’s play is observed to identify their interests and level of play or play schemas. Play schemas are repetitive actions seen in children’s play, and these actions help support children’s cognitive development (Louis, 2016). Adult observation can aid future planning by identifying gaps to enhance continuous provision to scaffold learning and support holistic development.</w:t>
      </w:r>
    </w:p>
    <w:p w14:paraId="4973F481" w14:textId="633EFAA7" w:rsidR="00555ADD" w:rsidRPr="00555ADD" w:rsidRDefault="00555ADD" w:rsidP="00555ADD">
      <w:r w:rsidRPr="00555ADD">
        <w:t>According to Alghamdi (2024), Vygotsky’s Zone of Proximal Development focuses on helping children build on previous learning, while gradually moving from guided to independent learning. In early years specialist settings, this involves</w:t>
      </w:r>
      <w:r w:rsidR="00F223AE">
        <w:t xml:space="preserve"> </w:t>
      </w:r>
      <w:r w:rsidRPr="00555ADD">
        <w:t>offering enough help, such as demonstrations, to bridge a gap and gradually reducing support as children gain confidence and can complete tasks independently. However, while prompting children and bridging gaps can support their holistic development, it is important to consider that not all children will be ready to engage in new ideas.</w:t>
      </w:r>
    </w:p>
    <w:p w14:paraId="0077C61E" w14:textId="77777777" w:rsidR="00555ADD" w:rsidRPr="00555ADD" w:rsidRDefault="00555ADD" w:rsidP="00555ADD">
      <w:r w:rsidRPr="00555ADD">
        <w:lastRenderedPageBreak/>
        <w:t>In this context, Maslow’s Hierarchy of Needs must be considered. According to Capes (2024), for children to thrive in their learning, their fundamental needs must be met. In practice, to support children’s holistic development, practitioners ensure children’s basic needs are met, such as providing food, safety, showing empathy, praising effort, and creating a nurturing environment where children feel safe and ready to learn, working toward Maslow’s self-actualisation.</w:t>
      </w:r>
    </w:p>
    <w:p w14:paraId="0DF82ACB" w14:textId="77777777" w:rsidR="00555ADD" w:rsidRPr="00555ADD" w:rsidRDefault="00555ADD" w:rsidP="00555ADD"/>
    <w:p w14:paraId="048E6293" w14:textId="77777777" w:rsidR="00555ADD" w:rsidRPr="00555ADD" w:rsidRDefault="00555ADD" w:rsidP="00555ADD">
      <w:r w:rsidRPr="00555ADD">
        <w:t>Conclusion</w:t>
      </w:r>
      <w:r w:rsidRPr="00555ADD">
        <w:br/>
        <w:t>To conclude, holistic development requires positive relationships, safety, and play, which are all essential for overall growth. By linking them to Maslow’s Hierarchy of Needs, meeting basic needs gives children the foundation to grow and reach their potential.</w:t>
      </w:r>
    </w:p>
    <w:p w14:paraId="676351E0" w14:textId="77777777" w:rsidR="004C486B" w:rsidRDefault="004C486B"/>
    <w:sectPr w:rsidR="004C48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ADD"/>
    <w:rsid w:val="004C486B"/>
    <w:rsid w:val="00555ADD"/>
    <w:rsid w:val="00754BC4"/>
    <w:rsid w:val="00DE6C4F"/>
    <w:rsid w:val="00F22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0939"/>
  <w15:chartTrackingRefBased/>
  <w15:docId w15:val="{AF09411B-C3DD-4010-925A-7FB397CE9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A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5A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5A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5A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5A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5A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A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A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A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A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5A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A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A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A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A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A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A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ADD"/>
    <w:rPr>
      <w:rFonts w:eastAsiaTheme="majorEastAsia" w:cstheme="majorBidi"/>
      <w:color w:val="272727" w:themeColor="text1" w:themeTint="D8"/>
    </w:rPr>
  </w:style>
  <w:style w:type="paragraph" w:styleId="Title">
    <w:name w:val="Title"/>
    <w:basedOn w:val="Normal"/>
    <w:next w:val="Normal"/>
    <w:link w:val="TitleChar"/>
    <w:uiPriority w:val="10"/>
    <w:qFormat/>
    <w:rsid w:val="00555A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A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A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A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ADD"/>
    <w:pPr>
      <w:spacing w:before="160"/>
      <w:jc w:val="center"/>
    </w:pPr>
    <w:rPr>
      <w:i/>
      <w:iCs/>
      <w:color w:val="404040" w:themeColor="text1" w:themeTint="BF"/>
    </w:rPr>
  </w:style>
  <w:style w:type="character" w:customStyle="1" w:styleId="QuoteChar">
    <w:name w:val="Quote Char"/>
    <w:basedOn w:val="DefaultParagraphFont"/>
    <w:link w:val="Quote"/>
    <w:uiPriority w:val="29"/>
    <w:rsid w:val="00555ADD"/>
    <w:rPr>
      <w:i/>
      <w:iCs/>
      <w:color w:val="404040" w:themeColor="text1" w:themeTint="BF"/>
    </w:rPr>
  </w:style>
  <w:style w:type="paragraph" w:styleId="ListParagraph">
    <w:name w:val="List Paragraph"/>
    <w:basedOn w:val="Normal"/>
    <w:uiPriority w:val="34"/>
    <w:qFormat/>
    <w:rsid w:val="00555ADD"/>
    <w:pPr>
      <w:ind w:left="720"/>
      <w:contextualSpacing/>
    </w:pPr>
  </w:style>
  <w:style w:type="character" w:styleId="IntenseEmphasis">
    <w:name w:val="Intense Emphasis"/>
    <w:basedOn w:val="DefaultParagraphFont"/>
    <w:uiPriority w:val="21"/>
    <w:qFormat/>
    <w:rsid w:val="00555ADD"/>
    <w:rPr>
      <w:i/>
      <w:iCs/>
      <w:color w:val="0F4761" w:themeColor="accent1" w:themeShade="BF"/>
    </w:rPr>
  </w:style>
  <w:style w:type="paragraph" w:styleId="IntenseQuote">
    <w:name w:val="Intense Quote"/>
    <w:basedOn w:val="Normal"/>
    <w:next w:val="Normal"/>
    <w:link w:val="IntenseQuoteChar"/>
    <w:uiPriority w:val="30"/>
    <w:qFormat/>
    <w:rsid w:val="00555A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ADD"/>
    <w:rPr>
      <w:i/>
      <w:iCs/>
      <w:color w:val="0F4761" w:themeColor="accent1" w:themeShade="BF"/>
    </w:rPr>
  </w:style>
  <w:style w:type="character" w:styleId="IntenseReference">
    <w:name w:val="Intense Reference"/>
    <w:basedOn w:val="DefaultParagraphFont"/>
    <w:uiPriority w:val="32"/>
    <w:qFormat/>
    <w:rsid w:val="00555A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935149">
      <w:bodyDiv w:val="1"/>
      <w:marLeft w:val="0"/>
      <w:marRight w:val="0"/>
      <w:marTop w:val="0"/>
      <w:marBottom w:val="0"/>
      <w:divBdr>
        <w:top w:val="none" w:sz="0" w:space="0" w:color="auto"/>
        <w:left w:val="none" w:sz="0" w:space="0" w:color="auto"/>
        <w:bottom w:val="none" w:sz="0" w:space="0" w:color="auto"/>
        <w:right w:val="none" w:sz="0" w:space="0" w:color="auto"/>
      </w:divBdr>
      <w:divsChild>
        <w:div w:id="1169909211">
          <w:marLeft w:val="0"/>
          <w:marRight w:val="0"/>
          <w:marTop w:val="0"/>
          <w:marBottom w:val="0"/>
          <w:divBdr>
            <w:top w:val="none" w:sz="0" w:space="0" w:color="auto"/>
            <w:left w:val="none" w:sz="0" w:space="0" w:color="auto"/>
            <w:bottom w:val="none" w:sz="0" w:space="0" w:color="auto"/>
            <w:right w:val="none" w:sz="0" w:space="0" w:color="auto"/>
          </w:divBdr>
          <w:divsChild>
            <w:div w:id="1761170883">
              <w:marLeft w:val="0"/>
              <w:marRight w:val="0"/>
              <w:marTop w:val="0"/>
              <w:marBottom w:val="0"/>
              <w:divBdr>
                <w:top w:val="none" w:sz="0" w:space="0" w:color="auto"/>
                <w:left w:val="none" w:sz="0" w:space="0" w:color="auto"/>
                <w:bottom w:val="none" w:sz="0" w:space="0" w:color="auto"/>
                <w:right w:val="none" w:sz="0" w:space="0" w:color="auto"/>
              </w:divBdr>
              <w:divsChild>
                <w:div w:id="1180512632">
                  <w:marLeft w:val="0"/>
                  <w:marRight w:val="0"/>
                  <w:marTop w:val="0"/>
                  <w:marBottom w:val="0"/>
                  <w:divBdr>
                    <w:top w:val="none" w:sz="0" w:space="0" w:color="auto"/>
                    <w:left w:val="none" w:sz="0" w:space="0" w:color="auto"/>
                    <w:bottom w:val="none" w:sz="0" w:space="0" w:color="auto"/>
                    <w:right w:val="none" w:sz="0" w:space="0" w:color="auto"/>
                  </w:divBdr>
                  <w:divsChild>
                    <w:div w:id="344746744">
                      <w:marLeft w:val="0"/>
                      <w:marRight w:val="0"/>
                      <w:marTop w:val="120"/>
                      <w:marBottom w:val="0"/>
                      <w:divBdr>
                        <w:top w:val="none" w:sz="0" w:space="0" w:color="auto"/>
                        <w:left w:val="none" w:sz="0" w:space="0" w:color="auto"/>
                        <w:bottom w:val="none" w:sz="0" w:space="0" w:color="auto"/>
                        <w:right w:val="none" w:sz="0" w:space="0" w:color="auto"/>
                      </w:divBdr>
                      <w:divsChild>
                        <w:div w:id="1189759288">
                          <w:marLeft w:val="0"/>
                          <w:marRight w:val="0"/>
                          <w:marTop w:val="0"/>
                          <w:marBottom w:val="0"/>
                          <w:divBdr>
                            <w:top w:val="none" w:sz="0" w:space="0" w:color="auto"/>
                            <w:left w:val="none" w:sz="0" w:space="0" w:color="auto"/>
                            <w:bottom w:val="none" w:sz="0" w:space="0" w:color="auto"/>
                            <w:right w:val="none" w:sz="0" w:space="0" w:color="auto"/>
                          </w:divBdr>
                          <w:divsChild>
                            <w:div w:id="77505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86143">
          <w:marLeft w:val="0"/>
          <w:marRight w:val="0"/>
          <w:marTop w:val="0"/>
          <w:marBottom w:val="0"/>
          <w:divBdr>
            <w:top w:val="none" w:sz="0" w:space="0" w:color="auto"/>
            <w:left w:val="none" w:sz="0" w:space="0" w:color="auto"/>
            <w:bottom w:val="none" w:sz="0" w:space="0" w:color="auto"/>
            <w:right w:val="none" w:sz="0" w:space="0" w:color="auto"/>
          </w:divBdr>
          <w:divsChild>
            <w:div w:id="1289168934">
              <w:marLeft w:val="0"/>
              <w:marRight w:val="0"/>
              <w:marTop w:val="0"/>
              <w:marBottom w:val="0"/>
              <w:divBdr>
                <w:top w:val="none" w:sz="0" w:space="0" w:color="auto"/>
                <w:left w:val="none" w:sz="0" w:space="0" w:color="auto"/>
                <w:bottom w:val="none" w:sz="0" w:space="0" w:color="auto"/>
                <w:right w:val="none" w:sz="0" w:space="0" w:color="auto"/>
              </w:divBdr>
              <w:divsChild>
                <w:div w:id="228657258">
                  <w:marLeft w:val="0"/>
                  <w:marRight w:val="0"/>
                  <w:marTop w:val="0"/>
                  <w:marBottom w:val="0"/>
                  <w:divBdr>
                    <w:top w:val="none" w:sz="0" w:space="0" w:color="auto"/>
                    <w:left w:val="none" w:sz="0" w:space="0" w:color="auto"/>
                    <w:bottom w:val="none" w:sz="0" w:space="0" w:color="auto"/>
                    <w:right w:val="none" w:sz="0" w:space="0" w:color="auto"/>
                  </w:divBdr>
                  <w:divsChild>
                    <w:div w:id="1909991727">
                      <w:marLeft w:val="0"/>
                      <w:marRight w:val="0"/>
                      <w:marTop w:val="0"/>
                      <w:marBottom w:val="0"/>
                      <w:divBdr>
                        <w:top w:val="none" w:sz="0" w:space="0" w:color="auto"/>
                        <w:left w:val="none" w:sz="0" w:space="0" w:color="auto"/>
                        <w:bottom w:val="none" w:sz="0" w:space="0" w:color="auto"/>
                        <w:right w:val="none" w:sz="0" w:space="0" w:color="auto"/>
                      </w:divBdr>
                      <w:divsChild>
                        <w:div w:id="381177191">
                          <w:marLeft w:val="0"/>
                          <w:marRight w:val="0"/>
                          <w:marTop w:val="0"/>
                          <w:marBottom w:val="0"/>
                          <w:divBdr>
                            <w:top w:val="none" w:sz="0" w:space="0" w:color="auto"/>
                            <w:left w:val="none" w:sz="0" w:space="0" w:color="auto"/>
                            <w:bottom w:val="none" w:sz="0" w:space="0" w:color="auto"/>
                            <w:right w:val="none" w:sz="0" w:space="0" w:color="auto"/>
                          </w:divBdr>
                          <w:divsChild>
                            <w:div w:id="1959486835">
                              <w:marLeft w:val="0"/>
                              <w:marRight w:val="0"/>
                              <w:marTop w:val="0"/>
                              <w:marBottom w:val="0"/>
                              <w:divBdr>
                                <w:top w:val="none" w:sz="0" w:space="0" w:color="auto"/>
                                <w:left w:val="none" w:sz="0" w:space="0" w:color="auto"/>
                                <w:bottom w:val="none" w:sz="0" w:space="0" w:color="auto"/>
                                <w:right w:val="none" w:sz="0" w:space="0" w:color="auto"/>
                              </w:divBdr>
                              <w:divsChild>
                                <w:div w:id="598954186">
                                  <w:marLeft w:val="0"/>
                                  <w:marRight w:val="0"/>
                                  <w:marTop w:val="0"/>
                                  <w:marBottom w:val="0"/>
                                  <w:divBdr>
                                    <w:top w:val="none" w:sz="0" w:space="0" w:color="auto"/>
                                    <w:left w:val="none" w:sz="0" w:space="0" w:color="auto"/>
                                    <w:bottom w:val="none" w:sz="0" w:space="0" w:color="auto"/>
                                    <w:right w:val="none" w:sz="0" w:space="0" w:color="auto"/>
                                  </w:divBdr>
                                  <w:divsChild>
                                    <w:div w:id="42488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7040559">
      <w:bodyDiv w:val="1"/>
      <w:marLeft w:val="0"/>
      <w:marRight w:val="0"/>
      <w:marTop w:val="0"/>
      <w:marBottom w:val="0"/>
      <w:divBdr>
        <w:top w:val="none" w:sz="0" w:space="0" w:color="auto"/>
        <w:left w:val="none" w:sz="0" w:space="0" w:color="auto"/>
        <w:bottom w:val="none" w:sz="0" w:space="0" w:color="auto"/>
        <w:right w:val="none" w:sz="0" w:space="0" w:color="auto"/>
      </w:divBdr>
      <w:divsChild>
        <w:div w:id="350646259">
          <w:marLeft w:val="0"/>
          <w:marRight w:val="0"/>
          <w:marTop w:val="0"/>
          <w:marBottom w:val="0"/>
          <w:divBdr>
            <w:top w:val="none" w:sz="0" w:space="0" w:color="auto"/>
            <w:left w:val="none" w:sz="0" w:space="0" w:color="auto"/>
            <w:bottom w:val="none" w:sz="0" w:space="0" w:color="auto"/>
            <w:right w:val="none" w:sz="0" w:space="0" w:color="auto"/>
          </w:divBdr>
          <w:divsChild>
            <w:div w:id="1616985560">
              <w:marLeft w:val="0"/>
              <w:marRight w:val="0"/>
              <w:marTop w:val="0"/>
              <w:marBottom w:val="0"/>
              <w:divBdr>
                <w:top w:val="none" w:sz="0" w:space="0" w:color="auto"/>
                <w:left w:val="none" w:sz="0" w:space="0" w:color="auto"/>
                <w:bottom w:val="none" w:sz="0" w:space="0" w:color="auto"/>
                <w:right w:val="none" w:sz="0" w:space="0" w:color="auto"/>
              </w:divBdr>
              <w:divsChild>
                <w:div w:id="1724135277">
                  <w:marLeft w:val="0"/>
                  <w:marRight w:val="0"/>
                  <w:marTop w:val="0"/>
                  <w:marBottom w:val="0"/>
                  <w:divBdr>
                    <w:top w:val="none" w:sz="0" w:space="0" w:color="auto"/>
                    <w:left w:val="none" w:sz="0" w:space="0" w:color="auto"/>
                    <w:bottom w:val="none" w:sz="0" w:space="0" w:color="auto"/>
                    <w:right w:val="none" w:sz="0" w:space="0" w:color="auto"/>
                  </w:divBdr>
                  <w:divsChild>
                    <w:div w:id="278337183">
                      <w:marLeft w:val="0"/>
                      <w:marRight w:val="0"/>
                      <w:marTop w:val="120"/>
                      <w:marBottom w:val="0"/>
                      <w:divBdr>
                        <w:top w:val="none" w:sz="0" w:space="0" w:color="auto"/>
                        <w:left w:val="none" w:sz="0" w:space="0" w:color="auto"/>
                        <w:bottom w:val="none" w:sz="0" w:space="0" w:color="auto"/>
                        <w:right w:val="none" w:sz="0" w:space="0" w:color="auto"/>
                      </w:divBdr>
                      <w:divsChild>
                        <w:div w:id="1355184097">
                          <w:marLeft w:val="0"/>
                          <w:marRight w:val="0"/>
                          <w:marTop w:val="0"/>
                          <w:marBottom w:val="0"/>
                          <w:divBdr>
                            <w:top w:val="none" w:sz="0" w:space="0" w:color="auto"/>
                            <w:left w:val="none" w:sz="0" w:space="0" w:color="auto"/>
                            <w:bottom w:val="none" w:sz="0" w:space="0" w:color="auto"/>
                            <w:right w:val="none" w:sz="0" w:space="0" w:color="auto"/>
                          </w:divBdr>
                          <w:divsChild>
                            <w:div w:id="198673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1930297">
          <w:marLeft w:val="0"/>
          <w:marRight w:val="0"/>
          <w:marTop w:val="0"/>
          <w:marBottom w:val="0"/>
          <w:divBdr>
            <w:top w:val="none" w:sz="0" w:space="0" w:color="auto"/>
            <w:left w:val="none" w:sz="0" w:space="0" w:color="auto"/>
            <w:bottom w:val="none" w:sz="0" w:space="0" w:color="auto"/>
            <w:right w:val="none" w:sz="0" w:space="0" w:color="auto"/>
          </w:divBdr>
          <w:divsChild>
            <w:div w:id="245576960">
              <w:marLeft w:val="0"/>
              <w:marRight w:val="0"/>
              <w:marTop w:val="0"/>
              <w:marBottom w:val="0"/>
              <w:divBdr>
                <w:top w:val="none" w:sz="0" w:space="0" w:color="auto"/>
                <w:left w:val="none" w:sz="0" w:space="0" w:color="auto"/>
                <w:bottom w:val="none" w:sz="0" w:space="0" w:color="auto"/>
                <w:right w:val="none" w:sz="0" w:space="0" w:color="auto"/>
              </w:divBdr>
              <w:divsChild>
                <w:div w:id="1559590247">
                  <w:marLeft w:val="0"/>
                  <w:marRight w:val="0"/>
                  <w:marTop w:val="0"/>
                  <w:marBottom w:val="0"/>
                  <w:divBdr>
                    <w:top w:val="none" w:sz="0" w:space="0" w:color="auto"/>
                    <w:left w:val="none" w:sz="0" w:space="0" w:color="auto"/>
                    <w:bottom w:val="none" w:sz="0" w:space="0" w:color="auto"/>
                    <w:right w:val="none" w:sz="0" w:space="0" w:color="auto"/>
                  </w:divBdr>
                  <w:divsChild>
                    <w:div w:id="1166748410">
                      <w:marLeft w:val="0"/>
                      <w:marRight w:val="0"/>
                      <w:marTop w:val="0"/>
                      <w:marBottom w:val="0"/>
                      <w:divBdr>
                        <w:top w:val="none" w:sz="0" w:space="0" w:color="auto"/>
                        <w:left w:val="none" w:sz="0" w:space="0" w:color="auto"/>
                        <w:bottom w:val="none" w:sz="0" w:space="0" w:color="auto"/>
                        <w:right w:val="none" w:sz="0" w:space="0" w:color="auto"/>
                      </w:divBdr>
                      <w:divsChild>
                        <w:div w:id="495612508">
                          <w:marLeft w:val="0"/>
                          <w:marRight w:val="0"/>
                          <w:marTop w:val="0"/>
                          <w:marBottom w:val="0"/>
                          <w:divBdr>
                            <w:top w:val="none" w:sz="0" w:space="0" w:color="auto"/>
                            <w:left w:val="none" w:sz="0" w:space="0" w:color="auto"/>
                            <w:bottom w:val="none" w:sz="0" w:space="0" w:color="auto"/>
                            <w:right w:val="none" w:sz="0" w:space="0" w:color="auto"/>
                          </w:divBdr>
                          <w:divsChild>
                            <w:div w:id="1311904586">
                              <w:marLeft w:val="0"/>
                              <w:marRight w:val="0"/>
                              <w:marTop w:val="0"/>
                              <w:marBottom w:val="0"/>
                              <w:divBdr>
                                <w:top w:val="none" w:sz="0" w:space="0" w:color="auto"/>
                                <w:left w:val="none" w:sz="0" w:space="0" w:color="auto"/>
                                <w:bottom w:val="none" w:sz="0" w:space="0" w:color="auto"/>
                                <w:right w:val="none" w:sz="0" w:space="0" w:color="auto"/>
                              </w:divBdr>
                              <w:divsChild>
                                <w:div w:id="469127482">
                                  <w:marLeft w:val="0"/>
                                  <w:marRight w:val="0"/>
                                  <w:marTop w:val="0"/>
                                  <w:marBottom w:val="0"/>
                                  <w:divBdr>
                                    <w:top w:val="none" w:sz="0" w:space="0" w:color="auto"/>
                                    <w:left w:val="none" w:sz="0" w:space="0" w:color="auto"/>
                                    <w:bottom w:val="none" w:sz="0" w:space="0" w:color="auto"/>
                                    <w:right w:val="none" w:sz="0" w:space="0" w:color="auto"/>
                                  </w:divBdr>
                                  <w:divsChild>
                                    <w:div w:id="141316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Acklima Begum</dc:creator>
  <cp:keywords/>
  <dc:description/>
  <cp:lastModifiedBy>Acklima Begum</cp:lastModifiedBy>
  <cp:revision>1</cp:revision>
  <dcterms:created xsi:type="dcterms:W3CDTF">2024-11-26T18:49:00Z</dcterms:created>
  <dcterms:modified xsi:type="dcterms:W3CDTF">2024-11-26T19:26:00Z</dcterms:modified>
</cp:coreProperties>
</file>