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2A506F" w14:textId="0B194A4D" w:rsidR="00951DF8" w:rsidRPr="008E5815" w:rsidRDefault="00606DF1" w:rsidP="00075EC8">
      <w:pPr>
        <w:rPr>
          <w:color w:val="000000" w:themeColor="text1"/>
        </w:rPr>
      </w:pPr>
      <w:r w:rsidRPr="008E5815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4FA10944" wp14:editId="0EE0C3F9">
                <wp:simplePos x="0" y="0"/>
                <wp:positionH relativeFrom="column">
                  <wp:posOffset>-6927</wp:posOffset>
                </wp:positionH>
                <wp:positionV relativeFrom="paragraph">
                  <wp:posOffset>270164</wp:posOffset>
                </wp:positionV>
                <wp:extent cx="6109854" cy="0"/>
                <wp:effectExtent l="57150" t="38100" r="62865" b="95250"/>
                <wp:wrapNone/>
                <wp:docPr id="37167571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09854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58EC75" id="Straight Connector 1" o:spid="_x0000_s1026" style="position:absolute;z-index: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55pt,21.25pt" to="480.55pt,2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" strokecolor="#4f81bd [3204]" strokeweight="3pt">
                <v:shadow on="t" color="black" opacity="22937f" origin=",.5" offset="0,.63889mm"/>
              </v:line>
            </w:pict>
          </mc:Fallback>
        </mc:AlternateContent>
      </w:r>
    </w:p>
    <w:p w14:paraId="4D5C80C6" w14:textId="18D57223" w:rsidR="00951DF8" w:rsidRPr="008E5815" w:rsidRDefault="00951DF8" w:rsidP="00606DF1">
      <w:pPr>
        <w:jc w:val="center"/>
        <w:rPr>
          <w:color w:val="000000" w:themeColor="text1"/>
        </w:rPr>
      </w:pPr>
    </w:p>
    <w:p w14:paraId="3777BD67" w14:textId="4496C619" w:rsidR="00847277" w:rsidRPr="008E5815" w:rsidRDefault="00847277" w:rsidP="00606DF1">
      <w:pPr>
        <w:jc w:val="center"/>
        <w:rPr>
          <w:b/>
          <w:bCs/>
          <w:i/>
          <w:iCs/>
          <w:color w:val="000000" w:themeColor="text1"/>
          <w:sz w:val="32"/>
          <w:szCs w:val="32"/>
        </w:rPr>
      </w:pPr>
      <w:r w:rsidRPr="008E5815">
        <w:rPr>
          <w:b/>
          <w:bCs/>
          <w:i/>
          <w:iCs/>
          <w:color w:val="000000" w:themeColor="text1"/>
          <w:sz w:val="32"/>
          <w:szCs w:val="32"/>
        </w:rPr>
        <w:t>From Support to Protection: Evaluating Thresholds and Multi-Agency Responses in Child Safeguarding.</w:t>
      </w:r>
    </w:p>
    <w:p w14:paraId="5280BC78" w14:textId="38AE6BB2" w:rsidR="00951DF8" w:rsidRPr="008E5815" w:rsidRDefault="00847277" w:rsidP="00606DF1">
      <w:pPr>
        <w:jc w:val="center"/>
        <w:rPr>
          <w:b/>
          <w:bCs/>
          <w:color w:val="000000" w:themeColor="text1"/>
          <w:sz w:val="32"/>
          <w:szCs w:val="32"/>
        </w:rPr>
      </w:pPr>
      <w:r w:rsidRPr="008E5815">
        <w:rPr>
          <w:b/>
          <w:bCs/>
          <w:i/>
          <w:iCs/>
          <w:color w:val="000000" w:themeColor="text1"/>
          <w:sz w:val="32"/>
          <w:szCs w:val="32"/>
        </w:rPr>
        <w:t>Case Study: Child HN</w:t>
      </w:r>
    </w:p>
    <w:p w14:paraId="2FCB29AD" w14:textId="6444249E" w:rsidR="00951DF8" w:rsidRPr="008E5815" w:rsidRDefault="00606DF1" w:rsidP="00075EC8">
      <w:pPr>
        <w:rPr>
          <w:color w:val="000000" w:themeColor="text1"/>
        </w:rPr>
      </w:pPr>
      <w:r w:rsidRPr="008E5815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5B4B8854" wp14:editId="79DD6F9C">
                <wp:simplePos x="0" y="0"/>
                <wp:positionH relativeFrom="column">
                  <wp:posOffset>-40351</wp:posOffset>
                </wp:positionH>
                <wp:positionV relativeFrom="paragraph">
                  <wp:posOffset>116378</wp:posOffset>
                </wp:positionV>
                <wp:extent cx="6109854" cy="0"/>
                <wp:effectExtent l="57150" t="38100" r="62865" b="95250"/>
                <wp:wrapNone/>
                <wp:docPr id="1147871998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09854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92910B" id="Straight Connector 1" o:spid="_x0000_s1026" style="position:absolute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.2pt,9.15pt" to="477.9pt,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" strokecolor="#4f81bd [3204]" strokeweight="3pt">
                <v:shadow on="t" color="black" opacity="22937f" origin=",.5" offset="0,.63889mm"/>
              </v:line>
            </w:pict>
          </mc:Fallback>
        </mc:AlternateContent>
      </w:r>
    </w:p>
    <w:p w14:paraId="200AA2C6" w14:textId="77777777" w:rsidR="00951DF8" w:rsidRPr="008E5815" w:rsidRDefault="00951DF8" w:rsidP="00075EC8">
      <w:pPr>
        <w:rPr>
          <w:color w:val="000000" w:themeColor="text1"/>
        </w:rPr>
      </w:pPr>
    </w:p>
    <w:p w14:paraId="53134000" w14:textId="7777777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Programme: BSc Health and Social Care</w:t>
      </w:r>
    </w:p>
    <w:p w14:paraId="248B1113" w14:textId="7777777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Module Code: BMHP5021</w:t>
      </w:r>
    </w:p>
    <w:p w14:paraId="061ACDEA" w14:textId="7777777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Module Title: Protecting and Supporting Families in Health and Care</w:t>
      </w:r>
    </w:p>
    <w:p w14:paraId="4D5A2C79" w14:textId="24371763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Student Numbers: 2407750</w:t>
      </w:r>
    </w:p>
    <w:p w14:paraId="17690D14" w14:textId="6BE9DF8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 xml:space="preserve">Student Names: Mohammed Mobeen Ali </w:t>
      </w:r>
    </w:p>
    <w:p w14:paraId="34277A0E" w14:textId="7777777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Tutor: Gillian Weaver</w:t>
      </w:r>
    </w:p>
    <w:p w14:paraId="698230FE" w14:textId="7777777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Module Leader: Chloe Harries</w:t>
      </w:r>
    </w:p>
    <w:p w14:paraId="429E6C2C" w14:textId="77777777" w:rsidR="00951DF8" w:rsidRPr="008E5815" w:rsidRDefault="00951DF8" w:rsidP="00075EC8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8E5815">
        <w:rPr>
          <w:color w:val="000000" w:themeColor="text1"/>
        </w:rPr>
        <w:t>Assignment: Presentation (Round-The-Table Group Discussion)</w:t>
      </w:r>
    </w:p>
    <w:p w14:paraId="18C480DA" w14:textId="77777777" w:rsidR="00E10AC3" w:rsidRPr="008E5815" w:rsidRDefault="00E10AC3" w:rsidP="00075EC8">
      <w:pPr>
        <w:rPr>
          <w:color w:val="000000" w:themeColor="text1"/>
        </w:rPr>
      </w:pPr>
    </w:p>
    <w:p w14:paraId="326AB79E" w14:textId="67FABA28" w:rsidR="00C4677C" w:rsidRPr="008E5815" w:rsidRDefault="00951DF8" w:rsidP="00075EC8">
      <w:pPr>
        <w:rPr>
          <w:rFonts w:asciiTheme="minorHAnsi" w:hAnsiTheme="minorHAnsi" w:cstheme="minorBidi"/>
          <w:color w:val="000000" w:themeColor="text1"/>
        </w:rPr>
      </w:pPr>
      <w:r w:rsidRPr="008E5815">
        <w:rPr>
          <w:color w:val="000000" w:themeColor="text1"/>
        </w:rPr>
        <w:t>Submission Date: 23rd February 2026</w:t>
      </w:r>
      <w:r w:rsidR="00C4677C" w:rsidRPr="008E5815">
        <w:rPr>
          <w:color w:val="000000" w:themeColor="text1"/>
        </w:rPr>
        <w:br w:type="page"/>
      </w:r>
    </w:p>
    <w:p w14:paraId="527EB5B3" w14:textId="7B28C1FA" w:rsidR="00C4677C" w:rsidRPr="008E5815" w:rsidRDefault="00075EC8" w:rsidP="00075EC8">
      <w:pPr>
        <w:pStyle w:val="Heading1"/>
        <w:rPr>
          <w:color w:val="000000" w:themeColor="text1"/>
        </w:rPr>
      </w:pPr>
      <w:bookmarkStart w:id="0" w:name="_Toc222068754"/>
      <w:r w:rsidRPr="008E5815">
        <w:rPr>
          <w:color w:val="000000" w:themeColor="text1"/>
        </w:rPr>
        <w:t>References</w:t>
      </w:r>
      <w:bookmarkEnd w:id="0"/>
    </w:p>
    <w:p w14:paraId="5E93CBBA" w14:textId="511FBBE4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Bruce, M. (2019). The Voice of the Child in Child Protection: Whose Voice? </w:t>
      </w:r>
      <w:r w:rsidRPr="008E5815">
        <w:rPr>
          <w:i/>
          <w:iCs/>
          <w:color w:val="000000" w:themeColor="text1"/>
        </w:rPr>
        <w:t>Social Sciences</w:t>
      </w:r>
      <w:r w:rsidRPr="008E5815">
        <w:rPr>
          <w:color w:val="000000" w:themeColor="text1"/>
        </w:rPr>
        <w:t xml:space="preserve">, [online] 3(3), pp.514–526. </w:t>
      </w:r>
      <w:r w:rsidR="00C41828" w:rsidRPr="008E5815">
        <w:rPr>
          <w:color w:val="000000" w:themeColor="text1"/>
        </w:rPr>
        <w:t xml:space="preserve">doi: </w:t>
      </w:r>
      <w:hyperlink r:id="rId8" w:history="1">
        <w:r w:rsidR="00C41828" w:rsidRPr="008E5815">
          <w:rPr>
            <w:rStyle w:val="Hyperlink"/>
            <w:color w:val="000000" w:themeColor="text1"/>
          </w:rPr>
          <w:t>https://doi.org/10.3390/socsci3030514</w:t>
        </w:r>
      </w:hyperlink>
      <w:r w:rsidR="00C41828" w:rsidRPr="008E5815">
        <w:rPr>
          <w:color w:val="000000" w:themeColor="text1"/>
        </w:rPr>
        <w:t xml:space="preserve"> </w:t>
      </w:r>
    </w:p>
    <w:p w14:paraId="66FB96AE" w14:textId="21C01544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Höfler, M. (2018). Strengthening psychological resilience in humanitarian practice: resource-centred and risk-centred approaches. </w:t>
      </w:r>
      <w:r w:rsidRPr="008E5815">
        <w:rPr>
          <w:i/>
          <w:iCs/>
          <w:color w:val="000000" w:themeColor="text1"/>
        </w:rPr>
        <w:t>Resilience</w:t>
      </w:r>
      <w:r w:rsidRPr="008E5815">
        <w:rPr>
          <w:color w:val="000000" w:themeColor="text1"/>
        </w:rPr>
        <w:t xml:space="preserve">, 2(1), pp.32–46. </w:t>
      </w:r>
      <w:r w:rsidR="00C41828" w:rsidRPr="008E5815">
        <w:rPr>
          <w:color w:val="000000" w:themeColor="text1"/>
        </w:rPr>
        <w:t xml:space="preserve">doi: </w:t>
      </w:r>
      <w:hyperlink r:id="rId9" w:history="1">
        <w:r w:rsidR="00C41828" w:rsidRPr="008E5815">
          <w:rPr>
            <w:rStyle w:val="Hyperlink"/>
            <w:color w:val="000000" w:themeColor="text1"/>
          </w:rPr>
          <w:t>https://doi.org/10.1080/21693293.2014.878541</w:t>
        </w:r>
      </w:hyperlink>
      <w:r w:rsidR="00C41828" w:rsidRPr="008E5815">
        <w:rPr>
          <w:color w:val="000000" w:themeColor="text1"/>
        </w:rPr>
        <w:t xml:space="preserve"> </w:t>
      </w:r>
    </w:p>
    <w:p w14:paraId="5CD07191" w14:textId="6E3890B6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LOUGHRAN, G. (2018). Learning to act: The Children Act 1989. </w:t>
      </w:r>
      <w:r w:rsidRPr="008E5815">
        <w:rPr>
          <w:i/>
          <w:iCs/>
          <w:color w:val="000000" w:themeColor="text1"/>
        </w:rPr>
        <w:t>Children &amp; Society</w:t>
      </w:r>
      <w:r w:rsidRPr="008E5815">
        <w:rPr>
          <w:color w:val="000000" w:themeColor="text1"/>
        </w:rPr>
        <w:t xml:space="preserve">, 5(1), pp.11–20. </w:t>
      </w:r>
      <w:r w:rsidR="00C41828" w:rsidRPr="008E5815">
        <w:rPr>
          <w:color w:val="000000" w:themeColor="text1"/>
        </w:rPr>
        <w:t xml:space="preserve">doi: </w:t>
      </w:r>
      <w:hyperlink r:id="rId10" w:history="1">
        <w:r w:rsidR="00C41828" w:rsidRPr="008E5815">
          <w:rPr>
            <w:rStyle w:val="Hyperlink"/>
            <w:color w:val="000000" w:themeColor="text1"/>
          </w:rPr>
          <w:t>https://doi.org/10.1111/j.1099-0860.1991.tb00515.x</w:t>
        </w:r>
      </w:hyperlink>
      <w:r w:rsidR="00C41828" w:rsidRPr="008E5815">
        <w:rPr>
          <w:color w:val="000000" w:themeColor="text1"/>
        </w:rPr>
        <w:t xml:space="preserve"> </w:t>
      </w:r>
    </w:p>
    <w:p w14:paraId="43A1B825" w14:textId="40E9F19A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Madoc-Jones, I. (2018). Strengthening multi-agency public protection arrangements. </w:t>
      </w:r>
      <w:r w:rsidRPr="008E5815">
        <w:rPr>
          <w:i/>
          <w:iCs/>
          <w:color w:val="000000" w:themeColor="text1"/>
        </w:rPr>
        <w:t>Probation Journal</w:t>
      </w:r>
      <w:r w:rsidRPr="008E5815">
        <w:rPr>
          <w:color w:val="000000" w:themeColor="text1"/>
        </w:rPr>
        <w:t xml:space="preserve">, 53(2), pp.170–171. </w:t>
      </w:r>
      <w:r w:rsidR="00C41828" w:rsidRPr="008E5815">
        <w:rPr>
          <w:color w:val="000000" w:themeColor="text1"/>
        </w:rPr>
        <w:t xml:space="preserve">doi: </w:t>
      </w:r>
      <w:hyperlink r:id="rId11" w:history="1">
        <w:r w:rsidR="00C41828" w:rsidRPr="008E5815">
          <w:rPr>
            <w:rStyle w:val="Hyperlink"/>
            <w:color w:val="000000" w:themeColor="text1"/>
          </w:rPr>
          <w:t>https://doi.org/10.1177/026455050605300207</w:t>
        </w:r>
      </w:hyperlink>
      <w:r w:rsidR="00C41828" w:rsidRPr="008E5815">
        <w:rPr>
          <w:color w:val="000000" w:themeColor="text1"/>
        </w:rPr>
        <w:t xml:space="preserve"> </w:t>
      </w:r>
    </w:p>
    <w:p w14:paraId="2E222F92" w14:textId="39D5B92F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Novak, A. (2021). Child Delinquency, ACEs, and the Juvenile Justice System: Does Exposure to ACEs Affect Justice System Experiences for Children? </w:t>
      </w:r>
      <w:r w:rsidRPr="008E5815">
        <w:rPr>
          <w:i/>
          <w:iCs/>
          <w:color w:val="000000" w:themeColor="text1"/>
        </w:rPr>
        <w:t>Youth Violence and Juvenile Justice</w:t>
      </w:r>
      <w:r w:rsidRPr="008E5815">
        <w:rPr>
          <w:color w:val="000000" w:themeColor="text1"/>
        </w:rPr>
        <w:t xml:space="preserve">, 20(2), p.154120402110631. </w:t>
      </w:r>
      <w:r w:rsidR="00C41828" w:rsidRPr="008E5815">
        <w:rPr>
          <w:color w:val="000000" w:themeColor="text1"/>
        </w:rPr>
        <w:t xml:space="preserve">doi: </w:t>
      </w:r>
      <w:hyperlink r:id="rId12" w:history="1">
        <w:r w:rsidR="00C41828" w:rsidRPr="008E5815">
          <w:rPr>
            <w:rStyle w:val="Hyperlink"/>
            <w:color w:val="000000" w:themeColor="text1"/>
          </w:rPr>
          <w:t>https://doi.org/10.1177/15412040211063129</w:t>
        </w:r>
      </w:hyperlink>
      <w:r w:rsidR="00C41828" w:rsidRPr="008E5815">
        <w:rPr>
          <w:color w:val="000000" w:themeColor="text1"/>
        </w:rPr>
        <w:t xml:space="preserve"> </w:t>
      </w:r>
    </w:p>
    <w:p w14:paraId="7087BC7E" w14:textId="1A8960E5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Parkes, A. (2024). ‘The voice of the child? The child has no voice’: an Irish study exploring the voice of young children in decisions regarding contact. </w:t>
      </w:r>
      <w:r w:rsidRPr="008E5815">
        <w:rPr>
          <w:i/>
          <w:iCs/>
          <w:color w:val="000000" w:themeColor="text1"/>
        </w:rPr>
        <w:t>European Social Work Research</w:t>
      </w:r>
      <w:r w:rsidRPr="008E5815">
        <w:rPr>
          <w:color w:val="000000" w:themeColor="text1"/>
        </w:rPr>
        <w:t xml:space="preserve">, [online] pp.1–20. </w:t>
      </w:r>
      <w:r w:rsidR="00C41828" w:rsidRPr="008E5815">
        <w:rPr>
          <w:color w:val="000000" w:themeColor="text1"/>
        </w:rPr>
        <w:t xml:space="preserve">doi: </w:t>
      </w:r>
      <w:hyperlink r:id="rId13" w:history="1">
        <w:r w:rsidR="00C41828" w:rsidRPr="008E5815">
          <w:rPr>
            <w:rStyle w:val="Hyperlink"/>
            <w:color w:val="000000" w:themeColor="text1"/>
          </w:rPr>
          <w:t>https://doi.org/10.1332/27551768y2024d000000021</w:t>
        </w:r>
      </w:hyperlink>
      <w:r w:rsidR="00C41828" w:rsidRPr="008E5815">
        <w:rPr>
          <w:color w:val="000000" w:themeColor="text1"/>
        </w:rPr>
        <w:t xml:space="preserve"> </w:t>
      </w:r>
    </w:p>
    <w:p w14:paraId="2257206A" w14:textId="7A4CAF12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Smith, P. (2017). Disabled children and the Children Act 1989. </w:t>
      </w:r>
      <w:r w:rsidRPr="008E5815">
        <w:rPr>
          <w:i/>
          <w:iCs/>
          <w:color w:val="000000" w:themeColor="text1"/>
        </w:rPr>
        <w:t>Journal of Children’s Services</w:t>
      </w:r>
      <w:r w:rsidRPr="008E5815">
        <w:rPr>
          <w:color w:val="000000" w:themeColor="text1"/>
        </w:rPr>
        <w:t xml:space="preserve">, 5(3), pp.61–68. </w:t>
      </w:r>
      <w:r w:rsidR="00C41828" w:rsidRPr="008E5815">
        <w:rPr>
          <w:color w:val="000000" w:themeColor="text1"/>
        </w:rPr>
        <w:t xml:space="preserve">doi: </w:t>
      </w:r>
      <w:hyperlink r:id="rId14" w:history="1">
        <w:r w:rsidR="00C41828" w:rsidRPr="008E5815">
          <w:rPr>
            <w:rStyle w:val="Hyperlink"/>
            <w:color w:val="000000" w:themeColor="text1"/>
          </w:rPr>
          <w:t>https://doi.org/10.5042/jcs.2010.0551</w:t>
        </w:r>
      </w:hyperlink>
      <w:r w:rsidR="00C41828" w:rsidRPr="008E5815">
        <w:rPr>
          <w:color w:val="000000" w:themeColor="text1"/>
        </w:rPr>
        <w:t xml:space="preserve"> </w:t>
      </w:r>
    </w:p>
    <w:p w14:paraId="0383590E" w14:textId="2B28BA7B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Truog, R.D. (2016). Parental perspectives on end-of-life care in the pediatric intensive care unit. </w:t>
      </w:r>
      <w:r w:rsidRPr="008E5815">
        <w:rPr>
          <w:i/>
          <w:iCs/>
          <w:color w:val="000000" w:themeColor="text1"/>
        </w:rPr>
        <w:t>Critical Care Medicine</w:t>
      </w:r>
      <w:r w:rsidRPr="008E5815">
        <w:rPr>
          <w:color w:val="000000" w:themeColor="text1"/>
        </w:rPr>
        <w:t xml:space="preserve">, 30(1), pp.226–231. </w:t>
      </w:r>
      <w:r w:rsidR="00C41828" w:rsidRPr="008E5815">
        <w:rPr>
          <w:color w:val="000000" w:themeColor="text1"/>
        </w:rPr>
        <w:t xml:space="preserve">doi: </w:t>
      </w:r>
      <w:hyperlink r:id="rId15" w:history="1">
        <w:r w:rsidR="00C41828" w:rsidRPr="008E5815">
          <w:rPr>
            <w:rStyle w:val="Hyperlink"/>
            <w:color w:val="000000" w:themeColor="text1"/>
          </w:rPr>
          <w:t>https://doi.org/10.1097/00003246-200201000-00032</w:t>
        </w:r>
      </w:hyperlink>
      <w:r w:rsidR="00C41828" w:rsidRPr="008E5815">
        <w:rPr>
          <w:color w:val="000000" w:themeColor="text1"/>
        </w:rPr>
        <w:t xml:space="preserve"> </w:t>
      </w:r>
    </w:p>
    <w:p w14:paraId="60FC19B1" w14:textId="3940EB1F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Veeran, V. (2019). Working With Street Children: A Child‐centred Approach. </w:t>
      </w:r>
      <w:r w:rsidRPr="008E5815">
        <w:rPr>
          <w:i/>
          <w:iCs/>
          <w:color w:val="000000" w:themeColor="text1"/>
        </w:rPr>
        <w:t>Child Care in Practice</w:t>
      </w:r>
      <w:r w:rsidRPr="008E5815">
        <w:rPr>
          <w:color w:val="000000" w:themeColor="text1"/>
        </w:rPr>
        <w:t xml:space="preserve">, 10(4), pp.359–366. </w:t>
      </w:r>
      <w:r w:rsidR="00C41828" w:rsidRPr="008E5815">
        <w:rPr>
          <w:color w:val="000000" w:themeColor="text1"/>
        </w:rPr>
        <w:t xml:space="preserve">doi: </w:t>
      </w:r>
      <w:hyperlink r:id="rId16" w:history="1">
        <w:r w:rsidR="00C41828" w:rsidRPr="008E5815">
          <w:rPr>
            <w:rStyle w:val="Hyperlink"/>
            <w:color w:val="000000" w:themeColor="text1"/>
          </w:rPr>
          <w:t>https://doi.org/10.1080/1357527042000285538</w:t>
        </w:r>
      </w:hyperlink>
      <w:r w:rsidR="00C41828" w:rsidRPr="008E5815">
        <w:rPr>
          <w:color w:val="000000" w:themeColor="text1"/>
        </w:rPr>
        <w:t xml:space="preserve"> </w:t>
      </w:r>
    </w:p>
    <w:p w14:paraId="42729090" w14:textId="29739EB1" w:rsidR="00075EC8" w:rsidRPr="008E5815" w:rsidRDefault="00075EC8" w:rsidP="003569F5">
      <w:pPr>
        <w:jc w:val="left"/>
        <w:rPr>
          <w:color w:val="000000" w:themeColor="text1"/>
        </w:rPr>
      </w:pPr>
      <w:r w:rsidRPr="008E5815">
        <w:rPr>
          <w:color w:val="000000" w:themeColor="text1"/>
        </w:rPr>
        <w:t xml:space="preserve">White, P.C. (2020). Optimizing fluid management of diabetic ketoacidosis. </w:t>
      </w:r>
      <w:r w:rsidRPr="008E5815">
        <w:rPr>
          <w:i/>
          <w:iCs/>
          <w:color w:val="000000" w:themeColor="text1"/>
        </w:rPr>
        <w:t>Pediatric Diabetes</w:t>
      </w:r>
      <w:r w:rsidRPr="008E5815">
        <w:rPr>
          <w:color w:val="000000" w:themeColor="text1"/>
        </w:rPr>
        <w:t xml:space="preserve">, 16(5), pp.317–319. </w:t>
      </w:r>
      <w:r w:rsidR="00C41828" w:rsidRPr="008E5815">
        <w:rPr>
          <w:color w:val="000000" w:themeColor="text1"/>
        </w:rPr>
        <w:t xml:space="preserve">doi: </w:t>
      </w:r>
      <w:r w:rsidR="000C19FE" w:rsidRPr="008E5815">
        <w:rPr>
          <w:color w:val="000000" w:themeColor="text1"/>
        </w:rPr>
        <w:t xml:space="preserve"> </w:t>
      </w:r>
      <w:hyperlink r:id="rId17" w:history="1">
        <w:r w:rsidR="000C19FE" w:rsidRPr="008E5815">
          <w:rPr>
            <w:rStyle w:val="Hyperlink"/>
            <w:color w:val="000000" w:themeColor="text1"/>
          </w:rPr>
          <w:t>https://doi.org/10.1111/pedi.12274</w:t>
        </w:r>
      </w:hyperlink>
    </w:p>
    <w:p w14:paraId="3FAC7CD4" w14:textId="77777777" w:rsidR="00075EC8" w:rsidRPr="008E5815" w:rsidRDefault="00075EC8" w:rsidP="00075EC8">
      <w:pPr>
        <w:rPr>
          <w:color w:val="000000" w:themeColor="text1"/>
        </w:rPr>
      </w:pPr>
    </w:p>
    <w:p w14:paraId="620D853E" w14:textId="5B94B641" w:rsidR="00C4677C" w:rsidRPr="008E5815" w:rsidRDefault="00C4677C" w:rsidP="00075EC8">
      <w:pPr>
        <w:rPr>
          <w:color w:val="000000" w:themeColor="text1"/>
        </w:rPr>
      </w:pPr>
    </w:p>
    <w:p w14:paraId="3BBD86F9" w14:textId="77777777" w:rsidR="00C4677C" w:rsidRPr="008E5815" w:rsidRDefault="00C4677C" w:rsidP="00075EC8">
      <w:pPr>
        <w:rPr>
          <w:color w:val="000000" w:themeColor="text1"/>
        </w:rPr>
      </w:pPr>
    </w:p>
    <w:p w14:paraId="70EFC410" w14:textId="77777777" w:rsidR="00C4677C" w:rsidRPr="008E5815" w:rsidRDefault="00C4677C" w:rsidP="00075EC8">
      <w:pPr>
        <w:rPr>
          <w:color w:val="000000" w:themeColor="text1"/>
        </w:rPr>
      </w:pPr>
    </w:p>
    <w:p w14:paraId="39419033" w14:textId="77777777" w:rsidR="00C4677C" w:rsidRPr="008E5815" w:rsidRDefault="00C4677C" w:rsidP="00075EC8">
      <w:pPr>
        <w:rPr>
          <w:color w:val="000000" w:themeColor="text1"/>
        </w:rPr>
      </w:pPr>
    </w:p>
    <w:sectPr w:rsidR="00C4677C" w:rsidRPr="008E5815">
      <w:head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7168A5" w14:textId="77777777" w:rsidR="0016463C" w:rsidRPr="003C3F5E" w:rsidRDefault="0016463C" w:rsidP="00075EC8">
      <w:r w:rsidRPr="003C3F5E">
        <w:separator/>
      </w:r>
    </w:p>
  </w:endnote>
  <w:endnote w:type="continuationSeparator" w:id="0">
    <w:p w14:paraId="1F4806E9" w14:textId="77777777" w:rsidR="0016463C" w:rsidRPr="003C3F5E" w:rsidRDefault="0016463C" w:rsidP="00075EC8">
      <w:r w:rsidRPr="003C3F5E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60E02" w14:textId="77777777" w:rsidR="0016463C" w:rsidRPr="003C3F5E" w:rsidRDefault="0016463C" w:rsidP="00075EC8">
      <w:r w:rsidRPr="003C3F5E">
        <w:separator/>
      </w:r>
    </w:p>
  </w:footnote>
  <w:footnote w:type="continuationSeparator" w:id="0">
    <w:p w14:paraId="41311D35" w14:textId="77777777" w:rsidR="0016463C" w:rsidRPr="003C3F5E" w:rsidRDefault="0016463C" w:rsidP="00075EC8">
      <w:r w:rsidRPr="003C3F5E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69722238"/>
      <w:docPartObj>
        <w:docPartGallery w:val="Page Numbers (Top of Page)"/>
        <w:docPartUnique/>
      </w:docPartObj>
    </w:sdtPr>
    <w:sdtEndPr/>
    <w:sdtContent>
      <w:p w14:paraId="4EFBB049" w14:textId="77777777" w:rsidR="00C4677C" w:rsidRPr="003C3F5E" w:rsidRDefault="00C4677C" w:rsidP="00075EC8">
        <w:pPr>
          <w:pStyle w:val="Header"/>
        </w:pPr>
        <w:r w:rsidRPr="003C3F5E">
          <w:fldChar w:fldCharType="begin"/>
        </w:r>
        <w:r w:rsidRPr="003C3F5E">
          <w:instrText xml:space="preserve"> PAGE   \* MERGEFORMAT </w:instrText>
        </w:r>
        <w:r w:rsidRPr="003C3F5E">
          <w:fldChar w:fldCharType="separate"/>
        </w:r>
        <w:r w:rsidRPr="003C3F5E">
          <w:t>2</w:t>
        </w:r>
        <w:r w:rsidRPr="003C3F5E">
          <w:fldChar w:fldCharType="end"/>
        </w:r>
      </w:p>
    </w:sdtContent>
  </w:sdt>
  <w:p w14:paraId="28A6B26B" w14:textId="77777777" w:rsidR="00C4677C" w:rsidRPr="003C3F5E" w:rsidRDefault="00C4677C" w:rsidP="00075E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D34E93"/>
    <w:multiLevelType w:val="hybridMultilevel"/>
    <w:tmpl w:val="416E882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9389524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4677C"/>
    <w:rsid w:val="00075EC8"/>
    <w:rsid w:val="000C19FE"/>
    <w:rsid w:val="0016463C"/>
    <w:rsid w:val="001677BE"/>
    <w:rsid w:val="002251F5"/>
    <w:rsid w:val="002555AB"/>
    <w:rsid w:val="0026523C"/>
    <w:rsid w:val="002A04E5"/>
    <w:rsid w:val="002E68B9"/>
    <w:rsid w:val="00352189"/>
    <w:rsid w:val="003569F5"/>
    <w:rsid w:val="00391D48"/>
    <w:rsid w:val="00397012"/>
    <w:rsid w:val="003C3F5E"/>
    <w:rsid w:val="004215CE"/>
    <w:rsid w:val="004572E4"/>
    <w:rsid w:val="004929D0"/>
    <w:rsid w:val="00535FB0"/>
    <w:rsid w:val="00572B5D"/>
    <w:rsid w:val="00606DF1"/>
    <w:rsid w:val="00665DF2"/>
    <w:rsid w:val="006B1517"/>
    <w:rsid w:val="006F483E"/>
    <w:rsid w:val="00832290"/>
    <w:rsid w:val="00833C24"/>
    <w:rsid w:val="00847277"/>
    <w:rsid w:val="008E5745"/>
    <w:rsid w:val="008E5815"/>
    <w:rsid w:val="009009A9"/>
    <w:rsid w:val="00951DF8"/>
    <w:rsid w:val="00A51E4A"/>
    <w:rsid w:val="00A70C38"/>
    <w:rsid w:val="00B01995"/>
    <w:rsid w:val="00B05884"/>
    <w:rsid w:val="00BC066A"/>
    <w:rsid w:val="00BE57ED"/>
    <w:rsid w:val="00C41828"/>
    <w:rsid w:val="00C4318A"/>
    <w:rsid w:val="00C4677C"/>
    <w:rsid w:val="00D343FA"/>
    <w:rsid w:val="00D85463"/>
    <w:rsid w:val="00E10AC3"/>
    <w:rsid w:val="00E61EBF"/>
    <w:rsid w:val="00E75085"/>
    <w:rsid w:val="00F17A42"/>
    <w:rsid w:val="00F2535F"/>
    <w:rsid w:val="00F539C3"/>
    <w:rsid w:val="00F96D54"/>
    <w:rsid w:val="00FC646F"/>
    <w:rsid w:val="00FE5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44AB2"/>
  <w15:docId w15:val="{89604B46-3553-4AA9-BEB9-2E818AE801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5EC8"/>
    <w:pPr>
      <w:autoSpaceDE w:val="0"/>
      <w:autoSpaceDN w:val="0"/>
      <w:adjustRightInd w:val="0"/>
      <w:spacing w:after="0" w:line="360" w:lineRule="auto"/>
      <w:jc w:val="both"/>
    </w:pPr>
    <w:rPr>
      <w:rFonts w:ascii="Times New Roman" w:hAnsi="Times New Roman" w:cs="Times New Roman"/>
      <w:kern w:val="24"/>
      <w:sz w:val="24"/>
      <w:szCs w:val="24"/>
      <w:lang w:val="en-GB"/>
    </w:rPr>
  </w:style>
  <w:style w:type="paragraph" w:styleId="Heading1">
    <w:name w:val="heading 1"/>
    <w:basedOn w:val="Normal"/>
    <w:link w:val="Heading1Char"/>
    <w:uiPriority w:val="9"/>
    <w:qFormat/>
    <w:rsid w:val="002555AB"/>
    <w:pPr>
      <w:spacing w:before="100" w:beforeAutospacing="1" w:after="100" w:afterAutospacing="1" w:line="240" w:lineRule="auto"/>
      <w:outlineLvl w:val="0"/>
    </w:pPr>
    <w:rPr>
      <w:rFonts w:eastAsia="Times New Roman"/>
      <w:b/>
      <w:bCs/>
      <w:kern w:val="36"/>
      <w:sz w:val="28"/>
      <w:szCs w:val="48"/>
      <w:u w:val="single"/>
    </w:rPr>
  </w:style>
  <w:style w:type="paragraph" w:styleId="Heading2">
    <w:name w:val="heading 2"/>
    <w:basedOn w:val="Normal"/>
    <w:link w:val="Heading2Char"/>
    <w:uiPriority w:val="9"/>
    <w:qFormat/>
    <w:rsid w:val="00F2535F"/>
    <w:pPr>
      <w:spacing w:before="100" w:beforeAutospacing="1" w:after="100" w:afterAutospacing="1" w:line="240" w:lineRule="auto"/>
      <w:outlineLvl w:val="1"/>
    </w:pPr>
    <w:rPr>
      <w:rFonts w:eastAsia="Times New Roman"/>
      <w:b/>
      <w:bCs/>
      <w:color w:val="4F81BD" w:themeColor="accent1"/>
      <w:sz w:val="28"/>
      <w:szCs w:val="36"/>
    </w:rPr>
  </w:style>
  <w:style w:type="paragraph" w:styleId="Heading3">
    <w:name w:val="heading 3"/>
    <w:basedOn w:val="Normal"/>
    <w:link w:val="Heading3Char"/>
    <w:uiPriority w:val="9"/>
    <w:qFormat/>
    <w:rsid w:val="00C4677C"/>
    <w:pPr>
      <w:spacing w:before="100" w:beforeAutospacing="1" w:after="100" w:afterAutospacing="1" w:line="240" w:lineRule="auto"/>
      <w:outlineLvl w:val="2"/>
    </w:pPr>
    <w:rPr>
      <w:rFonts w:eastAsia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677C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677C"/>
  </w:style>
  <w:style w:type="paragraph" w:styleId="Footer">
    <w:name w:val="footer"/>
    <w:basedOn w:val="Normal"/>
    <w:link w:val="FooterChar"/>
    <w:uiPriority w:val="99"/>
    <w:unhideWhenUsed/>
    <w:rsid w:val="00C4677C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677C"/>
  </w:style>
  <w:style w:type="character" w:customStyle="1" w:styleId="Heading1Char">
    <w:name w:val="Heading 1 Char"/>
    <w:basedOn w:val="DefaultParagraphFont"/>
    <w:link w:val="Heading1"/>
    <w:uiPriority w:val="9"/>
    <w:rsid w:val="002555AB"/>
    <w:rPr>
      <w:rFonts w:ascii="Times New Roman" w:eastAsia="Times New Roman" w:hAnsi="Times New Roman" w:cs="Times New Roman"/>
      <w:b/>
      <w:bCs/>
      <w:kern w:val="36"/>
      <w:sz w:val="28"/>
      <w:szCs w:val="48"/>
      <w:u w:val="single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F2535F"/>
    <w:rPr>
      <w:rFonts w:ascii="Times New Roman" w:eastAsia="Times New Roman" w:hAnsi="Times New Roman" w:cs="Times New Roman"/>
      <w:b/>
      <w:bCs/>
      <w:color w:val="4F81BD" w:themeColor="accent1"/>
      <w:kern w:val="24"/>
      <w:sz w:val="28"/>
      <w:szCs w:val="3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C4677C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C4677C"/>
    <w:pPr>
      <w:spacing w:before="100" w:beforeAutospacing="1" w:after="100" w:afterAutospacing="1" w:line="240" w:lineRule="auto"/>
    </w:pPr>
    <w:rPr>
      <w:rFonts w:eastAsia="Times New Roman"/>
    </w:rPr>
  </w:style>
  <w:style w:type="character" w:styleId="Strong">
    <w:name w:val="Strong"/>
    <w:basedOn w:val="DefaultParagraphFont"/>
    <w:uiPriority w:val="22"/>
    <w:qFormat/>
    <w:rsid w:val="00C4677C"/>
    <w:rPr>
      <w:b/>
      <w:bCs/>
    </w:rPr>
  </w:style>
  <w:style w:type="paragraph" w:styleId="ListParagraph">
    <w:name w:val="List Paragraph"/>
    <w:basedOn w:val="Normal"/>
    <w:uiPriority w:val="34"/>
    <w:qFormat/>
    <w:rsid w:val="00951DF8"/>
    <w:pPr>
      <w:spacing w:after="160"/>
      <w:ind w:left="720"/>
      <w:contextualSpacing/>
    </w:pPr>
    <w:rPr>
      <w:kern w:val="2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075EC8"/>
    <w:pPr>
      <w:keepNext/>
      <w:keepLines/>
      <w:autoSpaceDE/>
      <w:autoSpaceDN/>
      <w:adjustRightInd/>
      <w:spacing w:before="240" w:beforeAutospacing="0" w:after="0" w:afterAutospacing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5E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75EC8"/>
    <w:rPr>
      <w:color w:val="0000FF" w:themeColor="hyperlink"/>
      <w:u w:val="singl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6DF1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6DF1"/>
    <w:rPr>
      <w:rFonts w:ascii="Times New Roman" w:hAnsi="Times New Roman" w:cs="Times New Roman"/>
      <w:i/>
      <w:iCs/>
      <w:color w:val="4F81BD" w:themeColor="accent1"/>
      <w:kern w:val="24"/>
      <w:sz w:val="24"/>
      <w:szCs w:val="24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C19F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C19FE"/>
    <w:rPr>
      <w:color w:val="800080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32290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77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socsci3030514" TargetMode="External" /><Relationship Id="rId13" Type="http://schemas.openxmlformats.org/officeDocument/2006/relationships/hyperlink" Target="https://doi.org/10.1332/27551768y2024d000000021" TargetMode="External" /><Relationship Id="rId18" Type="http://schemas.openxmlformats.org/officeDocument/2006/relationships/header" Target="head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yperlink" Target="https://doi.org/10.1177/15412040211063129" TargetMode="External" /><Relationship Id="rId17" Type="http://schemas.openxmlformats.org/officeDocument/2006/relationships/hyperlink" Target="https://doi.org/10.1111/pedi.12274" TargetMode="External" /><Relationship Id="rId2" Type="http://schemas.openxmlformats.org/officeDocument/2006/relationships/numbering" Target="numbering.xml" /><Relationship Id="rId16" Type="http://schemas.openxmlformats.org/officeDocument/2006/relationships/hyperlink" Target="https://doi.org/10.1080/1357527042000285538" TargetMode="External" /><Relationship Id="rId20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doi.org/10.1177/026455050605300207" TargetMode="External" /><Relationship Id="rId5" Type="http://schemas.openxmlformats.org/officeDocument/2006/relationships/webSettings" Target="webSettings.xml" /><Relationship Id="rId15" Type="http://schemas.openxmlformats.org/officeDocument/2006/relationships/hyperlink" Target="https://doi.org/10.1097/00003246-200201000-00032" TargetMode="External" /><Relationship Id="rId10" Type="http://schemas.openxmlformats.org/officeDocument/2006/relationships/hyperlink" Target="https://doi.org/10.1111/j.1099-0860.1991.tb00515.x" TargetMode="External" /><Relationship Id="rId19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hyperlink" Target="https://doi.org/10.1080/21693293.2014.878541" TargetMode="External" /><Relationship Id="rId14" Type="http://schemas.openxmlformats.org/officeDocument/2006/relationships/hyperlink" Target="https://doi.org/10.5042/jcs.2010.055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A32F20-9578-41DC-9E7F-B80B9D347FE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440</Words>
  <Characters>2509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2944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ismail - [2010]</dc:creator>
  <cp:lastModifiedBy>Sadia Hussain (2330361)</cp:lastModifiedBy>
  <cp:revision>2</cp:revision>
  <dcterms:created xsi:type="dcterms:W3CDTF">2026-02-16T08:23:00Z</dcterms:created>
  <dcterms:modified xsi:type="dcterms:W3CDTF">2026-02-16T08:23:00Z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e8dd4961-8f06-4289-8143-492968a5942e</vt:lpwstr>
  </property>
</Properties>
</file>