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C36DD6" w14:textId="77777777" w:rsidR="0060326A" w:rsidRPr="00A01859" w:rsidRDefault="00A01859">
      <w:pPr>
        <w:rPr>
          <w:rFonts w:ascii="Times New Roman" w:hAnsi="Times New Roman" w:cs="Times New Roman"/>
          <w:b/>
        </w:rPr>
      </w:pPr>
      <w:r w:rsidRPr="00A01859">
        <w:rPr>
          <w:rFonts w:ascii="Times New Roman" w:hAnsi="Times New Roman" w:cs="Times New Roman"/>
          <w:b/>
        </w:rPr>
        <w:t>How did the Poor Law develop between 1847 and 1900?</w:t>
      </w:r>
    </w:p>
    <w:p w14:paraId="225985C8" w14:textId="77777777" w:rsidR="00A01859" w:rsidRDefault="00A01859">
      <w:pPr>
        <w:rPr>
          <w:rFonts w:ascii="Times New Roman" w:hAnsi="Times New Roman" w:cs="Times New Roman"/>
        </w:rPr>
      </w:pPr>
    </w:p>
    <w:p w14:paraId="5F6E17BB" w14:textId="77777777" w:rsidR="00A01859" w:rsidRDefault="00A01859">
      <w:pPr>
        <w:rPr>
          <w:rFonts w:ascii="Times New Roman" w:hAnsi="Times New Roman" w:cs="Times New Roman"/>
        </w:rPr>
      </w:pPr>
      <w:r>
        <w:rPr>
          <w:rFonts w:ascii="Times New Roman" w:hAnsi="Times New Roman" w:cs="Times New Roman"/>
        </w:rPr>
        <w:t xml:space="preserve">1847 was a watershed in the development of the Poor Law. </w:t>
      </w:r>
      <w:r w:rsidR="006B5597">
        <w:rPr>
          <w:rFonts w:ascii="Times New Roman" w:hAnsi="Times New Roman" w:cs="Times New Roman"/>
        </w:rPr>
        <w:t>Commissioners and assistant commissioners with some measure of success had dealt with the initial teething troubles, caused by the implementation of the main tenets of the Poor Law Amendment Act</w:t>
      </w:r>
      <w:r>
        <w:rPr>
          <w:rFonts w:ascii="Times New Roman" w:hAnsi="Times New Roman" w:cs="Times New Roman"/>
        </w:rPr>
        <w:t>. Opposition had died down or disappeared completely. Those seeking relief knew what to expect, and those paying for the relief knew what they were paying for.</w:t>
      </w:r>
    </w:p>
    <w:p w14:paraId="1D91451D" w14:textId="77777777" w:rsidR="00A01859" w:rsidRDefault="00A01859">
      <w:pPr>
        <w:rPr>
          <w:rFonts w:ascii="Times New Roman" w:hAnsi="Times New Roman" w:cs="Times New Roman"/>
        </w:rPr>
      </w:pPr>
    </w:p>
    <w:p w14:paraId="69153DC1" w14:textId="77777777" w:rsidR="00A01859" w:rsidRDefault="00A01859">
      <w:pPr>
        <w:rPr>
          <w:rFonts w:ascii="Times New Roman" w:hAnsi="Times New Roman" w:cs="Times New Roman"/>
        </w:rPr>
      </w:pPr>
      <w:r>
        <w:rPr>
          <w:rFonts w:ascii="Times New Roman" w:hAnsi="Times New Roman" w:cs="Times New Roman"/>
        </w:rPr>
        <w:t>But 1847 was a watershed in another, more concrete, way. The Andover workhouse scandal, although exaggerated, had brought some of the worst abuses of the new Poor Law system to the attention of Parliament and the public. The scandal had provided the trigger for the abolition of the Poor Law Commission. It was replaced by the Poor Law Board, whose president was a cabinet minister and accountable to Parliament.</w:t>
      </w:r>
    </w:p>
    <w:p w14:paraId="6EEEF53E" w14:textId="77777777" w:rsidR="00A01859" w:rsidRDefault="00A01859">
      <w:pPr>
        <w:rPr>
          <w:rFonts w:ascii="Times New Roman" w:hAnsi="Times New Roman" w:cs="Times New Roman"/>
        </w:rPr>
      </w:pPr>
    </w:p>
    <w:p w14:paraId="60434D73" w14:textId="77777777" w:rsidR="00A01859" w:rsidRDefault="00A01859">
      <w:pPr>
        <w:rPr>
          <w:rFonts w:ascii="Times New Roman" w:hAnsi="Times New Roman" w:cs="Times New Roman"/>
          <w:b/>
        </w:rPr>
      </w:pPr>
      <w:r>
        <w:rPr>
          <w:rFonts w:ascii="Times New Roman" w:hAnsi="Times New Roman" w:cs="Times New Roman"/>
          <w:b/>
        </w:rPr>
        <w:t>What changes were made to the C</w:t>
      </w:r>
      <w:r w:rsidRPr="00A01859">
        <w:rPr>
          <w:rFonts w:ascii="Times New Roman" w:hAnsi="Times New Roman" w:cs="Times New Roman"/>
          <w:b/>
        </w:rPr>
        <w:t>entral Administration?</w:t>
      </w:r>
    </w:p>
    <w:p w14:paraId="10FF0D6C" w14:textId="77777777" w:rsidR="00A01859" w:rsidRDefault="00A01859">
      <w:pPr>
        <w:rPr>
          <w:rFonts w:ascii="Times New Roman" w:hAnsi="Times New Roman" w:cs="Times New Roman"/>
        </w:rPr>
      </w:pPr>
    </w:p>
    <w:p w14:paraId="23B29724" w14:textId="77777777" w:rsidR="00A01859" w:rsidRDefault="00A01859">
      <w:pPr>
        <w:rPr>
          <w:rFonts w:ascii="Times New Roman" w:hAnsi="Times New Roman" w:cs="Times New Roman"/>
          <w:b/>
        </w:rPr>
      </w:pPr>
      <w:r w:rsidRPr="00A01859">
        <w:rPr>
          <w:rFonts w:ascii="Times New Roman" w:hAnsi="Times New Roman" w:cs="Times New Roman"/>
          <w:b/>
        </w:rPr>
        <w:t>The problems with the Poor Law Commission</w:t>
      </w:r>
    </w:p>
    <w:p w14:paraId="155D0EAE" w14:textId="77777777" w:rsidR="00A01859" w:rsidRDefault="00A01859">
      <w:pPr>
        <w:rPr>
          <w:rFonts w:ascii="Times New Roman" w:hAnsi="Times New Roman" w:cs="Times New Roman"/>
        </w:rPr>
      </w:pPr>
      <w:r>
        <w:rPr>
          <w:rFonts w:ascii="Times New Roman" w:hAnsi="Times New Roman" w:cs="Times New Roman"/>
        </w:rPr>
        <w:t>The apparent autonomy given by Parliament to the three commissioners was largely driven</w:t>
      </w:r>
      <w:r w:rsidR="00D47A74">
        <w:rPr>
          <w:rFonts w:ascii="Times New Roman" w:hAnsi="Times New Roman" w:cs="Times New Roman"/>
        </w:rPr>
        <w:t xml:space="preserve"> by the need to implement the PLAA quickly and efficiently. It was always envisaged that the power given to the commissioners would be temporary, and the 1834 Act limited the life of the Commission to five years. After 1839 the Commission’s powers were renewed on an annual basis. However by 1842 opposition to the implementation of the PLAA was waning. It looked as though Parliament would not have to intervene and so it extended the Commission’s contract for a further five years to 1847. So why wasn’t it extended beyond 1847?</w:t>
      </w:r>
    </w:p>
    <w:p w14:paraId="2E08F171" w14:textId="77777777" w:rsidR="00D47A74" w:rsidRDefault="00D47A74" w:rsidP="00D47A74">
      <w:pPr>
        <w:pStyle w:val="ListParagraph"/>
        <w:numPr>
          <w:ilvl w:val="0"/>
          <w:numId w:val="1"/>
        </w:numPr>
        <w:rPr>
          <w:rFonts w:ascii="Times New Roman" w:hAnsi="Times New Roman" w:cs="Times New Roman"/>
        </w:rPr>
      </w:pPr>
      <w:r>
        <w:rPr>
          <w:rFonts w:ascii="Times New Roman" w:hAnsi="Times New Roman" w:cs="Times New Roman"/>
        </w:rPr>
        <w:t>The Andover scandal revealed the worst abuses of the workhouse system and the apparent lack of willingness of the Commission to detect and correct such matters.</w:t>
      </w:r>
    </w:p>
    <w:p w14:paraId="282359CA" w14:textId="77777777" w:rsidR="00D47A74" w:rsidRDefault="00D47A74" w:rsidP="00D47A74">
      <w:pPr>
        <w:pStyle w:val="ListParagraph"/>
        <w:numPr>
          <w:ilvl w:val="0"/>
          <w:numId w:val="1"/>
        </w:numPr>
        <w:rPr>
          <w:rFonts w:ascii="Times New Roman" w:hAnsi="Times New Roman" w:cs="Times New Roman"/>
        </w:rPr>
      </w:pPr>
      <w:r>
        <w:rPr>
          <w:rFonts w:ascii="Times New Roman" w:hAnsi="Times New Roman" w:cs="Times New Roman"/>
        </w:rPr>
        <w:t>The way the Commission itself pilloried the assistant commissioner responsible for the Andover workhouse, Henry Parker, alarmed those who knew how administrators should be treated in problematical situations.</w:t>
      </w:r>
    </w:p>
    <w:p w14:paraId="6F3856C6" w14:textId="77777777" w:rsidR="00D47A74" w:rsidRDefault="00D47A74" w:rsidP="00D47A74">
      <w:pPr>
        <w:pStyle w:val="ListParagraph"/>
        <w:numPr>
          <w:ilvl w:val="0"/>
          <w:numId w:val="1"/>
        </w:numPr>
        <w:rPr>
          <w:rFonts w:ascii="Times New Roman" w:hAnsi="Times New Roman" w:cs="Times New Roman"/>
        </w:rPr>
      </w:pPr>
      <w:r>
        <w:rPr>
          <w:rFonts w:ascii="Times New Roman" w:hAnsi="Times New Roman" w:cs="Times New Roman"/>
        </w:rPr>
        <w:t>The Select Committee revealed that there were considerable tensions within Somerset House, where the Commission worked. Chadwick, for example, had never accepted the ‘lowly’ position of Secretary and had always wanted to be a commissioner. He used the Andover scandal to criticize his employers.</w:t>
      </w:r>
    </w:p>
    <w:p w14:paraId="5F65D334" w14:textId="77777777" w:rsidR="00D47A74" w:rsidRDefault="00D47A74" w:rsidP="00D47A74">
      <w:pPr>
        <w:pStyle w:val="ListParagraph"/>
        <w:rPr>
          <w:rFonts w:ascii="Times New Roman" w:hAnsi="Times New Roman" w:cs="Times New Roman"/>
        </w:rPr>
      </w:pPr>
    </w:p>
    <w:p w14:paraId="606453AC" w14:textId="77777777" w:rsidR="00D47A74" w:rsidRDefault="00D47A74" w:rsidP="00D47A74">
      <w:pPr>
        <w:rPr>
          <w:rFonts w:ascii="Times New Roman" w:hAnsi="Times New Roman" w:cs="Times New Roman"/>
          <w:b/>
        </w:rPr>
      </w:pPr>
      <w:r w:rsidRPr="00D47A74">
        <w:rPr>
          <w:rFonts w:ascii="Times New Roman" w:hAnsi="Times New Roman" w:cs="Times New Roman"/>
          <w:b/>
        </w:rPr>
        <w:t>From Poor Law Commission to Poor Law Board</w:t>
      </w:r>
    </w:p>
    <w:p w14:paraId="03EAC8E7" w14:textId="77777777" w:rsidR="00D47A74" w:rsidRDefault="00925586" w:rsidP="00D47A74">
      <w:pPr>
        <w:rPr>
          <w:rFonts w:ascii="Times New Roman" w:hAnsi="Times New Roman" w:cs="Times New Roman"/>
        </w:rPr>
      </w:pPr>
      <w:r>
        <w:rPr>
          <w:rFonts w:ascii="Times New Roman" w:hAnsi="Times New Roman" w:cs="Times New Roman"/>
        </w:rPr>
        <w:t xml:space="preserve">Gradually, Parliament realized that the Commission had served its purpose and had to go. In 1847 the government replaced it with a Board, which was intended not only to rid the administration of arrogance, rigidity and cant, but also to link it to the government. This, while a president and two secretaries undertook the day-to-day work, several cabinet ministers sat on the Board </w:t>
      </w:r>
      <w:r w:rsidRPr="00925586">
        <w:rPr>
          <w:rFonts w:ascii="Times New Roman" w:hAnsi="Times New Roman" w:cs="Times New Roman"/>
          <w:b/>
        </w:rPr>
        <w:t>ex officio</w:t>
      </w:r>
      <w:r>
        <w:rPr>
          <w:rFonts w:ascii="Times New Roman" w:hAnsi="Times New Roman" w:cs="Times New Roman"/>
          <w:b/>
        </w:rPr>
        <w:t xml:space="preserve">. </w:t>
      </w:r>
      <w:r w:rsidRPr="00925586">
        <w:rPr>
          <w:rFonts w:ascii="Times New Roman" w:hAnsi="Times New Roman" w:cs="Times New Roman"/>
        </w:rPr>
        <w:t>Furthermore</w:t>
      </w:r>
      <w:r>
        <w:rPr>
          <w:rFonts w:ascii="Times New Roman" w:hAnsi="Times New Roman" w:cs="Times New Roman"/>
        </w:rPr>
        <w:t>, the president himself was invariably and MP. In this way, those who were responsible for the administration of the PL were answerable to Parliament and responsive to public opinion. But the break from Commission to Board did not mean a new workforce. Most of the Commission’s assistant commissioners stayed on as Poor Law inspectors. However with the larger areas under their supervision, inspectors were able to visit individual unions no more than a couple of times a year. The way was therefore open for unofficial local variation in response to local need.</w:t>
      </w:r>
    </w:p>
    <w:p w14:paraId="6129EA1B" w14:textId="77777777" w:rsidR="00925586" w:rsidRDefault="00925586" w:rsidP="00D47A74">
      <w:pPr>
        <w:rPr>
          <w:rFonts w:ascii="Times New Roman" w:hAnsi="Times New Roman" w:cs="Times New Roman"/>
          <w:b/>
        </w:rPr>
      </w:pPr>
      <w:r>
        <w:rPr>
          <w:rFonts w:ascii="Times New Roman" w:hAnsi="Times New Roman" w:cs="Times New Roman"/>
          <w:b/>
        </w:rPr>
        <w:lastRenderedPageBreak/>
        <w:t>Local Government takes over</w:t>
      </w:r>
    </w:p>
    <w:p w14:paraId="200703BF" w14:textId="77777777" w:rsidR="00925586" w:rsidRDefault="00CD5ECF" w:rsidP="00D47A74">
      <w:pPr>
        <w:rPr>
          <w:rFonts w:ascii="Times New Roman" w:hAnsi="Times New Roman" w:cs="Times New Roman"/>
        </w:rPr>
      </w:pPr>
      <w:r>
        <w:rPr>
          <w:rFonts w:ascii="Times New Roman" w:hAnsi="Times New Roman" w:cs="Times New Roman"/>
        </w:rPr>
        <w:t>In the latter half of the nineteenth century, and particularly after the Reform Act of 1867, government became increasingly aware of and concerned with, the welfare of the people. The new legislation that affected, for example, housing and public health was dependent upon the local authorities for enforcement. It did not make any administrative sense to keep the Poor Law separate from this and so, in 1871, the Poor law Board was replaced by the Local Government Board. However the government still retained its control, as the president of the Board was invariably a cabinet minister.</w:t>
      </w:r>
    </w:p>
    <w:p w14:paraId="48278C7B" w14:textId="77777777" w:rsidR="00CD5ECF" w:rsidRDefault="00CD5ECF" w:rsidP="00D47A74">
      <w:pPr>
        <w:rPr>
          <w:rFonts w:ascii="Times New Roman" w:hAnsi="Times New Roman" w:cs="Times New Roman"/>
        </w:rPr>
      </w:pPr>
    </w:p>
    <w:p w14:paraId="30451936" w14:textId="77777777" w:rsidR="00CD5ECF" w:rsidRDefault="00CD5ECF" w:rsidP="00D47A74">
      <w:pPr>
        <w:rPr>
          <w:rFonts w:ascii="Times New Roman" w:hAnsi="Times New Roman" w:cs="Times New Roman"/>
        </w:rPr>
      </w:pPr>
      <w:r>
        <w:rPr>
          <w:rFonts w:ascii="Times New Roman" w:hAnsi="Times New Roman" w:cs="Times New Roman"/>
        </w:rPr>
        <w:t>These administrative shifts reflected, too, a shift in the attitude to poverty among legislators and the public. Poverty, and therefore pauperism, came to be seen less as a disgrace associated with deliberate idleness and more of a misfortune associated with events beyond the control of an individual or with personal inadequacy and accident. This change in attitude was itself a part of a growing belief that society had a duty to protect its more vulnerable members.</w:t>
      </w:r>
    </w:p>
    <w:p w14:paraId="65E4EDE1" w14:textId="77777777" w:rsidR="000D3986" w:rsidRDefault="000D3986" w:rsidP="00D47A74">
      <w:pPr>
        <w:rPr>
          <w:rFonts w:ascii="Times New Roman" w:hAnsi="Times New Roman" w:cs="Times New Roman"/>
        </w:rPr>
      </w:pPr>
    </w:p>
    <w:p w14:paraId="1A86B299" w14:textId="77777777" w:rsidR="000D3986" w:rsidRDefault="000D3986" w:rsidP="00D47A74">
      <w:pPr>
        <w:rPr>
          <w:rFonts w:ascii="Times New Roman" w:hAnsi="Times New Roman" w:cs="Times New Roman"/>
          <w:b/>
        </w:rPr>
      </w:pPr>
      <w:r w:rsidRPr="000D3986">
        <w:rPr>
          <w:rFonts w:ascii="Times New Roman" w:hAnsi="Times New Roman" w:cs="Times New Roman"/>
          <w:b/>
        </w:rPr>
        <w:t>Did the Financial Situation Improve?</w:t>
      </w:r>
    </w:p>
    <w:p w14:paraId="3C7E539A" w14:textId="77777777" w:rsidR="000D3986" w:rsidRDefault="000D3986" w:rsidP="00D47A74">
      <w:pPr>
        <w:rPr>
          <w:rFonts w:ascii="Times New Roman" w:hAnsi="Times New Roman" w:cs="Times New Roman"/>
          <w:b/>
        </w:rPr>
      </w:pPr>
    </w:p>
    <w:p w14:paraId="555A0160" w14:textId="77777777" w:rsidR="000D3986" w:rsidRDefault="000D3986" w:rsidP="00D47A74">
      <w:pPr>
        <w:rPr>
          <w:rFonts w:ascii="Times New Roman" w:hAnsi="Times New Roman" w:cs="Times New Roman"/>
        </w:rPr>
      </w:pPr>
      <w:r w:rsidRPr="000D3986">
        <w:rPr>
          <w:rFonts w:ascii="Times New Roman" w:hAnsi="Times New Roman" w:cs="Times New Roman"/>
        </w:rPr>
        <w:t>One of the driving forces for change in 1834</w:t>
      </w:r>
      <w:r>
        <w:rPr>
          <w:rFonts w:ascii="Times New Roman" w:hAnsi="Times New Roman" w:cs="Times New Roman"/>
        </w:rPr>
        <w:t xml:space="preserve"> had been the rising cost of the poor rate. The 1834 Poor Law Amendment Act grouped parishes into unions, but each parish within the union had to pay for the maintenance of its own paupers. The result of this was that struggling parishes with the most paupers levied the highest poor rates, and these were the parishes least able to afford them. Conversely, prosperous parishes with few paupers levied a low rate and their prosperity was enhanced further. In some areas, the burden of the poor rate was so heavy that parishes were unable to meet their commitments.</w:t>
      </w:r>
    </w:p>
    <w:p w14:paraId="78F3B62F" w14:textId="77777777" w:rsidR="000D3986" w:rsidRDefault="000D3986" w:rsidP="00D47A74">
      <w:pPr>
        <w:rPr>
          <w:rFonts w:ascii="Times New Roman" w:hAnsi="Times New Roman" w:cs="Times New Roman"/>
        </w:rPr>
      </w:pPr>
    </w:p>
    <w:p w14:paraId="38A12202" w14:textId="77777777" w:rsidR="000D3986" w:rsidRDefault="000D3986" w:rsidP="00D47A74">
      <w:pPr>
        <w:rPr>
          <w:rFonts w:ascii="Times New Roman" w:hAnsi="Times New Roman" w:cs="Times New Roman"/>
        </w:rPr>
      </w:pPr>
      <w:r>
        <w:rPr>
          <w:rFonts w:ascii="Times New Roman" w:hAnsi="Times New Roman" w:cs="Times New Roman"/>
        </w:rPr>
        <w:t>The situation was resolved in 1865 by the Union Chargeability Act, which placed the financial burden of relief to the whole union</w:t>
      </w:r>
      <w:r w:rsidR="006B5597">
        <w:rPr>
          <w:rFonts w:ascii="Times New Roman" w:hAnsi="Times New Roman" w:cs="Times New Roman"/>
        </w:rPr>
        <w:t>. Each parish contributed to a common fund and its contributions was based upon the rateable value of properties in the parish, not the number of paupers for whom the parish was responsible. Thus richer parishes subsidized the poorer ones, and those owning larger properties paid higher poor rates than those living in more modest dwellings.</w:t>
      </w:r>
    </w:p>
    <w:p w14:paraId="18A28729" w14:textId="77777777" w:rsidR="006B5597" w:rsidRDefault="006B5597" w:rsidP="00D47A74">
      <w:pPr>
        <w:rPr>
          <w:rFonts w:ascii="Times New Roman" w:hAnsi="Times New Roman" w:cs="Times New Roman"/>
        </w:rPr>
      </w:pPr>
    </w:p>
    <w:p w14:paraId="2E2800F8" w14:textId="77777777" w:rsidR="006B5597" w:rsidRDefault="006B5597" w:rsidP="00D47A74">
      <w:pPr>
        <w:rPr>
          <w:rFonts w:ascii="Times New Roman" w:hAnsi="Times New Roman" w:cs="Times New Roman"/>
        </w:rPr>
      </w:pPr>
      <w:r>
        <w:rPr>
          <w:rFonts w:ascii="Times New Roman" w:hAnsi="Times New Roman" w:cs="Times New Roman"/>
        </w:rPr>
        <w:t xml:space="preserve">Even so there was no uniform rating system in that, pound for pound, the owner of a property in Cardiff would pay the same poor rate as the owner of a similar property in Carmarthen. Most boards of Guardians were middle class, although a criticism for </w:t>
      </w:r>
      <w:r w:rsidR="00E122C9">
        <w:rPr>
          <w:rFonts w:ascii="Times New Roman" w:hAnsi="Times New Roman" w:cs="Times New Roman"/>
        </w:rPr>
        <w:t>southwest</w:t>
      </w:r>
      <w:r>
        <w:rPr>
          <w:rFonts w:ascii="Times New Roman" w:hAnsi="Times New Roman" w:cs="Times New Roman"/>
        </w:rPr>
        <w:t xml:space="preserve"> wales was that the guardians were mainly farmers, but most tried to keep the rate as low as possible. These factors combined led to some Poor Law unions to claim they could not afford to build workhouses let alone separate accommodation as laid down by the 1834 Act. The 1869 Poor Law Loans Act attempted to ease the situation by allowing guardians to extend the repayments on loans from the Public Works commissioners to up to 30 yrs. Gua</w:t>
      </w:r>
      <w:r w:rsidR="00FF46AF">
        <w:rPr>
          <w:rFonts w:ascii="Times New Roman" w:hAnsi="Times New Roman" w:cs="Times New Roman"/>
        </w:rPr>
        <w:t>rdians could therefore apply fo</w:t>
      </w:r>
      <w:r>
        <w:rPr>
          <w:rFonts w:ascii="Times New Roman" w:hAnsi="Times New Roman" w:cs="Times New Roman"/>
        </w:rPr>
        <w:t>r a loan to improve their workhouses</w:t>
      </w:r>
      <w:r w:rsidR="00FF46AF">
        <w:rPr>
          <w:rFonts w:ascii="Times New Roman" w:hAnsi="Times New Roman" w:cs="Times New Roman"/>
        </w:rPr>
        <w:t xml:space="preserve"> without adding too much to the poor rate they levied.</w:t>
      </w:r>
    </w:p>
    <w:p w14:paraId="4FB9F219" w14:textId="77777777" w:rsidR="00FF46AF" w:rsidRDefault="00FF46AF" w:rsidP="00D47A74">
      <w:pPr>
        <w:rPr>
          <w:rFonts w:ascii="Times New Roman" w:hAnsi="Times New Roman" w:cs="Times New Roman"/>
        </w:rPr>
      </w:pPr>
    </w:p>
    <w:p w14:paraId="2B899847" w14:textId="77777777" w:rsidR="00FF46AF" w:rsidRDefault="00FF46AF" w:rsidP="00D47A74">
      <w:pPr>
        <w:rPr>
          <w:rFonts w:ascii="Times New Roman" w:hAnsi="Times New Roman" w:cs="Times New Roman"/>
        </w:rPr>
      </w:pPr>
    </w:p>
    <w:p w14:paraId="58A3A48C" w14:textId="77777777" w:rsidR="00FF46AF" w:rsidRDefault="00FF46AF" w:rsidP="00D47A74">
      <w:pPr>
        <w:rPr>
          <w:rFonts w:ascii="Times New Roman" w:hAnsi="Times New Roman" w:cs="Times New Roman"/>
        </w:rPr>
      </w:pPr>
    </w:p>
    <w:p w14:paraId="18EC7703" w14:textId="77777777" w:rsidR="00FF46AF" w:rsidRDefault="00FF46AF" w:rsidP="00D47A74">
      <w:pPr>
        <w:rPr>
          <w:rFonts w:ascii="Times New Roman" w:hAnsi="Times New Roman" w:cs="Times New Roman"/>
        </w:rPr>
      </w:pPr>
    </w:p>
    <w:p w14:paraId="429E7400" w14:textId="77777777" w:rsidR="00FF46AF" w:rsidRDefault="00FF46AF" w:rsidP="00D47A74">
      <w:pPr>
        <w:rPr>
          <w:rFonts w:ascii="Times New Roman" w:hAnsi="Times New Roman" w:cs="Times New Roman"/>
        </w:rPr>
      </w:pPr>
    </w:p>
    <w:p w14:paraId="53D4E988" w14:textId="77777777" w:rsidR="00FF46AF" w:rsidRDefault="00FF46AF" w:rsidP="00D47A74">
      <w:pPr>
        <w:rPr>
          <w:rFonts w:ascii="Times New Roman" w:hAnsi="Times New Roman" w:cs="Times New Roman"/>
        </w:rPr>
      </w:pPr>
      <w:r>
        <w:rPr>
          <w:rFonts w:ascii="Times New Roman" w:hAnsi="Times New Roman" w:cs="Times New Roman"/>
        </w:rPr>
        <w:t>Poor Rate</w:t>
      </w:r>
    </w:p>
    <w:tbl>
      <w:tblPr>
        <w:tblStyle w:val="TableGrid"/>
        <w:tblW w:w="0" w:type="auto"/>
        <w:tblLook w:val="04A0" w:firstRow="1" w:lastRow="0" w:firstColumn="1" w:lastColumn="0" w:noHBand="0" w:noVBand="1"/>
      </w:tblPr>
      <w:tblGrid>
        <w:gridCol w:w="2129"/>
        <w:gridCol w:w="2129"/>
        <w:gridCol w:w="2129"/>
        <w:gridCol w:w="2129"/>
      </w:tblGrid>
      <w:tr w:rsidR="00FF46AF" w14:paraId="5ED60567" w14:textId="77777777" w:rsidTr="00FF46AF">
        <w:tc>
          <w:tcPr>
            <w:tcW w:w="2129" w:type="dxa"/>
          </w:tcPr>
          <w:p w14:paraId="2A0FF5D4" w14:textId="77777777" w:rsidR="00FF46AF" w:rsidRDefault="00FF46AF" w:rsidP="00D47A74">
            <w:pPr>
              <w:rPr>
                <w:rFonts w:ascii="Times New Roman" w:hAnsi="Times New Roman" w:cs="Times New Roman"/>
              </w:rPr>
            </w:pPr>
          </w:p>
        </w:tc>
        <w:tc>
          <w:tcPr>
            <w:tcW w:w="2129" w:type="dxa"/>
          </w:tcPr>
          <w:p w14:paraId="41567D50" w14:textId="77777777" w:rsidR="00FF46AF" w:rsidRDefault="00FF46AF" w:rsidP="00D47A74">
            <w:pPr>
              <w:rPr>
                <w:rFonts w:ascii="Times New Roman" w:hAnsi="Times New Roman" w:cs="Times New Roman"/>
              </w:rPr>
            </w:pPr>
            <w:r>
              <w:rPr>
                <w:rFonts w:ascii="Times New Roman" w:hAnsi="Times New Roman" w:cs="Times New Roman"/>
              </w:rPr>
              <w:t>Av. Expenditure (in £000)</w:t>
            </w:r>
          </w:p>
        </w:tc>
        <w:tc>
          <w:tcPr>
            <w:tcW w:w="2129" w:type="dxa"/>
          </w:tcPr>
          <w:p w14:paraId="2E1241DA" w14:textId="77777777" w:rsidR="00FF46AF" w:rsidRDefault="00FF46AF" w:rsidP="00D47A74">
            <w:pPr>
              <w:rPr>
                <w:rFonts w:ascii="Times New Roman" w:hAnsi="Times New Roman" w:cs="Times New Roman"/>
              </w:rPr>
            </w:pPr>
            <w:r>
              <w:rPr>
                <w:rFonts w:ascii="Times New Roman" w:hAnsi="Times New Roman" w:cs="Times New Roman"/>
              </w:rPr>
              <w:t>Per head of pop.</w:t>
            </w:r>
          </w:p>
        </w:tc>
        <w:tc>
          <w:tcPr>
            <w:tcW w:w="2129" w:type="dxa"/>
          </w:tcPr>
          <w:p w14:paraId="0D750F3B" w14:textId="77777777" w:rsidR="00FF46AF" w:rsidRDefault="00FF46AF" w:rsidP="00D47A74">
            <w:pPr>
              <w:rPr>
                <w:rFonts w:ascii="Times New Roman" w:hAnsi="Times New Roman" w:cs="Times New Roman"/>
              </w:rPr>
            </w:pPr>
            <w:r>
              <w:rPr>
                <w:rFonts w:ascii="Times New Roman" w:hAnsi="Times New Roman" w:cs="Times New Roman"/>
              </w:rPr>
              <w:t>% increase or decrease on the previous period.</w:t>
            </w:r>
          </w:p>
        </w:tc>
      </w:tr>
      <w:tr w:rsidR="00FF46AF" w14:paraId="553F445B" w14:textId="77777777" w:rsidTr="00FF46AF">
        <w:tc>
          <w:tcPr>
            <w:tcW w:w="2129" w:type="dxa"/>
          </w:tcPr>
          <w:p w14:paraId="539A1862" w14:textId="77777777" w:rsidR="00FF46AF" w:rsidRDefault="00FF46AF" w:rsidP="00D47A74">
            <w:pPr>
              <w:rPr>
                <w:rFonts w:ascii="Times New Roman" w:hAnsi="Times New Roman" w:cs="Times New Roman"/>
              </w:rPr>
            </w:pPr>
            <w:r>
              <w:rPr>
                <w:rFonts w:ascii="Times New Roman" w:hAnsi="Times New Roman" w:cs="Times New Roman"/>
              </w:rPr>
              <w:t>1844-8</w:t>
            </w:r>
          </w:p>
        </w:tc>
        <w:tc>
          <w:tcPr>
            <w:tcW w:w="2129" w:type="dxa"/>
          </w:tcPr>
          <w:p w14:paraId="59A64AE1" w14:textId="77777777" w:rsidR="00FF46AF" w:rsidRDefault="00FF46AF" w:rsidP="00D47A74">
            <w:pPr>
              <w:rPr>
                <w:rFonts w:ascii="Times New Roman" w:hAnsi="Times New Roman" w:cs="Times New Roman"/>
              </w:rPr>
            </w:pPr>
            <w:r>
              <w:rPr>
                <w:rFonts w:ascii="Times New Roman" w:hAnsi="Times New Roman" w:cs="Times New Roman"/>
              </w:rPr>
              <w:t>5290</w:t>
            </w:r>
          </w:p>
        </w:tc>
        <w:tc>
          <w:tcPr>
            <w:tcW w:w="2129" w:type="dxa"/>
          </w:tcPr>
          <w:p w14:paraId="5B938D6D" w14:textId="77777777" w:rsidR="00FF46AF" w:rsidRDefault="00FF46AF" w:rsidP="00D47A74">
            <w:pPr>
              <w:rPr>
                <w:rFonts w:ascii="Times New Roman" w:hAnsi="Times New Roman" w:cs="Times New Roman"/>
              </w:rPr>
            </w:pPr>
            <w:r>
              <w:rPr>
                <w:rFonts w:ascii="Times New Roman" w:hAnsi="Times New Roman" w:cs="Times New Roman"/>
              </w:rPr>
              <w:t>6s 2d</w:t>
            </w:r>
          </w:p>
        </w:tc>
        <w:tc>
          <w:tcPr>
            <w:tcW w:w="2129" w:type="dxa"/>
          </w:tcPr>
          <w:p w14:paraId="46A579D2" w14:textId="77777777" w:rsidR="00FF46AF" w:rsidRDefault="00FF46AF" w:rsidP="00D47A74">
            <w:pPr>
              <w:rPr>
                <w:rFonts w:ascii="Times New Roman" w:hAnsi="Times New Roman" w:cs="Times New Roman"/>
              </w:rPr>
            </w:pPr>
            <w:r>
              <w:rPr>
                <w:rFonts w:ascii="Times New Roman" w:hAnsi="Times New Roman" w:cs="Times New Roman"/>
              </w:rPr>
              <w:t>+11</w:t>
            </w:r>
          </w:p>
        </w:tc>
      </w:tr>
      <w:tr w:rsidR="00FF46AF" w14:paraId="03D35F05" w14:textId="77777777" w:rsidTr="00FF46AF">
        <w:tc>
          <w:tcPr>
            <w:tcW w:w="2129" w:type="dxa"/>
          </w:tcPr>
          <w:p w14:paraId="772E3371" w14:textId="77777777" w:rsidR="00FF46AF" w:rsidRDefault="00FF46AF" w:rsidP="00D47A74">
            <w:pPr>
              <w:rPr>
                <w:rFonts w:ascii="Times New Roman" w:hAnsi="Times New Roman" w:cs="Times New Roman"/>
              </w:rPr>
            </w:pPr>
            <w:r>
              <w:rPr>
                <w:rFonts w:ascii="Times New Roman" w:hAnsi="Times New Roman" w:cs="Times New Roman"/>
              </w:rPr>
              <w:t>1849-53</w:t>
            </w:r>
          </w:p>
        </w:tc>
        <w:tc>
          <w:tcPr>
            <w:tcW w:w="2129" w:type="dxa"/>
          </w:tcPr>
          <w:p w14:paraId="427874D4" w14:textId="77777777" w:rsidR="00FF46AF" w:rsidRDefault="00FF46AF" w:rsidP="00D47A74">
            <w:pPr>
              <w:rPr>
                <w:rFonts w:ascii="Times New Roman" w:hAnsi="Times New Roman" w:cs="Times New Roman"/>
              </w:rPr>
            </w:pPr>
            <w:r>
              <w:rPr>
                <w:rFonts w:ascii="Times New Roman" w:hAnsi="Times New Roman" w:cs="Times New Roman"/>
              </w:rPr>
              <w:t>5198</w:t>
            </w:r>
          </w:p>
        </w:tc>
        <w:tc>
          <w:tcPr>
            <w:tcW w:w="2129" w:type="dxa"/>
          </w:tcPr>
          <w:p w14:paraId="2226CFBF" w14:textId="77777777" w:rsidR="00FF46AF" w:rsidRDefault="00FF46AF" w:rsidP="00D47A74">
            <w:pPr>
              <w:rPr>
                <w:rFonts w:ascii="Times New Roman" w:hAnsi="Times New Roman" w:cs="Times New Roman"/>
              </w:rPr>
            </w:pPr>
            <w:r>
              <w:rPr>
                <w:rFonts w:ascii="Times New Roman" w:hAnsi="Times New Roman" w:cs="Times New Roman"/>
              </w:rPr>
              <w:t>5s 10d</w:t>
            </w:r>
          </w:p>
        </w:tc>
        <w:tc>
          <w:tcPr>
            <w:tcW w:w="2129" w:type="dxa"/>
          </w:tcPr>
          <w:p w14:paraId="45FC86FD" w14:textId="77777777" w:rsidR="00FF46AF" w:rsidRDefault="00FF46AF" w:rsidP="00D47A74">
            <w:pPr>
              <w:rPr>
                <w:rFonts w:ascii="Times New Roman" w:hAnsi="Times New Roman" w:cs="Times New Roman"/>
              </w:rPr>
            </w:pPr>
            <w:r>
              <w:rPr>
                <w:rFonts w:ascii="Times New Roman" w:hAnsi="Times New Roman" w:cs="Times New Roman"/>
              </w:rPr>
              <w:t>-2</w:t>
            </w:r>
          </w:p>
        </w:tc>
      </w:tr>
      <w:tr w:rsidR="00FF46AF" w14:paraId="0C47ED26" w14:textId="77777777" w:rsidTr="00FF46AF">
        <w:tc>
          <w:tcPr>
            <w:tcW w:w="2129" w:type="dxa"/>
          </w:tcPr>
          <w:p w14:paraId="5EF104C0" w14:textId="77777777" w:rsidR="00FF46AF" w:rsidRDefault="00FF46AF" w:rsidP="00D47A74">
            <w:pPr>
              <w:rPr>
                <w:rFonts w:ascii="Times New Roman" w:hAnsi="Times New Roman" w:cs="Times New Roman"/>
              </w:rPr>
            </w:pPr>
            <w:r>
              <w:rPr>
                <w:rFonts w:ascii="Times New Roman" w:hAnsi="Times New Roman" w:cs="Times New Roman"/>
              </w:rPr>
              <w:t>1854-8</w:t>
            </w:r>
          </w:p>
        </w:tc>
        <w:tc>
          <w:tcPr>
            <w:tcW w:w="2129" w:type="dxa"/>
          </w:tcPr>
          <w:p w14:paraId="5F5033F5" w14:textId="77777777" w:rsidR="00FF46AF" w:rsidRDefault="00FF46AF" w:rsidP="00D47A74">
            <w:pPr>
              <w:rPr>
                <w:rFonts w:ascii="Times New Roman" w:hAnsi="Times New Roman" w:cs="Times New Roman"/>
              </w:rPr>
            </w:pPr>
            <w:r>
              <w:rPr>
                <w:rFonts w:ascii="Times New Roman" w:hAnsi="Times New Roman" w:cs="Times New Roman"/>
              </w:rPr>
              <w:t>5791</w:t>
            </w:r>
          </w:p>
        </w:tc>
        <w:tc>
          <w:tcPr>
            <w:tcW w:w="2129" w:type="dxa"/>
          </w:tcPr>
          <w:p w14:paraId="22E621A9" w14:textId="77777777" w:rsidR="00FF46AF" w:rsidRDefault="00FF46AF" w:rsidP="00D47A74">
            <w:pPr>
              <w:rPr>
                <w:rFonts w:ascii="Times New Roman" w:hAnsi="Times New Roman" w:cs="Times New Roman"/>
              </w:rPr>
            </w:pPr>
            <w:r>
              <w:rPr>
                <w:rFonts w:ascii="Times New Roman" w:hAnsi="Times New Roman" w:cs="Times New Roman"/>
              </w:rPr>
              <w:t>6s 0d</w:t>
            </w:r>
          </w:p>
        </w:tc>
        <w:tc>
          <w:tcPr>
            <w:tcW w:w="2129" w:type="dxa"/>
          </w:tcPr>
          <w:p w14:paraId="71A61A32" w14:textId="77777777" w:rsidR="00FF46AF" w:rsidRDefault="00FF46AF" w:rsidP="00D47A74">
            <w:pPr>
              <w:rPr>
                <w:rFonts w:ascii="Times New Roman" w:hAnsi="Times New Roman" w:cs="Times New Roman"/>
              </w:rPr>
            </w:pPr>
            <w:r>
              <w:rPr>
                <w:rFonts w:ascii="Times New Roman" w:hAnsi="Times New Roman" w:cs="Times New Roman"/>
              </w:rPr>
              <w:t>+11</w:t>
            </w:r>
          </w:p>
        </w:tc>
      </w:tr>
      <w:tr w:rsidR="00FF46AF" w14:paraId="2531470E" w14:textId="77777777" w:rsidTr="00FF46AF">
        <w:tc>
          <w:tcPr>
            <w:tcW w:w="2129" w:type="dxa"/>
          </w:tcPr>
          <w:p w14:paraId="3E617D62" w14:textId="77777777" w:rsidR="00FF46AF" w:rsidRDefault="00FF46AF" w:rsidP="00D47A74">
            <w:pPr>
              <w:rPr>
                <w:rFonts w:ascii="Times New Roman" w:hAnsi="Times New Roman" w:cs="Times New Roman"/>
              </w:rPr>
            </w:pPr>
            <w:r>
              <w:rPr>
                <w:rFonts w:ascii="Times New Roman" w:hAnsi="Times New Roman" w:cs="Times New Roman"/>
              </w:rPr>
              <w:t>1859-63</w:t>
            </w:r>
          </w:p>
        </w:tc>
        <w:tc>
          <w:tcPr>
            <w:tcW w:w="2129" w:type="dxa"/>
          </w:tcPr>
          <w:p w14:paraId="3D13E361" w14:textId="77777777" w:rsidR="00FF46AF" w:rsidRDefault="00FF46AF" w:rsidP="00D47A74">
            <w:pPr>
              <w:rPr>
                <w:rFonts w:ascii="Times New Roman" w:hAnsi="Times New Roman" w:cs="Times New Roman"/>
              </w:rPr>
            </w:pPr>
            <w:r>
              <w:rPr>
                <w:rFonts w:ascii="Times New Roman" w:hAnsi="Times New Roman" w:cs="Times New Roman"/>
              </w:rPr>
              <w:t>5880</w:t>
            </w:r>
          </w:p>
        </w:tc>
        <w:tc>
          <w:tcPr>
            <w:tcW w:w="2129" w:type="dxa"/>
          </w:tcPr>
          <w:p w14:paraId="3F06E4B8" w14:textId="77777777" w:rsidR="00FF46AF" w:rsidRDefault="00FF46AF" w:rsidP="00D47A74">
            <w:pPr>
              <w:rPr>
                <w:rFonts w:ascii="Times New Roman" w:hAnsi="Times New Roman" w:cs="Times New Roman"/>
              </w:rPr>
            </w:pPr>
            <w:r>
              <w:rPr>
                <w:rFonts w:ascii="Times New Roman" w:hAnsi="Times New Roman" w:cs="Times New Roman"/>
              </w:rPr>
              <w:t>5s 10d</w:t>
            </w:r>
          </w:p>
        </w:tc>
        <w:tc>
          <w:tcPr>
            <w:tcW w:w="2129" w:type="dxa"/>
          </w:tcPr>
          <w:p w14:paraId="06813094" w14:textId="77777777" w:rsidR="00FF46AF" w:rsidRDefault="00FF46AF" w:rsidP="00D47A74">
            <w:pPr>
              <w:rPr>
                <w:rFonts w:ascii="Times New Roman" w:hAnsi="Times New Roman" w:cs="Times New Roman"/>
              </w:rPr>
            </w:pPr>
            <w:r>
              <w:rPr>
                <w:rFonts w:ascii="Times New Roman" w:hAnsi="Times New Roman" w:cs="Times New Roman"/>
              </w:rPr>
              <w:t>+2</w:t>
            </w:r>
          </w:p>
        </w:tc>
      </w:tr>
      <w:tr w:rsidR="00FF46AF" w14:paraId="71C49204" w14:textId="77777777" w:rsidTr="00FF46AF">
        <w:tc>
          <w:tcPr>
            <w:tcW w:w="2129" w:type="dxa"/>
          </w:tcPr>
          <w:p w14:paraId="6E7F9AC8" w14:textId="77777777" w:rsidR="00FF46AF" w:rsidRDefault="00FF46AF" w:rsidP="00D47A74">
            <w:pPr>
              <w:rPr>
                <w:rFonts w:ascii="Times New Roman" w:hAnsi="Times New Roman" w:cs="Times New Roman"/>
              </w:rPr>
            </w:pPr>
            <w:r>
              <w:rPr>
                <w:rFonts w:ascii="Times New Roman" w:hAnsi="Times New Roman" w:cs="Times New Roman"/>
              </w:rPr>
              <w:t>1864-8</w:t>
            </w:r>
          </w:p>
        </w:tc>
        <w:tc>
          <w:tcPr>
            <w:tcW w:w="2129" w:type="dxa"/>
          </w:tcPr>
          <w:p w14:paraId="3061DB6D" w14:textId="77777777" w:rsidR="00FF46AF" w:rsidRDefault="00FF46AF" w:rsidP="00D47A74">
            <w:pPr>
              <w:rPr>
                <w:rFonts w:ascii="Times New Roman" w:hAnsi="Times New Roman" w:cs="Times New Roman"/>
              </w:rPr>
            </w:pPr>
            <w:r>
              <w:rPr>
                <w:rFonts w:ascii="Times New Roman" w:hAnsi="Times New Roman" w:cs="Times New Roman"/>
              </w:rPr>
              <w:t>6717</w:t>
            </w:r>
          </w:p>
        </w:tc>
        <w:tc>
          <w:tcPr>
            <w:tcW w:w="2129" w:type="dxa"/>
          </w:tcPr>
          <w:p w14:paraId="352BA650" w14:textId="77777777" w:rsidR="00FF46AF" w:rsidRDefault="00FF46AF" w:rsidP="00D47A74">
            <w:pPr>
              <w:rPr>
                <w:rFonts w:ascii="Times New Roman" w:hAnsi="Times New Roman" w:cs="Times New Roman"/>
              </w:rPr>
            </w:pPr>
            <w:r>
              <w:rPr>
                <w:rFonts w:ascii="Times New Roman" w:hAnsi="Times New Roman" w:cs="Times New Roman"/>
              </w:rPr>
              <w:t>6s 2d</w:t>
            </w:r>
          </w:p>
        </w:tc>
        <w:tc>
          <w:tcPr>
            <w:tcW w:w="2129" w:type="dxa"/>
          </w:tcPr>
          <w:p w14:paraId="66980A00" w14:textId="77777777" w:rsidR="00FF46AF" w:rsidRDefault="00FF46AF" w:rsidP="00D47A74">
            <w:pPr>
              <w:rPr>
                <w:rFonts w:ascii="Times New Roman" w:hAnsi="Times New Roman" w:cs="Times New Roman"/>
              </w:rPr>
            </w:pPr>
            <w:r>
              <w:rPr>
                <w:rFonts w:ascii="Times New Roman" w:hAnsi="Times New Roman" w:cs="Times New Roman"/>
              </w:rPr>
              <w:t>+14</w:t>
            </w:r>
          </w:p>
        </w:tc>
      </w:tr>
    </w:tbl>
    <w:p w14:paraId="1D229280" w14:textId="77777777" w:rsidR="00FF46AF" w:rsidRDefault="00FF46AF" w:rsidP="00D47A74">
      <w:pPr>
        <w:rPr>
          <w:rFonts w:ascii="Times New Roman" w:hAnsi="Times New Roman" w:cs="Times New Roman"/>
        </w:rPr>
      </w:pPr>
    </w:p>
    <w:p w14:paraId="525AF378" w14:textId="77777777" w:rsidR="00FF46AF" w:rsidRDefault="00FF46AF" w:rsidP="00D47A74">
      <w:pPr>
        <w:rPr>
          <w:rFonts w:ascii="Times New Roman" w:hAnsi="Times New Roman" w:cs="Times New Roman"/>
          <w:b/>
        </w:rPr>
      </w:pPr>
      <w:r w:rsidRPr="00FF46AF">
        <w:rPr>
          <w:rFonts w:ascii="Times New Roman" w:hAnsi="Times New Roman" w:cs="Times New Roman"/>
          <w:b/>
        </w:rPr>
        <w:t>Wha</w:t>
      </w:r>
      <w:r>
        <w:rPr>
          <w:rFonts w:ascii="Times New Roman" w:hAnsi="Times New Roman" w:cs="Times New Roman"/>
          <w:b/>
        </w:rPr>
        <w:t>t Balance was a</w:t>
      </w:r>
      <w:r w:rsidRPr="00FF46AF">
        <w:rPr>
          <w:rFonts w:ascii="Times New Roman" w:hAnsi="Times New Roman" w:cs="Times New Roman"/>
          <w:b/>
        </w:rPr>
        <w:t>chieved between Indoor and Outdoor Relief?</w:t>
      </w:r>
    </w:p>
    <w:p w14:paraId="063B1A90" w14:textId="77777777" w:rsidR="00FF46AF" w:rsidRDefault="00FF46AF" w:rsidP="00D47A74">
      <w:pPr>
        <w:rPr>
          <w:rFonts w:ascii="Times New Roman" w:hAnsi="Times New Roman" w:cs="Times New Roman"/>
          <w:b/>
        </w:rPr>
      </w:pPr>
    </w:p>
    <w:p w14:paraId="2476C33B" w14:textId="77777777" w:rsidR="00FF46AF" w:rsidRDefault="00FF46AF" w:rsidP="00D47A74">
      <w:pPr>
        <w:rPr>
          <w:rFonts w:ascii="Times New Roman" w:hAnsi="Times New Roman" w:cs="Times New Roman"/>
        </w:rPr>
      </w:pPr>
      <w:r w:rsidRPr="00B27A88">
        <w:rPr>
          <w:rFonts w:ascii="Times New Roman" w:hAnsi="Times New Roman" w:cs="Times New Roman"/>
        </w:rPr>
        <w:t>All legislation</w:t>
      </w:r>
      <w:r w:rsidR="00B27A88">
        <w:rPr>
          <w:rFonts w:ascii="Times New Roman" w:hAnsi="Times New Roman" w:cs="Times New Roman"/>
        </w:rPr>
        <w:t xml:space="preserve"> attempting to deal with the problems thrown up by the poor and destitute stumbled when it came to the problems of coping with able-bodied poor. All legislators saw the need to distinguish between those who could not work and those who would not work. They differed in how the </w:t>
      </w:r>
      <w:r w:rsidR="00E122C9">
        <w:rPr>
          <w:rFonts w:ascii="Times New Roman" w:hAnsi="Times New Roman" w:cs="Times New Roman"/>
        </w:rPr>
        <w:t>categoris</w:t>
      </w:r>
      <w:r w:rsidR="00B27A88">
        <w:rPr>
          <w:rFonts w:ascii="Times New Roman" w:hAnsi="Times New Roman" w:cs="Times New Roman"/>
        </w:rPr>
        <w:t>ed able-bodied paupers and in how they treated them</w:t>
      </w:r>
      <w:r w:rsidR="00E122C9">
        <w:rPr>
          <w:rFonts w:ascii="Times New Roman" w:hAnsi="Times New Roman" w:cs="Times New Roman"/>
        </w:rPr>
        <w:t>, once categorised. The 1834 Act was adamant that all outdoor relief should end. Outdoor relief did, it was believed, encourage laziness as it removed from the poor the need to work. If all relief was obtained solely on the workhouse only the truly desperate would apply and the much-vaunted principle of less eligibility would be seen to operate. With fewer able-bodied poor applying for relief, the labour market, and hence the economy, would remain buoyant, the poor rates would be kept low and the poor would retain their self-respect. This at least, was the theory. Reality of course was different.</w:t>
      </w:r>
    </w:p>
    <w:p w14:paraId="7B2C7BC2" w14:textId="77777777" w:rsidR="00E122C9" w:rsidRDefault="00E122C9" w:rsidP="00D47A74">
      <w:pPr>
        <w:rPr>
          <w:rFonts w:ascii="Times New Roman" w:hAnsi="Times New Roman" w:cs="Times New Roman"/>
        </w:rPr>
      </w:pPr>
    </w:p>
    <w:p w14:paraId="7494ACB2" w14:textId="77777777" w:rsidR="00E122C9" w:rsidRDefault="00E122C9" w:rsidP="00D47A74">
      <w:pPr>
        <w:rPr>
          <w:rFonts w:ascii="Times New Roman" w:hAnsi="Times New Roman" w:cs="Times New Roman"/>
        </w:rPr>
      </w:pPr>
      <w:r>
        <w:rPr>
          <w:rFonts w:ascii="Times New Roman" w:hAnsi="Times New Roman" w:cs="Times New Roman"/>
        </w:rPr>
        <w:t>By 1847 it had become clear that it was going to be impossible to abolish outdoor relief in rural as well as urban areas. In 1844 the commissioners issued the Outdoor relief Prohibitory Order, prohibiting outdoor relief to the able-bodied poor. At this time, the assistant commissioners were experiencing tremendous problems in implementing the new Poor Law</w:t>
      </w:r>
      <w:r w:rsidR="00A129B6">
        <w:rPr>
          <w:rFonts w:ascii="Times New Roman" w:hAnsi="Times New Roman" w:cs="Times New Roman"/>
        </w:rPr>
        <w:t xml:space="preserve"> in the industrial north and so the Order did not apply there. This insisted that the workhouse test had to be paralleled by the ‘labour test’ whereby monotonous and unpleasant work had to be undertaken by the pauper in return for outdoor relief. This was intended to be temporary, to tide over the industrial areas while the problem of introducing the PLAA were ironed out by the relevant assistant-commissioners. But it was not to be. Their irregular  and infrequent visits meant that local variations were not just possible but became the norm. In 1846-the commission’s last full year-there were approximately 1,300,000 paupers in England and Wales. Of these, only 199,000 received relief inside union workhouses</w:t>
      </w:r>
      <w:r w:rsidR="00402D09">
        <w:rPr>
          <w:rFonts w:ascii="Times New Roman" w:hAnsi="Times New Roman" w:cs="Times New Roman"/>
        </w:rPr>
        <w:t>.</w:t>
      </w:r>
    </w:p>
    <w:p w14:paraId="06B2262C" w14:textId="77777777" w:rsidR="00402D09" w:rsidRDefault="00402D09" w:rsidP="00D47A74">
      <w:pPr>
        <w:rPr>
          <w:rFonts w:ascii="Times New Roman" w:hAnsi="Times New Roman" w:cs="Times New Roman"/>
        </w:rPr>
      </w:pPr>
    </w:p>
    <w:p w14:paraId="66A0739F" w14:textId="3B6BED6B" w:rsidR="00CC6CFD" w:rsidRDefault="00402D09" w:rsidP="00D47A74">
      <w:pPr>
        <w:rPr>
          <w:rFonts w:ascii="Times New Roman" w:hAnsi="Times New Roman" w:cs="Times New Roman"/>
        </w:rPr>
      </w:pPr>
      <w:r>
        <w:rPr>
          <w:rFonts w:ascii="Times New Roman" w:hAnsi="Times New Roman" w:cs="Times New Roman"/>
        </w:rPr>
        <w:t>The Poor Law Board</w:t>
      </w:r>
      <w:r w:rsidR="00CC6CFD">
        <w:rPr>
          <w:rFonts w:ascii="Times New Roman" w:hAnsi="Times New Roman" w:cs="Times New Roman"/>
        </w:rPr>
        <w:t xml:space="preserve"> made an attempt, in 1852, to incarcerate all the able-bodied paupers in workhouses by issuing a general order forbidding outdoor relief to the able-bodied. It failed. Many boards of guardians used all the loopholes possible to continue giving outdoor relief. Being aware that poor rates were rising again, cost-conscious guardians preferred the cheaper alternative of outdoor relief. The superiority of outdoor relief over indoor relief was endorsed in 1863. </w:t>
      </w:r>
    </w:p>
    <w:p w14:paraId="367FE3BC" w14:textId="77777777" w:rsidR="00CC6CFD" w:rsidRDefault="00CC6CFD" w:rsidP="00D47A74">
      <w:pPr>
        <w:rPr>
          <w:rFonts w:ascii="Times New Roman" w:hAnsi="Times New Roman" w:cs="Times New Roman"/>
        </w:rPr>
      </w:pPr>
    </w:p>
    <w:p w14:paraId="6350702C" w14:textId="35C9D235" w:rsidR="00CC6CFD" w:rsidRDefault="00CC6CFD" w:rsidP="00D47A74">
      <w:pPr>
        <w:rPr>
          <w:rFonts w:ascii="Times New Roman" w:hAnsi="Times New Roman" w:cs="Times New Roman"/>
          <w:b/>
        </w:rPr>
      </w:pPr>
      <w:r w:rsidRPr="00CC6CFD">
        <w:rPr>
          <w:rFonts w:ascii="Times New Roman" w:hAnsi="Times New Roman" w:cs="Times New Roman"/>
          <w:b/>
        </w:rPr>
        <w:t>Local Government Board and relief</w:t>
      </w:r>
    </w:p>
    <w:p w14:paraId="1A920270" w14:textId="77777777" w:rsidR="00CC6CFD" w:rsidRDefault="00CC6CFD" w:rsidP="00D47A74">
      <w:pPr>
        <w:rPr>
          <w:rFonts w:ascii="Times New Roman" w:hAnsi="Times New Roman" w:cs="Times New Roman"/>
          <w:b/>
        </w:rPr>
      </w:pPr>
    </w:p>
    <w:p w14:paraId="6E744B97" w14:textId="49106294" w:rsidR="00CC6CFD" w:rsidRDefault="00CC6CFD" w:rsidP="00D47A74">
      <w:pPr>
        <w:rPr>
          <w:rFonts w:ascii="Times New Roman" w:hAnsi="Times New Roman" w:cs="Times New Roman"/>
        </w:rPr>
      </w:pPr>
      <w:r>
        <w:rPr>
          <w:rFonts w:ascii="Times New Roman" w:hAnsi="Times New Roman" w:cs="Times New Roman"/>
        </w:rPr>
        <w:t>When the LGB took over responsibility for the administration of the Poor Law in 1871, it tried desperately to reduce the numbers of paupers receiving relief:</w:t>
      </w:r>
    </w:p>
    <w:p w14:paraId="7E84D5F0" w14:textId="639FB490" w:rsidR="00CC6CFD" w:rsidRDefault="00CC6CFD" w:rsidP="00CC6CFD">
      <w:pPr>
        <w:pStyle w:val="ListParagraph"/>
        <w:numPr>
          <w:ilvl w:val="0"/>
          <w:numId w:val="2"/>
        </w:numPr>
        <w:rPr>
          <w:rFonts w:ascii="Times New Roman" w:hAnsi="Times New Roman" w:cs="Times New Roman"/>
        </w:rPr>
      </w:pPr>
      <w:r>
        <w:rPr>
          <w:rFonts w:ascii="Times New Roman" w:hAnsi="Times New Roman" w:cs="Times New Roman"/>
        </w:rPr>
        <w:t>It issued a circular condemning relief on the basis that it took away from the poor all desire to save for bad times by offering relief to them in their own homes whenever they needed it.</w:t>
      </w:r>
    </w:p>
    <w:p w14:paraId="42AF8C21" w14:textId="5D81AF01" w:rsidR="00CC6CFD" w:rsidRDefault="00DE0305" w:rsidP="00CC6CFD">
      <w:pPr>
        <w:pStyle w:val="ListParagraph"/>
        <w:numPr>
          <w:ilvl w:val="0"/>
          <w:numId w:val="2"/>
        </w:numPr>
        <w:rPr>
          <w:rFonts w:ascii="Times New Roman" w:hAnsi="Times New Roman" w:cs="Times New Roman"/>
        </w:rPr>
      </w:pPr>
      <w:r>
        <w:rPr>
          <w:rFonts w:ascii="Times New Roman" w:hAnsi="Times New Roman" w:cs="Times New Roman"/>
        </w:rPr>
        <w:t>It supported local authorities when they took a harsh line with the able bodied poor asking for relief.</w:t>
      </w:r>
    </w:p>
    <w:p w14:paraId="77D26536" w14:textId="1779BC10" w:rsidR="00DE0305" w:rsidRDefault="00DE0305" w:rsidP="00CC6CFD">
      <w:pPr>
        <w:pStyle w:val="ListParagraph"/>
        <w:numPr>
          <w:ilvl w:val="0"/>
          <w:numId w:val="2"/>
        </w:numPr>
        <w:rPr>
          <w:rFonts w:ascii="Times New Roman" w:hAnsi="Times New Roman" w:cs="Times New Roman"/>
        </w:rPr>
      </w:pPr>
      <w:r>
        <w:rPr>
          <w:rFonts w:ascii="Times New Roman" w:hAnsi="Times New Roman" w:cs="Times New Roman"/>
        </w:rPr>
        <w:t>Many charities were beginning to provide payments for the deserving poor and this gave the Board an opt out.</w:t>
      </w:r>
    </w:p>
    <w:p w14:paraId="5323978C" w14:textId="7E9E3147" w:rsidR="00DE0305" w:rsidRDefault="00DE0305" w:rsidP="00CC6CFD">
      <w:pPr>
        <w:pStyle w:val="ListParagraph"/>
        <w:numPr>
          <w:ilvl w:val="0"/>
          <w:numId w:val="2"/>
        </w:numPr>
        <w:rPr>
          <w:rFonts w:ascii="Times New Roman" w:hAnsi="Times New Roman" w:cs="Times New Roman"/>
        </w:rPr>
      </w:pPr>
      <w:r>
        <w:rPr>
          <w:rFonts w:ascii="Times New Roman" w:hAnsi="Times New Roman" w:cs="Times New Roman"/>
        </w:rPr>
        <w:t>It authorized boards of guardians to take part in emigration schemes, whereby groups of paupers were sponsored to emigrate.</w:t>
      </w:r>
    </w:p>
    <w:p w14:paraId="1DE894B9" w14:textId="42F98BD6" w:rsidR="00DE0305" w:rsidRDefault="00DE0305" w:rsidP="00CC6CFD">
      <w:pPr>
        <w:pStyle w:val="ListParagraph"/>
        <w:numPr>
          <w:ilvl w:val="0"/>
          <w:numId w:val="2"/>
        </w:numPr>
        <w:rPr>
          <w:rFonts w:ascii="Times New Roman" w:hAnsi="Times New Roman" w:cs="Times New Roman"/>
        </w:rPr>
      </w:pPr>
      <w:r>
        <w:rPr>
          <w:rFonts w:ascii="Times New Roman" w:hAnsi="Times New Roman" w:cs="Times New Roman"/>
        </w:rPr>
        <w:t>Joseph Chamberlain, President of the LGB, issued a circular in 1886 to all boards of guardians. He advised them to provide paid schemes such as street cleaning for the able-bodied poor whom it ‘was undesirable to send to the workhouse, or to treat as subjects for pauper relief’.</w:t>
      </w:r>
    </w:p>
    <w:p w14:paraId="27931E3D" w14:textId="77777777" w:rsidR="00DE0305" w:rsidRDefault="00DE0305" w:rsidP="00DE0305">
      <w:pPr>
        <w:pStyle w:val="ListParagraph"/>
        <w:rPr>
          <w:rFonts w:ascii="Times New Roman" w:hAnsi="Times New Roman" w:cs="Times New Roman"/>
        </w:rPr>
      </w:pPr>
    </w:p>
    <w:p w14:paraId="3FD0A93E" w14:textId="3639FF4E" w:rsidR="00DE0305" w:rsidRDefault="00DE0305" w:rsidP="00DE0305">
      <w:pPr>
        <w:rPr>
          <w:rFonts w:ascii="Times New Roman" w:hAnsi="Times New Roman" w:cs="Times New Roman"/>
        </w:rPr>
      </w:pPr>
      <w:r>
        <w:rPr>
          <w:rFonts w:ascii="Times New Roman" w:hAnsi="Times New Roman" w:cs="Times New Roman"/>
        </w:rPr>
        <w:t>These measures worked. Although the actual number of paupers grew, they fell as a percentage of the population as a whole from 4.6 per cent in 1870 to 2.5 percent in 1900. Whatever the percentage, what remained constant was that the greater numbers of paupers were always relieved outside the workhouse.</w:t>
      </w:r>
    </w:p>
    <w:p w14:paraId="36ABE82A" w14:textId="77777777" w:rsidR="00DE0305" w:rsidRDefault="00DE0305" w:rsidP="00DE0305">
      <w:pPr>
        <w:rPr>
          <w:rFonts w:ascii="Times New Roman" w:hAnsi="Times New Roman" w:cs="Times New Roman"/>
        </w:rPr>
      </w:pPr>
    </w:p>
    <w:p w14:paraId="7BF66DEB" w14:textId="37E3C855" w:rsidR="00DE0305" w:rsidRDefault="00DE0305" w:rsidP="00DE0305">
      <w:pPr>
        <w:rPr>
          <w:rFonts w:ascii="Times New Roman" w:hAnsi="Times New Roman" w:cs="Times New Roman"/>
          <w:b/>
        </w:rPr>
      </w:pPr>
      <w:r w:rsidRPr="00DE0305">
        <w:rPr>
          <w:rFonts w:ascii="Times New Roman" w:hAnsi="Times New Roman" w:cs="Times New Roman"/>
          <w:b/>
        </w:rPr>
        <w:t>Did the Treatment of Paupers Change?</w:t>
      </w:r>
    </w:p>
    <w:p w14:paraId="38893760" w14:textId="77777777" w:rsidR="00DE0305" w:rsidRDefault="00DE0305" w:rsidP="00DE0305">
      <w:pPr>
        <w:rPr>
          <w:rFonts w:ascii="Times New Roman" w:hAnsi="Times New Roman" w:cs="Times New Roman"/>
          <w:b/>
        </w:rPr>
      </w:pPr>
    </w:p>
    <w:p w14:paraId="031E3732" w14:textId="7BAD1D16" w:rsidR="00DE0305" w:rsidRDefault="00DE0305" w:rsidP="00DE0305">
      <w:pPr>
        <w:rPr>
          <w:rFonts w:ascii="Times New Roman" w:hAnsi="Times New Roman" w:cs="Times New Roman"/>
        </w:rPr>
      </w:pPr>
      <w:r>
        <w:rPr>
          <w:rFonts w:ascii="Times New Roman" w:hAnsi="Times New Roman" w:cs="Times New Roman"/>
        </w:rPr>
        <w:t>The rigour of the 1834 Act was always leveled at able-bodied men. It was never intended that boards of guardians apply them to</w:t>
      </w:r>
      <w:r w:rsidR="00476410">
        <w:rPr>
          <w:rFonts w:ascii="Times New Roman" w:hAnsi="Times New Roman" w:cs="Times New Roman"/>
        </w:rPr>
        <w:t xml:space="preserve"> the more vulnerable members of society; the elderly, the mentally ill and children. The Royal Commission of 1834 recommended the separation of different categories of paupers within a workhouse and that each category should be treated differently. This never full happened due to high costs of providing separate accommodation. </w:t>
      </w:r>
    </w:p>
    <w:p w14:paraId="27B8E81B" w14:textId="77777777" w:rsidR="00476410" w:rsidRDefault="00476410" w:rsidP="00DE0305">
      <w:pPr>
        <w:rPr>
          <w:rFonts w:ascii="Times New Roman" w:hAnsi="Times New Roman" w:cs="Times New Roman"/>
        </w:rPr>
      </w:pPr>
    </w:p>
    <w:p w14:paraId="3B41C78F" w14:textId="12A9FBED" w:rsidR="00476410" w:rsidRDefault="00476410" w:rsidP="00DE0305">
      <w:pPr>
        <w:rPr>
          <w:rFonts w:ascii="Times New Roman" w:hAnsi="Times New Roman" w:cs="Times New Roman"/>
        </w:rPr>
      </w:pPr>
      <w:r>
        <w:rPr>
          <w:rFonts w:ascii="Times New Roman" w:hAnsi="Times New Roman" w:cs="Times New Roman"/>
        </w:rPr>
        <w:t>It was not until later in the century that Poor Law administrators returned to Chadwick’s thinking. In the 1870s the LGB advised boards of guardians to divide up paupers in their workhouses according to what it was that caused their poverty and to create a scale of ‘comforts’ for each category, with the most deserving receiving the most. This was good on paper but without financial support from the government it was too expensive for local unions.</w:t>
      </w:r>
    </w:p>
    <w:p w14:paraId="5E79A8D1" w14:textId="77777777" w:rsidR="00476410" w:rsidRDefault="00476410" w:rsidP="00DE0305">
      <w:pPr>
        <w:rPr>
          <w:rFonts w:ascii="Times New Roman" w:hAnsi="Times New Roman" w:cs="Times New Roman"/>
        </w:rPr>
      </w:pPr>
    </w:p>
    <w:p w14:paraId="605E09C7" w14:textId="77777777" w:rsidR="00476410" w:rsidRPr="00DE0305" w:rsidRDefault="00476410" w:rsidP="00DE0305">
      <w:pPr>
        <w:rPr>
          <w:rFonts w:ascii="Times New Roman" w:hAnsi="Times New Roman" w:cs="Times New Roman"/>
        </w:rPr>
      </w:pPr>
    </w:p>
    <w:p w14:paraId="71A084FC" w14:textId="1E326467" w:rsidR="00CD5ECF" w:rsidRDefault="00476410" w:rsidP="00D47A74">
      <w:pPr>
        <w:rPr>
          <w:rFonts w:ascii="Times New Roman" w:hAnsi="Times New Roman" w:cs="Times New Roman"/>
          <w:b/>
        </w:rPr>
      </w:pPr>
      <w:r w:rsidRPr="00476410">
        <w:rPr>
          <w:rFonts w:ascii="Times New Roman" w:hAnsi="Times New Roman" w:cs="Times New Roman"/>
          <w:b/>
        </w:rPr>
        <w:t>Pauper Children</w:t>
      </w:r>
    </w:p>
    <w:p w14:paraId="0E428AD4" w14:textId="77777777" w:rsidR="00476410" w:rsidRDefault="00476410" w:rsidP="00D47A74">
      <w:pPr>
        <w:rPr>
          <w:rFonts w:ascii="Times New Roman" w:hAnsi="Times New Roman" w:cs="Times New Roman"/>
          <w:b/>
        </w:rPr>
      </w:pPr>
    </w:p>
    <w:p w14:paraId="29D49E77" w14:textId="1CA5F83C" w:rsidR="00476410" w:rsidRDefault="00476410" w:rsidP="00D47A74">
      <w:pPr>
        <w:rPr>
          <w:rFonts w:ascii="Times New Roman" w:hAnsi="Times New Roman" w:cs="Times New Roman"/>
        </w:rPr>
      </w:pPr>
      <w:r w:rsidRPr="00476410">
        <w:rPr>
          <w:rFonts w:ascii="Times New Roman" w:hAnsi="Times New Roman" w:cs="Times New Roman"/>
        </w:rPr>
        <w:t>The special needs of</w:t>
      </w:r>
      <w:r>
        <w:rPr>
          <w:rFonts w:ascii="Times New Roman" w:hAnsi="Times New Roman" w:cs="Times New Roman"/>
        </w:rPr>
        <w:t xml:space="preserve"> pauper</w:t>
      </w:r>
      <w:r w:rsidRPr="00476410">
        <w:rPr>
          <w:rFonts w:ascii="Times New Roman" w:hAnsi="Times New Roman" w:cs="Times New Roman"/>
        </w:rPr>
        <w:t xml:space="preserve"> children</w:t>
      </w:r>
      <w:r>
        <w:rPr>
          <w:rFonts w:ascii="Times New Roman" w:hAnsi="Times New Roman" w:cs="Times New Roman"/>
        </w:rPr>
        <w:t xml:space="preserve"> were almost universally recognised</w:t>
      </w:r>
      <w:r w:rsidR="00DD5B4B">
        <w:rPr>
          <w:rFonts w:ascii="Times New Roman" w:hAnsi="Times New Roman" w:cs="Times New Roman"/>
        </w:rPr>
        <w:t>. It was generally considered undesirable, even before 1834, that children should mix freely with adult paupers and there was a growing belief that education was the way to ensure that pauper children</w:t>
      </w:r>
      <w:r w:rsidR="00B66B68">
        <w:rPr>
          <w:rFonts w:ascii="Times New Roman" w:hAnsi="Times New Roman" w:cs="Times New Roman"/>
        </w:rPr>
        <w:t xml:space="preserve"> did not return to the workhouse as adult paupers. After 1834 children under the age of 16 made up, fairly consistently, around one-third of all paupers in workhouses. So what was done and how did provision for children change?</w:t>
      </w:r>
    </w:p>
    <w:p w14:paraId="7089D659" w14:textId="77777777" w:rsidR="00B66B68" w:rsidRDefault="00B66B68" w:rsidP="00D47A74">
      <w:pPr>
        <w:rPr>
          <w:rFonts w:ascii="Times New Roman" w:hAnsi="Times New Roman" w:cs="Times New Roman"/>
        </w:rPr>
      </w:pPr>
    </w:p>
    <w:p w14:paraId="4FFC49BF" w14:textId="45215D0A" w:rsidR="00B66B68" w:rsidRDefault="00B66B68" w:rsidP="00B66B68">
      <w:pPr>
        <w:pStyle w:val="ListParagraph"/>
        <w:numPr>
          <w:ilvl w:val="0"/>
          <w:numId w:val="3"/>
        </w:numPr>
        <w:rPr>
          <w:rFonts w:ascii="Times New Roman" w:hAnsi="Times New Roman" w:cs="Times New Roman"/>
        </w:rPr>
      </w:pPr>
      <w:r w:rsidRPr="00B66B68">
        <w:rPr>
          <w:rFonts w:ascii="Times New Roman" w:hAnsi="Times New Roman" w:cs="Times New Roman"/>
          <w:b/>
        </w:rPr>
        <w:t>1834</w:t>
      </w:r>
      <w:r>
        <w:rPr>
          <w:rFonts w:ascii="Times New Roman" w:hAnsi="Times New Roman" w:cs="Times New Roman"/>
        </w:rPr>
        <w:t xml:space="preserve"> Workhouse schools are established and become one of the first forms of state education. These breach the principle of less eligibility because they provide an education for pauper children that is better, although their curriculum is narrower than that provided by voluntary schools outside the workhouse. Indeed, the poorest children outside the workhouse rarely had any education at all.</w:t>
      </w:r>
    </w:p>
    <w:p w14:paraId="11A369DF" w14:textId="117D2420" w:rsidR="00B66B68" w:rsidRDefault="00B66B68" w:rsidP="00B66B68">
      <w:pPr>
        <w:pStyle w:val="ListParagraph"/>
        <w:numPr>
          <w:ilvl w:val="0"/>
          <w:numId w:val="3"/>
        </w:numPr>
        <w:rPr>
          <w:rFonts w:ascii="Times New Roman" w:hAnsi="Times New Roman" w:cs="Times New Roman"/>
        </w:rPr>
      </w:pPr>
      <w:r>
        <w:rPr>
          <w:rFonts w:ascii="Times New Roman" w:hAnsi="Times New Roman" w:cs="Times New Roman"/>
          <w:b/>
        </w:rPr>
        <w:t xml:space="preserve">1844 </w:t>
      </w:r>
      <w:r>
        <w:rPr>
          <w:rFonts w:ascii="Times New Roman" w:hAnsi="Times New Roman" w:cs="Times New Roman"/>
        </w:rPr>
        <w:t>Poor Law unions are allowed to combine to provide district schools where pauper children are educated in buildings often far distant from the workhouse in which they live-these were not set up in our area of study.</w:t>
      </w:r>
    </w:p>
    <w:p w14:paraId="56E45AD3" w14:textId="4C54DED3" w:rsidR="00B66B68" w:rsidRDefault="00B66B68" w:rsidP="00B66B68">
      <w:pPr>
        <w:pStyle w:val="ListParagraph"/>
        <w:numPr>
          <w:ilvl w:val="0"/>
          <w:numId w:val="3"/>
        </w:numPr>
        <w:rPr>
          <w:rFonts w:ascii="Times New Roman" w:hAnsi="Times New Roman" w:cs="Times New Roman"/>
        </w:rPr>
      </w:pPr>
      <w:r>
        <w:rPr>
          <w:rFonts w:ascii="Times New Roman" w:hAnsi="Times New Roman" w:cs="Times New Roman"/>
          <w:b/>
        </w:rPr>
        <w:t xml:space="preserve">1846 </w:t>
      </w:r>
      <w:r>
        <w:rPr>
          <w:rFonts w:ascii="Times New Roman" w:hAnsi="Times New Roman" w:cs="Times New Roman"/>
        </w:rPr>
        <w:t>A government grant is available to boards of guardians to enable them to pay the salaries of workhouse teachers.</w:t>
      </w:r>
    </w:p>
    <w:p w14:paraId="061AC71A" w14:textId="3124C17F" w:rsidR="00B66B68" w:rsidRDefault="00B66B68" w:rsidP="00B66B68">
      <w:pPr>
        <w:pStyle w:val="ListParagraph"/>
        <w:numPr>
          <w:ilvl w:val="0"/>
          <w:numId w:val="3"/>
        </w:numPr>
        <w:rPr>
          <w:rFonts w:ascii="Times New Roman" w:hAnsi="Times New Roman" w:cs="Times New Roman"/>
        </w:rPr>
      </w:pPr>
      <w:r>
        <w:rPr>
          <w:rFonts w:ascii="Times New Roman" w:hAnsi="Times New Roman" w:cs="Times New Roman"/>
          <w:b/>
        </w:rPr>
        <w:t xml:space="preserve">1850s </w:t>
      </w:r>
      <w:r>
        <w:rPr>
          <w:rFonts w:ascii="Times New Roman" w:hAnsi="Times New Roman" w:cs="Times New Roman"/>
        </w:rPr>
        <w:t>Some boards of guardians begin to experiment with boarding pauper children with working-class families.</w:t>
      </w:r>
    </w:p>
    <w:p w14:paraId="4F209C9B" w14:textId="17BC2EBD" w:rsidR="00B66B68" w:rsidRDefault="00B66B68" w:rsidP="00B66B68">
      <w:pPr>
        <w:pStyle w:val="ListParagraph"/>
        <w:numPr>
          <w:ilvl w:val="0"/>
          <w:numId w:val="3"/>
        </w:numPr>
        <w:rPr>
          <w:rFonts w:ascii="Times New Roman" w:hAnsi="Times New Roman" w:cs="Times New Roman"/>
        </w:rPr>
      </w:pPr>
      <w:r>
        <w:rPr>
          <w:rFonts w:ascii="Times New Roman" w:hAnsi="Times New Roman" w:cs="Times New Roman"/>
          <w:b/>
        </w:rPr>
        <w:t xml:space="preserve">1870 </w:t>
      </w:r>
      <w:r>
        <w:rPr>
          <w:rFonts w:ascii="Times New Roman" w:hAnsi="Times New Roman" w:cs="Times New Roman"/>
        </w:rPr>
        <w:t xml:space="preserve"> Forster’s Education Act sets up board schools and guardians are encouraged to send their pauper children these, enabling them to mix with children outside the workhouse.</w:t>
      </w:r>
    </w:p>
    <w:p w14:paraId="30827480" w14:textId="26B2C8D1" w:rsidR="00B66B68" w:rsidRDefault="00B66B68" w:rsidP="00B66B68">
      <w:pPr>
        <w:pStyle w:val="ListParagraph"/>
        <w:numPr>
          <w:ilvl w:val="0"/>
          <w:numId w:val="3"/>
        </w:numPr>
        <w:rPr>
          <w:rFonts w:ascii="Times New Roman" w:hAnsi="Times New Roman" w:cs="Times New Roman"/>
        </w:rPr>
      </w:pPr>
      <w:r>
        <w:rPr>
          <w:rFonts w:ascii="Times New Roman" w:hAnsi="Times New Roman" w:cs="Times New Roman"/>
          <w:b/>
        </w:rPr>
        <w:t xml:space="preserve">1890s </w:t>
      </w:r>
      <w:r>
        <w:rPr>
          <w:rFonts w:ascii="Times New Roman" w:hAnsi="Times New Roman" w:cs="Times New Roman"/>
        </w:rPr>
        <w:t>A system, developed by the Sheffield board of guardians</w:t>
      </w:r>
      <w:r w:rsidR="00BC6945">
        <w:rPr>
          <w:rFonts w:ascii="Times New Roman" w:hAnsi="Times New Roman" w:cs="Times New Roman"/>
        </w:rPr>
        <w:t>, begins to spread whereby pauper children are housed in ‘family’ groups in various houses in a town and they are looked after by a married couple appointed by the guardians.</w:t>
      </w:r>
    </w:p>
    <w:p w14:paraId="3C626B15" w14:textId="77777777" w:rsidR="00BC6945" w:rsidRDefault="00BC6945" w:rsidP="00BC6945">
      <w:pPr>
        <w:rPr>
          <w:rFonts w:ascii="Times New Roman" w:hAnsi="Times New Roman" w:cs="Times New Roman"/>
        </w:rPr>
      </w:pPr>
    </w:p>
    <w:p w14:paraId="09F75568" w14:textId="70941E6A" w:rsidR="00BC6945" w:rsidRDefault="00BC6945" w:rsidP="00BC6945">
      <w:pPr>
        <w:rPr>
          <w:rFonts w:ascii="Times New Roman" w:hAnsi="Times New Roman" w:cs="Times New Roman"/>
          <w:b/>
        </w:rPr>
      </w:pPr>
      <w:r w:rsidRPr="00BC6945">
        <w:rPr>
          <w:rFonts w:ascii="Times New Roman" w:hAnsi="Times New Roman" w:cs="Times New Roman"/>
          <w:b/>
        </w:rPr>
        <w:t>Sick and mentally ill paupers</w:t>
      </w:r>
    </w:p>
    <w:p w14:paraId="7D5FCC14" w14:textId="77777777" w:rsidR="00BC6945" w:rsidRDefault="00BC6945" w:rsidP="00BC6945">
      <w:pPr>
        <w:rPr>
          <w:rFonts w:ascii="Times New Roman" w:hAnsi="Times New Roman" w:cs="Times New Roman"/>
          <w:b/>
        </w:rPr>
      </w:pPr>
    </w:p>
    <w:p w14:paraId="5F2519F8" w14:textId="1F94AAC8" w:rsidR="00BC6945" w:rsidRDefault="00BC6945" w:rsidP="00BC6945">
      <w:pPr>
        <w:rPr>
          <w:rFonts w:ascii="Times New Roman" w:hAnsi="Times New Roman" w:cs="Times New Roman"/>
        </w:rPr>
      </w:pPr>
      <w:r w:rsidRPr="00BC6945">
        <w:rPr>
          <w:rFonts w:ascii="Times New Roman" w:hAnsi="Times New Roman" w:cs="Times New Roman"/>
        </w:rPr>
        <w:t>Illness of the main breadwinner</w:t>
      </w:r>
      <w:r>
        <w:rPr>
          <w:rFonts w:ascii="Times New Roman" w:hAnsi="Times New Roman" w:cs="Times New Roman"/>
        </w:rPr>
        <w:t xml:space="preserve"> in a family was a major cause of poverty and eventually pauperism, yet the early Poor Law administrators paid little attention to the problem. It is true that the PLAA allowed for the employment and payment of medical officers, but these were inevitably poorly paid and were seen as being part of the disciplinary structure of the workhouse. Boards of guardians often left their sick, injured and pregnant paupers to be treated in their own homes by Poor law medical officers. Indeed this was one of the major forms of outdoor relief after 1834. In this way, costs were kept to a minimum: in 1840 only £150,000 from a Poor Law expenditure of £4.5 million went on medical services.</w:t>
      </w:r>
    </w:p>
    <w:p w14:paraId="28495027" w14:textId="77777777" w:rsidR="00BC6945" w:rsidRDefault="00BC6945" w:rsidP="00BC6945">
      <w:pPr>
        <w:rPr>
          <w:rFonts w:ascii="Times New Roman" w:hAnsi="Times New Roman" w:cs="Times New Roman"/>
        </w:rPr>
      </w:pPr>
    </w:p>
    <w:p w14:paraId="2568807E" w14:textId="2CE376C8" w:rsidR="00BC6945" w:rsidRDefault="00BC6945" w:rsidP="00BC6945">
      <w:pPr>
        <w:rPr>
          <w:rFonts w:ascii="Times New Roman" w:hAnsi="Times New Roman" w:cs="Times New Roman"/>
        </w:rPr>
      </w:pPr>
      <w:r>
        <w:rPr>
          <w:rFonts w:ascii="Times New Roman" w:hAnsi="Times New Roman" w:cs="Times New Roman"/>
        </w:rPr>
        <w:t>The change and development in Poor law medical services happened, not in response to any plan or ideology, but in response to need and public opinion.</w:t>
      </w:r>
    </w:p>
    <w:p w14:paraId="35162057" w14:textId="77777777" w:rsidR="00BC6945" w:rsidRDefault="00BC6945" w:rsidP="00BC6945">
      <w:pPr>
        <w:rPr>
          <w:rFonts w:ascii="Times New Roman" w:hAnsi="Times New Roman" w:cs="Times New Roman"/>
        </w:rPr>
      </w:pPr>
    </w:p>
    <w:p w14:paraId="2D50B3F2" w14:textId="5B303C27" w:rsidR="00BC6945" w:rsidRDefault="00BC6945" w:rsidP="00BC6945">
      <w:pPr>
        <w:pStyle w:val="ListParagraph"/>
        <w:numPr>
          <w:ilvl w:val="0"/>
          <w:numId w:val="4"/>
        </w:numPr>
        <w:rPr>
          <w:rFonts w:ascii="Times New Roman" w:hAnsi="Times New Roman" w:cs="Times New Roman"/>
        </w:rPr>
      </w:pPr>
      <w:r>
        <w:rPr>
          <w:rFonts w:ascii="Times New Roman" w:hAnsi="Times New Roman" w:cs="Times New Roman"/>
          <w:b/>
        </w:rPr>
        <w:t xml:space="preserve">1841 </w:t>
      </w:r>
      <w:r>
        <w:rPr>
          <w:rFonts w:ascii="Times New Roman" w:hAnsi="Times New Roman" w:cs="Times New Roman"/>
        </w:rPr>
        <w:t>A poor person receiving a smallpox vaccination from a Poor Law medical officer does not become a pauper as a result.</w:t>
      </w:r>
    </w:p>
    <w:p w14:paraId="67C3BCD6" w14:textId="310C4F38" w:rsidR="00BC6945" w:rsidRDefault="00BC6945" w:rsidP="00BC6945">
      <w:pPr>
        <w:pStyle w:val="ListParagraph"/>
        <w:numPr>
          <w:ilvl w:val="0"/>
          <w:numId w:val="4"/>
        </w:numPr>
        <w:rPr>
          <w:rFonts w:ascii="Times New Roman" w:hAnsi="Times New Roman" w:cs="Times New Roman"/>
        </w:rPr>
      </w:pPr>
      <w:r>
        <w:rPr>
          <w:rFonts w:ascii="Times New Roman" w:hAnsi="Times New Roman" w:cs="Times New Roman"/>
          <w:b/>
        </w:rPr>
        <w:t xml:space="preserve">1850s </w:t>
      </w:r>
      <w:r>
        <w:rPr>
          <w:rFonts w:ascii="Times New Roman" w:hAnsi="Times New Roman" w:cs="Times New Roman"/>
        </w:rPr>
        <w:t>Poor Law unions</w:t>
      </w:r>
      <w:r w:rsidR="00884281">
        <w:rPr>
          <w:rFonts w:ascii="Times New Roman" w:hAnsi="Times New Roman" w:cs="Times New Roman"/>
        </w:rPr>
        <w:t xml:space="preserve"> set up public dispensaries which dispensed medicines to the public as well as to paupers.</w:t>
      </w:r>
    </w:p>
    <w:p w14:paraId="0E74C73E" w14:textId="46107611" w:rsidR="00884281" w:rsidRDefault="00884281" w:rsidP="00BC6945">
      <w:pPr>
        <w:pStyle w:val="ListParagraph"/>
        <w:numPr>
          <w:ilvl w:val="0"/>
          <w:numId w:val="4"/>
        </w:numPr>
        <w:rPr>
          <w:rFonts w:ascii="Times New Roman" w:hAnsi="Times New Roman" w:cs="Times New Roman"/>
        </w:rPr>
      </w:pPr>
      <w:r>
        <w:rPr>
          <w:rFonts w:ascii="Times New Roman" w:hAnsi="Times New Roman" w:cs="Times New Roman"/>
          <w:b/>
        </w:rPr>
        <w:t xml:space="preserve">1852 </w:t>
      </w:r>
      <w:r>
        <w:rPr>
          <w:rFonts w:ascii="Times New Roman" w:hAnsi="Times New Roman" w:cs="Times New Roman"/>
        </w:rPr>
        <w:t>A poor person who cannot pay for medical treatment or prescribed medicines automatically qualifies for outdoor relief.</w:t>
      </w:r>
    </w:p>
    <w:p w14:paraId="627F3B3D" w14:textId="2BB23CD0" w:rsidR="00884281" w:rsidRDefault="00884281" w:rsidP="00BC6945">
      <w:pPr>
        <w:pStyle w:val="ListParagraph"/>
        <w:numPr>
          <w:ilvl w:val="0"/>
          <w:numId w:val="4"/>
        </w:numPr>
        <w:rPr>
          <w:rFonts w:ascii="Times New Roman" w:hAnsi="Times New Roman" w:cs="Times New Roman"/>
        </w:rPr>
      </w:pPr>
      <w:r>
        <w:rPr>
          <w:rFonts w:ascii="Times New Roman" w:hAnsi="Times New Roman" w:cs="Times New Roman"/>
          <w:b/>
        </w:rPr>
        <w:t xml:space="preserve">1860s </w:t>
      </w:r>
      <w:r>
        <w:rPr>
          <w:rFonts w:ascii="Times New Roman" w:hAnsi="Times New Roman" w:cs="Times New Roman"/>
        </w:rPr>
        <w:t>Poor people can receive medical help in their own homes for illness, accidents and childbirth.</w:t>
      </w:r>
    </w:p>
    <w:p w14:paraId="1AB009B7" w14:textId="77777777" w:rsidR="00884281" w:rsidRDefault="00884281" w:rsidP="00884281">
      <w:pPr>
        <w:rPr>
          <w:rFonts w:ascii="Times New Roman" w:hAnsi="Times New Roman" w:cs="Times New Roman"/>
        </w:rPr>
      </w:pPr>
    </w:p>
    <w:p w14:paraId="70BA072D" w14:textId="69D987CB" w:rsidR="00884281" w:rsidRDefault="00884281" w:rsidP="00884281">
      <w:pPr>
        <w:rPr>
          <w:rFonts w:ascii="Times New Roman" w:hAnsi="Times New Roman" w:cs="Times New Roman"/>
        </w:rPr>
      </w:pPr>
      <w:r>
        <w:rPr>
          <w:rFonts w:ascii="Times New Roman" w:hAnsi="Times New Roman" w:cs="Times New Roman"/>
        </w:rPr>
        <w:t xml:space="preserve">Matters came to a head when Poor Law medical officers began complaining through the Poor Law Medical Officer’s Association and through the Workhouse Visiting Society about conditions in workhouse hospitals. Letters of complaint were published in </w:t>
      </w:r>
      <w:r w:rsidRPr="00884281">
        <w:rPr>
          <w:rFonts w:ascii="Times New Roman" w:hAnsi="Times New Roman" w:cs="Times New Roman"/>
          <w:i/>
        </w:rPr>
        <w:t>The Lancet</w:t>
      </w:r>
      <w:r>
        <w:rPr>
          <w:rFonts w:ascii="Times New Roman" w:hAnsi="Times New Roman" w:cs="Times New Roman"/>
          <w:i/>
        </w:rPr>
        <w:t xml:space="preserve"> </w:t>
      </w:r>
      <w:r>
        <w:rPr>
          <w:rFonts w:ascii="Times New Roman" w:hAnsi="Times New Roman" w:cs="Times New Roman"/>
        </w:rPr>
        <w:t>, which initiated an enquiry into the conditions in London workhouse hospitals. Gradually the public became aware that something had to be done. There was a change of policy and sick paupers were to be treated in hospitals that were separate from the workhouse. This was the first step to separate pauperism from sickness. By 1900 the Poor Law was providing a national state-funded system of medical care for paupers and poor.</w:t>
      </w:r>
    </w:p>
    <w:p w14:paraId="711C6848" w14:textId="4CBB66A1" w:rsidR="00884281" w:rsidRDefault="00884281" w:rsidP="00884281">
      <w:pPr>
        <w:rPr>
          <w:rFonts w:ascii="Times New Roman" w:hAnsi="Times New Roman" w:cs="Times New Roman"/>
        </w:rPr>
      </w:pPr>
      <w:r>
        <w:rPr>
          <w:rFonts w:ascii="Times New Roman" w:hAnsi="Times New Roman" w:cs="Times New Roman"/>
        </w:rPr>
        <w:t xml:space="preserve">The connections between medicine and less eligibility were well and truly broken. Gradually the move had been made from stigmatized, pauperized medicine to a basic medical service for the poor </w:t>
      </w:r>
      <w:r w:rsidR="00DC6CF8">
        <w:rPr>
          <w:rFonts w:ascii="Times New Roman" w:hAnsi="Times New Roman" w:cs="Times New Roman"/>
        </w:rPr>
        <w:t xml:space="preserve">for </w:t>
      </w:r>
      <w:r>
        <w:rPr>
          <w:rFonts w:ascii="Times New Roman" w:hAnsi="Times New Roman" w:cs="Times New Roman"/>
        </w:rPr>
        <w:t>which they did n</w:t>
      </w:r>
      <w:r w:rsidR="00DC6CF8">
        <w:rPr>
          <w:rFonts w:ascii="Times New Roman" w:hAnsi="Times New Roman" w:cs="Times New Roman"/>
        </w:rPr>
        <w:t xml:space="preserve">ot have to pay. </w:t>
      </w:r>
    </w:p>
    <w:p w14:paraId="42EB7438" w14:textId="77777777" w:rsidR="00DC6CF8" w:rsidRDefault="00DC6CF8" w:rsidP="00884281">
      <w:pPr>
        <w:rPr>
          <w:rFonts w:ascii="Times New Roman" w:hAnsi="Times New Roman" w:cs="Times New Roman"/>
        </w:rPr>
      </w:pPr>
    </w:p>
    <w:p w14:paraId="04F47194" w14:textId="30B5E267" w:rsidR="00DC6CF8" w:rsidRDefault="00DC6CF8" w:rsidP="00884281">
      <w:pPr>
        <w:rPr>
          <w:rFonts w:ascii="Times New Roman" w:hAnsi="Times New Roman" w:cs="Times New Roman"/>
          <w:b/>
        </w:rPr>
      </w:pPr>
      <w:r w:rsidRPr="00DC6CF8">
        <w:rPr>
          <w:rFonts w:ascii="Times New Roman" w:hAnsi="Times New Roman" w:cs="Times New Roman"/>
          <w:b/>
        </w:rPr>
        <w:t>Elderly Paupers</w:t>
      </w:r>
    </w:p>
    <w:p w14:paraId="4C5D06D4" w14:textId="77777777" w:rsidR="00DC6CF8" w:rsidRDefault="00DC6CF8" w:rsidP="00884281">
      <w:pPr>
        <w:rPr>
          <w:rFonts w:ascii="Times New Roman" w:hAnsi="Times New Roman" w:cs="Times New Roman"/>
          <w:b/>
        </w:rPr>
      </w:pPr>
    </w:p>
    <w:p w14:paraId="27DBD2C7" w14:textId="58DD77FE" w:rsidR="00DC6CF8" w:rsidRDefault="00DC6CF8" w:rsidP="00884281">
      <w:pPr>
        <w:rPr>
          <w:rFonts w:ascii="Times New Roman" w:hAnsi="Times New Roman" w:cs="Times New Roman"/>
        </w:rPr>
      </w:pPr>
      <w:r w:rsidRPr="00DC6CF8">
        <w:rPr>
          <w:rFonts w:ascii="Times New Roman" w:hAnsi="Times New Roman" w:cs="Times New Roman"/>
        </w:rPr>
        <w:t>The separation of the elderly, married paupers was perhaps the one provision of 1834 administrative arrangements that caused the most anguish among the paupers and most disquiet among the general public.</w:t>
      </w:r>
      <w:r>
        <w:rPr>
          <w:rFonts w:ascii="Times New Roman" w:hAnsi="Times New Roman" w:cs="Times New Roman"/>
        </w:rPr>
        <w:t xml:space="preserve"> Attempts were made to ease this compulsory separation. In 1847 the PLB ruled that separate bedrooms should be provided for couples aged over 60 if they asked for them. But few in reality were made available and in 1895 only 200 elderly couples were sharing a workhouse bedroom.</w:t>
      </w:r>
    </w:p>
    <w:p w14:paraId="44324DBF" w14:textId="77777777" w:rsidR="00DC6CF8" w:rsidRDefault="00DC6CF8" w:rsidP="00884281">
      <w:pPr>
        <w:rPr>
          <w:rFonts w:ascii="Times New Roman" w:hAnsi="Times New Roman" w:cs="Times New Roman"/>
        </w:rPr>
      </w:pPr>
    </w:p>
    <w:p w14:paraId="435142C9" w14:textId="6F7FE658" w:rsidR="00DC6CF8" w:rsidRDefault="00DC6CF8" w:rsidP="00884281">
      <w:pPr>
        <w:rPr>
          <w:rFonts w:ascii="Times New Roman" w:hAnsi="Times New Roman" w:cs="Times New Roman"/>
        </w:rPr>
      </w:pPr>
      <w:r>
        <w:rPr>
          <w:rFonts w:ascii="Times New Roman" w:hAnsi="Times New Roman" w:cs="Times New Roman"/>
        </w:rPr>
        <w:t>In 1895, 1899 and 1900 the LGB issued circulars specifically on the treatment of elderly paupers. It stated that boards of guardians should:</w:t>
      </w:r>
    </w:p>
    <w:p w14:paraId="1F7BE7FF" w14:textId="77777777" w:rsidR="00DC6CF8" w:rsidRDefault="00DC6CF8" w:rsidP="00884281">
      <w:pPr>
        <w:rPr>
          <w:rFonts w:ascii="Times New Roman" w:hAnsi="Times New Roman" w:cs="Times New Roman"/>
        </w:rPr>
      </w:pPr>
    </w:p>
    <w:p w14:paraId="18B4AD77" w14:textId="6D789E9E" w:rsidR="00DC6CF8" w:rsidRDefault="00DC6CF8" w:rsidP="00DC6CF8">
      <w:pPr>
        <w:pStyle w:val="ListParagraph"/>
        <w:numPr>
          <w:ilvl w:val="0"/>
          <w:numId w:val="5"/>
        </w:numPr>
        <w:rPr>
          <w:rFonts w:ascii="Times New Roman" w:hAnsi="Times New Roman" w:cs="Times New Roman"/>
        </w:rPr>
      </w:pPr>
      <w:r>
        <w:rPr>
          <w:rFonts w:ascii="Times New Roman" w:hAnsi="Times New Roman" w:cs="Times New Roman"/>
        </w:rPr>
        <w:t>give adequate outdoor relief to the ‘aged deserving poor’ and only receive the elderly into the workhouse if they could not manage on outdoor relief;</w:t>
      </w:r>
    </w:p>
    <w:p w14:paraId="21023A05" w14:textId="6EC6ACCB" w:rsidR="00DC6CF8" w:rsidRDefault="00DC6CF8" w:rsidP="00DC6CF8">
      <w:pPr>
        <w:pStyle w:val="ListParagraph"/>
        <w:numPr>
          <w:ilvl w:val="0"/>
          <w:numId w:val="5"/>
        </w:numPr>
        <w:rPr>
          <w:rFonts w:ascii="Times New Roman" w:hAnsi="Times New Roman" w:cs="Times New Roman"/>
        </w:rPr>
      </w:pPr>
      <w:r>
        <w:rPr>
          <w:rFonts w:ascii="Times New Roman" w:hAnsi="Times New Roman" w:cs="Times New Roman"/>
        </w:rPr>
        <w:t>grant privileges to elderly paupers inside the workhouse so that they were made more comfortable than the other inmates. These privileges were to include such things as separate day-rooms, a flexible programme of eating and sleeping times, open visiting, tobacco and extra tea;</w:t>
      </w:r>
    </w:p>
    <w:p w14:paraId="492791A4" w14:textId="16739CAA" w:rsidR="00DC6CF8" w:rsidRDefault="00DC6CF8" w:rsidP="00DC6CF8">
      <w:pPr>
        <w:pStyle w:val="ListParagraph"/>
        <w:numPr>
          <w:ilvl w:val="0"/>
          <w:numId w:val="5"/>
        </w:numPr>
        <w:rPr>
          <w:rFonts w:ascii="Times New Roman" w:hAnsi="Times New Roman" w:cs="Times New Roman"/>
        </w:rPr>
      </w:pPr>
      <w:r>
        <w:rPr>
          <w:rFonts w:ascii="Times New Roman" w:hAnsi="Times New Roman" w:cs="Times New Roman"/>
        </w:rPr>
        <w:t>remove</w:t>
      </w:r>
      <w:r w:rsidR="00D14B41">
        <w:rPr>
          <w:rFonts w:ascii="Times New Roman" w:hAnsi="Times New Roman" w:cs="Times New Roman"/>
        </w:rPr>
        <w:t xml:space="preserve"> most disciplinary rules, including the requirements to wear a pauper uniform.</w:t>
      </w:r>
    </w:p>
    <w:p w14:paraId="36848F20" w14:textId="446030E8" w:rsidR="00D14B41" w:rsidRPr="00D14B41" w:rsidRDefault="00D14B41" w:rsidP="00D14B41">
      <w:pPr>
        <w:rPr>
          <w:rFonts w:ascii="Times New Roman" w:hAnsi="Times New Roman" w:cs="Times New Roman"/>
        </w:rPr>
      </w:pPr>
      <w:r>
        <w:rPr>
          <w:rFonts w:ascii="Times New Roman" w:hAnsi="Times New Roman" w:cs="Times New Roman"/>
        </w:rPr>
        <w:t>Humanitarian for the time these arrangements might seem, nevertheless many poor working people viewed their old age with fear and trepidation. The workhouse cast a long shadow.</w:t>
      </w:r>
      <w:bookmarkStart w:id="0" w:name="_GoBack"/>
      <w:bookmarkEnd w:id="0"/>
    </w:p>
    <w:p w14:paraId="0AE3CDB5" w14:textId="77777777" w:rsidR="00884281" w:rsidRPr="00DC6CF8" w:rsidRDefault="00884281" w:rsidP="00884281">
      <w:pPr>
        <w:rPr>
          <w:rFonts w:ascii="Times New Roman" w:hAnsi="Times New Roman" w:cs="Times New Roman"/>
        </w:rPr>
      </w:pPr>
    </w:p>
    <w:p w14:paraId="0DCF9F3C" w14:textId="77777777" w:rsidR="00884281" w:rsidRPr="00884281" w:rsidRDefault="00884281" w:rsidP="00884281">
      <w:pPr>
        <w:rPr>
          <w:rFonts w:ascii="Times New Roman" w:hAnsi="Times New Roman" w:cs="Times New Roman"/>
        </w:rPr>
      </w:pPr>
    </w:p>
    <w:p w14:paraId="361A9AAE" w14:textId="77777777" w:rsidR="00925586" w:rsidRPr="00925586" w:rsidRDefault="00925586" w:rsidP="00D47A74">
      <w:pPr>
        <w:rPr>
          <w:rFonts w:ascii="Times New Roman" w:hAnsi="Times New Roman" w:cs="Times New Roman"/>
          <w:b/>
        </w:rPr>
      </w:pPr>
    </w:p>
    <w:sectPr w:rsidR="00925586" w:rsidRPr="00925586" w:rsidSect="0060326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Ｐ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118B6"/>
    <w:multiLevelType w:val="hybridMultilevel"/>
    <w:tmpl w:val="8138C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376E3"/>
    <w:multiLevelType w:val="hybridMultilevel"/>
    <w:tmpl w:val="8E0C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A240F2"/>
    <w:multiLevelType w:val="hybridMultilevel"/>
    <w:tmpl w:val="83920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303A1E"/>
    <w:multiLevelType w:val="hybridMultilevel"/>
    <w:tmpl w:val="9BF81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6E5BA1"/>
    <w:multiLevelType w:val="hybridMultilevel"/>
    <w:tmpl w:val="EA207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859"/>
    <w:rsid w:val="000D3986"/>
    <w:rsid w:val="00402D09"/>
    <w:rsid w:val="00476410"/>
    <w:rsid w:val="0060326A"/>
    <w:rsid w:val="006B5597"/>
    <w:rsid w:val="00884281"/>
    <w:rsid w:val="00925586"/>
    <w:rsid w:val="00A01859"/>
    <w:rsid w:val="00A129B6"/>
    <w:rsid w:val="00B27A88"/>
    <w:rsid w:val="00B66B68"/>
    <w:rsid w:val="00BC6945"/>
    <w:rsid w:val="00C62F18"/>
    <w:rsid w:val="00CC6CFD"/>
    <w:rsid w:val="00CD5ECF"/>
    <w:rsid w:val="00D14B41"/>
    <w:rsid w:val="00D47A74"/>
    <w:rsid w:val="00DC6CF8"/>
    <w:rsid w:val="00DD5B4B"/>
    <w:rsid w:val="00DE0305"/>
    <w:rsid w:val="00E122C9"/>
    <w:rsid w:val="00FF46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01F4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A74"/>
    <w:pPr>
      <w:ind w:left="720"/>
      <w:contextualSpacing/>
    </w:pPr>
  </w:style>
  <w:style w:type="table" w:styleId="TableGrid">
    <w:name w:val="Table Grid"/>
    <w:basedOn w:val="TableNormal"/>
    <w:uiPriority w:val="59"/>
    <w:rsid w:val="00FF46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A74"/>
    <w:pPr>
      <w:ind w:left="720"/>
      <w:contextualSpacing/>
    </w:pPr>
  </w:style>
  <w:style w:type="table" w:styleId="TableGrid">
    <w:name w:val="Table Grid"/>
    <w:basedOn w:val="TableNormal"/>
    <w:uiPriority w:val="59"/>
    <w:rsid w:val="00FF46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larity">
  <a:themeElements>
    <a:clrScheme name="Clarity">
      <a:dk1>
        <a:srgbClr val="292934"/>
      </a:dk1>
      <a:lt1>
        <a:srgbClr val="FFFFFF"/>
      </a:lt1>
      <a:dk2>
        <a:srgbClr val="D2533C"/>
      </a:dk2>
      <a:lt2>
        <a:srgbClr val="F3F2DC"/>
      </a:lt2>
      <a:accent1>
        <a:srgbClr val="93A299"/>
      </a:accent1>
      <a:accent2>
        <a:srgbClr val="AD8F67"/>
      </a:accent2>
      <a:accent3>
        <a:srgbClr val="726056"/>
      </a:accent3>
      <a:accent4>
        <a:srgbClr val="4C5A6A"/>
      </a:accent4>
      <a:accent5>
        <a:srgbClr val="808DA0"/>
      </a:accent5>
      <a:accent6>
        <a:srgbClr val="79463D"/>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华文新魏"/>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华文新魏"/>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larity">
      <a:fillStyleLst>
        <a:solidFill>
          <a:schemeClr val="phClr"/>
        </a:solidFill>
        <a:gradFill rotWithShape="1">
          <a:gsLst>
            <a:gs pos="0">
              <a:schemeClr val="phClr">
                <a:tint val="50000"/>
                <a:shade val="86000"/>
                <a:satMod val="140000"/>
              </a:schemeClr>
            </a:gs>
            <a:gs pos="45000">
              <a:schemeClr val="phClr">
                <a:tint val="48000"/>
                <a:satMod val="150000"/>
              </a:schemeClr>
            </a:gs>
            <a:gs pos="100000">
              <a:schemeClr val="phClr">
                <a:tint val="28000"/>
                <a:satMod val="160000"/>
              </a:schemeClr>
            </a:gs>
          </a:gsLst>
          <a:path path="circle">
            <a:fillToRect l="100000" t="100000" r="100000" b="100000"/>
          </a:path>
        </a:gradFill>
        <a:gradFill rotWithShape="1">
          <a:gsLst>
            <a:gs pos="0">
              <a:schemeClr val="phClr">
                <a:shade val="70000"/>
                <a:satMod val="150000"/>
              </a:schemeClr>
            </a:gs>
            <a:gs pos="34000">
              <a:schemeClr val="phClr">
                <a:shade val="70000"/>
                <a:satMod val="140000"/>
              </a:schemeClr>
            </a:gs>
            <a:gs pos="70000">
              <a:schemeClr val="phClr">
                <a:tint val="100000"/>
                <a:shade val="90000"/>
                <a:satMod val="140000"/>
              </a:schemeClr>
            </a:gs>
            <a:gs pos="100000">
              <a:schemeClr val="phClr">
                <a:tint val="100000"/>
                <a:shade val="100000"/>
                <a:satMod val="100000"/>
              </a:schemeClr>
            </a:gs>
          </a:gsLst>
          <a:path path="circle">
            <a:fillToRect l="100000" t="100000" r="100000" b="100000"/>
          </a:path>
        </a:gradFill>
      </a:fillStyleLst>
      <a:lnStyleLst>
        <a:ln w="9525" cap="flat" cmpd="sng" algn="ctr">
          <a:solidFill>
            <a:schemeClr val="phClr"/>
          </a:solidFill>
          <a:prstDash val="solid"/>
        </a:ln>
        <a:ln w="26425" cap="flat" cmpd="sng" algn="ctr">
          <a:solidFill>
            <a:schemeClr val="phClr"/>
          </a:solidFill>
          <a:prstDash val="solid"/>
        </a:ln>
        <a:ln w="4445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38100" dist="25400" dir="2700000" algn="br" rotWithShape="0">
              <a:srgbClr val="000000">
                <a:alpha val="60000"/>
              </a:srgbClr>
            </a:outerShdw>
          </a:effectLst>
          <a:scene3d>
            <a:camera prst="orthographicFront">
              <a:rot lat="0" lon="0" rev="0"/>
            </a:camera>
            <a:lightRig rig="balanced" dir="t">
              <a:rot lat="0" lon="0" rev="5100000"/>
            </a:lightRig>
          </a:scene3d>
          <a:sp3d contourW="6350">
            <a:bevelT w="29210" h="12700"/>
            <a:contourClr>
              <a:schemeClr val="phClr">
                <a:shade val="30000"/>
                <a:satMod val="130000"/>
              </a:schemeClr>
            </a:contourClr>
          </a:sp3d>
        </a:effectStyle>
      </a:effectStyleLst>
      <a:bgFillStyleLst>
        <a:solidFill>
          <a:schemeClr val="phClr"/>
        </a:solidFill>
        <a:gradFill rotWithShape="1">
          <a:gsLst>
            <a:gs pos="0">
              <a:schemeClr val="phClr">
                <a:tint val="85000"/>
                <a:satMod val="180000"/>
              </a:schemeClr>
            </a:gs>
            <a:gs pos="40000">
              <a:schemeClr val="phClr">
                <a:tint val="95000"/>
                <a:shade val="85000"/>
                <a:satMod val="150000"/>
              </a:schemeClr>
            </a:gs>
            <a:gs pos="100000">
              <a:schemeClr val="phClr">
                <a:shade val="45000"/>
                <a:satMod val="200000"/>
              </a:schemeClr>
            </a:gs>
          </a:gsLst>
          <a:lin ang="5400000" scaled="0"/>
        </a:gradFill>
        <a:blipFill rotWithShape="1">
          <a:blip xmlns:r="http://schemas.openxmlformats.org/officeDocument/2006/relationships" r:embed="rId1">
            <a:duotone>
              <a:schemeClr val="phClr">
                <a:shade val="55000"/>
              </a:schemeClr>
              <a:schemeClr val="phClr">
                <a:tint val="97000"/>
                <a:satMod val="95000"/>
              </a:schemeClr>
            </a:duotone>
          </a:blip>
          <a:tile tx="0" ty="0" sx="70000" sy="70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6</Pages>
  <Words>2497</Words>
  <Characters>14239</Characters>
  <Application>Microsoft Macintosh Word</Application>
  <DocSecurity>0</DocSecurity>
  <Lines>118</Lines>
  <Paragraphs>33</Paragraphs>
  <ScaleCrop>false</ScaleCrop>
  <Company>Insight2Wales</Company>
  <LinksUpToDate>false</LinksUpToDate>
  <CharactersWithSpaces>16703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Conway Davies</dc:creator>
  <cp:keywords/>
  <dc:description/>
  <cp:lastModifiedBy>Conway Davies</cp:lastModifiedBy>
  <cp:revision>3</cp:revision>
  <dcterms:created xsi:type="dcterms:W3CDTF">2014-10-27T20:04:00Z</dcterms:created>
  <dcterms:modified xsi:type="dcterms:W3CDTF">2014-10-29T09:31:00Z</dcterms:modified>
</cp:coreProperties>
</file>