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7D8AD" w14:textId="66B398DF" w:rsidR="00AF2809" w:rsidRDefault="0061104F">
      <w:pPr>
        <w:rPr>
          <w:b/>
        </w:rPr>
      </w:pPr>
      <w:r>
        <w:rPr>
          <w:b/>
        </w:rPr>
        <w:t xml:space="preserve"> </w:t>
      </w:r>
      <w:r w:rsidR="00FF6E82">
        <w:rPr>
          <w:b/>
        </w:rPr>
        <w:t>Assess the effectiveness of the child welfare reforms in the nineteenth century and early twentieth century with reference to south-west Wales.</w:t>
      </w:r>
    </w:p>
    <w:p w14:paraId="06405E16" w14:textId="77777777" w:rsidR="00FF6E82" w:rsidRDefault="00FF6E82"/>
    <w:p w14:paraId="6E662192" w14:textId="738CF61D" w:rsidR="00FF6E82" w:rsidRDefault="00FF6E82">
      <w:r>
        <w:t xml:space="preserve">The nineteenth century in south-west Wales, as in the whole of the UK, was a time of rapid change in agriculture and rural life as the impact of industrialisation took effect even in the most far-flung areas. These changes created new challenges for society at all levels and one of the main issues of concern was the welfare of children. As clearly described by Bernard Harris </w:t>
      </w:r>
      <w:sdt>
        <w:sdtPr>
          <w:id w:val="1519425056"/>
          <w:citation/>
        </w:sdtPr>
        <w:sdtEndPr/>
        <w:sdtContent>
          <w:r>
            <w:fldChar w:fldCharType="begin"/>
          </w:r>
          <w:r>
            <w:instrText xml:space="preserve"> CITATION Ber04 \l 2057 </w:instrText>
          </w:r>
          <w:r>
            <w:fldChar w:fldCharType="separate"/>
          </w:r>
          <w:r w:rsidR="002564FF" w:rsidRPr="002564FF">
            <w:rPr>
              <w:noProof/>
            </w:rPr>
            <w:t>(Harris, 2004)</w:t>
          </w:r>
          <w:r>
            <w:fldChar w:fldCharType="end"/>
          </w:r>
        </w:sdtContent>
      </w:sdt>
      <w:r w:rsidR="00121E41">
        <w:rPr>
          <w:rStyle w:val="FootnoteReference"/>
        </w:rPr>
        <w:footnoteReference w:id="1"/>
      </w:r>
      <w:r w:rsidR="00126256">
        <w:t xml:space="preserve"> the start of this period saw the role of the state as:</w:t>
      </w:r>
    </w:p>
    <w:p w14:paraId="5F22C4FD" w14:textId="77777777" w:rsidR="00126256" w:rsidRDefault="00126256" w:rsidP="00126256">
      <w:pPr>
        <w:ind w:left="720"/>
      </w:pPr>
      <w:r>
        <w:t>…limited to servicing of the national debt, the maintenance of the army and navy, and the administration of the Poor Laws.</w:t>
      </w:r>
    </w:p>
    <w:p w14:paraId="53EC0DED" w14:textId="3A1F3B61" w:rsidR="00126256" w:rsidRDefault="00126256" w:rsidP="00126256">
      <w:r>
        <w:t xml:space="preserve">In remote south-west Wales agriculture was the dominant occupation and remained so, even when much of the rest of south Wales became industrialised </w:t>
      </w:r>
      <w:sdt>
        <w:sdtPr>
          <w:id w:val="-2079203641"/>
          <w:citation/>
        </w:sdtPr>
        <w:sdtEndPr/>
        <w:sdtContent>
          <w:r>
            <w:fldChar w:fldCharType="begin"/>
          </w:r>
          <w:r>
            <w:instrText xml:space="preserve"> CITATION Dav711 \l 2057 </w:instrText>
          </w:r>
          <w:r>
            <w:fldChar w:fldCharType="separate"/>
          </w:r>
          <w:r w:rsidR="002564FF" w:rsidRPr="002564FF">
            <w:rPr>
              <w:noProof/>
            </w:rPr>
            <w:t>(Jenkins, 1971)</w:t>
          </w:r>
          <w:r>
            <w:fldChar w:fldCharType="end"/>
          </w:r>
        </w:sdtContent>
      </w:sdt>
      <w:r>
        <w:t>.</w:t>
      </w:r>
      <w:r w:rsidR="00121E41">
        <w:rPr>
          <w:rStyle w:val="FootnoteReference"/>
        </w:rPr>
        <w:footnoteReference w:id="2"/>
      </w:r>
      <w:r>
        <w:t xml:space="preserve"> As a whole</w:t>
      </w:r>
      <w:r w:rsidR="000A02BB">
        <w:t>,</w:t>
      </w:r>
      <w:r>
        <w:t xml:space="preserve"> Wales was a country of young people, as life expectancy was so low – in 1841 36.1% were under 15 and this had only changed to 35% half a century later</w:t>
      </w:r>
      <w:sdt>
        <w:sdtPr>
          <w:id w:val="1543180713"/>
          <w:citation/>
        </w:sdtPr>
        <w:sdtEndPr/>
        <w:sdtContent>
          <w:r>
            <w:fldChar w:fldCharType="begin"/>
          </w:r>
          <w:r>
            <w:instrText xml:space="preserve"> CITATION Gin09 \l 2057 </w:instrText>
          </w:r>
          <w:r>
            <w:fldChar w:fldCharType="separate"/>
          </w:r>
          <w:r w:rsidR="002564FF">
            <w:rPr>
              <w:noProof/>
            </w:rPr>
            <w:t xml:space="preserve"> </w:t>
          </w:r>
          <w:r w:rsidR="002564FF" w:rsidRPr="002564FF">
            <w:rPr>
              <w:noProof/>
            </w:rPr>
            <w:t>(Frost, 2009)</w:t>
          </w:r>
          <w:r>
            <w:fldChar w:fldCharType="end"/>
          </w:r>
        </w:sdtContent>
      </w:sdt>
      <w:r w:rsidR="0098597A">
        <w:t>.</w:t>
      </w:r>
      <w:r w:rsidR="00121E41">
        <w:rPr>
          <w:rStyle w:val="FootnoteReference"/>
        </w:rPr>
        <w:footnoteReference w:id="3"/>
      </w:r>
      <w:r w:rsidR="0098597A">
        <w:t xml:space="preserve"> The fundamental reforms begun in the Victorian age and continued into the twentieth century have influenced the care of children ever since.</w:t>
      </w:r>
      <w:r w:rsidR="00170235">
        <w:t xml:space="preserve"> Child welfare reforms </w:t>
      </w:r>
      <w:r w:rsidR="00253139">
        <w:t>were</w:t>
      </w:r>
      <w:r w:rsidR="00170235">
        <w:t xml:space="preserve"> those systems set up to ensure that children are safe and growing up in permanent families wherever possible, where their well-being is paramount.</w:t>
      </w:r>
    </w:p>
    <w:p w14:paraId="3DDD7D0B" w14:textId="2BC8FF12" w:rsidR="00253446" w:rsidRDefault="003057F5" w:rsidP="00126256">
      <w:r>
        <w:t>For poor or illegitimate children life chances in the nineteenth century were limited</w:t>
      </w:r>
      <w:r w:rsidR="00737CF7">
        <w:t xml:space="preserve"> and many did not get to live at all – in 1864 alone 4 servants had been convicted just in Pembrokeshire </w:t>
      </w:r>
      <w:r w:rsidR="00BF4BD0">
        <w:t xml:space="preserve">for concealing the births of their unwanted babies – all hidden </w:t>
      </w:r>
      <w:r w:rsidR="00DF7798">
        <w:t>in boxes and presumably suffocated at birth</w:t>
      </w:r>
      <w:sdt>
        <w:sdtPr>
          <w:id w:val="1240520357"/>
          <w:citation/>
        </w:sdtPr>
        <w:sdtEndPr/>
        <w:sdtContent>
          <w:r w:rsidR="00DF7798">
            <w:fldChar w:fldCharType="begin"/>
          </w:r>
          <w:r w:rsidR="00DF7798">
            <w:instrText xml:space="preserve"> CITATION DGa892 \l 2057 </w:instrText>
          </w:r>
          <w:r w:rsidR="00DF7798">
            <w:fldChar w:fldCharType="separate"/>
          </w:r>
          <w:r w:rsidR="002564FF">
            <w:rPr>
              <w:noProof/>
            </w:rPr>
            <w:t xml:space="preserve"> </w:t>
          </w:r>
          <w:r w:rsidR="002564FF" w:rsidRPr="002564FF">
            <w:rPr>
              <w:noProof/>
            </w:rPr>
            <w:t>(Evans, 1989)</w:t>
          </w:r>
          <w:r w:rsidR="00DF7798">
            <w:fldChar w:fldCharType="end"/>
          </w:r>
        </w:sdtContent>
      </w:sdt>
      <w:r w:rsidR="00121E41">
        <w:rPr>
          <w:rStyle w:val="FootnoteReference"/>
        </w:rPr>
        <w:footnoteReference w:id="4"/>
      </w:r>
      <w:r w:rsidR="009E2707">
        <w:t>.</w:t>
      </w:r>
      <w:r w:rsidR="00AF337C">
        <w:t>Infanticide was common.</w:t>
      </w:r>
      <w:r w:rsidR="009E2707">
        <w:t xml:space="preserve"> The 1834 </w:t>
      </w:r>
      <w:r w:rsidR="00492377">
        <w:t>Bastardy Clause in the new Poor Law meant that all children were solely their mother’s concern</w:t>
      </w:r>
      <w:r w:rsidR="00CF18C2">
        <w:t xml:space="preserve"> no matter how the child was conceived and the circumstances of the mother</w:t>
      </w:r>
      <w:r w:rsidR="00996AB0">
        <w:t xml:space="preserve">. </w:t>
      </w:r>
      <w:r w:rsidR="000A0FE0">
        <w:t>Unless the parent had a support network, there was no longer any other aid available.</w:t>
      </w:r>
      <w:r w:rsidR="00F61AA4">
        <w:t xml:space="preserve"> </w:t>
      </w:r>
      <w:r w:rsidR="00996AB0">
        <w:t>The Lord Chancellor went as far as to describe these unfortunate women</w:t>
      </w:r>
      <w:r w:rsidR="00631769">
        <w:t xml:space="preserve"> as:</w:t>
      </w:r>
    </w:p>
    <w:p w14:paraId="2B237005" w14:textId="2E90B22D" w:rsidR="00631769" w:rsidRDefault="00631769" w:rsidP="00631769">
      <w:pPr>
        <w:ind w:left="720"/>
      </w:pPr>
      <w:r>
        <w:t xml:space="preserve">…lazy, worthless and </w:t>
      </w:r>
      <w:r w:rsidR="009050A9">
        <w:t>ignominious class who pursue their self-gratification at the expense of the earnings of the industrious part of the community</w:t>
      </w:r>
      <w:r w:rsidR="00BE3C8C">
        <w:t>…illegitimacy …will become as rare as it is among those classes</w:t>
      </w:r>
      <w:r w:rsidR="00CE3ABA">
        <w:t xml:space="preserve"> in this country who are above parish relief.</w:t>
      </w:r>
    </w:p>
    <w:p w14:paraId="001039F3" w14:textId="2BA5E51E" w:rsidR="00CE3ABA" w:rsidRDefault="00CE3ABA" w:rsidP="00CE3ABA">
      <w:r>
        <w:t>No wonder that , especially in poor rural areas such as south-west Wales, it was vital for children to begin to earn</w:t>
      </w:r>
      <w:r w:rsidR="00DB2E02">
        <w:t xml:space="preserve"> as soon as they could to contribute to the family resources – many began at age 5 or 6.</w:t>
      </w:r>
      <w:r w:rsidR="00A52FAA">
        <w:t xml:space="preserve"> At the start of the nineteenth century school attendance was not required</w:t>
      </w:r>
      <w:r w:rsidR="00A82478">
        <w:t>, but concern was growing about the commencement of work amongst such small children.</w:t>
      </w:r>
      <w:r w:rsidR="00CD382C">
        <w:t xml:space="preserve"> It was customary to leave school as soon as possible to begin work, even amongst those that did attend.</w:t>
      </w:r>
      <w:r w:rsidR="002F3131">
        <w:t xml:space="preserve"> Growing up hungry and cold was the norm for most.</w:t>
      </w:r>
      <w:r w:rsidR="00F61AA4">
        <w:t xml:space="preserve"> Mothers worked constantly to try and bring up the children, keep house and earn some extra money alongside, often taking in work and always busy. </w:t>
      </w:r>
      <w:r w:rsidR="00020C23">
        <w:t xml:space="preserve">The Museum of Wales phots gallery has examples of women multi-tasking such as the image of two women knitting whilst leaning on a watermill, one with a baby in a sling too </w:t>
      </w:r>
      <w:sdt>
        <w:sdtPr>
          <w:id w:val="21908231"/>
          <w:citation/>
        </w:sdtPr>
        <w:sdtEndPr/>
        <w:sdtContent>
          <w:r w:rsidR="00020C23">
            <w:fldChar w:fldCharType="begin"/>
          </w:r>
          <w:r w:rsidR="00020C23">
            <w:instrText xml:space="preserve"> CITATION Wom \l 2057 </w:instrText>
          </w:r>
          <w:r w:rsidR="00020C23">
            <w:fldChar w:fldCharType="separate"/>
          </w:r>
          <w:r w:rsidR="002564FF" w:rsidRPr="002564FF">
            <w:rPr>
              <w:noProof/>
            </w:rPr>
            <w:t>(Anon., n.d.)</w:t>
          </w:r>
          <w:r w:rsidR="00020C23">
            <w:fldChar w:fldCharType="end"/>
          </w:r>
        </w:sdtContent>
      </w:sdt>
      <w:r w:rsidR="007E1BE7">
        <w:t>.</w:t>
      </w:r>
      <w:r w:rsidR="00121E41">
        <w:rPr>
          <w:rStyle w:val="FootnoteReference"/>
        </w:rPr>
        <w:footnoteReference w:id="5"/>
      </w:r>
    </w:p>
    <w:p w14:paraId="34A0CAE2" w14:textId="2A06FD0E" w:rsidR="007E1058" w:rsidRPr="007E1BE7" w:rsidRDefault="007E1058" w:rsidP="00CE3ABA">
      <w:r>
        <w:lastRenderedPageBreak/>
        <w:t xml:space="preserve">In south-west Wales </w:t>
      </w:r>
      <w:r w:rsidR="004D317B">
        <w:t xml:space="preserve">the nineteenth century was a hard place to grow up – most lived in </w:t>
      </w:r>
      <w:r w:rsidR="00547F0B">
        <w:t xml:space="preserve">thatched hovels with mud floors and tiny windows, eating a poor diet </w:t>
      </w:r>
      <w:r w:rsidR="00D146BA">
        <w:t>focussed mainly on wheaten or oatmeal bread, a little cheese or butter and fruit or meat rarely.</w:t>
      </w:r>
      <w:r w:rsidR="00EB3108">
        <w:t xml:space="preserve"> Writing of the accounts or travellers</w:t>
      </w:r>
      <w:r w:rsidR="00652909">
        <w:t xml:space="preserve">, Russell Davies states </w:t>
      </w:r>
      <w:sdt>
        <w:sdtPr>
          <w:id w:val="1760568665"/>
          <w:citation/>
        </w:sdtPr>
        <w:sdtEndPr/>
        <w:sdtContent>
          <w:r w:rsidR="00652909">
            <w:fldChar w:fldCharType="begin"/>
          </w:r>
          <w:r w:rsidR="00652909">
            <w:instrText xml:space="preserve"> CITATION Rus052 \l 2057 </w:instrText>
          </w:r>
          <w:r w:rsidR="00652909">
            <w:fldChar w:fldCharType="separate"/>
          </w:r>
          <w:r w:rsidR="002564FF" w:rsidRPr="002564FF">
            <w:rPr>
              <w:noProof/>
            </w:rPr>
            <w:t>(Davies, 2005)</w:t>
          </w:r>
          <w:r w:rsidR="00652909">
            <w:fldChar w:fldCharType="end"/>
          </w:r>
        </w:sdtContent>
      </w:sdt>
      <w:r w:rsidR="00121E41">
        <w:rPr>
          <w:rStyle w:val="FootnoteReference"/>
        </w:rPr>
        <w:footnoteReference w:id="6"/>
      </w:r>
      <w:r w:rsidR="00D14AD0">
        <w:t xml:space="preserve"> and detailing photographs depicting places of </w:t>
      </w:r>
      <w:r w:rsidR="00AA5F9C">
        <w:rPr>
          <w:i/>
        </w:rPr>
        <w:t xml:space="preserve">great loneliness, poverty and neglect </w:t>
      </w:r>
      <w:r w:rsidR="00AA5F9C">
        <w:t xml:space="preserve">with </w:t>
      </w:r>
      <w:r w:rsidR="00916AE4">
        <w:t xml:space="preserve">Llandovery highlighted by Malkin as </w:t>
      </w:r>
      <w:r w:rsidR="00916AE4">
        <w:rPr>
          <w:i/>
        </w:rPr>
        <w:t xml:space="preserve">a dreadful </w:t>
      </w:r>
      <w:r w:rsidR="000A02BB">
        <w:rPr>
          <w:i/>
        </w:rPr>
        <w:t xml:space="preserve">place </w:t>
      </w:r>
      <w:r w:rsidR="000A02BB">
        <w:t>and</w:t>
      </w:r>
      <w:r w:rsidR="00E4740B">
        <w:t xml:space="preserve"> Fishguard as a </w:t>
      </w:r>
      <w:r w:rsidR="00E4740B">
        <w:rPr>
          <w:i/>
        </w:rPr>
        <w:t>literal and bonafide dunghill.</w:t>
      </w:r>
      <w:r w:rsidR="007E1BE7">
        <w:rPr>
          <w:i/>
        </w:rPr>
        <w:t xml:space="preserve"> </w:t>
      </w:r>
      <w:r w:rsidR="007E1BE7">
        <w:t xml:space="preserve">Audio interviews of </w:t>
      </w:r>
      <w:r w:rsidR="0001702B">
        <w:t>women remembering their childhood in south-west Wales depict the appalling struggles involv</w:t>
      </w:r>
      <w:r w:rsidR="005D7CEA">
        <w:t>ed in late nineteenth century family life</w:t>
      </w:r>
      <w:r w:rsidR="00690C32">
        <w:t>. Once describe</w:t>
      </w:r>
      <w:r w:rsidR="00253139">
        <w:t>d</w:t>
      </w:r>
      <w:r w:rsidR="00690C32">
        <w:t xml:space="preserve"> the need to leave school at 11 to care for a baby sibling, repeated floodwater coming into the back of their home</w:t>
      </w:r>
      <w:r w:rsidR="008A09A2">
        <w:t>, living on a floor of sacks and planks with rats and an outdoor privy</w:t>
      </w:r>
      <w:r w:rsidR="00632CED">
        <w:t xml:space="preserve"> – hygiene impossible and very primitive </w:t>
      </w:r>
      <w:sdt>
        <w:sdtPr>
          <w:id w:val="-278109513"/>
          <w:citation/>
        </w:sdtPr>
        <w:sdtEndPr/>
        <w:sdtContent>
          <w:r w:rsidR="00632CED">
            <w:fldChar w:fldCharType="begin"/>
          </w:r>
          <w:r w:rsidR="00632CED">
            <w:instrText xml:space="preserve"> CITATION Mus \l 2057 </w:instrText>
          </w:r>
          <w:r w:rsidR="00632CED">
            <w:fldChar w:fldCharType="separate"/>
          </w:r>
          <w:r w:rsidR="002564FF" w:rsidRPr="002564FF">
            <w:rPr>
              <w:noProof/>
            </w:rPr>
            <w:t>(Anon., n.d.)</w:t>
          </w:r>
          <w:r w:rsidR="00632CED">
            <w:fldChar w:fldCharType="end"/>
          </w:r>
        </w:sdtContent>
      </w:sdt>
      <w:r w:rsidR="00457AD5">
        <w:t>.</w:t>
      </w:r>
      <w:r w:rsidR="00121E41">
        <w:rPr>
          <w:rStyle w:val="FootnoteReference"/>
        </w:rPr>
        <w:footnoteReference w:id="7"/>
      </w:r>
      <w:r w:rsidR="00457AD5">
        <w:t xml:space="preserve"> Another recall</w:t>
      </w:r>
      <w:r w:rsidR="00253139">
        <w:t>ed</w:t>
      </w:r>
      <w:r w:rsidR="00457AD5">
        <w:t xml:space="preserve"> her roles in the tin plate works in Carmarthenshire, placing bran on the hot plates – dangerous work for anyone, let alone a young girl.</w:t>
      </w:r>
      <w:r w:rsidR="00C03D50">
        <w:t xml:space="preserve"> She goes on to tell of wringing out the sweat from her clothes on getting home and being too tired to </w:t>
      </w:r>
      <w:r w:rsidR="004C31BB">
        <w:t>eat or sleep – degrading work, but only the lucky few found work in a shop or sewing.</w:t>
      </w:r>
    </w:p>
    <w:p w14:paraId="3E55261D" w14:textId="0989D2A8" w:rsidR="00FA2FDA" w:rsidRDefault="001F2F07" w:rsidP="00CE3ABA">
      <w:r>
        <w:t xml:space="preserve">Children in south-west Wales did not just work on the land, but also in the small mines and quarries. </w:t>
      </w:r>
      <w:r w:rsidR="002733FF">
        <w:t>They worked as bearers</w:t>
      </w:r>
      <w:r w:rsidR="00AF17D2">
        <w:t xml:space="preserve">, carrying baskets and always stooped from the weight of the coal. </w:t>
      </w:r>
      <w:r>
        <w:t xml:space="preserve">As early as 1842 the Employment of Children in Mines Act aimed to </w:t>
      </w:r>
      <w:r w:rsidR="00C51A7A">
        <w:t xml:space="preserve">reduce </w:t>
      </w:r>
      <w:r w:rsidR="000A02BB">
        <w:t>this.</w:t>
      </w:r>
      <w:r w:rsidR="00C51A7A">
        <w:t xml:space="preserve"> In his report R H Franks stated that:</w:t>
      </w:r>
    </w:p>
    <w:p w14:paraId="54079308" w14:textId="15C71B93" w:rsidR="00C51A7A" w:rsidRDefault="00AC7235" w:rsidP="00C51A7A">
      <w:pPr>
        <w:ind w:left="720"/>
      </w:pPr>
      <w:r>
        <w:t>If the Welsh mothers knew the dangers which awaited the physical constitution of her child by its exposure to the foul air of the colliery</w:t>
      </w:r>
      <w:r w:rsidR="00616792">
        <w:t xml:space="preserve"> at the immature of 5 years, no legislative enactment would be required to limit the age at which the boy should commence work.</w:t>
      </w:r>
    </w:p>
    <w:p w14:paraId="127984DC" w14:textId="54C2CBE7" w:rsidR="007E6A3B" w:rsidRPr="00DA1924" w:rsidRDefault="007E6A3B" w:rsidP="007E6A3B">
      <w:r>
        <w:t xml:space="preserve">Families were in desparate need of any extra funds and even a small child </w:t>
      </w:r>
      <w:r w:rsidR="00FB3F9E">
        <w:t xml:space="preserve">running errands, watching babies or raising rabbits </w:t>
      </w:r>
      <w:r w:rsidR="000A02BB">
        <w:t>would be</w:t>
      </w:r>
      <w:r w:rsidR="00FB3F9E">
        <w:t xml:space="preserve"> able to bring in some funds.</w:t>
      </w:r>
      <w:r w:rsidR="00BE1C51">
        <w:t xml:space="preserve"> As the changes to industrialisation </w:t>
      </w:r>
      <w:r w:rsidR="000A02BB">
        <w:t>came,</w:t>
      </w:r>
      <w:r w:rsidR="00BE1C51">
        <w:t xml:space="preserve"> the nature of children’s work </w:t>
      </w:r>
      <w:r w:rsidR="00B14EF9">
        <w:t>became even more damaging to their well-being as they were engaged in long days of endless toil</w:t>
      </w:r>
      <w:r w:rsidR="00523E4C">
        <w:t xml:space="preserve"> in extremely unhealthy conditions at the mercy of machines and masters.</w:t>
      </w:r>
      <w:r w:rsidR="00AB1B67">
        <w:t xml:space="preserve"> As late as the 1867 commission on child labour, the emphasis was not on </w:t>
      </w:r>
      <w:r w:rsidR="00EC0FB1">
        <w:t>how dreadful it was for them to work, but rather on their lack of education</w:t>
      </w:r>
      <w:r w:rsidR="000D000E">
        <w:t xml:space="preserve">. This was despite the comments that factory children were </w:t>
      </w:r>
      <w:r w:rsidR="00DA1924">
        <w:rPr>
          <w:i/>
        </w:rPr>
        <w:t>stunted and prematurely aged.</w:t>
      </w:r>
      <w:r w:rsidR="00EE3DA4">
        <w:t xml:space="preserve"> At least in south-west Wales there was not so much heavy industry</w:t>
      </w:r>
      <w:r w:rsidR="007863E8">
        <w:t xml:space="preserve"> as further east, but it was easier for employers to cover up the extreme youth of some employees.</w:t>
      </w:r>
    </w:p>
    <w:p w14:paraId="55582AFB" w14:textId="21818E04" w:rsidR="0019546B" w:rsidRDefault="00FC5129" w:rsidP="007E6A3B">
      <w:r>
        <w:t xml:space="preserve">Victorian Britain was also a place of danger for children with deaths from </w:t>
      </w:r>
      <w:r w:rsidR="00C9325D">
        <w:t xml:space="preserve">accidents being </w:t>
      </w:r>
      <w:r w:rsidR="000A02BB">
        <w:t>frequent as</w:t>
      </w:r>
      <w:r w:rsidR="00C9325D">
        <w:t xml:space="preserve"> a result of scalds, burns and accidental overdoses of opium</w:t>
      </w:r>
      <w:r w:rsidR="00F30DEE">
        <w:t>, which was a common means of quietening and treating ailments. Once children were old enough to be sent outside for much of the time the risks were from drowning</w:t>
      </w:r>
      <w:r w:rsidR="00003455">
        <w:t xml:space="preserve"> or work-related injuries</w:t>
      </w:r>
      <w:sdt>
        <w:sdtPr>
          <w:id w:val="-226770773"/>
          <w:citation/>
        </w:sdtPr>
        <w:sdtEndPr/>
        <w:sdtContent>
          <w:r w:rsidR="00003455">
            <w:fldChar w:fldCharType="begin"/>
          </w:r>
          <w:r w:rsidR="00003455">
            <w:instrText xml:space="preserve"> CITATION Sar17 \l 2057 </w:instrText>
          </w:r>
          <w:r w:rsidR="00003455">
            <w:fldChar w:fldCharType="separate"/>
          </w:r>
          <w:r w:rsidR="002564FF">
            <w:rPr>
              <w:noProof/>
            </w:rPr>
            <w:t xml:space="preserve"> </w:t>
          </w:r>
          <w:r w:rsidR="002564FF" w:rsidRPr="002564FF">
            <w:rPr>
              <w:noProof/>
            </w:rPr>
            <w:t>(Seaton, 2017)</w:t>
          </w:r>
          <w:r w:rsidR="00003455">
            <w:fldChar w:fldCharType="end"/>
          </w:r>
        </w:sdtContent>
      </w:sdt>
      <w:r w:rsidR="00121E41">
        <w:rPr>
          <w:rStyle w:val="FootnoteReference"/>
        </w:rPr>
        <w:footnoteReference w:id="8"/>
      </w:r>
      <w:r w:rsidR="00F90751">
        <w:t>.</w:t>
      </w:r>
    </w:p>
    <w:p w14:paraId="73BD41AF" w14:textId="444BD601" w:rsidR="00AA4F05" w:rsidRDefault="00AA4F05" w:rsidP="007E6A3B">
      <w:r>
        <w:t xml:space="preserve">The Victorian ideal of a loving family life was not the reality for many with </w:t>
      </w:r>
      <w:r w:rsidR="005F544E">
        <w:t>many children growing up with anger and fear rather than love and care.</w:t>
      </w:r>
      <w:r w:rsidR="00F557C0">
        <w:t xml:space="preserve"> Once a new baby was born, a toddler would have to quickly learn to fend for itself</w:t>
      </w:r>
      <w:r w:rsidR="00D65725">
        <w:t xml:space="preserve"> in impoverished families and the frequency of infant mortality was still traumatic, but not unexpected.</w:t>
      </w:r>
      <w:r w:rsidR="00A42248">
        <w:t xml:space="preserve"> If a child could survive to the ages of </w:t>
      </w:r>
      <w:r w:rsidR="00746E64">
        <w:t>3 to 6, then they had reached an age of some carefree time as they would walk, talk and play, but were not yet big enough to be expected to work</w:t>
      </w:r>
      <w:r w:rsidR="00383983">
        <w:t xml:space="preserve">. In the poor </w:t>
      </w:r>
      <w:r w:rsidR="000A02BB">
        <w:t>homes,</w:t>
      </w:r>
      <w:r w:rsidR="00383983">
        <w:t xml:space="preserve"> such as most in south-west Wales, </w:t>
      </w:r>
      <w:r w:rsidR="00DD591E">
        <w:t xml:space="preserve">a constant low level of hunger was usual and cleanliness almost impossible to attain for </w:t>
      </w:r>
      <w:r w:rsidR="00D664F7">
        <w:t xml:space="preserve">families living in poor conditions with no running water. Even young children would be expected to help with </w:t>
      </w:r>
      <w:r w:rsidR="000C3D0F">
        <w:t xml:space="preserve">minding their smaller </w:t>
      </w:r>
      <w:r w:rsidR="000A02BB">
        <w:lastRenderedPageBreak/>
        <w:t>siblings,</w:t>
      </w:r>
      <w:r w:rsidR="000C3D0F">
        <w:t xml:space="preserve"> changing nappies and to be shooed out of the house for many hours.</w:t>
      </w:r>
      <w:r w:rsidR="00EF42DB">
        <w:t xml:space="preserve"> Bringing up large families was a challenge and life expectancy was only 50 at best.</w:t>
      </w:r>
      <w:r w:rsidR="00FF65C6">
        <w:t xml:space="preserve"> Records and autobiographies of this </w:t>
      </w:r>
      <w:r w:rsidR="000A02BB">
        <w:t>time,</w:t>
      </w:r>
      <w:r w:rsidR="00FF65C6">
        <w:t xml:space="preserve"> however, usually depict close bonds and </w:t>
      </w:r>
      <w:r w:rsidR="00130FB0">
        <w:t>a recognition of the diligence of parents in such hard times.</w:t>
      </w:r>
    </w:p>
    <w:p w14:paraId="3A06B99C" w14:textId="61F3D860" w:rsidR="00AE2761" w:rsidRDefault="00AE2761" w:rsidP="007E6A3B">
      <w:r>
        <w:t xml:space="preserve">Common work in south-west Wales for youngsters included </w:t>
      </w:r>
      <w:r w:rsidR="00554081">
        <w:t>helping with the farming with chores such as weeding, chasing off crows and generally helping with harvests</w:t>
      </w:r>
      <w:r w:rsidR="001C6EF3">
        <w:t>. As the Industrial revolution reached even the remotest parts of Wales, child la</w:t>
      </w:r>
      <w:r w:rsidR="00293CBC">
        <w:t>b</w:t>
      </w:r>
      <w:r w:rsidR="001C6EF3">
        <w:t xml:space="preserve">our just took on a different </w:t>
      </w:r>
      <w:r w:rsidR="00293CBC">
        <w:t>f</w:t>
      </w:r>
      <w:r w:rsidR="00962BCF">
        <w:t>orm.</w:t>
      </w:r>
      <w:r w:rsidR="00C77C21">
        <w:t xml:space="preserve"> In coal mines they were used to </w:t>
      </w:r>
      <w:r w:rsidR="00B8174B">
        <w:t>open and shut doors</w:t>
      </w:r>
      <w:r w:rsidR="004D135C">
        <w:t>, to drive horses</w:t>
      </w:r>
      <w:r w:rsidR="00C21CE0">
        <w:t xml:space="preserve"> and as drammers, dragging carts full of coal using a leather girdle and chain around their bodies</w:t>
      </w:r>
      <w:r w:rsidR="00A600BB">
        <w:t>, crawling on all fours.</w:t>
      </w:r>
      <w:r w:rsidR="00B8174B">
        <w:t xml:space="preserve"> and the 1850 Act did not end this practice in reality.</w:t>
      </w:r>
      <w:r w:rsidR="00962BCF">
        <w:t xml:space="preserve"> Mine accidents in 1852 at Landshipping in </w:t>
      </w:r>
      <w:r w:rsidR="00B87EFF">
        <w:t>Pembrokeshire</w:t>
      </w:r>
      <w:r w:rsidR="00962BCF">
        <w:t xml:space="preserve"> and </w:t>
      </w:r>
      <w:r w:rsidR="00B87EFF">
        <w:t>Bryn-coch resulted in enquiries that brought to the pu</w:t>
      </w:r>
      <w:r w:rsidR="00402946">
        <w:t>blic’s attention the number of children actually working in mines.</w:t>
      </w:r>
      <w:r w:rsidR="00A600BB">
        <w:t xml:space="preserve"> There were </w:t>
      </w:r>
      <w:r w:rsidR="00F071F7">
        <w:t>48 mine disasters in South Wales between 1851 and 1920, many involving children.</w:t>
      </w:r>
      <w:r w:rsidR="00171F41">
        <w:t xml:space="preserve"> The 1860 Coal Mines act decreed that boys could not start until the age of 12, unless they had already obtained their </w:t>
      </w:r>
      <w:r w:rsidR="00937084">
        <w:t>school attendance certificate and could read.</w:t>
      </w:r>
      <w:r w:rsidR="00402946">
        <w:t xml:space="preserve"> Those families that left rural areas to move to the growing towns</w:t>
      </w:r>
      <w:r w:rsidR="00054263">
        <w:t xml:space="preserve"> were not doing anything to improve their children’s life chances – better a privy in a cottage garden than </w:t>
      </w:r>
      <w:r w:rsidR="00A74D15">
        <w:t>one shared with ten other families in a town.</w:t>
      </w:r>
      <w:r w:rsidR="008357E0">
        <w:t xml:space="preserve"> In the 1860s the most common </w:t>
      </w:r>
      <w:r w:rsidR="009E651F">
        <w:t>cause of death for those aged 11-15 had become machinery accidents</w:t>
      </w:r>
      <w:r w:rsidR="00367A96">
        <w:t>, which went along with harsh discipline and punishments</w:t>
      </w:r>
      <w:r w:rsidR="008C216A">
        <w:t xml:space="preserve">. </w:t>
      </w:r>
      <w:r w:rsidR="000A02BB">
        <w:t>Allan Jobson</w:t>
      </w:r>
      <w:r w:rsidR="00EB2A42">
        <w:t xml:space="preserve"> quoted in</w:t>
      </w:r>
      <w:r w:rsidR="000D1163">
        <w:t xml:space="preserve"> </w:t>
      </w:r>
      <w:sdt>
        <w:sdtPr>
          <w:id w:val="-229928842"/>
          <w:citation/>
        </w:sdtPr>
        <w:sdtEndPr/>
        <w:sdtContent>
          <w:r w:rsidR="000D1163">
            <w:fldChar w:fldCharType="begin"/>
          </w:r>
          <w:r w:rsidR="000D1163">
            <w:instrText xml:space="preserve"> CITATION Gin09 \l 2057 </w:instrText>
          </w:r>
          <w:r w:rsidR="000D1163">
            <w:fldChar w:fldCharType="separate"/>
          </w:r>
          <w:r w:rsidR="002564FF" w:rsidRPr="002564FF">
            <w:rPr>
              <w:noProof/>
            </w:rPr>
            <w:t>(Frost, 2009)</w:t>
          </w:r>
          <w:r w:rsidR="000D1163">
            <w:fldChar w:fldCharType="end"/>
          </w:r>
        </w:sdtContent>
      </w:sdt>
      <w:r w:rsidR="005543E7">
        <w:t xml:space="preserve"> called his work </w:t>
      </w:r>
      <w:r w:rsidR="005543E7">
        <w:rPr>
          <w:i/>
        </w:rPr>
        <w:t xml:space="preserve">a living death </w:t>
      </w:r>
      <w:r w:rsidR="005543E7">
        <w:t xml:space="preserve">while Kathleen Woodward described her time in service as </w:t>
      </w:r>
      <w:r w:rsidR="005543E7">
        <w:rPr>
          <w:i/>
        </w:rPr>
        <w:t>a new slavery.</w:t>
      </w:r>
      <w:r w:rsidR="005543E7">
        <w:t xml:space="preserve"> </w:t>
      </w:r>
      <w:r w:rsidR="008C216A">
        <w:t>Other risky employment for the children of south-west Wales could include chimney-sweeping</w:t>
      </w:r>
      <w:r w:rsidR="00CD7F98">
        <w:t>, selling in the streets of market towns and working in the burgeoning shipyards such as Pembroke and Milford Haven.</w:t>
      </w:r>
      <w:r w:rsidR="00630B7B">
        <w:t xml:space="preserve"> At the age of 13 children could become apprenticed to a trade, although options for girls were limited to millinery </w:t>
      </w:r>
      <w:r w:rsidR="00252197">
        <w:t xml:space="preserve"> and going into domestic service was very common, which could mean working and living a long way from home in south-west Wales</w:t>
      </w:r>
      <w:sdt>
        <w:sdtPr>
          <w:id w:val="-450321176"/>
          <w:citation/>
        </w:sdtPr>
        <w:sdtEndPr/>
        <w:sdtContent>
          <w:r w:rsidR="00F15BA6">
            <w:fldChar w:fldCharType="begin"/>
          </w:r>
          <w:r w:rsidR="00F15BA6">
            <w:instrText xml:space="preserve"> CITATION Mic08 \l 2057 </w:instrText>
          </w:r>
          <w:r w:rsidR="00F15BA6">
            <w:fldChar w:fldCharType="separate"/>
          </w:r>
          <w:r w:rsidR="002564FF">
            <w:rPr>
              <w:noProof/>
            </w:rPr>
            <w:t xml:space="preserve"> </w:t>
          </w:r>
          <w:r w:rsidR="002564FF" w:rsidRPr="002564FF">
            <w:rPr>
              <w:noProof/>
            </w:rPr>
            <w:t>(Paterson, 2008)</w:t>
          </w:r>
          <w:r w:rsidR="00F15BA6">
            <w:fldChar w:fldCharType="end"/>
          </w:r>
        </w:sdtContent>
      </w:sdt>
      <w:r w:rsidR="00121E41">
        <w:rPr>
          <w:rStyle w:val="FootnoteReference"/>
        </w:rPr>
        <w:footnoteReference w:id="9"/>
      </w:r>
      <w:r w:rsidR="001F5325">
        <w:t>.</w:t>
      </w:r>
      <w:r w:rsidR="00111664">
        <w:t xml:space="preserve"> In the 1890s </w:t>
      </w:r>
      <w:r w:rsidR="00384F9E">
        <w:t>one third of all girls aged 15-20 were servants.</w:t>
      </w:r>
      <w:r w:rsidR="00AB7590">
        <w:t xml:space="preserve"> Photographic evidence from the times often shows older children caring for younger ones</w:t>
      </w:r>
      <w:r w:rsidR="00166410">
        <w:t xml:space="preserve"> as in a picture of some children outside the Cambrian Hotel, Saundersfoot</w:t>
      </w:r>
      <w:r w:rsidR="002C70F8">
        <w:t xml:space="preserve"> </w:t>
      </w:r>
      <w:sdt>
        <w:sdtPr>
          <w:id w:val="1261950754"/>
          <w:citation/>
        </w:sdtPr>
        <w:sdtEndPr/>
        <w:sdtContent>
          <w:r w:rsidR="002C70F8">
            <w:fldChar w:fldCharType="begin"/>
          </w:r>
          <w:r w:rsidR="002C70F8">
            <w:instrText xml:space="preserve"> CITATION Chi00 \l 2057 </w:instrText>
          </w:r>
          <w:r w:rsidR="002C70F8">
            <w:fldChar w:fldCharType="separate"/>
          </w:r>
          <w:r w:rsidR="002564FF" w:rsidRPr="002564FF">
            <w:rPr>
              <w:noProof/>
            </w:rPr>
            <w:t>(Anon., 1900)</w:t>
          </w:r>
          <w:r w:rsidR="002C70F8">
            <w:fldChar w:fldCharType="end"/>
          </w:r>
        </w:sdtContent>
      </w:sdt>
      <w:r w:rsidR="00121E41">
        <w:rPr>
          <w:rStyle w:val="FootnoteReference"/>
        </w:rPr>
        <w:footnoteReference w:id="10"/>
      </w:r>
      <w:r w:rsidR="00DC3281">
        <w:t xml:space="preserve">. It is also evident that the parents or carers have dressed the children smartly for their </w:t>
      </w:r>
      <w:r w:rsidR="00573DA3">
        <w:t>appearance in the town with hats and pinafores despite the bare feet.</w:t>
      </w:r>
      <w:r w:rsidR="0061113E">
        <w:t xml:space="preserve"> Similar efforts are evident in an image from the same year of the Pontyglasir</w:t>
      </w:r>
      <w:r w:rsidR="005B0BBA">
        <w:t xml:space="preserve"> Sunday school trip in Pembrokeshire, where every child is wearing a bonnet, hat or cap with white collar</w:t>
      </w:r>
      <w:r w:rsidR="007152E6">
        <w:t xml:space="preserve"> </w:t>
      </w:r>
      <w:sdt>
        <w:sdtPr>
          <w:id w:val="-717353997"/>
          <w:citation/>
        </w:sdtPr>
        <w:sdtEndPr/>
        <w:sdtContent>
          <w:r w:rsidR="007152E6">
            <w:fldChar w:fldCharType="begin"/>
          </w:r>
          <w:r w:rsidR="007152E6">
            <w:instrText xml:space="preserve"> CITATION Sch00 \l 2057 </w:instrText>
          </w:r>
          <w:r w:rsidR="007152E6">
            <w:fldChar w:fldCharType="separate"/>
          </w:r>
          <w:r w:rsidR="002564FF" w:rsidRPr="002564FF">
            <w:rPr>
              <w:noProof/>
            </w:rPr>
            <w:t>(Anon., 1900)</w:t>
          </w:r>
          <w:r w:rsidR="007152E6">
            <w:fldChar w:fldCharType="end"/>
          </w:r>
        </w:sdtContent>
      </w:sdt>
      <w:r w:rsidR="00121E41">
        <w:rPr>
          <w:rStyle w:val="FootnoteReference"/>
        </w:rPr>
        <w:footnoteReference w:id="11"/>
      </w:r>
      <w:r w:rsidR="00F30874">
        <w:t>.</w:t>
      </w:r>
    </w:p>
    <w:p w14:paraId="0FCE883E" w14:textId="6B12D8E3" w:rsidR="00D555A6" w:rsidRDefault="00D555A6" w:rsidP="007E6A3B">
      <w:r>
        <w:t>One of the most significant reforms during this time was the expansion of education</w:t>
      </w:r>
      <w:r w:rsidR="009E6774">
        <w:t xml:space="preserve">. </w:t>
      </w:r>
      <w:r w:rsidR="000A02BB">
        <w:t>Voluntary,</w:t>
      </w:r>
      <w:r w:rsidR="009E6774">
        <w:t xml:space="preserve"> Anglican and ragged schools increased in number even in south-west Wales</w:t>
      </w:r>
      <w:r w:rsidR="004C6A9F">
        <w:t xml:space="preserve"> and some recognition of the need for children to help with harvests was recognised with the long summer holidays</w:t>
      </w:r>
      <w:r w:rsidR="00E06501">
        <w:t xml:space="preserve">. Free school meals were eventually </w:t>
      </w:r>
      <w:r w:rsidR="000A02BB">
        <w:t>introduced,</w:t>
      </w:r>
      <w:r w:rsidR="00E06501">
        <w:t xml:space="preserve"> but the stigma prevented some from taking advantage.</w:t>
      </w:r>
      <w:r w:rsidR="00EB3855">
        <w:t xml:space="preserve"> Education was not universally </w:t>
      </w:r>
      <w:r w:rsidR="000A02BB">
        <w:t>appreciated,</w:t>
      </w:r>
      <w:r w:rsidR="00EB3855">
        <w:t xml:space="preserve"> and many parents </w:t>
      </w:r>
      <w:r w:rsidR="00F223E1">
        <w:t xml:space="preserve">thwarted even their </w:t>
      </w:r>
      <w:r w:rsidR="001E0714">
        <w:t xml:space="preserve">children’s </w:t>
      </w:r>
      <w:r w:rsidR="00F223E1">
        <w:t>desires to education in favour of earning a wage earlier.</w:t>
      </w:r>
    </w:p>
    <w:p w14:paraId="5846641E" w14:textId="607CE97A" w:rsidR="00BF6969" w:rsidRDefault="00BF6969" w:rsidP="007E6A3B">
      <w:r>
        <w:t>Another huge issue in need of reform was public health</w:t>
      </w:r>
      <w:r w:rsidR="001E0714">
        <w:t xml:space="preserve"> – recruitment for the Boer War highlighted the appalling health of young males across Britain.</w:t>
      </w:r>
      <w:r w:rsidR="0047184C">
        <w:t xml:space="preserve"> At the start of the nineteenth </w:t>
      </w:r>
      <w:r w:rsidR="000A02BB">
        <w:t>century,</w:t>
      </w:r>
      <w:r w:rsidR="0047184C">
        <w:t xml:space="preserve"> half of all babies died in their first year</w:t>
      </w:r>
      <w:r w:rsidR="00415111">
        <w:t xml:space="preserve"> and a fifth by their second birthday.</w:t>
      </w:r>
      <w:r w:rsidR="00981ABB">
        <w:t xml:space="preserve"> Food, milk and water was often contaminated</w:t>
      </w:r>
      <w:r w:rsidR="00406582">
        <w:t xml:space="preserve"> or adulterated, which added to shortage of good nutrition.</w:t>
      </w:r>
      <w:r w:rsidR="00E0526F">
        <w:t xml:space="preserve"> There had been gradual improvements in the delivery of babies, but deaths were still high. Opium addiction was widespread</w:t>
      </w:r>
      <w:r w:rsidR="007E4738">
        <w:t>, initially used as laudanum for pain relief</w:t>
      </w:r>
      <w:r w:rsidR="004F1155">
        <w:t xml:space="preserve">. Mixtures sold over the counters of public houses such as </w:t>
      </w:r>
      <w:r w:rsidR="00111D49">
        <w:t xml:space="preserve">Godfrey’s Cordial, Baby’s Mixture, Soothing Syrup and Child’s Cordial and all contained opium. </w:t>
      </w:r>
      <w:r w:rsidR="006E562A">
        <w:t xml:space="preserve">This </w:t>
      </w:r>
      <w:r w:rsidR="006E562A">
        <w:lastRenderedPageBreak/>
        <w:t xml:space="preserve">was not regulated until the 1908 Pharmacy Act. </w:t>
      </w:r>
      <w:r w:rsidR="004F1155">
        <w:t>D</w:t>
      </w:r>
      <w:r w:rsidR="00E0526F">
        <w:t>octors had little training in nineteenth century Britain.</w:t>
      </w:r>
      <w:r w:rsidR="00144624">
        <w:t xml:space="preserve">, but </w:t>
      </w:r>
      <w:r w:rsidR="00A452DD">
        <w:t xml:space="preserve">this was tackled by the 1858 Medical Act formalising care and later the General Medical Council agreed </w:t>
      </w:r>
      <w:r w:rsidR="00CA2B97">
        <w:t>a common set of qualifications to include general, surgery and midwifery.</w:t>
      </w:r>
      <w:r w:rsidR="00ED0CF6">
        <w:t xml:space="preserve"> Higher standards of nursing and hygiene followed the work of Florence Nightingale</w:t>
      </w:r>
      <w:r w:rsidR="0001686A">
        <w:t xml:space="preserve"> and sanitary reforms from the 1870s began to reduce death-rates. Prior to </w:t>
      </w:r>
      <w:r w:rsidR="000A02BB">
        <w:t>this disease</w:t>
      </w:r>
      <w:r w:rsidR="0001686A">
        <w:t xml:space="preserve"> such as smallpox, typhoid</w:t>
      </w:r>
      <w:r w:rsidR="00562413">
        <w:t>, cholera</w:t>
      </w:r>
      <w:r w:rsidR="004B7876">
        <w:t>,</w:t>
      </w:r>
      <w:r w:rsidR="001C0214">
        <w:t xml:space="preserve"> </w:t>
      </w:r>
      <w:r w:rsidR="004B7876">
        <w:t>consumption, scarlet fever</w:t>
      </w:r>
      <w:r w:rsidR="00562413">
        <w:t xml:space="preserve"> and </w:t>
      </w:r>
      <w:r w:rsidR="000A02BB">
        <w:t>diphtheria</w:t>
      </w:r>
      <w:r w:rsidR="00562413">
        <w:t xml:space="preserve"> were endemic in some areas.</w:t>
      </w:r>
      <w:r w:rsidR="001C0214">
        <w:t xml:space="preserve"> Poisonings were another fatal risk – in 1862 </w:t>
      </w:r>
      <w:r w:rsidR="00712848">
        <w:t>four children died from arsenic poison from the William Morris green wallpaper in their bedroom.</w:t>
      </w:r>
      <w:r w:rsidR="004F0AF9">
        <w:t xml:space="preserve"> </w:t>
      </w:r>
      <w:r w:rsidR="0028750E">
        <w:t xml:space="preserve">Mortality rates in baby farms were </w:t>
      </w:r>
      <w:r w:rsidR="004F0AF9">
        <w:t>horrifying high and these establishments were monitored from 1872.</w:t>
      </w:r>
      <w:r w:rsidR="00562413">
        <w:t xml:space="preserve"> 1895 saw the introduction </w:t>
      </w:r>
      <w:r w:rsidR="00B80B51">
        <w:t xml:space="preserve">of x-rays and more variety in foodstuffs was possible due to trade from abroad. </w:t>
      </w:r>
      <w:r w:rsidR="00337156">
        <w:t>Notwithstanding the effects of industrialisation and poor living conditions</w:t>
      </w:r>
      <w:r w:rsidR="008C1EB4">
        <w:t>, there was more organised leisure activity, clothes had become less restricting and the railways did make it possible to travel more widely – all made small improvements to lifestyles.</w:t>
      </w:r>
      <w:r w:rsidR="000A02BB">
        <w:t xml:space="preserve"> Sanitary improvements were the main focus of reforms in the early years of growing health services.</w:t>
      </w:r>
      <w:r w:rsidR="00D67A19">
        <w:t xml:space="preserve"> In 1900 poor mothers received milk and medical inspections in schools were organised from 1907 onwards.</w:t>
      </w:r>
      <w:r w:rsidR="00D53248">
        <w:t xml:space="preserve"> Nit nurses and investigations into </w:t>
      </w:r>
      <w:r w:rsidR="003F3611">
        <w:t>malnutrition</w:t>
      </w:r>
      <w:r w:rsidR="00D53248">
        <w:t xml:space="preserve"> were not welcomed by parents, who sometimes felt </w:t>
      </w:r>
      <w:r w:rsidR="003F3611">
        <w:t>the “vermin hunts”.</w:t>
      </w:r>
      <w:r w:rsidR="00325930">
        <w:t xml:space="preserve"> TB, anaemia and appalling dental health were common.</w:t>
      </w:r>
      <w:r w:rsidR="00DF097D">
        <w:t xml:space="preserve"> From the beginning of the twentieth century the role of hospitals </w:t>
      </w:r>
      <w:r w:rsidR="005450F4">
        <w:t>grew,</w:t>
      </w:r>
      <w:r w:rsidR="00DF097D">
        <w:t xml:space="preserve"> and the introduction of antiseptic and aseptic procedures</w:t>
      </w:r>
      <w:r w:rsidR="00CE6428">
        <w:t xml:space="preserve"> improved outcomes. Specialist facilities were set up for infectious diseases, asylums for the mentally ill</w:t>
      </w:r>
      <w:r w:rsidR="00A661BD">
        <w:t xml:space="preserve"> and a positive effect came from the improved sanitary conditions. These </w:t>
      </w:r>
      <w:r w:rsidR="002A1301">
        <w:t xml:space="preserve">had become a priority since the cholera outbreaks and the tireless campaigning by </w:t>
      </w:r>
      <w:r w:rsidR="00A422D2">
        <w:t xml:space="preserve">Edward Chadwick and other reformers. </w:t>
      </w:r>
      <w:r w:rsidR="005450F4">
        <w:t>Inoculations,</w:t>
      </w:r>
      <w:r w:rsidR="00A422D2">
        <w:t xml:space="preserve"> vaccinations and better housing would also make some further progress possible in public health.</w:t>
      </w:r>
      <w:r w:rsidR="0092474C">
        <w:t xml:space="preserve"> In an audio recording a young woman records how her work for Dr Morgan introduced her to the mix of traditional remedies and new approaches</w:t>
      </w:r>
      <w:r w:rsidR="00DD7DE5">
        <w:t xml:space="preserve"> – brown sulphur was burnt to ward off typhoid, for example. This woman evidently loved her </w:t>
      </w:r>
      <w:r w:rsidR="005450F4">
        <w:t>work but</w:t>
      </w:r>
      <w:r w:rsidR="00DD7DE5">
        <w:t xml:space="preserve"> had to give it up when she married and went on the raise 10 children</w:t>
      </w:r>
      <w:sdt>
        <w:sdtPr>
          <w:id w:val="1128657481"/>
          <w:citation/>
        </w:sdtPr>
        <w:sdtEndPr/>
        <w:sdtContent>
          <w:r w:rsidR="00DD7DE5">
            <w:fldChar w:fldCharType="begin"/>
          </w:r>
          <w:r w:rsidR="00DD7DE5">
            <w:instrText xml:space="preserve"> CITATION Wom \l 2057 </w:instrText>
          </w:r>
          <w:r w:rsidR="00DD7DE5">
            <w:fldChar w:fldCharType="separate"/>
          </w:r>
          <w:r w:rsidR="002564FF">
            <w:rPr>
              <w:noProof/>
            </w:rPr>
            <w:t xml:space="preserve"> </w:t>
          </w:r>
          <w:r w:rsidR="002564FF" w:rsidRPr="002564FF">
            <w:rPr>
              <w:noProof/>
            </w:rPr>
            <w:t>(Anon., n.d.)</w:t>
          </w:r>
          <w:r w:rsidR="00DD7DE5">
            <w:fldChar w:fldCharType="end"/>
          </w:r>
        </w:sdtContent>
      </w:sdt>
      <w:r w:rsidR="00DD7DE5">
        <w:t>.</w:t>
      </w:r>
      <w:r w:rsidR="0061104F">
        <w:t xml:space="preserve"> A recent summary of the development of the NHS in Wales for a conference at the Temple of Peace stated </w:t>
      </w:r>
      <w:r w:rsidR="005450F4">
        <w:t>that: -</w:t>
      </w:r>
    </w:p>
    <w:p w14:paraId="6BE7E2F5" w14:textId="619DA741" w:rsidR="0061104F" w:rsidRDefault="0061104F" w:rsidP="0061104F">
      <w:pPr>
        <w:ind w:left="720"/>
      </w:pPr>
      <w:r>
        <w:t>In the eighteenth and nineteenth centuries, Wales was transformed from a primarily pastoral economy into one of the world’s powerhouses of the industrial revolution. Its resources of copper, slate, manganese, gold, iron ore and especially coal of varying qualities were the key to industrial expansion, but mining als</w:t>
      </w:r>
      <w:r w:rsidR="005450F4">
        <w:t>o brought very distinctive health problems for the people of Wales.</w:t>
      </w:r>
      <w:r w:rsidR="00121E41">
        <w:rPr>
          <w:rStyle w:val="FootnoteReference"/>
        </w:rPr>
        <w:footnoteReference w:id="12"/>
      </w:r>
    </w:p>
    <w:p w14:paraId="4587FC85" w14:textId="32A13E5E" w:rsidR="003D689A" w:rsidRDefault="004E6A0F" w:rsidP="007E6A3B">
      <w:r>
        <w:t xml:space="preserve">A significant amendment to the Poor Law Act was passed in 1868 to </w:t>
      </w:r>
      <w:r w:rsidR="00017CAE">
        <w:t>punish parents found guilty of neglect. Crime in general had reduced since the nationwide introduction of the police force</w:t>
      </w:r>
      <w:r w:rsidR="00971EDE">
        <w:t xml:space="preserve"> but the murder and sexual abuse of minors was still </w:t>
      </w:r>
      <w:r w:rsidR="000559D3">
        <w:t>frequent, despite the harsher penalties.</w:t>
      </w:r>
      <w:r w:rsidR="0041131F">
        <w:t xml:space="preserve"> </w:t>
      </w:r>
      <w:r w:rsidR="0015715D">
        <w:t xml:space="preserve">Alcohol </w:t>
      </w:r>
      <w:r w:rsidR="006557FA">
        <w:t xml:space="preserve">abuse was </w:t>
      </w:r>
      <w:r w:rsidR="000A02BB">
        <w:t>rampant,</w:t>
      </w:r>
      <w:r w:rsidR="006557FA">
        <w:t xml:space="preserve"> and this had lasting negative effects on the children of fathers who drank to excess.</w:t>
      </w:r>
      <w:r w:rsidR="003F263D">
        <w:t xml:space="preserve"> </w:t>
      </w:r>
      <w:r w:rsidR="0041131F">
        <w:t xml:space="preserve">Further reforms came into law in 1908 with the Children Bill, which included reference to </w:t>
      </w:r>
      <w:r w:rsidR="00CD2468">
        <w:t>the prevention of neglect and cruelty</w:t>
      </w:r>
      <w:r w:rsidR="00170235">
        <w:t xml:space="preserve"> as well as banning cigarettes for children, placing delinquent children in borstals rather than in prison, registering foster placements and investigating cases of incest. This and more </w:t>
      </w:r>
      <w:r w:rsidR="00492F8D">
        <w:t>were</w:t>
      </w:r>
      <w:r w:rsidR="00170235">
        <w:t xml:space="preserve"> encompassed in a Charter for Children.</w:t>
      </w:r>
      <w:r w:rsidR="00CD2468">
        <w:t xml:space="preserve"> Prior to this the 1902 Midwives Act had focussed on monitoring </w:t>
      </w:r>
      <w:r w:rsidR="009D6D9C">
        <w:t>childbirth and the NSPCC had been created in May 1889 to protect older children.</w:t>
      </w:r>
      <w:r w:rsidR="00170235">
        <w:t xml:space="preserve"> During this year begging by children was also outlawed.</w:t>
      </w:r>
      <w:r w:rsidR="003F263D">
        <w:t xml:space="preserve"> The Victorian attitude to crimes committed by minors </w:t>
      </w:r>
      <w:r w:rsidR="005450F4">
        <w:t>was mainly</w:t>
      </w:r>
      <w:r w:rsidR="00525C49">
        <w:t xml:space="preserve"> aimed at boys, with exception of the world of vice and prostitution</w:t>
      </w:r>
      <w:r w:rsidR="00431CBE">
        <w:t xml:space="preserve"> where vulnerable girls could often be embroiled.</w:t>
      </w:r>
      <w:r w:rsidR="00AF6E01">
        <w:t xml:space="preserve"> These “fallen” girls were subject to a mix of pity and </w:t>
      </w:r>
      <w:r w:rsidR="000B199F">
        <w:t>condemnation, although some institutions were set up to direct them into more morally acceptable trades.</w:t>
      </w:r>
      <w:r w:rsidR="003A2AF3">
        <w:t xml:space="preserve"> For some children, life in the workhouse could be a better alternative to </w:t>
      </w:r>
      <w:r w:rsidR="003A2AF3">
        <w:lastRenderedPageBreak/>
        <w:t>life on the streets</w:t>
      </w:r>
      <w:r w:rsidR="006429E7">
        <w:t>.</w:t>
      </w:r>
      <w:r w:rsidR="00170235">
        <w:t xml:space="preserve"> Laws passed in 1894 enabled children to give evidence. It also became a criminal offence to omit to give a sick child medical attention and mental cruelty was recognised.</w:t>
      </w:r>
    </w:p>
    <w:p w14:paraId="55F888F9" w14:textId="66E1934F" w:rsidR="004D0C8E" w:rsidRDefault="00DD2101" w:rsidP="007E6A3B">
      <w:r>
        <w:t>High mortality rates led many orphaned children to become occupants of the workhouses</w:t>
      </w:r>
      <w:r w:rsidR="00C519DB">
        <w:t xml:space="preserve">. In some </w:t>
      </w:r>
      <w:r w:rsidR="005450F4">
        <w:t>working-class</w:t>
      </w:r>
      <w:r w:rsidR="00C519DB">
        <w:t xml:space="preserve"> </w:t>
      </w:r>
      <w:r w:rsidR="000A02BB">
        <w:t>districts, children</w:t>
      </w:r>
      <w:r w:rsidR="00C519DB">
        <w:t xml:space="preserve"> were often parented communally</w:t>
      </w:r>
      <w:r w:rsidR="003676FB">
        <w:t>, but lacked the close guidance of a parent and this impacted on their life chances.</w:t>
      </w:r>
      <w:r w:rsidR="00FE38C8">
        <w:t xml:space="preserve"> Once parish relief had been withdrawn, rural children with no support had no alternative to the care of the state</w:t>
      </w:r>
      <w:r w:rsidR="00550CFA">
        <w:t xml:space="preserve"> in the workhouses – many were illegitimate and would brought up with little love, care or individual attention</w:t>
      </w:r>
      <w:r w:rsidR="00454DDB">
        <w:t xml:space="preserve"> as well as having to deal with the stigma associated with being a workhouse child – even those lucky enough to access school outside an institution were marked out by their garb and cropped hair.</w:t>
      </w:r>
      <w:r w:rsidR="00063C8C">
        <w:t xml:space="preserve"> For those with disabilities there was usually no alternative to workhouse incarceration.</w:t>
      </w:r>
      <w:r w:rsidR="007A5357">
        <w:t xml:space="preserve"> As G Frost</w:t>
      </w:r>
      <w:sdt>
        <w:sdtPr>
          <w:id w:val="1345514197"/>
          <w:citation/>
        </w:sdtPr>
        <w:sdtEndPr/>
        <w:sdtContent>
          <w:r w:rsidR="007A5357">
            <w:fldChar w:fldCharType="begin"/>
          </w:r>
          <w:r w:rsidR="007A5357">
            <w:instrText xml:space="preserve"> CITATION Gin09 \l 2057 </w:instrText>
          </w:r>
          <w:r w:rsidR="007A5357">
            <w:fldChar w:fldCharType="separate"/>
          </w:r>
          <w:r w:rsidR="002564FF">
            <w:rPr>
              <w:noProof/>
            </w:rPr>
            <w:t xml:space="preserve"> </w:t>
          </w:r>
          <w:r w:rsidR="002564FF" w:rsidRPr="002564FF">
            <w:rPr>
              <w:noProof/>
            </w:rPr>
            <w:t>(Frost, 2009)</w:t>
          </w:r>
          <w:r w:rsidR="007A5357">
            <w:fldChar w:fldCharType="end"/>
          </w:r>
        </w:sdtContent>
      </w:sdt>
      <w:r w:rsidR="00121E41">
        <w:rPr>
          <w:rStyle w:val="FootnoteReference"/>
        </w:rPr>
        <w:footnoteReference w:id="13"/>
      </w:r>
      <w:r w:rsidR="007A5357">
        <w:t xml:space="preserve"> noted the long-term impact was </w:t>
      </w:r>
      <w:r w:rsidR="000A02BB">
        <w:t>appalling: -</w:t>
      </w:r>
    </w:p>
    <w:p w14:paraId="31571647" w14:textId="7003F48E" w:rsidR="007A5357" w:rsidRDefault="003A44EC" w:rsidP="003A44EC">
      <w:pPr>
        <w:ind w:left="720"/>
      </w:pPr>
      <w:r>
        <w:t>…institutionalised children were caught up in mechanisms they could not control</w:t>
      </w:r>
      <w:r w:rsidR="00A8610F">
        <w:t xml:space="preserve"> and were blamed for sins they had not committed</w:t>
      </w:r>
      <w:r w:rsidR="000A02BB">
        <w:t>…. depression</w:t>
      </w:r>
      <w:r w:rsidR="00A8610F">
        <w:t>, suicide and mental ill-health</w:t>
      </w:r>
      <w:r w:rsidR="007E47BA">
        <w:t>….</w:t>
      </w:r>
    </w:p>
    <w:p w14:paraId="2F058804" w14:textId="04AD8AFD" w:rsidR="009601FF" w:rsidRDefault="00E76765" w:rsidP="009601FF">
      <w:r>
        <w:t>By the turn of the century views had changed so much that most pauper children were accommodated in schools, cottage homes</w:t>
      </w:r>
      <w:r w:rsidR="00E0279E">
        <w:t>, orphanages or with foster parents.</w:t>
      </w:r>
      <w:r w:rsidR="008B09E4">
        <w:t xml:space="preserve"> Organisations such as the Salvation Army took a new approach </w:t>
      </w:r>
      <w:r w:rsidR="00CD16FD">
        <w:t>with a concentration of the rights of the children themselves, removing the blame once placed upon them for their circumstances.</w:t>
      </w:r>
    </w:p>
    <w:p w14:paraId="74C03B1C" w14:textId="7284BB12" w:rsidR="007E47BA" w:rsidRDefault="00881F3D" w:rsidP="007E47BA">
      <w:r>
        <w:t>For the poor, living conditions only improved marginally</w:t>
      </w:r>
      <w:r w:rsidR="007F1FB5">
        <w:t xml:space="preserve"> and charitable aid was rarely available in rural areas such as south-west Wales</w:t>
      </w:r>
      <w:r w:rsidR="00653BE1">
        <w:t>. The wealthy could gain a sense of prestige and status from their p</w:t>
      </w:r>
      <w:r w:rsidR="0064007F">
        <w:t>hilanthropy</w:t>
      </w:r>
      <w:r w:rsidR="00653BE1">
        <w:t xml:space="preserve"> and </w:t>
      </w:r>
      <w:r w:rsidR="006F2559">
        <w:t xml:space="preserve">generosity, but this was more common in towns and cities – such help was always accompanied by </w:t>
      </w:r>
      <w:r w:rsidR="00655B69">
        <w:t xml:space="preserve">a moral purpose intended to reform the unfortunate recipient. Such conditions would have been especially unwelcome in rural areas where communities had a long tradition of mutual support without </w:t>
      </w:r>
      <w:r w:rsidR="007B7BDD">
        <w:t>criticism.</w:t>
      </w:r>
      <w:r w:rsidR="00881B38">
        <w:t xml:space="preserve"> Bernard Harris </w:t>
      </w:r>
      <w:sdt>
        <w:sdtPr>
          <w:id w:val="1648168590"/>
          <w:citation/>
        </w:sdtPr>
        <w:sdtEndPr/>
        <w:sdtContent>
          <w:r w:rsidR="00881B38">
            <w:fldChar w:fldCharType="begin"/>
          </w:r>
          <w:r w:rsidR="00881B38">
            <w:instrText xml:space="preserve"> CITATION Ber04 \l 2057 </w:instrText>
          </w:r>
          <w:r w:rsidR="00881B38">
            <w:fldChar w:fldCharType="separate"/>
          </w:r>
          <w:r w:rsidR="002564FF" w:rsidRPr="002564FF">
            <w:rPr>
              <w:noProof/>
            </w:rPr>
            <w:t>(Harris, 2004)</w:t>
          </w:r>
          <w:r w:rsidR="00881B38">
            <w:fldChar w:fldCharType="end"/>
          </w:r>
        </w:sdtContent>
      </w:sdt>
      <w:r w:rsidR="00121E41">
        <w:rPr>
          <w:rStyle w:val="FootnoteReference"/>
        </w:rPr>
        <w:footnoteReference w:id="14"/>
      </w:r>
      <w:r w:rsidR="00881B38">
        <w:t xml:space="preserve"> </w:t>
      </w:r>
      <w:r w:rsidR="000869A3">
        <w:t xml:space="preserve">concluded that the loss of a strong religious faith sometimes influenced those wishing to help others as some sort of </w:t>
      </w:r>
      <w:r w:rsidR="00550258">
        <w:rPr>
          <w:i/>
        </w:rPr>
        <w:t xml:space="preserve">secular morality </w:t>
      </w:r>
      <w:r w:rsidR="00550258">
        <w:t xml:space="preserve">but there was still an element about </w:t>
      </w:r>
      <w:r w:rsidR="00ED4A67">
        <w:t xml:space="preserve">maintaining order and preserving deference – those in south-west Wales who had seen progress as a result of the Rebecca Riots, for example, were not </w:t>
      </w:r>
      <w:r w:rsidR="00E16D97">
        <w:t xml:space="preserve">at ease with such motives and there was a proliferation of </w:t>
      </w:r>
      <w:r w:rsidR="00DE76C1">
        <w:t>new institutions borne from the strength of communities themselves, such as friendly societies</w:t>
      </w:r>
      <w:r w:rsidR="00D04E92">
        <w:t xml:space="preserve">, trade unions welfare schemes and impromptu support from fellow-workers as in collections on the death of a colleagues in </w:t>
      </w:r>
      <w:r w:rsidR="009E47FA">
        <w:t xml:space="preserve">mines and factories. Shopkeepers and traders were inclined to allow credit in hard times in the knowledge that they would </w:t>
      </w:r>
      <w:r w:rsidR="005D6D1A">
        <w:t>retain loyal customers, who would be back when funds allowed.</w:t>
      </w:r>
      <w:r w:rsidR="00BD7251">
        <w:t xml:space="preserve"> Class was a huge factor in the experiences of children during the nineteenth and early twentieth centuries and the popular image of the nuclear family set a high standard to aspire to</w:t>
      </w:r>
      <w:r w:rsidR="00964C6B">
        <w:t xml:space="preserve">. </w:t>
      </w:r>
      <w:r w:rsidR="000A02BB">
        <w:t>This</w:t>
      </w:r>
      <w:r w:rsidR="00964C6B">
        <w:t xml:space="preserve"> was often unlikely to last – with </w:t>
      </w:r>
      <w:r w:rsidR="00236E8B">
        <w:t>life expectancy in 1912 still only 52 for men and 55 for women, there were many orphans and blended families</w:t>
      </w:r>
      <w:r w:rsidR="00D52298">
        <w:t xml:space="preserve">. Wide differences were also created in the </w:t>
      </w:r>
      <w:r w:rsidR="005D016F">
        <w:t>opportunities for leisure time and education, with poor children still starting work as early as was allowed.</w:t>
      </w:r>
      <w:r w:rsidR="00431AF6">
        <w:t xml:space="preserve"> Even when schooling became free and compulsory across all the nation, those is very remote areas would still find it hard to attend regularly and </w:t>
      </w:r>
      <w:r w:rsidR="00B10FFE">
        <w:t>monitoring of truancy was difficult in scattered communities.</w:t>
      </w:r>
    </w:p>
    <w:p w14:paraId="52DDD2E3" w14:textId="50D1B393" w:rsidR="00CE70D6" w:rsidRDefault="00CE70D6" w:rsidP="007E47BA">
      <w:r>
        <w:t xml:space="preserve">In 1909 </w:t>
      </w:r>
      <w:r w:rsidR="0064442F">
        <w:t>Lloyd George declared that his government’s welfare budget</w:t>
      </w:r>
      <w:r w:rsidR="003E7C04">
        <w:t xml:space="preserve"> </w:t>
      </w:r>
      <w:r w:rsidR="000C099A">
        <w:t>was:</w:t>
      </w:r>
    </w:p>
    <w:p w14:paraId="23B1A11B" w14:textId="76894340" w:rsidR="003E7C04" w:rsidRDefault="003E7C04" w:rsidP="003E7C04">
      <w:pPr>
        <w:ind w:left="720"/>
      </w:pPr>
      <w:r>
        <w:t>..a War Budget. It is for raising money to wage implacable warfare against poverty and squalidness</w:t>
      </w:r>
      <w:r w:rsidR="00EC7C5C">
        <w:t>…..</w:t>
      </w:r>
    </w:p>
    <w:p w14:paraId="1A3F0F6E" w14:textId="77777777" w:rsidR="00253139" w:rsidRDefault="00996899" w:rsidP="00214B47">
      <w:r>
        <w:lastRenderedPageBreak/>
        <w:t xml:space="preserve">This was a result of decades of gradually shifting attitudes to poverty. </w:t>
      </w:r>
      <w:r w:rsidR="00347616">
        <w:t>Reports and publications such as those of Henry Mayhew’s London Labour and the London Poor</w:t>
      </w:r>
      <w:r w:rsidR="00BD2F7B">
        <w:t xml:space="preserve">, the investigations of Seebohm Rowntree into Town Life and the work of </w:t>
      </w:r>
      <w:r w:rsidR="00D133F6">
        <w:t xml:space="preserve">Charles Booth in his report on the poor of London were influential. Charles Dickens in his </w:t>
      </w:r>
      <w:r w:rsidR="0070138C">
        <w:t>popular works such as Oliver Twist and Bleak House were powerful stories highlighting the hardships of the poor and the need for radical reform for the benefit of children.</w:t>
      </w:r>
      <w:r w:rsidR="00F26855">
        <w:t xml:space="preserve"> Such works informed and inspired </w:t>
      </w:r>
      <w:r w:rsidR="009C4BF9">
        <w:t>the many societies seeking change, but the need for intervention by government was becomingly impossible to ignore.</w:t>
      </w:r>
      <w:r w:rsidR="00B82FB2">
        <w:t xml:space="preserve"> There were many reasons for those more fortunate to devote their attentions to </w:t>
      </w:r>
      <w:r w:rsidR="000A02BB">
        <w:t>helping</w:t>
      </w:r>
      <w:r w:rsidR="00B82FB2">
        <w:t xml:space="preserve"> those </w:t>
      </w:r>
      <w:r w:rsidR="00E3732C">
        <w:t>in need – to make up for lacking things in their own lives perhaps, for religious convictions about doing good for others</w:t>
      </w:r>
      <w:r w:rsidR="00287B86">
        <w:t xml:space="preserve"> and also as a means for women to gain some emancipation and chance to undertake a worthwhile role in society.</w:t>
      </w:r>
      <w:r w:rsidR="00D552C6">
        <w:t xml:space="preserve"> The Charity Organisation Society defended the practice of home visiting, but </w:t>
      </w:r>
      <w:r w:rsidR="009F5063">
        <w:t xml:space="preserve">the importance for universal non-judgemental provision was becoming </w:t>
      </w:r>
      <w:r w:rsidR="00373A8B">
        <w:t>the preferred aim.</w:t>
      </w:r>
      <w:r w:rsidR="00780F04">
        <w:t xml:space="preserve"> An automatic system of state aid would remove the </w:t>
      </w:r>
      <w:r w:rsidR="00645BB3">
        <w:t>requirement for those in receipt to adopt particular behaviours.</w:t>
      </w:r>
      <w:r w:rsidR="00373A8B">
        <w:t xml:space="preserve"> For those in remote areas, the successful development of local government systems made it </w:t>
      </w:r>
      <w:r w:rsidR="00566D41">
        <w:t xml:space="preserve">possible at last to offer equitable help across all communities and by the turn of the century </w:t>
      </w:r>
      <w:r w:rsidR="00350C9E">
        <w:t xml:space="preserve">social reform was in full </w:t>
      </w:r>
      <w:r w:rsidR="00F34913">
        <w:t>swing. From 1870 Local Government Boards had managed</w:t>
      </w:r>
      <w:r w:rsidR="00683624">
        <w:t xml:space="preserve"> the Poor Law and the 1875 Friendly Societies Act</w:t>
      </w:r>
      <w:r w:rsidR="00F34913">
        <w:t xml:space="preserve"> </w:t>
      </w:r>
      <w:r w:rsidR="00683624">
        <w:t>strengthened these organisations</w:t>
      </w:r>
      <w:r w:rsidR="003E0FD2">
        <w:t>.</w:t>
      </w:r>
      <w:r w:rsidR="00D9414F">
        <w:t xml:space="preserve"> These societies were able to offer economic and social support </w:t>
      </w:r>
      <w:r w:rsidR="00E02ECB">
        <w:t>–</w:t>
      </w:r>
      <w:r w:rsidR="00D9414F">
        <w:t xml:space="preserve"> su</w:t>
      </w:r>
      <w:r w:rsidR="00E02ECB">
        <w:t>ch as in time of sickness and a death in the family. Retail co-</w:t>
      </w:r>
      <w:r w:rsidR="00096CAD">
        <w:t>operative</w:t>
      </w:r>
      <w:r w:rsidR="00E02ECB">
        <w:t xml:space="preserve"> movements </w:t>
      </w:r>
      <w:r w:rsidR="00096CAD">
        <w:t>took on the mantle once held by good-hearted local shopkeepers.</w:t>
      </w:r>
    </w:p>
    <w:p w14:paraId="0AE5F26D" w14:textId="3F2BADB2" w:rsidR="00214B47" w:rsidRDefault="00350C9E" w:rsidP="00214B47">
      <w:r>
        <w:t xml:space="preserve"> In 1905 the Liberal government were empowered to make more </w:t>
      </w:r>
      <w:r w:rsidR="000A02BB">
        <w:t>changes,</w:t>
      </w:r>
      <w:r>
        <w:t xml:space="preserve"> including </w:t>
      </w:r>
      <w:r w:rsidR="00E72B15">
        <w:t xml:space="preserve">Old Age Pensions and National Insurance – the long-held Welsh passion for Liberalism </w:t>
      </w:r>
      <w:r w:rsidR="00492F8D">
        <w:t>was,</w:t>
      </w:r>
      <w:r w:rsidR="00E72B15">
        <w:t xml:space="preserve"> no doubt, a contributory factor.</w:t>
      </w:r>
      <w:r w:rsidR="003C3136">
        <w:t xml:space="preserve"> Public health improvements were prioritised in three </w:t>
      </w:r>
      <w:r w:rsidR="0073159E">
        <w:t xml:space="preserve">areas – medical reform, the social environment and public health. </w:t>
      </w:r>
      <w:r w:rsidR="003E0FD2">
        <w:t xml:space="preserve">A rapid profusion of Acts followed quickly such as the 1906 School Meals Act, </w:t>
      </w:r>
      <w:r w:rsidR="00286EAD">
        <w:t>1907 Education Act and the 1908 Children Act to more fully protect children and young people.</w:t>
      </w:r>
      <w:r w:rsidR="00A42C66">
        <w:t xml:space="preserve"> By 1912 358,000 children were being fed daily in schools</w:t>
      </w:r>
      <w:r w:rsidR="00170235">
        <w:t xml:space="preserve"> free of charge</w:t>
      </w:r>
      <w:r w:rsidR="003B6C29">
        <w:t xml:space="preserve"> and laws were in place to improve health, employment and home life.</w:t>
      </w:r>
      <w:r w:rsidR="00170235">
        <w:t xml:space="preserve"> It was noticeable how quickly children’s health declined during school holidays when the daily meal was not provided. In-school health checks now included free treatment too, which finally made it equitable for all </w:t>
      </w:r>
      <w:r w:rsidR="00F06B19">
        <w:t>children, no matter what their family circumstances.</w:t>
      </w:r>
      <w:sdt>
        <w:sdtPr>
          <w:id w:val="-613052861"/>
          <w:citation/>
        </w:sdtPr>
        <w:sdtContent>
          <w:r w:rsidR="00F06B19">
            <w:fldChar w:fldCharType="begin"/>
          </w:r>
          <w:r w:rsidR="00F06B19">
            <w:instrText xml:space="preserve"> CITATION Sui \l 2057 </w:instrText>
          </w:r>
          <w:r w:rsidR="00F06B19">
            <w:fldChar w:fldCharType="separate"/>
          </w:r>
          <w:r w:rsidR="002564FF">
            <w:rPr>
              <w:noProof/>
            </w:rPr>
            <w:t xml:space="preserve"> </w:t>
          </w:r>
          <w:r w:rsidR="002564FF" w:rsidRPr="002564FF">
            <w:rPr>
              <w:noProof/>
            </w:rPr>
            <w:t>(Anon., n.d.)</w:t>
          </w:r>
          <w:r w:rsidR="00F06B19">
            <w:fldChar w:fldCharType="end"/>
          </w:r>
        </w:sdtContent>
      </w:sdt>
      <w:r w:rsidR="00F06B19">
        <w:rPr>
          <w:rStyle w:val="FootnoteReference"/>
        </w:rPr>
        <w:footnoteReference w:id="15"/>
      </w:r>
    </w:p>
    <w:p w14:paraId="30C4A5C2" w14:textId="7B7D6158" w:rsidR="00AC7A36" w:rsidRDefault="000A02BB" w:rsidP="00214B47">
      <w:r>
        <w:t xml:space="preserve">The start of the twentieth century was dominated by new public health approaches to tackle the poor general health of the population and this concentrated on the well-being of pregnant women, new mothers and their offspring and their older children. Later the attention turned to reducing infectious disease amongst the whole </w:t>
      </w:r>
      <w:r w:rsidR="001801BB">
        <w:t>population. By</w:t>
      </w:r>
      <w:r w:rsidR="00500FA9">
        <w:t xml:space="preserve"> 1918 in Pembrokeshire, there were 3 full-time school nurses</w:t>
      </w:r>
      <w:r w:rsidR="001D61E8">
        <w:t xml:space="preserve"> and 4 dentists</w:t>
      </w:r>
      <w:sdt>
        <w:sdtPr>
          <w:id w:val="-471603635"/>
          <w:citation/>
        </w:sdtPr>
        <w:sdtEndPr/>
        <w:sdtContent>
          <w:r w:rsidR="001D61E8">
            <w:fldChar w:fldCharType="begin"/>
          </w:r>
          <w:r w:rsidR="001D61E8">
            <w:instrText xml:space="preserve"> CITATION Chi13 \l 2057 </w:instrText>
          </w:r>
          <w:r w:rsidR="001D61E8">
            <w:fldChar w:fldCharType="separate"/>
          </w:r>
          <w:r w:rsidR="002564FF">
            <w:rPr>
              <w:noProof/>
            </w:rPr>
            <w:t xml:space="preserve"> </w:t>
          </w:r>
          <w:r w:rsidR="002564FF" w:rsidRPr="002564FF">
            <w:rPr>
              <w:noProof/>
            </w:rPr>
            <w:t>(Officer, 1913)</w:t>
          </w:r>
          <w:r w:rsidR="001D61E8">
            <w:fldChar w:fldCharType="end"/>
          </w:r>
        </w:sdtContent>
      </w:sdt>
      <w:r w:rsidR="00121E41">
        <w:rPr>
          <w:rStyle w:val="FootnoteReference"/>
        </w:rPr>
        <w:footnoteReference w:id="16"/>
      </w:r>
      <w:r w:rsidR="00EE2598">
        <w:t xml:space="preserve"> and schools would close if outbreaks of whooping cough, </w:t>
      </w:r>
      <w:r w:rsidR="00753606">
        <w:t>mumps or influenza broke out. Mother craft clubs had been set up and attention turned to the poor fabric of school buildings.</w:t>
      </w:r>
      <w:r w:rsidR="001801BB">
        <w:t xml:space="preserve"> Infant welfare checks in schools and health visiting became a vital service everywhere</w:t>
      </w:r>
      <w:r w:rsidR="006A2542">
        <w:t>, with new surgeries and clinics being set up to serve the rural towns and villages.</w:t>
      </w:r>
      <w:r w:rsidR="00795F19">
        <w:t xml:space="preserve"> In </w:t>
      </w:r>
      <w:r w:rsidR="001801BB">
        <w:t>south</w:t>
      </w:r>
      <w:r w:rsidR="00795F19">
        <w:t xml:space="preserve"> west Wales</w:t>
      </w:r>
      <w:r w:rsidR="00957CAA">
        <w:t>, compulsory schooling had eventually impacted on agricultural labour – long resistant to change</w:t>
      </w:r>
      <w:r w:rsidR="00DE2D5E">
        <w:t xml:space="preserve"> and children would now reach 12 – 14 before turning to full-time farm employment.</w:t>
      </w:r>
      <w:r w:rsidR="00210AB2">
        <w:t xml:space="preserve"> The 1918 Maternity and Child Welfare Act formalised and regulated this support nationwide.</w:t>
      </w:r>
      <w:r w:rsidR="00EA00C0">
        <w:t xml:space="preserve"> For south-west Wales the difficult geography and communication issues have always presented extra challenges for those aiming to ensure good coverage of welfare to all inhabitants. Distance from services and scattered populations continued to impact on delivery</w:t>
      </w:r>
      <w:r w:rsidR="00AC7A36">
        <w:t>.</w:t>
      </w:r>
      <w:sdt>
        <w:sdtPr>
          <w:id w:val="1313140371"/>
          <w:citation/>
        </w:sdtPr>
        <w:sdtContent>
          <w:r w:rsidR="00F06B19">
            <w:fldChar w:fldCharType="begin"/>
          </w:r>
          <w:r w:rsidR="00F06B19">
            <w:instrText xml:space="preserve"> CITATION Wel1 \l 2057 </w:instrText>
          </w:r>
          <w:r w:rsidR="00F06B19">
            <w:fldChar w:fldCharType="separate"/>
          </w:r>
          <w:r w:rsidR="002564FF">
            <w:rPr>
              <w:noProof/>
            </w:rPr>
            <w:t xml:space="preserve"> </w:t>
          </w:r>
          <w:r w:rsidR="002564FF" w:rsidRPr="002564FF">
            <w:rPr>
              <w:noProof/>
            </w:rPr>
            <w:t>(Anon., n.d.)</w:t>
          </w:r>
          <w:r w:rsidR="00F06B19">
            <w:fldChar w:fldCharType="end"/>
          </w:r>
        </w:sdtContent>
      </w:sdt>
      <w:r w:rsidR="00F06B19">
        <w:rPr>
          <w:rStyle w:val="FootnoteReference"/>
        </w:rPr>
        <w:footnoteReference w:id="17"/>
      </w:r>
    </w:p>
    <w:p w14:paraId="02CC5C46" w14:textId="70EDB3A8" w:rsidR="00492F8D" w:rsidRDefault="00210AB2" w:rsidP="00492F8D">
      <w:r>
        <w:lastRenderedPageBreak/>
        <w:t xml:space="preserve"> A particular issue for Wales was tuberculosis, highlighted in statistics in 1910 showing that the highest death rates were in Welsh counties.</w:t>
      </w:r>
      <w:r w:rsidR="00C538CF">
        <w:t xml:space="preserve"> Industrialist and reformer, David Davies donated £150,000 to set up the WNMA (Welsh National Memorial Association) and established his “crusade against consumption – from 1913 cases had to be reported and control measures were in place to monitor and treat the condition, resulting in a world-acclaimed system in Wales and a drop in death rates. In Cardiganshire, for example, it dropped by 59% from 1911 to 1930, and 46% in Carmarthenshire.</w:t>
      </w:r>
      <w:sdt>
        <w:sdtPr>
          <w:id w:val="-1777782208"/>
          <w:citation/>
        </w:sdtPr>
        <w:sdtEndPr/>
        <w:sdtContent>
          <w:r w:rsidR="00C538CF">
            <w:fldChar w:fldCharType="begin"/>
          </w:r>
          <w:r w:rsidR="00C538CF">
            <w:instrText xml:space="preserve"> CITATION The86 \l 2057 </w:instrText>
          </w:r>
          <w:r w:rsidR="00C538CF">
            <w:fldChar w:fldCharType="separate"/>
          </w:r>
          <w:r w:rsidR="002564FF">
            <w:rPr>
              <w:noProof/>
            </w:rPr>
            <w:t xml:space="preserve"> </w:t>
          </w:r>
          <w:r w:rsidR="002564FF" w:rsidRPr="002564FF">
            <w:rPr>
              <w:noProof/>
            </w:rPr>
            <w:t>(Anon., 1986)</w:t>
          </w:r>
          <w:r w:rsidR="00C538CF">
            <w:fldChar w:fldCharType="end"/>
          </w:r>
        </w:sdtContent>
      </w:sdt>
      <w:r w:rsidR="007E325E">
        <w:t>.</w:t>
      </w:r>
      <w:r w:rsidR="007E325E">
        <w:rPr>
          <w:rStyle w:val="FootnoteReference"/>
        </w:rPr>
        <w:footnoteReference w:id="18"/>
      </w:r>
      <w:r w:rsidR="00492F8D">
        <w:t xml:space="preserve"> </w:t>
      </w:r>
      <w:r w:rsidR="00492F8D">
        <w:t>An example of a very tragic, but not untypical, case was the Merriman family of Begelly where all 10 children died one after the other from TB.</w:t>
      </w:r>
    </w:p>
    <w:p w14:paraId="50E1E28B" w14:textId="25AA14B9" w:rsidR="00DE0988" w:rsidRDefault="00DE0988" w:rsidP="00214B47"/>
    <w:p w14:paraId="7A0FAE37" w14:textId="5ECC468C" w:rsidR="000B241F" w:rsidRDefault="00DD13AC" w:rsidP="00214B47">
      <w:r>
        <w:t>As C P Hill</w:t>
      </w:r>
      <w:sdt>
        <w:sdtPr>
          <w:id w:val="528535222"/>
          <w:citation/>
        </w:sdtPr>
        <w:sdtEndPr/>
        <w:sdtContent>
          <w:r>
            <w:fldChar w:fldCharType="begin"/>
          </w:r>
          <w:r>
            <w:instrText xml:space="preserve"> CITATION CPH921 \l 2057 </w:instrText>
          </w:r>
          <w:r>
            <w:fldChar w:fldCharType="separate"/>
          </w:r>
          <w:r w:rsidR="002564FF">
            <w:rPr>
              <w:noProof/>
            </w:rPr>
            <w:t xml:space="preserve"> </w:t>
          </w:r>
          <w:r w:rsidR="002564FF" w:rsidRPr="002564FF">
            <w:rPr>
              <w:noProof/>
            </w:rPr>
            <w:t>(Hill, 1992)</w:t>
          </w:r>
          <w:r>
            <w:fldChar w:fldCharType="end"/>
          </w:r>
        </w:sdtContent>
      </w:sdt>
      <w:r w:rsidR="00121E41">
        <w:rPr>
          <w:rStyle w:val="FootnoteReference"/>
        </w:rPr>
        <w:footnoteReference w:id="19"/>
      </w:r>
      <w:r w:rsidR="003F697F">
        <w:t xml:space="preserve"> </w:t>
      </w:r>
      <w:r w:rsidR="000A02BB">
        <w:t>celebrated: -</w:t>
      </w:r>
    </w:p>
    <w:p w14:paraId="460C371E" w14:textId="624DEB66" w:rsidR="003F697F" w:rsidRDefault="003F697F" w:rsidP="003F697F">
      <w:pPr>
        <w:ind w:left="720"/>
      </w:pPr>
      <w:r>
        <w:t>…the average person in Britain was a good deal better off in 1914 than in 1875</w:t>
      </w:r>
    </w:p>
    <w:p w14:paraId="624C80C5" w14:textId="09A46941" w:rsidR="008D1283" w:rsidRDefault="008D1283" w:rsidP="008D1283">
      <w:r>
        <w:t xml:space="preserve">And the creation of the beginnings of the Welfare State </w:t>
      </w:r>
      <w:r w:rsidR="00D17FEF">
        <w:t>was guarding against the worst excesses of poverty, ageing and unemployment and childhood suffering.</w:t>
      </w:r>
      <w:r w:rsidR="00E142AC">
        <w:t xml:space="preserve"> Attempts were now in place to more equitably divide incomes and to </w:t>
      </w:r>
      <w:r w:rsidR="00C651DA">
        <w:t>impact on the chances for all children across all communities.</w:t>
      </w:r>
      <w:r w:rsidR="001D4942">
        <w:t xml:space="preserve"> There was still much to be done – as late as 1914 children of 14 could still work full-time in factories.</w:t>
      </w:r>
      <w:r w:rsidR="00C04C0E">
        <w:t xml:space="preserve"> The Chief Medical Officer to the Board of Education had determined in 1913 </w:t>
      </w:r>
      <w:r w:rsidR="000A02BB">
        <w:t>that:</w:t>
      </w:r>
    </w:p>
    <w:p w14:paraId="441BE837" w14:textId="037B0F8D" w:rsidR="002B080E" w:rsidRDefault="002B080E" w:rsidP="002B080E">
      <w:pPr>
        <w:ind w:left="720"/>
      </w:pPr>
      <w:r>
        <w:t>…fresh air, sufficient and suitable food, a pure and abundant water supply, satisfactory housing</w:t>
      </w:r>
      <w:r w:rsidR="000B125C">
        <w:t>, improved domestic sanitation, are all of obvious and primary necessity to the health of individuals and the community</w:t>
      </w:r>
      <w:r w:rsidR="00230FA1">
        <w:t>.</w:t>
      </w:r>
    </w:p>
    <w:p w14:paraId="580DE858" w14:textId="0784BF69" w:rsidR="00492F8D" w:rsidRDefault="00F06B19" w:rsidP="00230FA1">
      <w:r>
        <w:t xml:space="preserve">Most feared were the “communicable </w:t>
      </w:r>
      <w:r w:rsidR="00492F8D">
        <w:t>“diseases</w:t>
      </w:r>
      <w:r>
        <w:t xml:space="preserve"> and the Victorians believed that theses resulted from either miasma (poisonous gases) or from </w:t>
      </w:r>
      <w:r w:rsidR="00492F8D">
        <w:t>contagion</w:t>
      </w:r>
      <w:r>
        <w:t xml:space="preserve"> (particles). This was much worse in the overcrowded towns and cases were lower in number in the rural outlying areas of south west Wales and it was possibly easier to find the direct causes. In Haverfordwest in 1870s a bad outbreak of typhus led to 48 deaths and the source of infection was found to be the town’s water supply. A village well became contaminated in Broad Haven, Pembrokeshire in </w:t>
      </w:r>
      <w:r w:rsidR="00492F8D">
        <w:t>1884,</w:t>
      </w:r>
      <w:r>
        <w:t xml:space="preserve"> which led to the deaths of another 48 people – a very significant proportion of the population.</w:t>
      </w:r>
      <w:sdt>
        <w:sdtPr>
          <w:id w:val="1788547141"/>
          <w:citation/>
        </w:sdtPr>
        <w:sdtContent>
          <w:r>
            <w:fldChar w:fldCharType="begin"/>
          </w:r>
          <w:r>
            <w:instrText xml:space="preserve"> CITATION Ray18 \l 2057 </w:instrText>
          </w:r>
          <w:r>
            <w:fldChar w:fldCharType="separate"/>
          </w:r>
          <w:r w:rsidR="002564FF">
            <w:rPr>
              <w:noProof/>
            </w:rPr>
            <w:t xml:space="preserve"> </w:t>
          </w:r>
          <w:r w:rsidR="002564FF" w:rsidRPr="002564FF">
            <w:rPr>
              <w:noProof/>
            </w:rPr>
            <w:t>(Jones, 2018)</w:t>
          </w:r>
          <w:r>
            <w:fldChar w:fldCharType="end"/>
          </w:r>
        </w:sdtContent>
      </w:sdt>
      <w:r w:rsidR="00492F8D">
        <w:rPr>
          <w:rStyle w:val="FootnoteReference"/>
        </w:rPr>
        <w:footnoteReference w:id="20"/>
      </w:r>
      <w:r w:rsidR="00492F8D">
        <w:t xml:space="preserve">. Pembrokeshire saw occasional influenza outbreaks and in 1880 there were 3 cases of smallpox in the Narberth area. </w:t>
      </w:r>
    </w:p>
    <w:p w14:paraId="1FA9959D" w14:textId="4036DB35" w:rsidR="002564FF" w:rsidRDefault="00230FA1" w:rsidP="00230FA1">
      <w:r>
        <w:t xml:space="preserve">To demonstrate the positive impact of child welfare reforms one </w:t>
      </w:r>
      <w:r w:rsidR="00492F8D">
        <w:t xml:space="preserve">can </w:t>
      </w:r>
      <w:r>
        <w:t xml:space="preserve">compare the survival rates </w:t>
      </w:r>
      <w:r w:rsidR="00F80109">
        <w:t xml:space="preserve">in 1838 of 836 male and 865 </w:t>
      </w:r>
      <w:r w:rsidR="00492F8D">
        <w:t>females</w:t>
      </w:r>
      <w:r w:rsidR="00F80109">
        <w:t xml:space="preserve"> per 1000 births with the figures in 19</w:t>
      </w:r>
      <w:r w:rsidR="003D505E">
        <w:t>2</w:t>
      </w:r>
      <w:r w:rsidR="00F80109">
        <w:t xml:space="preserve">0 of </w:t>
      </w:r>
      <w:r w:rsidR="003D505E">
        <w:t>910 males and 931 females.</w:t>
      </w:r>
      <w:r w:rsidR="0026339F">
        <w:t xml:space="preserve"> Criticisms of the manner in which reforms were put in place exist such as the feminist view</w:t>
      </w:r>
      <w:r w:rsidR="00B030B4">
        <w:t xml:space="preserve"> that benefits assumed a male breadwinner and reinforced traditional notions of the female role in society</w:t>
      </w:r>
      <w:r w:rsidR="003556EC">
        <w:t xml:space="preserve"> and many resented what was seen as interference in child-rearing</w:t>
      </w:r>
      <w:sdt>
        <w:sdtPr>
          <w:id w:val="-283730675"/>
          <w:citation/>
        </w:sdtPr>
        <w:sdtEndPr/>
        <w:sdtContent>
          <w:r w:rsidR="003556EC">
            <w:fldChar w:fldCharType="begin"/>
          </w:r>
          <w:r w:rsidR="003556EC">
            <w:instrText xml:space="preserve"> CITATION Ber04 \l 2057 </w:instrText>
          </w:r>
          <w:r w:rsidR="003556EC">
            <w:fldChar w:fldCharType="separate"/>
          </w:r>
          <w:r w:rsidR="002564FF">
            <w:rPr>
              <w:noProof/>
            </w:rPr>
            <w:t xml:space="preserve"> </w:t>
          </w:r>
          <w:r w:rsidR="002564FF" w:rsidRPr="002564FF">
            <w:rPr>
              <w:noProof/>
            </w:rPr>
            <w:t>(Harris, 2004)</w:t>
          </w:r>
          <w:r w:rsidR="003556EC">
            <w:fldChar w:fldCharType="end"/>
          </w:r>
        </w:sdtContent>
      </w:sdt>
      <w:r w:rsidR="003556EC">
        <w:t>.</w:t>
      </w:r>
      <w:r w:rsidR="00A75918">
        <w:t xml:space="preserve"> Industrialisation necessitated welfare reform as condition in cramped cities </w:t>
      </w:r>
      <w:r w:rsidR="00DC14ED">
        <w:t>impacted on health and well-being – a strong workforce was required</w:t>
      </w:r>
      <w:r w:rsidR="00171624">
        <w:t xml:space="preserve"> to keep the wheels of industry turning fast </w:t>
      </w:r>
      <w:r w:rsidR="000A02BB">
        <w:t>enough,</w:t>
      </w:r>
      <w:r w:rsidR="00171624">
        <w:t xml:space="preserve"> while population reductions in rural areas such as south-west Wales led to more effective farming methods</w:t>
      </w:r>
      <w:r w:rsidR="00EE3DC3">
        <w:t>. Perhaps the growing economy made meeting the costs of reform possible too.</w:t>
      </w:r>
      <w:r w:rsidR="00FB7FD7">
        <w:t xml:space="preserve"> The effectiveness of the welfare reforms on children varied too</w:t>
      </w:r>
      <w:r w:rsidR="00065E63">
        <w:t xml:space="preserve"> and times remained hard for many</w:t>
      </w:r>
      <w:r w:rsidR="00565750">
        <w:t xml:space="preserve">, with those in remote rural areas still working part-time at least. </w:t>
      </w:r>
      <w:r w:rsidR="00FC0CFC">
        <w:t>By 1900 a different rhythm of life was in place for many</w:t>
      </w:r>
      <w:r w:rsidR="00AF650D">
        <w:t xml:space="preserve"> </w:t>
      </w:r>
      <w:sdt>
        <w:sdtPr>
          <w:id w:val="-489091732"/>
          <w:citation/>
        </w:sdtPr>
        <w:sdtEndPr/>
        <w:sdtContent>
          <w:r w:rsidR="00AF650D">
            <w:fldChar w:fldCharType="begin"/>
          </w:r>
          <w:r w:rsidR="00AF650D">
            <w:instrText xml:space="preserve"> CITATION Gin09 \l 2057 </w:instrText>
          </w:r>
          <w:r w:rsidR="00AF650D">
            <w:fldChar w:fldCharType="separate"/>
          </w:r>
          <w:r w:rsidR="002564FF" w:rsidRPr="002564FF">
            <w:rPr>
              <w:noProof/>
            </w:rPr>
            <w:t>(Frost, 2009)</w:t>
          </w:r>
          <w:r w:rsidR="00AF650D">
            <w:fldChar w:fldCharType="end"/>
          </w:r>
        </w:sdtContent>
      </w:sdt>
      <w:r w:rsidR="00AF650D">
        <w:t xml:space="preserve">, but this may have been less noticeable outside the towns. For all </w:t>
      </w:r>
      <w:r w:rsidR="00AF650D">
        <w:lastRenderedPageBreak/>
        <w:t xml:space="preserve">children there was </w:t>
      </w:r>
      <w:r w:rsidR="00D52114">
        <w:t>more time to play, grow and learn, but</w:t>
      </w:r>
      <w:r w:rsidR="00264FC7">
        <w:t xml:space="preserve"> </w:t>
      </w:r>
      <w:r w:rsidR="000A02BB">
        <w:t>class differences</w:t>
      </w:r>
      <w:r w:rsidR="00264FC7">
        <w:t xml:space="preserve"> had not been eradicated</w:t>
      </w:r>
      <w:r w:rsidR="00291A96">
        <w:t xml:space="preserve"> and may never be. </w:t>
      </w:r>
      <w:r w:rsidR="00492F8D">
        <w:t>Public good works and new services proliferated, which increased opportunities for exercise and leisure – in Carmarthen, for example, the park created in 1900 included a velodrome.</w:t>
      </w:r>
    </w:p>
    <w:p w14:paraId="23104EF8" w14:textId="1C5BF950" w:rsidR="00230FA1" w:rsidRDefault="002564FF" w:rsidP="00230FA1">
      <w:r>
        <w:t>In south west Wales, the reforms came a little later than further east as it was harder to monitor take-up in remote areas and conditions had not been quite a dire as in the industrial areas. However, once laws were in place and fees for medicine and school meals removed, the children of this area did benefit more fully in the child welfare reforms.</w:t>
      </w:r>
      <w:r w:rsidR="00492F8D">
        <w:t xml:space="preserve"> </w:t>
      </w:r>
      <w:r w:rsidR="00291A96">
        <w:t xml:space="preserve">At least childhood itself was now </w:t>
      </w:r>
      <w:r w:rsidR="00842AFA">
        <w:t xml:space="preserve">valued and lasted longer for all, but children could still miss out on support </w:t>
      </w:r>
      <w:r w:rsidR="000A02BB">
        <w:t>and,</w:t>
      </w:r>
      <w:r w:rsidR="00751915">
        <w:t xml:space="preserve"> not until after World War Two, were serious amounts of state money directed to welfare reform.</w:t>
      </w:r>
      <w:r w:rsidR="005271D7">
        <w:t xml:space="preserve"> The reforms had made clear that children were a valued resource and </w:t>
      </w:r>
      <w:r w:rsidR="00982FA8">
        <w:t>their well-being was paramount.</w:t>
      </w:r>
      <w:r w:rsidR="00706526">
        <w:t xml:space="preserve"> Times had definitely changed and the words of Marianne Farringham in 1907 summed up the impact well:</w:t>
      </w:r>
    </w:p>
    <w:p w14:paraId="2C6780E2" w14:textId="6B50CF21" w:rsidR="00706526" w:rsidRDefault="00751C70" w:rsidP="00706526">
      <w:pPr>
        <w:ind w:left="720"/>
      </w:pPr>
      <w:r>
        <w:t>I am thankful to have watched a wonderful growth of respect for the child. Children are among the chief assets of the nation</w:t>
      </w:r>
      <w:r w:rsidR="00622CFB">
        <w:t>, and now they are regarded in this light a good deal will be done for them. It is time.</w:t>
      </w:r>
    </w:p>
    <w:p w14:paraId="4BCA6DC4" w14:textId="0F784277" w:rsidR="00EC7C5C" w:rsidRDefault="00EC7C5C" w:rsidP="00EC7C5C"/>
    <w:p w14:paraId="139A7EE3" w14:textId="29029206" w:rsidR="00B674DA" w:rsidRDefault="00B674DA" w:rsidP="00EC7C5C">
      <w:bookmarkStart w:id="0" w:name="_GoBack"/>
      <w:bookmarkEnd w:id="0"/>
    </w:p>
    <w:p w14:paraId="62A8B590" w14:textId="41674E4C" w:rsidR="00B674DA" w:rsidRPr="00B674DA" w:rsidRDefault="00B674DA" w:rsidP="00EC7C5C">
      <w:pPr>
        <w:rPr>
          <w:b/>
        </w:rPr>
      </w:pPr>
      <w:r w:rsidRPr="00B674DA">
        <w:rPr>
          <w:b/>
        </w:rPr>
        <w:t>BIBLIOGRAPHY</w:t>
      </w:r>
    </w:p>
    <w:p w14:paraId="33338A29" w14:textId="1919A438" w:rsidR="00B674DA" w:rsidRPr="00B674DA" w:rsidRDefault="00B674DA" w:rsidP="00EC7C5C">
      <w:pPr>
        <w:rPr>
          <w:b/>
        </w:rPr>
      </w:pPr>
      <w:r w:rsidRPr="00B674DA">
        <w:rPr>
          <w:b/>
        </w:rPr>
        <w:t>Primary Sources</w:t>
      </w:r>
    </w:p>
    <w:p w14:paraId="2FCF8DC2" w14:textId="77777777" w:rsidR="002564FF" w:rsidRDefault="000209F5" w:rsidP="002564FF">
      <w:pPr>
        <w:pStyle w:val="Bibliography"/>
        <w:rPr>
          <w:noProof/>
          <w:sz w:val="24"/>
          <w:szCs w:val="24"/>
        </w:rPr>
      </w:pPr>
      <w:r>
        <w:fldChar w:fldCharType="begin"/>
      </w:r>
      <w:r>
        <w:instrText xml:space="preserve"> BIBLIOGRAPHY  \l 2057 </w:instrText>
      </w:r>
      <w:r>
        <w:fldChar w:fldCharType="separate"/>
      </w:r>
      <w:r w:rsidR="002564FF">
        <w:rPr>
          <w:noProof/>
        </w:rPr>
        <w:t xml:space="preserve">Anon., 1900. </w:t>
      </w:r>
      <w:r w:rsidR="002564FF">
        <w:rPr>
          <w:i/>
          <w:iCs/>
          <w:noProof/>
        </w:rPr>
        <w:t xml:space="preserve">Chidren outside Cambrian Hotel, Saundersfoot. </w:t>
      </w:r>
      <w:r w:rsidR="002564FF">
        <w:rPr>
          <w:noProof/>
        </w:rPr>
        <w:t xml:space="preserve">[Online] </w:t>
      </w:r>
      <w:r w:rsidR="002564FF">
        <w:rPr>
          <w:noProof/>
        </w:rPr>
        <w:br/>
        <w:t xml:space="preserve">Available at: </w:t>
      </w:r>
      <w:r w:rsidR="002564FF">
        <w:rPr>
          <w:noProof/>
          <w:u w:val="single"/>
        </w:rPr>
        <w:t>https://www.peoplescollection.wales/items/381594</w:t>
      </w:r>
    </w:p>
    <w:p w14:paraId="487E0D90" w14:textId="77777777" w:rsidR="002564FF" w:rsidRDefault="002564FF" w:rsidP="002564FF">
      <w:pPr>
        <w:pStyle w:val="Bibliography"/>
        <w:rPr>
          <w:noProof/>
        </w:rPr>
      </w:pPr>
      <w:r>
        <w:rPr>
          <w:noProof/>
        </w:rPr>
        <w:t xml:space="preserve">Anon., 1900. </w:t>
      </w:r>
      <w:r>
        <w:rPr>
          <w:i/>
          <w:iCs/>
          <w:noProof/>
        </w:rPr>
        <w:t xml:space="preserve">Schools. </w:t>
      </w:r>
      <w:r>
        <w:rPr>
          <w:noProof/>
        </w:rPr>
        <w:t xml:space="preserve">[Online] </w:t>
      </w:r>
      <w:r>
        <w:rPr>
          <w:noProof/>
        </w:rPr>
        <w:br/>
        <w:t xml:space="preserve">Available at: </w:t>
      </w:r>
      <w:r>
        <w:rPr>
          <w:noProof/>
          <w:u w:val="single"/>
        </w:rPr>
        <w:t>https://www.museumwales.ac.uk/media/8624</w:t>
      </w:r>
    </w:p>
    <w:p w14:paraId="26DB2F19" w14:textId="77777777" w:rsidR="002564FF" w:rsidRDefault="002564FF" w:rsidP="002564FF">
      <w:pPr>
        <w:pStyle w:val="Bibliography"/>
        <w:rPr>
          <w:noProof/>
        </w:rPr>
      </w:pPr>
      <w:r>
        <w:rPr>
          <w:noProof/>
        </w:rPr>
        <w:t xml:space="preserve">Anon., 1986. The WNMA &amp; its policy towards TB. </w:t>
      </w:r>
      <w:r>
        <w:rPr>
          <w:i/>
          <w:iCs/>
          <w:noProof/>
        </w:rPr>
        <w:t xml:space="preserve">Welsh History review, </w:t>
      </w:r>
      <w:r>
        <w:rPr>
          <w:noProof/>
        </w:rPr>
        <w:t>pp. 194-216.</w:t>
      </w:r>
    </w:p>
    <w:p w14:paraId="41AA8722" w14:textId="77777777" w:rsidR="002564FF" w:rsidRDefault="002564FF" w:rsidP="002564FF">
      <w:pPr>
        <w:pStyle w:val="Bibliography"/>
        <w:rPr>
          <w:noProof/>
        </w:rPr>
      </w:pPr>
      <w:r>
        <w:rPr>
          <w:noProof/>
        </w:rPr>
        <w:t xml:space="preserve">Anon., n.d. </w:t>
      </w:r>
      <w:r>
        <w:rPr>
          <w:i/>
          <w:iCs/>
          <w:noProof/>
        </w:rPr>
        <w:t xml:space="preserve">A Woman's Work </w:t>
      </w:r>
      <w:r>
        <w:rPr>
          <w:noProof/>
        </w:rPr>
        <w:t>[Interview] n.d.</w:t>
      </w:r>
    </w:p>
    <w:p w14:paraId="460EEDE8" w14:textId="77777777" w:rsidR="002564FF" w:rsidRDefault="002564FF" w:rsidP="002564FF">
      <w:pPr>
        <w:pStyle w:val="Bibliography"/>
        <w:rPr>
          <w:noProof/>
        </w:rPr>
      </w:pPr>
      <w:r>
        <w:rPr>
          <w:noProof/>
        </w:rPr>
        <w:t xml:space="preserve">Anon., n.d. Suitable Homes revisited.. </w:t>
      </w:r>
      <w:r>
        <w:rPr>
          <w:i/>
          <w:iCs/>
          <w:noProof/>
        </w:rPr>
        <w:t>Science Direct</w:t>
      </w:r>
      <w:r>
        <w:rPr>
          <w:noProof/>
        </w:rPr>
        <w:t>, p. SO190740999000523.</w:t>
      </w:r>
    </w:p>
    <w:p w14:paraId="45C9ACDB" w14:textId="77777777" w:rsidR="002564FF" w:rsidRDefault="002564FF" w:rsidP="002564FF">
      <w:pPr>
        <w:pStyle w:val="Bibliography"/>
        <w:rPr>
          <w:noProof/>
        </w:rPr>
      </w:pPr>
      <w:r>
        <w:rPr>
          <w:noProof/>
        </w:rPr>
        <w:t xml:space="preserve">Anon., n.d. Welfare Reform in Historical Perspective. </w:t>
      </w:r>
      <w:r>
        <w:rPr>
          <w:i/>
          <w:iCs/>
          <w:noProof/>
        </w:rPr>
        <w:t xml:space="preserve">Social Justice Vol. 21, </w:t>
      </w:r>
      <w:r>
        <w:rPr>
          <w:noProof/>
        </w:rPr>
        <w:t>p. Volume 1.</w:t>
      </w:r>
    </w:p>
    <w:p w14:paraId="64F923A6" w14:textId="41EF3C62" w:rsidR="002564FF" w:rsidRDefault="002564FF" w:rsidP="002564FF">
      <w:pPr>
        <w:pStyle w:val="Bibliography"/>
        <w:rPr>
          <w:noProof/>
          <w:u w:val="single"/>
        </w:rPr>
      </w:pPr>
      <w:r>
        <w:rPr>
          <w:noProof/>
        </w:rPr>
        <w:t xml:space="preserve">Anon., n.d. </w:t>
      </w:r>
      <w:r>
        <w:rPr>
          <w:i/>
          <w:iCs/>
          <w:noProof/>
        </w:rPr>
        <w:t xml:space="preserve">Women's Work and Welfare. </w:t>
      </w:r>
      <w:r>
        <w:rPr>
          <w:noProof/>
        </w:rPr>
        <w:t xml:space="preserve">[Online] </w:t>
      </w:r>
      <w:r>
        <w:rPr>
          <w:noProof/>
        </w:rPr>
        <w:br/>
        <w:t xml:space="preserve">Available at: </w:t>
      </w:r>
      <w:r>
        <w:rPr>
          <w:noProof/>
          <w:u w:val="single"/>
        </w:rPr>
        <w:t>https://www.museumwales.ac.uk/media/8620</w:t>
      </w:r>
    </w:p>
    <w:p w14:paraId="314650DB" w14:textId="08CD8716" w:rsidR="00B674DA" w:rsidRDefault="00B674DA" w:rsidP="00B674DA">
      <w:pPr>
        <w:pStyle w:val="Bibliography"/>
        <w:rPr>
          <w:noProof/>
        </w:rPr>
      </w:pPr>
      <w:r>
        <w:rPr>
          <w:noProof/>
        </w:rPr>
        <w:t xml:space="preserve">Officer, C. M., 1913. </w:t>
      </w:r>
      <w:r>
        <w:rPr>
          <w:i/>
          <w:iCs/>
          <w:noProof/>
        </w:rPr>
        <w:t xml:space="preserve">Board of Education Report, </w:t>
      </w:r>
      <w:r>
        <w:rPr>
          <w:noProof/>
        </w:rPr>
        <w:t>Pembrokeshire: s.n.</w:t>
      </w:r>
    </w:p>
    <w:p w14:paraId="30FA5670" w14:textId="77777777" w:rsidR="00B674DA" w:rsidRDefault="00B674DA" w:rsidP="00B674DA">
      <w:pPr>
        <w:pStyle w:val="Bibliography"/>
        <w:rPr>
          <w:noProof/>
        </w:rPr>
      </w:pPr>
      <w:r>
        <w:rPr>
          <w:noProof/>
        </w:rPr>
        <w:t xml:space="preserve">Jones, R., 2018. </w:t>
      </w:r>
      <w:r>
        <w:rPr>
          <w:i/>
          <w:iCs/>
          <w:noProof/>
        </w:rPr>
        <w:t xml:space="preserve">Infectious diseases. </w:t>
      </w:r>
      <w:r>
        <w:rPr>
          <w:noProof/>
        </w:rPr>
        <w:t xml:space="preserve">[Online] </w:t>
      </w:r>
      <w:r>
        <w:rPr>
          <w:noProof/>
        </w:rPr>
        <w:br/>
        <w:t xml:space="preserve">Available at: </w:t>
      </w:r>
      <w:r>
        <w:rPr>
          <w:noProof/>
          <w:u w:val="single"/>
        </w:rPr>
        <w:t>www.pembrokeshirehistoricalsociety.co.uk/infectious-diseases-in-pembrokeshire-in-19th-century</w:t>
      </w:r>
    </w:p>
    <w:p w14:paraId="4FC418DB" w14:textId="77777777" w:rsidR="00B674DA" w:rsidRPr="00B674DA" w:rsidRDefault="00B674DA" w:rsidP="00B674DA"/>
    <w:p w14:paraId="11EC4CAD" w14:textId="77777777" w:rsidR="00B674DA" w:rsidRPr="00B674DA" w:rsidRDefault="00B674DA" w:rsidP="00B674DA"/>
    <w:p w14:paraId="1283C851" w14:textId="64A89035" w:rsidR="00B674DA" w:rsidRDefault="00B674DA" w:rsidP="00B674DA"/>
    <w:p w14:paraId="475356E0" w14:textId="77777777" w:rsidR="00B674DA" w:rsidRDefault="00B674DA" w:rsidP="00B674DA">
      <w:pPr>
        <w:rPr>
          <w:b/>
        </w:rPr>
      </w:pPr>
    </w:p>
    <w:p w14:paraId="31B137B7" w14:textId="0ED2C81A" w:rsidR="00B674DA" w:rsidRPr="00B674DA" w:rsidRDefault="00B674DA" w:rsidP="00B674DA">
      <w:pPr>
        <w:rPr>
          <w:b/>
        </w:rPr>
      </w:pPr>
      <w:r>
        <w:rPr>
          <w:b/>
        </w:rPr>
        <w:lastRenderedPageBreak/>
        <w:t>Secondary sources</w:t>
      </w:r>
    </w:p>
    <w:p w14:paraId="44D98C31" w14:textId="77777777" w:rsidR="002564FF" w:rsidRDefault="002564FF" w:rsidP="002564FF">
      <w:pPr>
        <w:pStyle w:val="Bibliography"/>
        <w:rPr>
          <w:noProof/>
        </w:rPr>
      </w:pPr>
      <w:r>
        <w:rPr>
          <w:noProof/>
        </w:rPr>
        <w:t xml:space="preserve">Davies, R., 2005. </w:t>
      </w:r>
      <w:r>
        <w:rPr>
          <w:i/>
          <w:iCs/>
          <w:noProof/>
        </w:rPr>
        <w:t xml:space="preserve">Hope and Heartbreak. </w:t>
      </w:r>
      <w:r>
        <w:rPr>
          <w:noProof/>
        </w:rPr>
        <w:t>Trowbridge: Cromwell Press.</w:t>
      </w:r>
    </w:p>
    <w:p w14:paraId="68E41B6D" w14:textId="77777777" w:rsidR="002564FF" w:rsidRDefault="002564FF" w:rsidP="002564FF">
      <w:pPr>
        <w:pStyle w:val="Bibliography"/>
        <w:rPr>
          <w:noProof/>
        </w:rPr>
      </w:pPr>
      <w:r>
        <w:rPr>
          <w:noProof/>
        </w:rPr>
        <w:t xml:space="preserve">Evans, D. G., 1989. </w:t>
      </w:r>
      <w:r>
        <w:rPr>
          <w:i/>
          <w:iCs/>
          <w:noProof/>
        </w:rPr>
        <w:t xml:space="preserve">A History of Wales 1815-1906. </w:t>
      </w:r>
      <w:r>
        <w:rPr>
          <w:noProof/>
        </w:rPr>
        <w:t>Cardiff: University of Wales Press.</w:t>
      </w:r>
    </w:p>
    <w:p w14:paraId="11FD0675" w14:textId="77777777" w:rsidR="002564FF" w:rsidRDefault="002564FF" w:rsidP="002564FF">
      <w:pPr>
        <w:pStyle w:val="Bibliography"/>
        <w:rPr>
          <w:noProof/>
        </w:rPr>
      </w:pPr>
      <w:r>
        <w:rPr>
          <w:noProof/>
        </w:rPr>
        <w:t xml:space="preserve">Frost, G. S., 2009. </w:t>
      </w:r>
      <w:r>
        <w:rPr>
          <w:i/>
          <w:iCs/>
          <w:noProof/>
        </w:rPr>
        <w:t xml:space="preserve">Victorian Childhoods. </w:t>
      </w:r>
      <w:r>
        <w:rPr>
          <w:noProof/>
        </w:rPr>
        <w:t>London: Praeger.</w:t>
      </w:r>
    </w:p>
    <w:p w14:paraId="32ED7286" w14:textId="77777777" w:rsidR="002564FF" w:rsidRDefault="002564FF" w:rsidP="002564FF">
      <w:pPr>
        <w:pStyle w:val="Bibliography"/>
        <w:rPr>
          <w:noProof/>
        </w:rPr>
      </w:pPr>
      <w:r>
        <w:rPr>
          <w:noProof/>
        </w:rPr>
        <w:t xml:space="preserve">Harris, B., 2004. </w:t>
      </w:r>
      <w:r>
        <w:rPr>
          <w:i/>
          <w:iCs/>
          <w:noProof/>
        </w:rPr>
        <w:t xml:space="preserve">The Origins of the British Welfare State. </w:t>
      </w:r>
      <w:r>
        <w:rPr>
          <w:noProof/>
        </w:rPr>
        <w:t>Basingstoke: Palgrave Macmillan.</w:t>
      </w:r>
    </w:p>
    <w:p w14:paraId="5A4F451C" w14:textId="77777777" w:rsidR="002564FF" w:rsidRDefault="002564FF" w:rsidP="002564FF">
      <w:pPr>
        <w:pStyle w:val="Bibliography"/>
        <w:rPr>
          <w:noProof/>
        </w:rPr>
      </w:pPr>
      <w:r>
        <w:rPr>
          <w:noProof/>
        </w:rPr>
        <w:t xml:space="preserve">Hill, C. P., 1992. </w:t>
      </w:r>
      <w:r>
        <w:rPr>
          <w:i/>
          <w:iCs/>
          <w:noProof/>
        </w:rPr>
        <w:t xml:space="preserve">British Economic &amp; Social History 1700-1982. </w:t>
      </w:r>
      <w:r>
        <w:rPr>
          <w:noProof/>
        </w:rPr>
        <w:t>London: Hodder &amp; Stoughton.</w:t>
      </w:r>
    </w:p>
    <w:p w14:paraId="2E1B397C" w14:textId="77777777" w:rsidR="002564FF" w:rsidRDefault="002564FF" w:rsidP="002564FF">
      <w:pPr>
        <w:pStyle w:val="Bibliography"/>
        <w:rPr>
          <w:noProof/>
        </w:rPr>
      </w:pPr>
      <w:r>
        <w:rPr>
          <w:noProof/>
        </w:rPr>
        <w:t xml:space="preserve">Jenkins, D., 1971. </w:t>
      </w:r>
      <w:r>
        <w:rPr>
          <w:i/>
          <w:iCs/>
          <w:noProof/>
        </w:rPr>
        <w:t xml:space="preserve">The Agricultural Community in south-west Wales. </w:t>
      </w:r>
      <w:r>
        <w:rPr>
          <w:noProof/>
        </w:rPr>
        <w:t>Cardiff: University of Wales Press.</w:t>
      </w:r>
    </w:p>
    <w:p w14:paraId="724BB9AE" w14:textId="77777777" w:rsidR="002564FF" w:rsidRDefault="002564FF" w:rsidP="002564FF">
      <w:pPr>
        <w:pStyle w:val="Bibliography"/>
        <w:rPr>
          <w:noProof/>
        </w:rPr>
      </w:pPr>
      <w:r>
        <w:rPr>
          <w:noProof/>
        </w:rPr>
        <w:t xml:space="preserve">Murray, P., 1999. </w:t>
      </w:r>
      <w:r>
        <w:rPr>
          <w:i/>
          <w:iCs/>
          <w:noProof/>
        </w:rPr>
        <w:t xml:space="preserve">Poverty &amp; welfare 1830-1914. </w:t>
      </w:r>
      <w:r>
        <w:rPr>
          <w:noProof/>
        </w:rPr>
        <w:t>oxon: Hodder &amp; Stoughton.</w:t>
      </w:r>
    </w:p>
    <w:p w14:paraId="6DC2E35D" w14:textId="77777777" w:rsidR="002564FF" w:rsidRDefault="002564FF" w:rsidP="002564FF">
      <w:pPr>
        <w:pStyle w:val="Bibliography"/>
        <w:rPr>
          <w:noProof/>
        </w:rPr>
      </w:pPr>
      <w:r>
        <w:rPr>
          <w:noProof/>
        </w:rPr>
        <w:t xml:space="preserve">Paterson, M., 2008. </w:t>
      </w:r>
      <w:r>
        <w:rPr>
          <w:i/>
          <w:iCs/>
          <w:noProof/>
        </w:rPr>
        <w:t xml:space="preserve">Life in Victorian Britain. </w:t>
      </w:r>
      <w:r>
        <w:rPr>
          <w:noProof/>
        </w:rPr>
        <w:t>Philadelphia: Robinson.</w:t>
      </w:r>
    </w:p>
    <w:p w14:paraId="6899553A" w14:textId="77777777" w:rsidR="002564FF" w:rsidRDefault="002564FF" w:rsidP="002564FF">
      <w:pPr>
        <w:pStyle w:val="Bibliography"/>
        <w:rPr>
          <w:noProof/>
        </w:rPr>
      </w:pPr>
      <w:r>
        <w:rPr>
          <w:noProof/>
        </w:rPr>
        <w:t xml:space="preserve">Seaton, S., 2017. </w:t>
      </w:r>
      <w:r>
        <w:rPr>
          <w:i/>
          <w:iCs/>
          <w:noProof/>
        </w:rPr>
        <w:t xml:space="preserve">Childhood &amp; Death in Victorian England. </w:t>
      </w:r>
      <w:r>
        <w:rPr>
          <w:noProof/>
        </w:rPr>
        <w:t>Barnsley: Pen &amp; Sword.</w:t>
      </w:r>
    </w:p>
    <w:p w14:paraId="5D678861" w14:textId="77777777" w:rsidR="002564FF" w:rsidRDefault="002564FF" w:rsidP="002564FF">
      <w:pPr>
        <w:pStyle w:val="Bibliography"/>
        <w:rPr>
          <w:noProof/>
        </w:rPr>
      </w:pPr>
      <w:r>
        <w:rPr>
          <w:noProof/>
        </w:rPr>
        <w:t xml:space="preserve">Thompson, C., 2014. </w:t>
      </w:r>
      <w:r>
        <w:rPr>
          <w:i/>
          <w:iCs/>
          <w:noProof/>
        </w:rPr>
        <w:t xml:space="preserve">From the cradle to the coalmine. </w:t>
      </w:r>
      <w:r>
        <w:rPr>
          <w:noProof/>
        </w:rPr>
        <w:t>Cardiff: Univeristy of Wales Press.</w:t>
      </w:r>
    </w:p>
    <w:p w14:paraId="46C2402C" w14:textId="363A52AE" w:rsidR="000209F5" w:rsidRPr="00550258" w:rsidRDefault="000209F5" w:rsidP="002564FF">
      <w:r>
        <w:fldChar w:fldCharType="end"/>
      </w:r>
    </w:p>
    <w:sectPr w:rsidR="000209F5" w:rsidRPr="0055025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34A5C" w14:textId="77777777" w:rsidR="008E710F" w:rsidRDefault="008E710F" w:rsidP="00FF6E82">
      <w:pPr>
        <w:spacing w:after="0" w:line="240" w:lineRule="auto"/>
      </w:pPr>
      <w:r>
        <w:separator/>
      </w:r>
    </w:p>
  </w:endnote>
  <w:endnote w:type="continuationSeparator" w:id="0">
    <w:p w14:paraId="323F9AE8" w14:textId="77777777" w:rsidR="008E710F" w:rsidRDefault="008E710F" w:rsidP="00F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934712"/>
      <w:docPartObj>
        <w:docPartGallery w:val="Page Numbers (Bottom of Page)"/>
        <w:docPartUnique/>
      </w:docPartObj>
    </w:sdtPr>
    <w:sdtEndPr>
      <w:rPr>
        <w:noProof/>
      </w:rPr>
    </w:sdtEndPr>
    <w:sdtContent>
      <w:p w14:paraId="1BDD17A7" w14:textId="58089AAD" w:rsidR="00170235" w:rsidRDefault="00170235">
        <w:pPr>
          <w:pStyle w:val="Footer"/>
        </w:pPr>
        <w:r>
          <w:fldChar w:fldCharType="begin"/>
        </w:r>
        <w:r>
          <w:instrText xml:space="preserve"> PAGE   \* MERGEFORMAT </w:instrText>
        </w:r>
        <w:r>
          <w:fldChar w:fldCharType="separate"/>
        </w:r>
        <w:r>
          <w:rPr>
            <w:noProof/>
          </w:rPr>
          <w:t>2</w:t>
        </w:r>
        <w:r>
          <w:rPr>
            <w:noProof/>
          </w:rPr>
          <w:fldChar w:fldCharType="end"/>
        </w:r>
      </w:p>
    </w:sdtContent>
  </w:sdt>
  <w:p w14:paraId="4ED89C11" w14:textId="77777777" w:rsidR="00FF6E82" w:rsidRDefault="00FF6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E3F63" w14:textId="77777777" w:rsidR="008E710F" w:rsidRDefault="008E710F" w:rsidP="00FF6E82">
      <w:pPr>
        <w:spacing w:after="0" w:line="240" w:lineRule="auto"/>
      </w:pPr>
      <w:r>
        <w:separator/>
      </w:r>
    </w:p>
  </w:footnote>
  <w:footnote w:type="continuationSeparator" w:id="0">
    <w:p w14:paraId="5E95E2DB" w14:textId="77777777" w:rsidR="008E710F" w:rsidRDefault="008E710F" w:rsidP="00FF6E82">
      <w:pPr>
        <w:spacing w:after="0" w:line="240" w:lineRule="auto"/>
      </w:pPr>
      <w:r>
        <w:continuationSeparator/>
      </w:r>
    </w:p>
  </w:footnote>
  <w:footnote w:id="1">
    <w:p w14:paraId="34060D9B" w14:textId="0D2FC4AC" w:rsidR="00121E41" w:rsidRDefault="00121E41">
      <w:pPr>
        <w:pStyle w:val="FootnoteText"/>
      </w:pPr>
      <w:r>
        <w:rPr>
          <w:rStyle w:val="FootnoteReference"/>
        </w:rPr>
        <w:footnoteRef/>
      </w:r>
      <w:r>
        <w:t xml:space="preserve"> </w:t>
      </w:r>
      <w:sdt>
        <w:sdtPr>
          <w:id w:val="-781192502"/>
          <w:citation/>
        </w:sdtPr>
        <w:sdtEndPr/>
        <w:sdtContent>
          <w:r>
            <w:fldChar w:fldCharType="begin"/>
          </w:r>
          <w:r>
            <w:instrText xml:space="preserve"> CITATION Ber04 \l 2057 </w:instrText>
          </w:r>
          <w:r>
            <w:fldChar w:fldCharType="separate"/>
          </w:r>
          <w:r w:rsidR="002564FF" w:rsidRPr="002564FF">
            <w:rPr>
              <w:noProof/>
            </w:rPr>
            <w:t>(Harris, 2004)</w:t>
          </w:r>
          <w:r>
            <w:fldChar w:fldCharType="end"/>
          </w:r>
        </w:sdtContent>
      </w:sdt>
      <w:r w:rsidR="008C2059">
        <w:t>Bernard Harris. The origins of the British Welfare State. Basingstoke. Palgrave.</w:t>
      </w:r>
    </w:p>
  </w:footnote>
  <w:footnote w:id="2">
    <w:p w14:paraId="302A17F7" w14:textId="52B8A7D6" w:rsidR="00121E41" w:rsidRDefault="00121E41">
      <w:pPr>
        <w:pStyle w:val="FootnoteText"/>
      </w:pPr>
      <w:r>
        <w:rPr>
          <w:rStyle w:val="FootnoteReference"/>
        </w:rPr>
        <w:footnoteRef/>
      </w:r>
      <w:r>
        <w:t xml:space="preserve"> </w:t>
      </w:r>
      <w:sdt>
        <w:sdtPr>
          <w:id w:val="-440611344"/>
          <w:citation/>
        </w:sdtPr>
        <w:sdtEndPr/>
        <w:sdtContent>
          <w:r>
            <w:fldChar w:fldCharType="begin"/>
          </w:r>
          <w:r>
            <w:instrText xml:space="preserve"> CITATION Dav711 \l 2057 </w:instrText>
          </w:r>
          <w:r>
            <w:fldChar w:fldCharType="separate"/>
          </w:r>
          <w:r w:rsidR="002564FF" w:rsidRPr="002564FF">
            <w:rPr>
              <w:noProof/>
            </w:rPr>
            <w:t>(Jenkins, 1971)</w:t>
          </w:r>
          <w:r>
            <w:fldChar w:fldCharType="end"/>
          </w:r>
        </w:sdtContent>
      </w:sdt>
      <w:r w:rsidR="008C2059">
        <w:t>David Jenkins.</w:t>
      </w:r>
      <w:r w:rsidR="00AE1B55">
        <w:t xml:space="preserve"> </w:t>
      </w:r>
      <w:r w:rsidR="008C2059">
        <w:t xml:space="preserve">The Agricultural Community in south </w:t>
      </w:r>
      <w:r w:rsidR="00AE1B55">
        <w:t>west Wales</w:t>
      </w:r>
      <w:r w:rsidR="008C2059">
        <w:t>. University of Wales Press. Cardiff.</w:t>
      </w:r>
    </w:p>
  </w:footnote>
  <w:footnote w:id="3">
    <w:p w14:paraId="5CFEEDB9" w14:textId="26B317EA" w:rsidR="00121E41" w:rsidRDefault="00121E41">
      <w:pPr>
        <w:pStyle w:val="FootnoteText"/>
      </w:pPr>
      <w:r>
        <w:rPr>
          <w:rStyle w:val="FootnoteReference"/>
        </w:rPr>
        <w:footnoteRef/>
      </w:r>
      <w:r>
        <w:t xml:space="preserve"> </w:t>
      </w:r>
      <w:sdt>
        <w:sdtPr>
          <w:id w:val="-1038968843"/>
          <w:citation/>
        </w:sdtPr>
        <w:sdtEndPr/>
        <w:sdtContent>
          <w:r>
            <w:fldChar w:fldCharType="begin"/>
          </w:r>
          <w:r>
            <w:instrText xml:space="preserve"> CITATION Gin09 \l 2057 </w:instrText>
          </w:r>
          <w:r>
            <w:fldChar w:fldCharType="separate"/>
          </w:r>
          <w:r w:rsidR="002564FF" w:rsidRPr="002564FF">
            <w:rPr>
              <w:noProof/>
            </w:rPr>
            <w:t>(Frost, 2009)</w:t>
          </w:r>
          <w:r>
            <w:fldChar w:fldCharType="end"/>
          </w:r>
        </w:sdtContent>
      </w:sdt>
      <w:r w:rsidR="008C2059">
        <w:t>Ginger S Frost. Victorian Childhoods.</w:t>
      </w:r>
      <w:r w:rsidR="00AE1B55">
        <w:t xml:space="preserve"> </w:t>
      </w:r>
      <w:r w:rsidR="008C2059">
        <w:t>London. Praeger.</w:t>
      </w:r>
    </w:p>
  </w:footnote>
  <w:footnote w:id="4">
    <w:p w14:paraId="536ECA42" w14:textId="5D76358A" w:rsidR="00121E41" w:rsidRDefault="00121E41">
      <w:pPr>
        <w:pStyle w:val="FootnoteText"/>
      </w:pPr>
      <w:r>
        <w:rPr>
          <w:rStyle w:val="FootnoteReference"/>
        </w:rPr>
        <w:footnoteRef/>
      </w:r>
      <w:r>
        <w:t xml:space="preserve"> </w:t>
      </w:r>
      <w:sdt>
        <w:sdtPr>
          <w:id w:val="-1237235346"/>
          <w:citation/>
        </w:sdtPr>
        <w:sdtEndPr/>
        <w:sdtContent>
          <w:r>
            <w:fldChar w:fldCharType="begin"/>
          </w:r>
          <w:r>
            <w:instrText xml:space="preserve"> CITATION Wom \l 2057 </w:instrText>
          </w:r>
          <w:r>
            <w:fldChar w:fldCharType="separate"/>
          </w:r>
          <w:r w:rsidR="002564FF" w:rsidRPr="002564FF">
            <w:rPr>
              <w:noProof/>
            </w:rPr>
            <w:t>(Anon., n.d.)</w:t>
          </w:r>
          <w:r>
            <w:fldChar w:fldCharType="end"/>
          </w:r>
        </w:sdtContent>
      </w:sdt>
      <w:r w:rsidR="00AE1B55">
        <w:t>http://www.museumwales.ac.uk/media/8620</w:t>
      </w:r>
    </w:p>
  </w:footnote>
  <w:footnote w:id="5">
    <w:p w14:paraId="7FE3AF42" w14:textId="20437847" w:rsidR="00121E41" w:rsidRDefault="00121E41">
      <w:pPr>
        <w:pStyle w:val="FootnoteText"/>
      </w:pPr>
    </w:p>
  </w:footnote>
  <w:footnote w:id="6">
    <w:p w14:paraId="17128FF9" w14:textId="19861826" w:rsidR="00121E41" w:rsidRDefault="00121E41">
      <w:pPr>
        <w:pStyle w:val="FootnoteText"/>
      </w:pPr>
      <w:r>
        <w:rPr>
          <w:rStyle w:val="FootnoteReference"/>
        </w:rPr>
        <w:footnoteRef/>
      </w:r>
      <w:r>
        <w:t xml:space="preserve"> </w:t>
      </w:r>
      <w:sdt>
        <w:sdtPr>
          <w:id w:val="-1515920847"/>
          <w:citation/>
        </w:sdtPr>
        <w:sdtEndPr/>
        <w:sdtContent>
          <w:r>
            <w:fldChar w:fldCharType="begin"/>
          </w:r>
          <w:r>
            <w:instrText xml:space="preserve"> CITATION Rus052 \l 2057 </w:instrText>
          </w:r>
          <w:r>
            <w:fldChar w:fldCharType="separate"/>
          </w:r>
          <w:r w:rsidR="002564FF" w:rsidRPr="002564FF">
            <w:rPr>
              <w:noProof/>
            </w:rPr>
            <w:t>(Davies, 2005)</w:t>
          </w:r>
          <w:r>
            <w:fldChar w:fldCharType="end"/>
          </w:r>
        </w:sdtContent>
      </w:sdt>
      <w:r w:rsidR="00841B7B">
        <w:t xml:space="preserve"> </w:t>
      </w:r>
      <w:r w:rsidR="008C2059">
        <w:t>Russell Davies. Hope and Heartbreak. Trowbridge. Cromwell Press</w:t>
      </w:r>
    </w:p>
  </w:footnote>
  <w:footnote w:id="7">
    <w:p w14:paraId="602E0116" w14:textId="069551FE" w:rsidR="00121E41" w:rsidRDefault="00121E41">
      <w:pPr>
        <w:pStyle w:val="FootnoteText"/>
      </w:pPr>
      <w:r>
        <w:rPr>
          <w:rStyle w:val="FootnoteReference"/>
        </w:rPr>
        <w:footnoteRef/>
      </w:r>
      <w:r>
        <w:t xml:space="preserve"> </w:t>
      </w:r>
      <w:sdt>
        <w:sdtPr>
          <w:id w:val="2130506063"/>
          <w:citation/>
        </w:sdtPr>
        <w:sdtEndPr/>
        <w:sdtContent>
          <w:r>
            <w:fldChar w:fldCharType="begin"/>
          </w:r>
          <w:r>
            <w:instrText xml:space="preserve"> CITATION Mus \l 2057 </w:instrText>
          </w:r>
          <w:r>
            <w:fldChar w:fldCharType="separate"/>
          </w:r>
          <w:r w:rsidR="002564FF" w:rsidRPr="002564FF">
            <w:rPr>
              <w:noProof/>
            </w:rPr>
            <w:t>(Anon., n.d.)</w:t>
          </w:r>
          <w:r>
            <w:fldChar w:fldCharType="end"/>
          </w:r>
        </w:sdtContent>
      </w:sdt>
      <w:r w:rsidR="00AE1B55">
        <w:t xml:space="preserve"> A Woman’s Work. National Museum of Wales transcript.</w:t>
      </w:r>
    </w:p>
  </w:footnote>
  <w:footnote w:id="8">
    <w:p w14:paraId="2CC1C10D" w14:textId="39EC44C3" w:rsidR="00121E41" w:rsidRDefault="00121E41">
      <w:pPr>
        <w:pStyle w:val="FootnoteText"/>
      </w:pPr>
      <w:r>
        <w:rPr>
          <w:rStyle w:val="FootnoteReference"/>
        </w:rPr>
        <w:footnoteRef/>
      </w:r>
      <w:r>
        <w:t xml:space="preserve"> </w:t>
      </w:r>
      <w:sdt>
        <w:sdtPr>
          <w:id w:val="1649856152"/>
          <w:citation/>
        </w:sdtPr>
        <w:sdtEndPr/>
        <w:sdtContent>
          <w:r>
            <w:fldChar w:fldCharType="begin"/>
          </w:r>
          <w:r>
            <w:instrText xml:space="preserve"> CITATION Sar17 \l 2057 </w:instrText>
          </w:r>
          <w:r>
            <w:fldChar w:fldCharType="separate"/>
          </w:r>
          <w:r w:rsidR="002564FF" w:rsidRPr="002564FF">
            <w:rPr>
              <w:noProof/>
            </w:rPr>
            <w:t>(Seaton, 2017)</w:t>
          </w:r>
          <w:r>
            <w:fldChar w:fldCharType="end"/>
          </w:r>
        </w:sdtContent>
      </w:sdt>
      <w:r w:rsidR="008C2059">
        <w:t xml:space="preserve"> Sarah Seaton. Childhood &amp; Death in Victorian England. Barnsley. Pen &amp; Sword</w:t>
      </w:r>
    </w:p>
  </w:footnote>
  <w:footnote w:id="9">
    <w:p w14:paraId="5D80C323" w14:textId="5706AE69" w:rsidR="00121E41" w:rsidRDefault="00121E41">
      <w:pPr>
        <w:pStyle w:val="FootnoteText"/>
      </w:pPr>
      <w:r>
        <w:rPr>
          <w:rStyle w:val="FootnoteReference"/>
        </w:rPr>
        <w:footnoteRef/>
      </w:r>
      <w:r>
        <w:t xml:space="preserve"> </w:t>
      </w:r>
      <w:sdt>
        <w:sdtPr>
          <w:id w:val="435882471"/>
          <w:citation/>
        </w:sdtPr>
        <w:sdtEndPr/>
        <w:sdtContent>
          <w:r>
            <w:fldChar w:fldCharType="begin"/>
          </w:r>
          <w:r>
            <w:instrText xml:space="preserve"> CITATION Mic08 \l 2057 </w:instrText>
          </w:r>
          <w:r>
            <w:fldChar w:fldCharType="separate"/>
          </w:r>
          <w:r w:rsidR="002564FF" w:rsidRPr="002564FF">
            <w:rPr>
              <w:noProof/>
            </w:rPr>
            <w:t>(Paterson, 2008)</w:t>
          </w:r>
          <w:r>
            <w:fldChar w:fldCharType="end"/>
          </w:r>
        </w:sdtContent>
      </w:sdt>
      <w:r w:rsidR="008C2059">
        <w:t>Michael Paterson. Life in Victorian Britain. Philadelphia. Robinson.</w:t>
      </w:r>
    </w:p>
  </w:footnote>
  <w:footnote w:id="10">
    <w:p w14:paraId="47BD2823" w14:textId="301F5E92" w:rsidR="00121E41" w:rsidRDefault="00121E41">
      <w:pPr>
        <w:pStyle w:val="FootnoteText"/>
      </w:pPr>
      <w:r>
        <w:rPr>
          <w:rStyle w:val="FootnoteReference"/>
        </w:rPr>
        <w:footnoteRef/>
      </w:r>
      <w:r>
        <w:t xml:space="preserve"> </w:t>
      </w:r>
      <w:sdt>
        <w:sdtPr>
          <w:id w:val="-1300298344"/>
          <w:citation/>
        </w:sdtPr>
        <w:sdtEndPr/>
        <w:sdtContent>
          <w:r>
            <w:fldChar w:fldCharType="begin"/>
          </w:r>
          <w:r>
            <w:instrText xml:space="preserve"> CITATION Mus \l 2057 </w:instrText>
          </w:r>
          <w:r>
            <w:fldChar w:fldCharType="separate"/>
          </w:r>
          <w:r w:rsidR="002564FF" w:rsidRPr="002564FF">
            <w:rPr>
              <w:noProof/>
            </w:rPr>
            <w:t>(Anon., n.d.)</w:t>
          </w:r>
          <w:r>
            <w:fldChar w:fldCharType="end"/>
          </w:r>
        </w:sdtContent>
      </w:sdt>
      <w:r w:rsidR="00AE1B55">
        <w:t xml:space="preserve"> https://www.peoplescollection.wales/items/381594</w:t>
      </w:r>
    </w:p>
  </w:footnote>
  <w:footnote w:id="11">
    <w:p w14:paraId="5F13B66F" w14:textId="75195762" w:rsidR="00121E41" w:rsidRDefault="00121E41">
      <w:pPr>
        <w:pStyle w:val="FootnoteText"/>
      </w:pPr>
      <w:r>
        <w:rPr>
          <w:rStyle w:val="FootnoteReference"/>
        </w:rPr>
        <w:footnoteRef/>
      </w:r>
      <w:r>
        <w:t xml:space="preserve"> </w:t>
      </w:r>
      <w:sdt>
        <w:sdtPr>
          <w:id w:val="582415004"/>
          <w:citation/>
        </w:sdtPr>
        <w:sdtEndPr/>
        <w:sdtContent>
          <w:r>
            <w:fldChar w:fldCharType="begin"/>
          </w:r>
          <w:r>
            <w:instrText xml:space="preserve"> CITATION Chi00 \l 2057 </w:instrText>
          </w:r>
          <w:r>
            <w:fldChar w:fldCharType="separate"/>
          </w:r>
          <w:r w:rsidR="002564FF" w:rsidRPr="002564FF">
            <w:rPr>
              <w:noProof/>
            </w:rPr>
            <w:t>(Anon., 1900)</w:t>
          </w:r>
          <w:r>
            <w:fldChar w:fldCharType="end"/>
          </w:r>
        </w:sdtContent>
      </w:sdt>
      <w:r w:rsidR="00AE1B55">
        <w:t>https://www.museumwales.ac.uk/media/8624</w:t>
      </w:r>
    </w:p>
  </w:footnote>
  <w:footnote w:id="12">
    <w:p w14:paraId="78266238" w14:textId="55CD7E49" w:rsidR="00121E41" w:rsidRDefault="00121E41">
      <w:pPr>
        <w:pStyle w:val="FootnoteText"/>
      </w:pPr>
      <w:r>
        <w:rPr>
          <w:rStyle w:val="FootnoteReference"/>
        </w:rPr>
        <w:footnoteRef/>
      </w:r>
      <w:r>
        <w:t xml:space="preserve"> </w:t>
      </w:r>
      <w:sdt>
        <w:sdtPr>
          <w:id w:val="1565834619"/>
          <w:citation/>
        </w:sdtPr>
        <w:sdtEndPr/>
        <w:sdtContent>
          <w:r>
            <w:fldChar w:fldCharType="begin"/>
          </w:r>
          <w:r>
            <w:instrText xml:space="preserve"> CITATION The86 \l 2057 </w:instrText>
          </w:r>
          <w:r>
            <w:fldChar w:fldCharType="separate"/>
          </w:r>
          <w:r w:rsidR="002564FF" w:rsidRPr="002564FF">
            <w:rPr>
              <w:noProof/>
            </w:rPr>
            <w:t>(Anon., 1986)</w:t>
          </w:r>
          <w:r>
            <w:fldChar w:fldCharType="end"/>
          </w:r>
        </w:sdtContent>
      </w:sdt>
      <w:r w:rsidR="00AE1B55">
        <w:t>Temple of Peace NHS Conference 2015 intro.</w:t>
      </w:r>
    </w:p>
  </w:footnote>
  <w:footnote w:id="13">
    <w:p w14:paraId="4F034856" w14:textId="426745FE" w:rsidR="00121E41" w:rsidRDefault="00121E41">
      <w:pPr>
        <w:pStyle w:val="FootnoteText"/>
      </w:pPr>
      <w:r>
        <w:rPr>
          <w:rStyle w:val="FootnoteReference"/>
        </w:rPr>
        <w:footnoteRef/>
      </w:r>
      <w:r>
        <w:t xml:space="preserve"> </w:t>
      </w:r>
      <w:sdt>
        <w:sdtPr>
          <w:id w:val="543499036"/>
          <w:citation/>
        </w:sdtPr>
        <w:sdtEndPr/>
        <w:sdtContent>
          <w:r>
            <w:fldChar w:fldCharType="begin"/>
          </w:r>
          <w:r>
            <w:instrText xml:space="preserve"> CITATION Gin09 \l 2057 </w:instrText>
          </w:r>
          <w:r>
            <w:fldChar w:fldCharType="separate"/>
          </w:r>
          <w:r w:rsidR="002564FF" w:rsidRPr="002564FF">
            <w:rPr>
              <w:noProof/>
            </w:rPr>
            <w:t>(Frost, 2009)</w:t>
          </w:r>
          <w:r>
            <w:fldChar w:fldCharType="end"/>
          </w:r>
        </w:sdtContent>
      </w:sdt>
      <w:r w:rsidR="00AE1B55">
        <w:t>Ginger S Frost. Victorian Childhoods. London. Praeger.</w:t>
      </w:r>
    </w:p>
  </w:footnote>
  <w:footnote w:id="14">
    <w:p w14:paraId="175CF4F8" w14:textId="0B90E2C6" w:rsidR="00121E41" w:rsidRDefault="00121E41">
      <w:pPr>
        <w:pStyle w:val="FootnoteText"/>
      </w:pPr>
      <w:r>
        <w:rPr>
          <w:rStyle w:val="FootnoteReference"/>
        </w:rPr>
        <w:footnoteRef/>
      </w:r>
      <w:r>
        <w:t xml:space="preserve"> </w:t>
      </w:r>
      <w:sdt>
        <w:sdtPr>
          <w:id w:val="-1765685722"/>
          <w:citation/>
        </w:sdtPr>
        <w:sdtEndPr/>
        <w:sdtContent>
          <w:r>
            <w:fldChar w:fldCharType="begin"/>
          </w:r>
          <w:r>
            <w:instrText xml:space="preserve"> CITATION Ber04 \l 2057 </w:instrText>
          </w:r>
          <w:r>
            <w:fldChar w:fldCharType="separate"/>
          </w:r>
          <w:r w:rsidR="002564FF" w:rsidRPr="002564FF">
            <w:rPr>
              <w:noProof/>
            </w:rPr>
            <w:t>(Harris, 2004)</w:t>
          </w:r>
          <w:r>
            <w:fldChar w:fldCharType="end"/>
          </w:r>
        </w:sdtContent>
      </w:sdt>
      <w:r w:rsidR="008C2059">
        <w:t xml:space="preserve"> Bernard Harris. The origins of the British Welfare State. </w:t>
      </w:r>
      <w:proofErr w:type="gramStart"/>
      <w:r w:rsidR="008C2059">
        <w:t>Basingstoke .Palgrave</w:t>
      </w:r>
      <w:proofErr w:type="gramEnd"/>
      <w:r w:rsidR="008C2059">
        <w:t>.</w:t>
      </w:r>
    </w:p>
  </w:footnote>
  <w:footnote w:id="15">
    <w:p w14:paraId="6836D5C0" w14:textId="56EB3916" w:rsidR="00F06B19" w:rsidRDefault="00F06B19">
      <w:pPr>
        <w:pStyle w:val="FootnoteText"/>
      </w:pPr>
      <w:r>
        <w:rPr>
          <w:rStyle w:val="FootnoteReference"/>
        </w:rPr>
        <w:footnoteRef/>
      </w:r>
      <w:r>
        <w:t xml:space="preserve"> http://sciencedirect.com/science/article/pii/SO190740999000523</w:t>
      </w:r>
    </w:p>
  </w:footnote>
  <w:footnote w:id="16">
    <w:p w14:paraId="672B51F7" w14:textId="1D7493EF" w:rsidR="00121E41" w:rsidRDefault="00121E41">
      <w:pPr>
        <w:pStyle w:val="FootnoteText"/>
      </w:pPr>
      <w:r>
        <w:rPr>
          <w:rStyle w:val="FootnoteReference"/>
        </w:rPr>
        <w:footnoteRef/>
      </w:r>
      <w:r>
        <w:t xml:space="preserve"> </w:t>
      </w:r>
      <w:sdt>
        <w:sdtPr>
          <w:id w:val="-1257818074"/>
          <w:citation/>
        </w:sdtPr>
        <w:sdtEndPr/>
        <w:sdtContent>
          <w:r>
            <w:fldChar w:fldCharType="begin"/>
          </w:r>
          <w:r>
            <w:instrText xml:space="preserve"> CITATION Chi13 \l 2057 </w:instrText>
          </w:r>
          <w:r>
            <w:fldChar w:fldCharType="separate"/>
          </w:r>
          <w:r w:rsidR="002564FF" w:rsidRPr="002564FF">
            <w:rPr>
              <w:noProof/>
            </w:rPr>
            <w:t>(Officer, 1913)</w:t>
          </w:r>
          <w:r>
            <w:fldChar w:fldCharType="end"/>
          </w:r>
        </w:sdtContent>
      </w:sdt>
      <w:r w:rsidR="00B674DA">
        <w:t xml:space="preserve"> Board of Education report - Pembrokeshire</w:t>
      </w:r>
    </w:p>
  </w:footnote>
  <w:footnote w:id="17">
    <w:p w14:paraId="6F986757" w14:textId="191A16CE" w:rsidR="00F06B19" w:rsidRDefault="00F06B19">
      <w:pPr>
        <w:pStyle w:val="FootnoteText"/>
      </w:pPr>
      <w:r>
        <w:rPr>
          <w:rStyle w:val="FootnoteReference"/>
        </w:rPr>
        <w:footnoteRef/>
      </w:r>
      <w:r>
        <w:t xml:space="preserve"> </w:t>
      </w:r>
      <w:hyperlink r:id="rId1" w:history="1">
        <w:r w:rsidRPr="009D5663">
          <w:rPr>
            <w:rStyle w:val="Hyperlink"/>
          </w:rPr>
          <w:t>https://www.jstor.org/stable/Social</w:t>
        </w:r>
      </w:hyperlink>
      <w:r>
        <w:t xml:space="preserve"> Justice vol 21 no. 1</w:t>
      </w:r>
    </w:p>
  </w:footnote>
  <w:footnote w:id="18">
    <w:p w14:paraId="0B9CF7E6" w14:textId="62F8492E" w:rsidR="007E325E" w:rsidRDefault="007E325E">
      <w:pPr>
        <w:pStyle w:val="FootnoteText"/>
      </w:pPr>
      <w:r>
        <w:rPr>
          <w:rStyle w:val="FootnoteReference"/>
        </w:rPr>
        <w:footnoteRef/>
      </w:r>
      <w:r>
        <w:t xml:space="preserve"> </w:t>
      </w:r>
      <w:r w:rsidR="00FE15DA">
        <w:t>Welsh History Review 1986.The WNMA &amp; its policy on TB pp. 194-216</w:t>
      </w:r>
    </w:p>
  </w:footnote>
  <w:footnote w:id="19">
    <w:p w14:paraId="27D46469" w14:textId="2AF40694" w:rsidR="00121E41" w:rsidRDefault="00121E41">
      <w:pPr>
        <w:pStyle w:val="FootnoteText"/>
      </w:pPr>
      <w:r>
        <w:rPr>
          <w:rStyle w:val="FootnoteReference"/>
        </w:rPr>
        <w:footnoteRef/>
      </w:r>
      <w:r>
        <w:t xml:space="preserve"> </w:t>
      </w:r>
      <w:sdt>
        <w:sdtPr>
          <w:id w:val="-1971592768"/>
          <w:citation/>
        </w:sdtPr>
        <w:sdtEndPr/>
        <w:sdtContent>
          <w:r>
            <w:fldChar w:fldCharType="begin"/>
          </w:r>
          <w:r>
            <w:instrText xml:space="preserve"> CITATION CPH921 \l 2057 </w:instrText>
          </w:r>
          <w:r>
            <w:fldChar w:fldCharType="separate"/>
          </w:r>
          <w:r w:rsidR="002564FF" w:rsidRPr="002564FF">
            <w:rPr>
              <w:noProof/>
            </w:rPr>
            <w:t>(Hill, 1992)</w:t>
          </w:r>
          <w:r>
            <w:fldChar w:fldCharType="end"/>
          </w:r>
        </w:sdtContent>
      </w:sdt>
      <w:r w:rsidR="008C2059">
        <w:t xml:space="preserve"> C P Hill. British Economic &amp; Social History 1700-1982 5</w:t>
      </w:r>
      <w:r w:rsidR="008C2059" w:rsidRPr="008C2059">
        <w:rPr>
          <w:vertAlign w:val="superscript"/>
        </w:rPr>
        <w:t>th</w:t>
      </w:r>
      <w:r w:rsidR="008C2059">
        <w:t xml:space="preserve"> ed. Hodder &amp; Stoughton. London</w:t>
      </w:r>
    </w:p>
  </w:footnote>
  <w:footnote w:id="20">
    <w:p w14:paraId="6679F898" w14:textId="33331987" w:rsidR="00492F8D" w:rsidRDefault="00492F8D">
      <w:pPr>
        <w:pStyle w:val="FootnoteText"/>
      </w:pPr>
      <w:r>
        <w:rPr>
          <w:rStyle w:val="FootnoteReference"/>
        </w:rPr>
        <w:footnoteRef/>
      </w:r>
      <w:r>
        <w:t xml:space="preserve"> www.pembrokeshirehistoricalsociety.co.uk/infectious-diseases-in-pembrokeshire-in-the-nineteenth-century/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D0832" w14:textId="6B185A27" w:rsidR="00335E08" w:rsidRDefault="00335E08">
    <w:pPr>
      <w:pStyle w:val="Header"/>
    </w:pPr>
    <w:r>
      <w:t>Suzanne Ashworth - 1805027</w:t>
    </w:r>
  </w:p>
  <w:p w14:paraId="018F8F18" w14:textId="77777777" w:rsidR="00FF6E82" w:rsidRDefault="00F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E82"/>
    <w:rsid w:val="00003455"/>
    <w:rsid w:val="0001686A"/>
    <w:rsid w:val="0001702B"/>
    <w:rsid w:val="00017CAE"/>
    <w:rsid w:val="000209F5"/>
    <w:rsid w:val="00020C23"/>
    <w:rsid w:val="00054263"/>
    <w:rsid w:val="000559D3"/>
    <w:rsid w:val="00063C8C"/>
    <w:rsid w:val="00065E63"/>
    <w:rsid w:val="000869A3"/>
    <w:rsid w:val="00096CAD"/>
    <w:rsid w:val="000A02BB"/>
    <w:rsid w:val="000A0FE0"/>
    <w:rsid w:val="000B125C"/>
    <w:rsid w:val="000B199F"/>
    <w:rsid w:val="000B241F"/>
    <w:rsid w:val="000C099A"/>
    <w:rsid w:val="000C3D0F"/>
    <w:rsid w:val="000D000E"/>
    <w:rsid w:val="000D1163"/>
    <w:rsid w:val="000F7907"/>
    <w:rsid w:val="00111664"/>
    <w:rsid w:val="00111D49"/>
    <w:rsid w:val="00121E41"/>
    <w:rsid w:val="00126256"/>
    <w:rsid w:val="00130FB0"/>
    <w:rsid w:val="00144624"/>
    <w:rsid w:val="0015715D"/>
    <w:rsid w:val="00166410"/>
    <w:rsid w:val="00170235"/>
    <w:rsid w:val="00171624"/>
    <w:rsid w:val="00171F41"/>
    <w:rsid w:val="001801BB"/>
    <w:rsid w:val="0019546B"/>
    <w:rsid w:val="001C0214"/>
    <w:rsid w:val="001C6EF3"/>
    <w:rsid w:val="001D4942"/>
    <w:rsid w:val="001D61E8"/>
    <w:rsid w:val="001E0714"/>
    <w:rsid w:val="001F2F07"/>
    <w:rsid w:val="001F5325"/>
    <w:rsid w:val="00210AB2"/>
    <w:rsid w:val="00214B47"/>
    <w:rsid w:val="00230FA1"/>
    <w:rsid w:val="00236E8B"/>
    <w:rsid w:val="00244E28"/>
    <w:rsid w:val="00252197"/>
    <w:rsid w:val="00253139"/>
    <w:rsid w:val="00253446"/>
    <w:rsid w:val="002564FF"/>
    <w:rsid w:val="0026339F"/>
    <w:rsid w:val="00264FC7"/>
    <w:rsid w:val="002733FF"/>
    <w:rsid w:val="00286EAD"/>
    <w:rsid w:val="0028750E"/>
    <w:rsid w:val="00287B86"/>
    <w:rsid w:val="00291A96"/>
    <w:rsid w:val="00293CBC"/>
    <w:rsid w:val="002A1301"/>
    <w:rsid w:val="002B080E"/>
    <w:rsid w:val="002C0D80"/>
    <w:rsid w:val="002C70F8"/>
    <w:rsid w:val="002F3131"/>
    <w:rsid w:val="003057F5"/>
    <w:rsid w:val="00325930"/>
    <w:rsid w:val="00335E08"/>
    <w:rsid w:val="00337156"/>
    <w:rsid w:val="00347616"/>
    <w:rsid w:val="00350C9E"/>
    <w:rsid w:val="003556EC"/>
    <w:rsid w:val="003676FB"/>
    <w:rsid w:val="00367A96"/>
    <w:rsid w:val="00373A8B"/>
    <w:rsid w:val="00383983"/>
    <w:rsid w:val="00384F9E"/>
    <w:rsid w:val="003A2AF3"/>
    <w:rsid w:val="003A44EC"/>
    <w:rsid w:val="003B6C29"/>
    <w:rsid w:val="003C3136"/>
    <w:rsid w:val="003D505E"/>
    <w:rsid w:val="003D689A"/>
    <w:rsid w:val="003E0FD2"/>
    <w:rsid w:val="003E7C04"/>
    <w:rsid w:val="003F263D"/>
    <w:rsid w:val="003F3611"/>
    <w:rsid w:val="003F697F"/>
    <w:rsid w:val="00402946"/>
    <w:rsid w:val="00406582"/>
    <w:rsid w:val="0041131F"/>
    <w:rsid w:val="00415111"/>
    <w:rsid w:val="00431AF6"/>
    <w:rsid w:val="00431CBE"/>
    <w:rsid w:val="00454DDB"/>
    <w:rsid w:val="00457AD5"/>
    <w:rsid w:val="0047184C"/>
    <w:rsid w:val="00492377"/>
    <w:rsid w:val="00492F8D"/>
    <w:rsid w:val="004B7876"/>
    <w:rsid w:val="004C31BB"/>
    <w:rsid w:val="004C6A9F"/>
    <w:rsid w:val="004D0C8E"/>
    <w:rsid w:val="004D135C"/>
    <w:rsid w:val="004D317B"/>
    <w:rsid w:val="004E6A0F"/>
    <w:rsid w:val="004F0AF9"/>
    <w:rsid w:val="004F1155"/>
    <w:rsid w:val="00500FA9"/>
    <w:rsid w:val="00523E4C"/>
    <w:rsid w:val="00525C49"/>
    <w:rsid w:val="005271D7"/>
    <w:rsid w:val="00542610"/>
    <w:rsid w:val="005450F4"/>
    <w:rsid w:val="00547F0B"/>
    <w:rsid w:val="00550258"/>
    <w:rsid w:val="00550CFA"/>
    <w:rsid w:val="00554081"/>
    <w:rsid w:val="005543E7"/>
    <w:rsid w:val="00562413"/>
    <w:rsid w:val="00565750"/>
    <w:rsid w:val="00566D41"/>
    <w:rsid w:val="00573DA3"/>
    <w:rsid w:val="005B0BBA"/>
    <w:rsid w:val="005D016F"/>
    <w:rsid w:val="005D6D1A"/>
    <w:rsid w:val="005D7CEA"/>
    <w:rsid w:val="005F544E"/>
    <w:rsid w:val="0061104F"/>
    <w:rsid w:val="0061113E"/>
    <w:rsid w:val="00616792"/>
    <w:rsid w:val="00622CFB"/>
    <w:rsid w:val="00630B7B"/>
    <w:rsid w:val="00631769"/>
    <w:rsid w:val="00632CED"/>
    <w:rsid w:val="0064007F"/>
    <w:rsid w:val="006429E7"/>
    <w:rsid w:val="0064442F"/>
    <w:rsid w:val="00645BB3"/>
    <w:rsid w:val="00652909"/>
    <w:rsid w:val="00653BE1"/>
    <w:rsid w:val="006557FA"/>
    <w:rsid w:val="00655B69"/>
    <w:rsid w:val="00683624"/>
    <w:rsid w:val="00690C32"/>
    <w:rsid w:val="006A2542"/>
    <w:rsid w:val="006E562A"/>
    <w:rsid w:val="006F2559"/>
    <w:rsid w:val="0070138C"/>
    <w:rsid w:val="00706526"/>
    <w:rsid w:val="00712848"/>
    <w:rsid w:val="00713D17"/>
    <w:rsid w:val="007152E6"/>
    <w:rsid w:val="0073159E"/>
    <w:rsid w:val="00737CF7"/>
    <w:rsid w:val="00746E64"/>
    <w:rsid w:val="00751915"/>
    <w:rsid w:val="00751C70"/>
    <w:rsid w:val="00753606"/>
    <w:rsid w:val="00780F04"/>
    <w:rsid w:val="007863E8"/>
    <w:rsid w:val="00795F19"/>
    <w:rsid w:val="007A5357"/>
    <w:rsid w:val="007B7BDD"/>
    <w:rsid w:val="007E1058"/>
    <w:rsid w:val="007E1BE7"/>
    <w:rsid w:val="007E325E"/>
    <w:rsid w:val="007E4738"/>
    <w:rsid w:val="007E47BA"/>
    <w:rsid w:val="007E6A3B"/>
    <w:rsid w:val="007F1FB5"/>
    <w:rsid w:val="008357E0"/>
    <w:rsid w:val="00841B7B"/>
    <w:rsid w:val="00842AFA"/>
    <w:rsid w:val="00881B38"/>
    <w:rsid w:val="00881F3D"/>
    <w:rsid w:val="008A09A2"/>
    <w:rsid w:val="008B09E4"/>
    <w:rsid w:val="008C1EB4"/>
    <w:rsid w:val="008C2059"/>
    <w:rsid w:val="008C216A"/>
    <w:rsid w:val="008D1283"/>
    <w:rsid w:val="008E710F"/>
    <w:rsid w:val="009050A9"/>
    <w:rsid w:val="00916AE4"/>
    <w:rsid w:val="0092474C"/>
    <w:rsid w:val="00937084"/>
    <w:rsid w:val="00957CAA"/>
    <w:rsid w:val="009601FF"/>
    <w:rsid w:val="00962BCF"/>
    <w:rsid w:val="00964C6B"/>
    <w:rsid w:val="00971EDE"/>
    <w:rsid w:val="00981ABB"/>
    <w:rsid w:val="00982FA8"/>
    <w:rsid w:val="0098597A"/>
    <w:rsid w:val="00996899"/>
    <w:rsid w:val="00996AB0"/>
    <w:rsid w:val="009C4BF9"/>
    <w:rsid w:val="009D6D9C"/>
    <w:rsid w:val="009E2707"/>
    <w:rsid w:val="009E47FA"/>
    <w:rsid w:val="009E651F"/>
    <w:rsid w:val="009E6774"/>
    <w:rsid w:val="009F5063"/>
    <w:rsid w:val="00A42248"/>
    <w:rsid w:val="00A422D2"/>
    <w:rsid w:val="00A42C66"/>
    <w:rsid w:val="00A452DD"/>
    <w:rsid w:val="00A52FAA"/>
    <w:rsid w:val="00A600BB"/>
    <w:rsid w:val="00A661BD"/>
    <w:rsid w:val="00A74D15"/>
    <w:rsid w:val="00A75918"/>
    <w:rsid w:val="00A82478"/>
    <w:rsid w:val="00A8610F"/>
    <w:rsid w:val="00AA4F05"/>
    <w:rsid w:val="00AA5F9C"/>
    <w:rsid w:val="00AB1B67"/>
    <w:rsid w:val="00AB7590"/>
    <w:rsid w:val="00AC7235"/>
    <w:rsid w:val="00AC7A36"/>
    <w:rsid w:val="00AE1B55"/>
    <w:rsid w:val="00AE2761"/>
    <w:rsid w:val="00AF17D2"/>
    <w:rsid w:val="00AF337C"/>
    <w:rsid w:val="00AF650D"/>
    <w:rsid w:val="00AF6E01"/>
    <w:rsid w:val="00B030B4"/>
    <w:rsid w:val="00B10FFE"/>
    <w:rsid w:val="00B14EF9"/>
    <w:rsid w:val="00B674DA"/>
    <w:rsid w:val="00B80B51"/>
    <w:rsid w:val="00B8174B"/>
    <w:rsid w:val="00B82FB2"/>
    <w:rsid w:val="00B87EFF"/>
    <w:rsid w:val="00BD2F7B"/>
    <w:rsid w:val="00BD7251"/>
    <w:rsid w:val="00BE1C51"/>
    <w:rsid w:val="00BE3C8C"/>
    <w:rsid w:val="00BF4BD0"/>
    <w:rsid w:val="00BF6969"/>
    <w:rsid w:val="00C03D50"/>
    <w:rsid w:val="00C04C0E"/>
    <w:rsid w:val="00C21CE0"/>
    <w:rsid w:val="00C304AB"/>
    <w:rsid w:val="00C519DB"/>
    <w:rsid w:val="00C51A7A"/>
    <w:rsid w:val="00C538CF"/>
    <w:rsid w:val="00C651DA"/>
    <w:rsid w:val="00C77C21"/>
    <w:rsid w:val="00C9325D"/>
    <w:rsid w:val="00CA2B97"/>
    <w:rsid w:val="00CD16FD"/>
    <w:rsid w:val="00CD2468"/>
    <w:rsid w:val="00CD382C"/>
    <w:rsid w:val="00CD7F98"/>
    <w:rsid w:val="00CE3ABA"/>
    <w:rsid w:val="00CE6428"/>
    <w:rsid w:val="00CE70D6"/>
    <w:rsid w:val="00CF18C2"/>
    <w:rsid w:val="00D04E92"/>
    <w:rsid w:val="00D133F6"/>
    <w:rsid w:val="00D146BA"/>
    <w:rsid w:val="00D14AD0"/>
    <w:rsid w:val="00D17FEF"/>
    <w:rsid w:val="00D31A88"/>
    <w:rsid w:val="00D52114"/>
    <w:rsid w:val="00D52298"/>
    <w:rsid w:val="00D53248"/>
    <w:rsid w:val="00D552C6"/>
    <w:rsid w:val="00D555A6"/>
    <w:rsid w:val="00D63FBF"/>
    <w:rsid w:val="00D65725"/>
    <w:rsid w:val="00D664F7"/>
    <w:rsid w:val="00D67A19"/>
    <w:rsid w:val="00D85636"/>
    <w:rsid w:val="00D9414F"/>
    <w:rsid w:val="00DA1924"/>
    <w:rsid w:val="00DB2E02"/>
    <w:rsid w:val="00DC14ED"/>
    <w:rsid w:val="00DC3281"/>
    <w:rsid w:val="00DD13AC"/>
    <w:rsid w:val="00DD2101"/>
    <w:rsid w:val="00DD591E"/>
    <w:rsid w:val="00DD7DE5"/>
    <w:rsid w:val="00DE0988"/>
    <w:rsid w:val="00DE2D5E"/>
    <w:rsid w:val="00DE76C1"/>
    <w:rsid w:val="00DF097D"/>
    <w:rsid w:val="00DF486C"/>
    <w:rsid w:val="00DF7798"/>
    <w:rsid w:val="00E0279E"/>
    <w:rsid w:val="00E02ECB"/>
    <w:rsid w:val="00E0526F"/>
    <w:rsid w:val="00E06501"/>
    <w:rsid w:val="00E142AC"/>
    <w:rsid w:val="00E16D97"/>
    <w:rsid w:val="00E3732C"/>
    <w:rsid w:val="00E4740B"/>
    <w:rsid w:val="00E72B15"/>
    <w:rsid w:val="00E76765"/>
    <w:rsid w:val="00EA00C0"/>
    <w:rsid w:val="00EB2A42"/>
    <w:rsid w:val="00EB3108"/>
    <w:rsid w:val="00EB3855"/>
    <w:rsid w:val="00EC0FB1"/>
    <w:rsid w:val="00EC7C5C"/>
    <w:rsid w:val="00ED0CF6"/>
    <w:rsid w:val="00ED4A67"/>
    <w:rsid w:val="00EE2598"/>
    <w:rsid w:val="00EE3DA4"/>
    <w:rsid w:val="00EE3DC3"/>
    <w:rsid w:val="00EF42DB"/>
    <w:rsid w:val="00EF717D"/>
    <w:rsid w:val="00F06B19"/>
    <w:rsid w:val="00F071F7"/>
    <w:rsid w:val="00F15BA6"/>
    <w:rsid w:val="00F223E1"/>
    <w:rsid w:val="00F26855"/>
    <w:rsid w:val="00F30874"/>
    <w:rsid w:val="00F30DEE"/>
    <w:rsid w:val="00F34913"/>
    <w:rsid w:val="00F36C60"/>
    <w:rsid w:val="00F36E08"/>
    <w:rsid w:val="00F557C0"/>
    <w:rsid w:val="00F61AA4"/>
    <w:rsid w:val="00F72710"/>
    <w:rsid w:val="00F80109"/>
    <w:rsid w:val="00F90751"/>
    <w:rsid w:val="00FA2FDA"/>
    <w:rsid w:val="00FB3F9E"/>
    <w:rsid w:val="00FB7FD7"/>
    <w:rsid w:val="00FC0CFC"/>
    <w:rsid w:val="00FC5129"/>
    <w:rsid w:val="00FE15DA"/>
    <w:rsid w:val="00FE38C8"/>
    <w:rsid w:val="00FF65C6"/>
    <w:rsid w:val="00FF6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DC20E"/>
  <w15:chartTrackingRefBased/>
  <w15:docId w15:val="{94351B36-852F-4C9F-9DBA-0368F0A2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6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E82"/>
  </w:style>
  <w:style w:type="paragraph" w:styleId="Footer">
    <w:name w:val="footer"/>
    <w:basedOn w:val="Normal"/>
    <w:link w:val="FooterChar"/>
    <w:uiPriority w:val="99"/>
    <w:unhideWhenUsed/>
    <w:rsid w:val="00FF6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E82"/>
  </w:style>
  <w:style w:type="paragraph" w:styleId="Bibliography">
    <w:name w:val="Bibliography"/>
    <w:basedOn w:val="Normal"/>
    <w:next w:val="Normal"/>
    <w:uiPriority w:val="37"/>
    <w:unhideWhenUsed/>
    <w:rsid w:val="000209F5"/>
  </w:style>
  <w:style w:type="paragraph" w:styleId="FootnoteText">
    <w:name w:val="footnote text"/>
    <w:basedOn w:val="Normal"/>
    <w:link w:val="FootnoteTextChar"/>
    <w:uiPriority w:val="99"/>
    <w:semiHidden/>
    <w:unhideWhenUsed/>
    <w:rsid w:val="007E32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325E"/>
    <w:rPr>
      <w:sz w:val="20"/>
      <w:szCs w:val="20"/>
    </w:rPr>
  </w:style>
  <w:style w:type="character" w:styleId="FootnoteReference">
    <w:name w:val="footnote reference"/>
    <w:basedOn w:val="DefaultParagraphFont"/>
    <w:uiPriority w:val="99"/>
    <w:semiHidden/>
    <w:unhideWhenUsed/>
    <w:rsid w:val="007E325E"/>
    <w:rPr>
      <w:vertAlign w:val="superscript"/>
    </w:rPr>
  </w:style>
  <w:style w:type="character" w:styleId="Hyperlink">
    <w:name w:val="Hyperlink"/>
    <w:basedOn w:val="DefaultParagraphFont"/>
    <w:uiPriority w:val="99"/>
    <w:unhideWhenUsed/>
    <w:rsid w:val="00F06B19"/>
    <w:rPr>
      <w:color w:val="0563C1" w:themeColor="hyperlink"/>
      <w:u w:val="single"/>
    </w:rPr>
  </w:style>
  <w:style w:type="character" w:styleId="UnresolvedMention">
    <w:name w:val="Unresolved Mention"/>
    <w:basedOn w:val="DefaultParagraphFont"/>
    <w:uiPriority w:val="99"/>
    <w:semiHidden/>
    <w:unhideWhenUsed/>
    <w:rsid w:val="00F06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5876">
      <w:bodyDiv w:val="1"/>
      <w:marLeft w:val="0"/>
      <w:marRight w:val="0"/>
      <w:marTop w:val="0"/>
      <w:marBottom w:val="0"/>
      <w:divBdr>
        <w:top w:val="none" w:sz="0" w:space="0" w:color="auto"/>
        <w:left w:val="none" w:sz="0" w:space="0" w:color="auto"/>
        <w:bottom w:val="none" w:sz="0" w:space="0" w:color="auto"/>
        <w:right w:val="none" w:sz="0" w:space="0" w:color="auto"/>
      </w:divBdr>
    </w:div>
    <w:div w:id="26177165">
      <w:bodyDiv w:val="1"/>
      <w:marLeft w:val="0"/>
      <w:marRight w:val="0"/>
      <w:marTop w:val="0"/>
      <w:marBottom w:val="0"/>
      <w:divBdr>
        <w:top w:val="none" w:sz="0" w:space="0" w:color="auto"/>
        <w:left w:val="none" w:sz="0" w:space="0" w:color="auto"/>
        <w:bottom w:val="none" w:sz="0" w:space="0" w:color="auto"/>
        <w:right w:val="none" w:sz="0" w:space="0" w:color="auto"/>
      </w:divBdr>
    </w:div>
    <w:div w:id="41486608">
      <w:bodyDiv w:val="1"/>
      <w:marLeft w:val="0"/>
      <w:marRight w:val="0"/>
      <w:marTop w:val="0"/>
      <w:marBottom w:val="0"/>
      <w:divBdr>
        <w:top w:val="none" w:sz="0" w:space="0" w:color="auto"/>
        <w:left w:val="none" w:sz="0" w:space="0" w:color="auto"/>
        <w:bottom w:val="none" w:sz="0" w:space="0" w:color="auto"/>
        <w:right w:val="none" w:sz="0" w:space="0" w:color="auto"/>
      </w:divBdr>
    </w:div>
    <w:div w:id="63918840">
      <w:bodyDiv w:val="1"/>
      <w:marLeft w:val="0"/>
      <w:marRight w:val="0"/>
      <w:marTop w:val="0"/>
      <w:marBottom w:val="0"/>
      <w:divBdr>
        <w:top w:val="none" w:sz="0" w:space="0" w:color="auto"/>
        <w:left w:val="none" w:sz="0" w:space="0" w:color="auto"/>
        <w:bottom w:val="none" w:sz="0" w:space="0" w:color="auto"/>
        <w:right w:val="none" w:sz="0" w:space="0" w:color="auto"/>
      </w:divBdr>
    </w:div>
    <w:div w:id="75329980">
      <w:bodyDiv w:val="1"/>
      <w:marLeft w:val="0"/>
      <w:marRight w:val="0"/>
      <w:marTop w:val="0"/>
      <w:marBottom w:val="0"/>
      <w:divBdr>
        <w:top w:val="none" w:sz="0" w:space="0" w:color="auto"/>
        <w:left w:val="none" w:sz="0" w:space="0" w:color="auto"/>
        <w:bottom w:val="none" w:sz="0" w:space="0" w:color="auto"/>
        <w:right w:val="none" w:sz="0" w:space="0" w:color="auto"/>
      </w:divBdr>
    </w:div>
    <w:div w:id="116141338">
      <w:bodyDiv w:val="1"/>
      <w:marLeft w:val="0"/>
      <w:marRight w:val="0"/>
      <w:marTop w:val="0"/>
      <w:marBottom w:val="0"/>
      <w:divBdr>
        <w:top w:val="none" w:sz="0" w:space="0" w:color="auto"/>
        <w:left w:val="none" w:sz="0" w:space="0" w:color="auto"/>
        <w:bottom w:val="none" w:sz="0" w:space="0" w:color="auto"/>
        <w:right w:val="none" w:sz="0" w:space="0" w:color="auto"/>
      </w:divBdr>
    </w:div>
    <w:div w:id="172959125">
      <w:bodyDiv w:val="1"/>
      <w:marLeft w:val="0"/>
      <w:marRight w:val="0"/>
      <w:marTop w:val="0"/>
      <w:marBottom w:val="0"/>
      <w:divBdr>
        <w:top w:val="none" w:sz="0" w:space="0" w:color="auto"/>
        <w:left w:val="none" w:sz="0" w:space="0" w:color="auto"/>
        <w:bottom w:val="none" w:sz="0" w:space="0" w:color="auto"/>
        <w:right w:val="none" w:sz="0" w:space="0" w:color="auto"/>
      </w:divBdr>
    </w:div>
    <w:div w:id="190923081">
      <w:bodyDiv w:val="1"/>
      <w:marLeft w:val="0"/>
      <w:marRight w:val="0"/>
      <w:marTop w:val="0"/>
      <w:marBottom w:val="0"/>
      <w:divBdr>
        <w:top w:val="none" w:sz="0" w:space="0" w:color="auto"/>
        <w:left w:val="none" w:sz="0" w:space="0" w:color="auto"/>
        <w:bottom w:val="none" w:sz="0" w:space="0" w:color="auto"/>
        <w:right w:val="none" w:sz="0" w:space="0" w:color="auto"/>
      </w:divBdr>
    </w:div>
    <w:div w:id="213977588">
      <w:bodyDiv w:val="1"/>
      <w:marLeft w:val="0"/>
      <w:marRight w:val="0"/>
      <w:marTop w:val="0"/>
      <w:marBottom w:val="0"/>
      <w:divBdr>
        <w:top w:val="none" w:sz="0" w:space="0" w:color="auto"/>
        <w:left w:val="none" w:sz="0" w:space="0" w:color="auto"/>
        <w:bottom w:val="none" w:sz="0" w:space="0" w:color="auto"/>
        <w:right w:val="none" w:sz="0" w:space="0" w:color="auto"/>
      </w:divBdr>
    </w:div>
    <w:div w:id="261569891">
      <w:bodyDiv w:val="1"/>
      <w:marLeft w:val="0"/>
      <w:marRight w:val="0"/>
      <w:marTop w:val="0"/>
      <w:marBottom w:val="0"/>
      <w:divBdr>
        <w:top w:val="none" w:sz="0" w:space="0" w:color="auto"/>
        <w:left w:val="none" w:sz="0" w:space="0" w:color="auto"/>
        <w:bottom w:val="none" w:sz="0" w:space="0" w:color="auto"/>
        <w:right w:val="none" w:sz="0" w:space="0" w:color="auto"/>
      </w:divBdr>
    </w:div>
    <w:div w:id="264391576">
      <w:bodyDiv w:val="1"/>
      <w:marLeft w:val="0"/>
      <w:marRight w:val="0"/>
      <w:marTop w:val="0"/>
      <w:marBottom w:val="0"/>
      <w:divBdr>
        <w:top w:val="none" w:sz="0" w:space="0" w:color="auto"/>
        <w:left w:val="none" w:sz="0" w:space="0" w:color="auto"/>
        <w:bottom w:val="none" w:sz="0" w:space="0" w:color="auto"/>
        <w:right w:val="none" w:sz="0" w:space="0" w:color="auto"/>
      </w:divBdr>
    </w:div>
    <w:div w:id="302394250">
      <w:bodyDiv w:val="1"/>
      <w:marLeft w:val="0"/>
      <w:marRight w:val="0"/>
      <w:marTop w:val="0"/>
      <w:marBottom w:val="0"/>
      <w:divBdr>
        <w:top w:val="none" w:sz="0" w:space="0" w:color="auto"/>
        <w:left w:val="none" w:sz="0" w:space="0" w:color="auto"/>
        <w:bottom w:val="none" w:sz="0" w:space="0" w:color="auto"/>
        <w:right w:val="none" w:sz="0" w:space="0" w:color="auto"/>
      </w:divBdr>
    </w:div>
    <w:div w:id="308363248">
      <w:bodyDiv w:val="1"/>
      <w:marLeft w:val="0"/>
      <w:marRight w:val="0"/>
      <w:marTop w:val="0"/>
      <w:marBottom w:val="0"/>
      <w:divBdr>
        <w:top w:val="none" w:sz="0" w:space="0" w:color="auto"/>
        <w:left w:val="none" w:sz="0" w:space="0" w:color="auto"/>
        <w:bottom w:val="none" w:sz="0" w:space="0" w:color="auto"/>
        <w:right w:val="none" w:sz="0" w:space="0" w:color="auto"/>
      </w:divBdr>
    </w:div>
    <w:div w:id="341401471">
      <w:bodyDiv w:val="1"/>
      <w:marLeft w:val="0"/>
      <w:marRight w:val="0"/>
      <w:marTop w:val="0"/>
      <w:marBottom w:val="0"/>
      <w:divBdr>
        <w:top w:val="none" w:sz="0" w:space="0" w:color="auto"/>
        <w:left w:val="none" w:sz="0" w:space="0" w:color="auto"/>
        <w:bottom w:val="none" w:sz="0" w:space="0" w:color="auto"/>
        <w:right w:val="none" w:sz="0" w:space="0" w:color="auto"/>
      </w:divBdr>
    </w:div>
    <w:div w:id="426853868">
      <w:bodyDiv w:val="1"/>
      <w:marLeft w:val="0"/>
      <w:marRight w:val="0"/>
      <w:marTop w:val="0"/>
      <w:marBottom w:val="0"/>
      <w:divBdr>
        <w:top w:val="none" w:sz="0" w:space="0" w:color="auto"/>
        <w:left w:val="none" w:sz="0" w:space="0" w:color="auto"/>
        <w:bottom w:val="none" w:sz="0" w:space="0" w:color="auto"/>
        <w:right w:val="none" w:sz="0" w:space="0" w:color="auto"/>
      </w:divBdr>
    </w:div>
    <w:div w:id="428231903">
      <w:bodyDiv w:val="1"/>
      <w:marLeft w:val="0"/>
      <w:marRight w:val="0"/>
      <w:marTop w:val="0"/>
      <w:marBottom w:val="0"/>
      <w:divBdr>
        <w:top w:val="none" w:sz="0" w:space="0" w:color="auto"/>
        <w:left w:val="none" w:sz="0" w:space="0" w:color="auto"/>
        <w:bottom w:val="none" w:sz="0" w:space="0" w:color="auto"/>
        <w:right w:val="none" w:sz="0" w:space="0" w:color="auto"/>
      </w:divBdr>
    </w:div>
    <w:div w:id="440224129">
      <w:bodyDiv w:val="1"/>
      <w:marLeft w:val="0"/>
      <w:marRight w:val="0"/>
      <w:marTop w:val="0"/>
      <w:marBottom w:val="0"/>
      <w:divBdr>
        <w:top w:val="none" w:sz="0" w:space="0" w:color="auto"/>
        <w:left w:val="none" w:sz="0" w:space="0" w:color="auto"/>
        <w:bottom w:val="none" w:sz="0" w:space="0" w:color="auto"/>
        <w:right w:val="none" w:sz="0" w:space="0" w:color="auto"/>
      </w:divBdr>
    </w:div>
    <w:div w:id="460614812">
      <w:bodyDiv w:val="1"/>
      <w:marLeft w:val="0"/>
      <w:marRight w:val="0"/>
      <w:marTop w:val="0"/>
      <w:marBottom w:val="0"/>
      <w:divBdr>
        <w:top w:val="none" w:sz="0" w:space="0" w:color="auto"/>
        <w:left w:val="none" w:sz="0" w:space="0" w:color="auto"/>
        <w:bottom w:val="none" w:sz="0" w:space="0" w:color="auto"/>
        <w:right w:val="none" w:sz="0" w:space="0" w:color="auto"/>
      </w:divBdr>
    </w:div>
    <w:div w:id="513810729">
      <w:bodyDiv w:val="1"/>
      <w:marLeft w:val="0"/>
      <w:marRight w:val="0"/>
      <w:marTop w:val="0"/>
      <w:marBottom w:val="0"/>
      <w:divBdr>
        <w:top w:val="none" w:sz="0" w:space="0" w:color="auto"/>
        <w:left w:val="none" w:sz="0" w:space="0" w:color="auto"/>
        <w:bottom w:val="none" w:sz="0" w:space="0" w:color="auto"/>
        <w:right w:val="none" w:sz="0" w:space="0" w:color="auto"/>
      </w:divBdr>
    </w:div>
    <w:div w:id="523323274">
      <w:bodyDiv w:val="1"/>
      <w:marLeft w:val="0"/>
      <w:marRight w:val="0"/>
      <w:marTop w:val="0"/>
      <w:marBottom w:val="0"/>
      <w:divBdr>
        <w:top w:val="none" w:sz="0" w:space="0" w:color="auto"/>
        <w:left w:val="none" w:sz="0" w:space="0" w:color="auto"/>
        <w:bottom w:val="none" w:sz="0" w:space="0" w:color="auto"/>
        <w:right w:val="none" w:sz="0" w:space="0" w:color="auto"/>
      </w:divBdr>
    </w:div>
    <w:div w:id="535704235">
      <w:bodyDiv w:val="1"/>
      <w:marLeft w:val="0"/>
      <w:marRight w:val="0"/>
      <w:marTop w:val="0"/>
      <w:marBottom w:val="0"/>
      <w:divBdr>
        <w:top w:val="none" w:sz="0" w:space="0" w:color="auto"/>
        <w:left w:val="none" w:sz="0" w:space="0" w:color="auto"/>
        <w:bottom w:val="none" w:sz="0" w:space="0" w:color="auto"/>
        <w:right w:val="none" w:sz="0" w:space="0" w:color="auto"/>
      </w:divBdr>
    </w:div>
    <w:div w:id="593704609">
      <w:bodyDiv w:val="1"/>
      <w:marLeft w:val="0"/>
      <w:marRight w:val="0"/>
      <w:marTop w:val="0"/>
      <w:marBottom w:val="0"/>
      <w:divBdr>
        <w:top w:val="none" w:sz="0" w:space="0" w:color="auto"/>
        <w:left w:val="none" w:sz="0" w:space="0" w:color="auto"/>
        <w:bottom w:val="none" w:sz="0" w:space="0" w:color="auto"/>
        <w:right w:val="none" w:sz="0" w:space="0" w:color="auto"/>
      </w:divBdr>
    </w:div>
    <w:div w:id="662120676">
      <w:bodyDiv w:val="1"/>
      <w:marLeft w:val="0"/>
      <w:marRight w:val="0"/>
      <w:marTop w:val="0"/>
      <w:marBottom w:val="0"/>
      <w:divBdr>
        <w:top w:val="none" w:sz="0" w:space="0" w:color="auto"/>
        <w:left w:val="none" w:sz="0" w:space="0" w:color="auto"/>
        <w:bottom w:val="none" w:sz="0" w:space="0" w:color="auto"/>
        <w:right w:val="none" w:sz="0" w:space="0" w:color="auto"/>
      </w:divBdr>
    </w:div>
    <w:div w:id="667094540">
      <w:bodyDiv w:val="1"/>
      <w:marLeft w:val="0"/>
      <w:marRight w:val="0"/>
      <w:marTop w:val="0"/>
      <w:marBottom w:val="0"/>
      <w:divBdr>
        <w:top w:val="none" w:sz="0" w:space="0" w:color="auto"/>
        <w:left w:val="none" w:sz="0" w:space="0" w:color="auto"/>
        <w:bottom w:val="none" w:sz="0" w:space="0" w:color="auto"/>
        <w:right w:val="none" w:sz="0" w:space="0" w:color="auto"/>
      </w:divBdr>
    </w:div>
    <w:div w:id="688680087">
      <w:bodyDiv w:val="1"/>
      <w:marLeft w:val="0"/>
      <w:marRight w:val="0"/>
      <w:marTop w:val="0"/>
      <w:marBottom w:val="0"/>
      <w:divBdr>
        <w:top w:val="none" w:sz="0" w:space="0" w:color="auto"/>
        <w:left w:val="none" w:sz="0" w:space="0" w:color="auto"/>
        <w:bottom w:val="none" w:sz="0" w:space="0" w:color="auto"/>
        <w:right w:val="none" w:sz="0" w:space="0" w:color="auto"/>
      </w:divBdr>
    </w:div>
    <w:div w:id="716777659">
      <w:bodyDiv w:val="1"/>
      <w:marLeft w:val="0"/>
      <w:marRight w:val="0"/>
      <w:marTop w:val="0"/>
      <w:marBottom w:val="0"/>
      <w:divBdr>
        <w:top w:val="none" w:sz="0" w:space="0" w:color="auto"/>
        <w:left w:val="none" w:sz="0" w:space="0" w:color="auto"/>
        <w:bottom w:val="none" w:sz="0" w:space="0" w:color="auto"/>
        <w:right w:val="none" w:sz="0" w:space="0" w:color="auto"/>
      </w:divBdr>
    </w:div>
    <w:div w:id="716779409">
      <w:bodyDiv w:val="1"/>
      <w:marLeft w:val="0"/>
      <w:marRight w:val="0"/>
      <w:marTop w:val="0"/>
      <w:marBottom w:val="0"/>
      <w:divBdr>
        <w:top w:val="none" w:sz="0" w:space="0" w:color="auto"/>
        <w:left w:val="none" w:sz="0" w:space="0" w:color="auto"/>
        <w:bottom w:val="none" w:sz="0" w:space="0" w:color="auto"/>
        <w:right w:val="none" w:sz="0" w:space="0" w:color="auto"/>
      </w:divBdr>
    </w:div>
    <w:div w:id="739864702">
      <w:bodyDiv w:val="1"/>
      <w:marLeft w:val="0"/>
      <w:marRight w:val="0"/>
      <w:marTop w:val="0"/>
      <w:marBottom w:val="0"/>
      <w:divBdr>
        <w:top w:val="none" w:sz="0" w:space="0" w:color="auto"/>
        <w:left w:val="none" w:sz="0" w:space="0" w:color="auto"/>
        <w:bottom w:val="none" w:sz="0" w:space="0" w:color="auto"/>
        <w:right w:val="none" w:sz="0" w:space="0" w:color="auto"/>
      </w:divBdr>
    </w:div>
    <w:div w:id="745229816">
      <w:bodyDiv w:val="1"/>
      <w:marLeft w:val="0"/>
      <w:marRight w:val="0"/>
      <w:marTop w:val="0"/>
      <w:marBottom w:val="0"/>
      <w:divBdr>
        <w:top w:val="none" w:sz="0" w:space="0" w:color="auto"/>
        <w:left w:val="none" w:sz="0" w:space="0" w:color="auto"/>
        <w:bottom w:val="none" w:sz="0" w:space="0" w:color="auto"/>
        <w:right w:val="none" w:sz="0" w:space="0" w:color="auto"/>
      </w:divBdr>
    </w:div>
    <w:div w:id="759527645">
      <w:bodyDiv w:val="1"/>
      <w:marLeft w:val="0"/>
      <w:marRight w:val="0"/>
      <w:marTop w:val="0"/>
      <w:marBottom w:val="0"/>
      <w:divBdr>
        <w:top w:val="none" w:sz="0" w:space="0" w:color="auto"/>
        <w:left w:val="none" w:sz="0" w:space="0" w:color="auto"/>
        <w:bottom w:val="none" w:sz="0" w:space="0" w:color="auto"/>
        <w:right w:val="none" w:sz="0" w:space="0" w:color="auto"/>
      </w:divBdr>
    </w:div>
    <w:div w:id="799693811">
      <w:bodyDiv w:val="1"/>
      <w:marLeft w:val="0"/>
      <w:marRight w:val="0"/>
      <w:marTop w:val="0"/>
      <w:marBottom w:val="0"/>
      <w:divBdr>
        <w:top w:val="none" w:sz="0" w:space="0" w:color="auto"/>
        <w:left w:val="none" w:sz="0" w:space="0" w:color="auto"/>
        <w:bottom w:val="none" w:sz="0" w:space="0" w:color="auto"/>
        <w:right w:val="none" w:sz="0" w:space="0" w:color="auto"/>
      </w:divBdr>
    </w:div>
    <w:div w:id="807671723">
      <w:bodyDiv w:val="1"/>
      <w:marLeft w:val="0"/>
      <w:marRight w:val="0"/>
      <w:marTop w:val="0"/>
      <w:marBottom w:val="0"/>
      <w:divBdr>
        <w:top w:val="none" w:sz="0" w:space="0" w:color="auto"/>
        <w:left w:val="none" w:sz="0" w:space="0" w:color="auto"/>
        <w:bottom w:val="none" w:sz="0" w:space="0" w:color="auto"/>
        <w:right w:val="none" w:sz="0" w:space="0" w:color="auto"/>
      </w:divBdr>
    </w:div>
    <w:div w:id="811680750">
      <w:bodyDiv w:val="1"/>
      <w:marLeft w:val="0"/>
      <w:marRight w:val="0"/>
      <w:marTop w:val="0"/>
      <w:marBottom w:val="0"/>
      <w:divBdr>
        <w:top w:val="none" w:sz="0" w:space="0" w:color="auto"/>
        <w:left w:val="none" w:sz="0" w:space="0" w:color="auto"/>
        <w:bottom w:val="none" w:sz="0" w:space="0" w:color="auto"/>
        <w:right w:val="none" w:sz="0" w:space="0" w:color="auto"/>
      </w:divBdr>
    </w:div>
    <w:div w:id="843521392">
      <w:bodyDiv w:val="1"/>
      <w:marLeft w:val="0"/>
      <w:marRight w:val="0"/>
      <w:marTop w:val="0"/>
      <w:marBottom w:val="0"/>
      <w:divBdr>
        <w:top w:val="none" w:sz="0" w:space="0" w:color="auto"/>
        <w:left w:val="none" w:sz="0" w:space="0" w:color="auto"/>
        <w:bottom w:val="none" w:sz="0" w:space="0" w:color="auto"/>
        <w:right w:val="none" w:sz="0" w:space="0" w:color="auto"/>
      </w:divBdr>
    </w:div>
    <w:div w:id="858738869">
      <w:bodyDiv w:val="1"/>
      <w:marLeft w:val="0"/>
      <w:marRight w:val="0"/>
      <w:marTop w:val="0"/>
      <w:marBottom w:val="0"/>
      <w:divBdr>
        <w:top w:val="none" w:sz="0" w:space="0" w:color="auto"/>
        <w:left w:val="none" w:sz="0" w:space="0" w:color="auto"/>
        <w:bottom w:val="none" w:sz="0" w:space="0" w:color="auto"/>
        <w:right w:val="none" w:sz="0" w:space="0" w:color="auto"/>
      </w:divBdr>
    </w:div>
    <w:div w:id="888104302">
      <w:bodyDiv w:val="1"/>
      <w:marLeft w:val="0"/>
      <w:marRight w:val="0"/>
      <w:marTop w:val="0"/>
      <w:marBottom w:val="0"/>
      <w:divBdr>
        <w:top w:val="none" w:sz="0" w:space="0" w:color="auto"/>
        <w:left w:val="none" w:sz="0" w:space="0" w:color="auto"/>
        <w:bottom w:val="none" w:sz="0" w:space="0" w:color="auto"/>
        <w:right w:val="none" w:sz="0" w:space="0" w:color="auto"/>
      </w:divBdr>
    </w:div>
    <w:div w:id="914320706">
      <w:bodyDiv w:val="1"/>
      <w:marLeft w:val="0"/>
      <w:marRight w:val="0"/>
      <w:marTop w:val="0"/>
      <w:marBottom w:val="0"/>
      <w:divBdr>
        <w:top w:val="none" w:sz="0" w:space="0" w:color="auto"/>
        <w:left w:val="none" w:sz="0" w:space="0" w:color="auto"/>
        <w:bottom w:val="none" w:sz="0" w:space="0" w:color="auto"/>
        <w:right w:val="none" w:sz="0" w:space="0" w:color="auto"/>
      </w:divBdr>
    </w:div>
    <w:div w:id="958948959">
      <w:bodyDiv w:val="1"/>
      <w:marLeft w:val="0"/>
      <w:marRight w:val="0"/>
      <w:marTop w:val="0"/>
      <w:marBottom w:val="0"/>
      <w:divBdr>
        <w:top w:val="none" w:sz="0" w:space="0" w:color="auto"/>
        <w:left w:val="none" w:sz="0" w:space="0" w:color="auto"/>
        <w:bottom w:val="none" w:sz="0" w:space="0" w:color="auto"/>
        <w:right w:val="none" w:sz="0" w:space="0" w:color="auto"/>
      </w:divBdr>
    </w:div>
    <w:div w:id="961114232">
      <w:bodyDiv w:val="1"/>
      <w:marLeft w:val="0"/>
      <w:marRight w:val="0"/>
      <w:marTop w:val="0"/>
      <w:marBottom w:val="0"/>
      <w:divBdr>
        <w:top w:val="none" w:sz="0" w:space="0" w:color="auto"/>
        <w:left w:val="none" w:sz="0" w:space="0" w:color="auto"/>
        <w:bottom w:val="none" w:sz="0" w:space="0" w:color="auto"/>
        <w:right w:val="none" w:sz="0" w:space="0" w:color="auto"/>
      </w:divBdr>
    </w:div>
    <w:div w:id="999191592">
      <w:bodyDiv w:val="1"/>
      <w:marLeft w:val="0"/>
      <w:marRight w:val="0"/>
      <w:marTop w:val="0"/>
      <w:marBottom w:val="0"/>
      <w:divBdr>
        <w:top w:val="none" w:sz="0" w:space="0" w:color="auto"/>
        <w:left w:val="none" w:sz="0" w:space="0" w:color="auto"/>
        <w:bottom w:val="none" w:sz="0" w:space="0" w:color="auto"/>
        <w:right w:val="none" w:sz="0" w:space="0" w:color="auto"/>
      </w:divBdr>
    </w:div>
    <w:div w:id="1114059807">
      <w:bodyDiv w:val="1"/>
      <w:marLeft w:val="0"/>
      <w:marRight w:val="0"/>
      <w:marTop w:val="0"/>
      <w:marBottom w:val="0"/>
      <w:divBdr>
        <w:top w:val="none" w:sz="0" w:space="0" w:color="auto"/>
        <w:left w:val="none" w:sz="0" w:space="0" w:color="auto"/>
        <w:bottom w:val="none" w:sz="0" w:space="0" w:color="auto"/>
        <w:right w:val="none" w:sz="0" w:space="0" w:color="auto"/>
      </w:divBdr>
    </w:div>
    <w:div w:id="1123771370">
      <w:bodyDiv w:val="1"/>
      <w:marLeft w:val="0"/>
      <w:marRight w:val="0"/>
      <w:marTop w:val="0"/>
      <w:marBottom w:val="0"/>
      <w:divBdr>
        <w:top w:val="none" w:sz="0" w:space="0" w:color="auto"/>
        <w:left w:val="none" w:sz="0" w:space="0" w:color="auto"/>
        <w:bottom w:val="none" w:sz="0" w:space="0" w:color="auto"/>
        <w:right w:val="none" w:sz="0" w:space="0" w:color="auto"/>
      </w:divBdr>
    </w:div>
    <w:div w:id="1131632493">
      <w:bodyDiv w:val="1"/>
      <w:marLeft w:val="0"/>
      <w:marRight w:val="0"/>
      <w:marTop w:val="0"/>
      <w:marBottom w:val="0"/>
      <w:divBdr>
        <w:top w:val="none" w:sz="0" w:space="0" w:color="auto"/>
        <w:left w:val="none" w:sz="0" w:space="0" w:color="auto"/>
        <w:bottom w:val="none" w:sz="0" w:space="0" w:color="auto"/>
        <w:right w:val="none" w:sz="0" w:space="0" w:color="auto"/>
      </w:divBdr>
    </w:div>
    <w:div w:id="1136530391">
      <w:bodyDiv w:val="1"/>
      <w:marLeft w:val="0"/>
      <w:marRight w:val="0"/>
      <w:marTop w:val="0"/>
      <w:marBottom w:val="0"/>
      <w:divBdr>
        <w:top w:val="none" w:sz="0" w:space="0" w:color="auto"/>
        <w:left w:val="none" w:sz="0" w:space="0" w:color="auto"/>
        <w:bottom w:val="none" w:sz="0" w:space="0" w:color="auto"/>
        <w:right w:val="none" w:sz="0" w:space="0" w:color="auto"/>
      </w:divBdr>
    </w:div>
    <w:div w:id="1177580903">
      <w:bodyDiv w:val="1"/>
      <w:marLeft w:val="0"/>
      <w:marRight w:val="0"/>
      <w:marTop w:val="0"/>
      <w:marBottom w:val="0"/>
      <w:divBdr>
        <w:top w:val="none" w:sz="0" w:space="0" w:color="auto"/>
        <w:left w:val="none" w:sz="0" w:space="0" w:color="auto"/>
        <w:bottom w:val="none" w:sz="0" w:space="0" w:color="auto"/>
        <w:right w:val="none" w:sz="0" w:space="0" w:color="auto"/>
      </w:divBdr>
    </w:div>
    <w:div w:id="1189413927">
      <w:bodyDiv w:val="1"/>
      <w:marLeft w:val="0"/>
      <w:marRight w:val="0"/>
      <w:marTop w:val="0"/>
      <w:marBottom w:val="0"/>
      <w:divBdr>
        <w:top w:val="none" w:sz="0" w:space="0" w:color="auto"/>
        <w:left w:val="none" w:sz="0" w:space="0" w:color="auto"/>
        <w:bottom w:val="none" w:sz="0" w:space="0" w:color="auto"/>
        <w:right w:val="none" w:sz="0" w:space="0" w:color="auto"/>
      </w:divBdr>
    </w:div>
    <w:div w:id="1267158735">
      <w:bodyDiv w:val="1"/>
      <w:marLeft w:val="0"/>
      <w:marRight w:val="0"/>
      <w:marTop w:val="0"/>
      <w:marBottom w:val="0"/>
      <w:divBdr>
        <w:top w:val="none" w:sz="0" w:space="0" w:color="auto"/>
        <w:left w:val="none" w:sz="0" w:space="0" w:color="auto"/>
        <w:bottom w:val="none" w:sz="0" w:space="0" w:color="auto"/>
        <w:right w:val="none" w:sz="0" w:space="0" w:color="auto"/>
      </w:divBdr>
    </w:div>
    <w:div w:id="1334796861">
      <w:bodyDiv w:val="1"/>
      <w:marLeft w:val="0"/>
      <w:marRight w:val="0"/>
      <w:marTop w:val="0"/>
      <w:marBottom w:val="0"/>
      <w:divBdr>
        <w:top w:val="none" w:sz="0" w:space="0" w:color="auto"/>
        <w:left w:val="none" w:sz="0" w:space="0" w:color="auto"/>
        <w:bottom w:val="none" w:sz="0" w:space="0" w:color="auto"/>
        <w:right w:val="none" w:sz="0" w:space="0" w:color="auto"/>
      </w:divBdr>
    </w:div>
    <w:div w:id="1364479834">
      <w:bodyDiv w:val="1"/>
      <w:marLeft w:val="0"/>
      <w:marRight w:val="0"/>
      <w:marTop w:val="0"/>
      <w:marBottom w:val="0"/>
      <w:divBdr>
        <w:top w:val="none" w:sz="0" w:space="0" w:color="auto"/>
        <w:left w:val="none" w:sz="0" w:space="0" w:color="auto"/>
        <w:bottom w:val="none" w:sz="0" w:space="0" w:color="auto"/>
        <w:right w:val="none" w:sz="0" w:space="0" w:color="auto"/>
      </w:divBdr>
    </w:div>
    <w:div w:id="1374497017">
      <w:bodyDiv w:val="1"/>
      <w:marLeft w:val="0"/>
      <w:marRight w:val="0"/>
      <w:marTop w:val="0"/>
      <w:marBottom w:val="0"/>
      <w:divBdr>
        <w:top w:val="none" w:sz="0" w:space="0" w:color="auto"/>
        <w:left w:val="none" w:sz="0" w:space="0" w:color="auto"/>
        <w:bottom w:val="none" w:sz="0" w:space="0" w:color="auto"/>
        <w:right w:val="none" w:sz="0" w:space="0" w:color="auto"/>
      </w:divBdr>
    </w:div>
    <w:div w:id="1377313011">
      <w:bodyDiv w:val="1"/>
      <w:marLeft w:val="0"/>
      <w:marRight w:val="0"/>
      <w:marTop w:val="0"/>
      <w:marBottom w:val="0"/>
      <w:divBdr>
        <w:top w:val="none" w:sz="0" w:space="0" w:color="auto"/>
        <w:left w:val="none" w:sz="0" w:space="0" w:color="auto"/>
        <w:bottom w:val="none" w:sz="0" w:space="0" w:color="auto"/>
        <w:right w:val="none" w:sz="0" w:space="0" w:color="auto"/>
      </w:divBdr>
    </w:div>
    <w:div w:id="1385063307">
      <w:bodyDiv w:val="1"/>
      <w:marLeft w:val="0"/>
      <w:marRight w:val="0"/>
      <w:marTop w:val="0"/>
      <w:marBottom w:val="0"/>
      <w:divBdr>
        <w:top w:val="none" w:sz="0" w:space="0" w:color="auto"/>
        <w:left w:val="none" w:sz="0" w:space="0" w:color="auto"/>
        <w:bottom w:val="none" w:sz="0" w:space="0" w:color="auto"/>
        <w:right w:val="none" w:sz="0" w:space="0" w:color="auto"/>
      </w:divBdr>
    </w:div>
    <w:div w:id="1508981861">
      <w:bodyDiv w:val="1"/>
      <w:marLeft w:val="0"/>
      <w:marRight w:val="0"/>
      <w:marTop w:val="0"/>
      <w:marBottom w:val="0"/>
      <w:divBdr>
        <w:top w:val="none" w:sz="0" w:space="0" w:color="auto"/>
        <w:left w:val="none" w:sz="0" w:space="0" w:color="auto"/>
        <w:bottom w:val="none" w:sz="0" w:space="0" w:color="auto"/>
        <w:right w:val="none" w:sz="0" w:space="0" w:color="auto"/>
      </w:divBdr>
    </w:div>
    <w:div w:id="1539776531">
      <w:bodyDiv w:val="1"/>
      <w:marLeft w:val="0"/>
      <w:marRight w:val="0"/>
      <w:marTop w:val="0"/>
      <w:marBottom w:val="0"/>
      <w:divBdr>
        <w:top w:val="none" w:sz="0" w:space="0" w:color="auto"/>
        <w:left w:val="none" w:sz="0" w:space="0" w:color="auto"/>
        <w:bottom w:val="none" w:sz="0" w:space="0" w:color="auto"/>
        <w:right w:val="none" w:sz="0" w:space="0" w:color="auto"/>
      </w:divBdr>
    </w:div>
    <w:div w:id="1558853263">
      <w:bodyDiv w:val="1"/>
      <w:marLeft w:val="0"/>
      <w:marRight w:val="0"/>
      <w:marTop w:val="0"/>
      <w:marBottom w:val="0"/>
      <w:divBdr>
        <w:top w:val="none" w:sz="0" w:space="0" w:color="auto"/>
        <w:left w:val="none" w:sz="0" w:space="0" w:color="auto"/>
        <w:bottom w:val="none" w:sz="0" w:space="0" w:color="auto"/>
        <w:right w:val="none" w:sz="0" w:space="0" w:color="auto"/>
      </w:divBdr>
    </w:div>
    <w:div w:id="1559050926">
      <w:bodyDiv w:val="1"/>
      <w:marLeft w:val="0"/>
      <w:marRight w:val="0"/>
      <w:marTop w:val="0"/>
      <w:marBottom w:val="0"/>
      <w:divBdr>
        <w:top w:val="none" w:sz="0" w:space="0" w:color="auto"/>
        <w:left w:val="none" w:sz="0" w:space="0" w:color="auto"/>
        <w:bottom w:val="none" w:sz="0" w:space="0" w:color="auto"/>
        <w:right w:val="none" w:sz="0" w:space="0" w:color="auto"/>
      </w:divBdr>
    </w:div>
    <w:div w:id="1573930907">
      <w:bodyDiv w:val="1"/>
      <w:marLeft w:val="0"/>
      <w:marRight w:val="0"/>
      <w:marTop w:val="0"/>
      <w:marBottom w:val="0"/>
      <w:divBdr>
        <w:top w:val="none" w:sz="0" w:space="0" w:color="auto"/>
        <w:left w:val="none" w:sz="0" w:space="0" w:color="auto"/>
        <w:bottom w:val="none" w:sz="0" w:space="0" w:color="auto"/>
        <w:right w:val="none" w:sz="0" w:space="0" w:color="auto"/>
      </w:divBdr>
    </w:div>
    <w:div w:id="1585146940">
      <w:bodyDiv w:val="1"/>
      <w:marLeft w:val="0"/>
      <w:marRight w:val="0"/>
      <w:marTop w:val="0"/>
      <w:marBottom w:val="0"/>
      <w:divBdr>
        <w:top w:val="none" w:sz="0" w:space="0" w:color="auto"/>
        <w:left w:val="none" w:sz="0" w:space="0" w:color="auto"/>
        <w:bottom w:val="none" w:sz="0" w:space="0" w:color="auto"/>
        <w:right w:val="none" w:sz="0" w:space="0" w:color="auto"/>
      </w:divBdr>
    </w:div>
    <w:div w:id="1608997532">
      <w:bodyDiv w:val="1"/>
      <w:marLeft w:val="0"/>
      <w:marRight w:val="0"/>
      <w:marTop w:val="0"/>
      <w:marBottom w:val="0"/>
      <w:divBdr>
        <w:top w:val="none" w:sz="0" w:space="0" w:color="auto"/>
        <w:left w:val="none" w:sz="0" w:space="0" w:color="auto"/>
        <w:bottom w:val="none" w:sz="0" w:space="0" w:color="auto"/>
        <w:right w:val="none" w:sz="0" w:space="0" w:color="auto"/>
      </w:divBdr>
    </w:div>
    <w:div w:id="1639190058">
      <w:bodyDiv w:val="1"/>
      <w:marLeft w:val="0"/>
      <w:marRight w:val="0"/>
      <w:marTop w:val="0"/>
      <w:marBottom w:val="0"/>
      <w:divBdr>
        <w:top w:val="none" w:sz="0" w:space="0" w:color="auto"/>
        <w:left w:val="none" w:sz="0" w:space="0" w:color="auto"/>
        <w:bottom w:val="none" w:sz="0" w:space="0" w:color="auto"/>
        <w:right w:val="none" w:sz="0" w:space="0" w:color="auto"/>
      </w:divBdr>
    </w:div>
    <w:div w:id="1656756568">
      <w:bodyDiv w:val="1"/>
      <w:marLeft w:val="0"/>
      <w:marRight w:val="0"/>
      <w:marTop w:val="0"/>
      <w:marBottom w:val="0"/>
      <w:divBdr>
        <w:top w:val="none" w:sz="0" w:space="0" w:color="auto"/>
        <w:left w:val="none" w:sz="0" w:space="0" w:color="auto"/>
        <w:bottom w:val="none" w:sz="0" w:space="0" w:color="auto"/>
        <w:right w:val="none" w:sz="0" w:space="0" w:color="auto"/>
      </w:divBdr>
    </w:div>
    <w:div w:id="1664043769">
      <w:bodyDiv w:val="1"/>
      <w:marLeft w:val="0"/>
      <w:marRight w:val="0"/>
      <w:marTop w:val="0"/>
      <w:marBottom w:val="0"/>
      <w:divBdr>
        <w:top w:val="none" w:sz="0" w:space="0" w:color="auto"/>
        <w:left w:val="none" w:sz="0" w:space="0" w:color="auto"/>
        <w:bottom w:val="none" w:sz="0" w:space="0" w:color="auto"/>
        <w:right w:val="none" w:sz="0" w:space="0" w:color="auto"/>
      </w:divBdr>
    </w:div>
    <w:div w:id="1720401218">
      <w:bodyDiv w:val="1"/>
      <w:marLeft w:val="0"/>
      <w:marRight w:val="0"/>
      <w:marTop w:val="0"/>
      <w:marBottom w:val="0"/>
      <w:divBdr>
        <w:top w:val="none" w:sz="0" w:space="0" w:color="auto"/>
        <w:left w:val="none" w:sz="0" w:space="0" w:color="auto"/>
        <w:bottom w:val="none" w:sz="0" w:space="0" w:color="auto"/>
        <w:right w:val="none" w:sz="0" w:space="0" w:color="auto"/>
      </w:divBdr>
    </w:div>
    <w:div w:id="1743210255">
      <w:bodyDiv w:val="1"/>
      <w:marLeft w:val="0"/>
      <w:marRight w:val="0"/>
      <w:marTop w:val="0"/>
      <w:marBottom w:val="0"/>
      <w:divBdr>
        <w:top w:val="none" w:sz="0" w:space="0" w:color="auto"/>
        <w:left w:val="none" w:sz="0" w:space="0" w:color="auto"/>
        <w:bottom w:val="none" w:sz="0" w:space="0" w:color="auto"/>
        <w:right w:val="none" w:sz="0" w:space="0" w:color="auto"/>
      </w:divBdr>
    </w:div>
    <w:div w:id="1752581624">
      <w:bodyDiv w:val="1"/>
      <w:marLeft w:val="0"/>
      <w:marRight w:val="0"/>
      <w:marTop w:val="0"/>
      <w:marBottom w:val="0"/>
      <w:divBdr>
        <w:top w:val="none" w:sz="0" w:space="0" w:color="auto"/>
        <w:left w:val="none" w:sz="0" w:space="0" w:color="auto"/>
        <w:bottom w:val="none" w:sz="0" w:space="0" w:color="auto"/>
        <w:right w:val="none" w:sz="0" w:space="0" w:color="auto"/>
      </w:divBdr>
    </w:div>
    <w:div w:id="1775591636">
      <w:bodyDiv w:val="1"/>
      <w:marLeft w:val="0"/>
      <w:marRight w:val="0"/>
      <w:marTop w:val="0"/>
      <w:marBottom w:val="0"/>
      <w:divBdr>
        <w:top w:val="none" w:sz="0" w:space="0" w:color="auto"/>
        <w:left w:val="none" w:sz="0" w:space="0" w:color="auto"/>
        <w:bottom w:val="none" w:sz="0" w:space="0" w:color="auto"/>
        <w:right w:val="none" w:sz="0" w:space="0" w:color="auto"/>
      </w:divBdr>
    </w:div>
    <w:div w:id="1833137929">
      <w:bodyDiv w:val="1"/>
      <w:marLeft w:val="0"/>
      <w:marRight w:val="0"/>
      <w:marTop w:val="0"/>
      <w:marBottom w:val="0"/>
      <w:divBdr>
        <w:top w:val="none" w:sz="0" w:space="0" w:color="auto"/>
        <w:left w:val="none" w:sz="0" w:space="0" w:color="auto"/>
        <w:bottom w:val="none" w:sz="0" w:space="0" w:color="auto"/>
        <w:right w:val="none" w:sz="0" w:space="0" w:color="auto"/>
      </w:divBdr>
    </w:div>
    <w:div w:id="1835341610">
      <w:bodyDiv w:val="1"/>
      <w:marLeft w:val="0"/>
      <w:marRight w:val="0"/>
      <w:marTop w:val="0"/>
      <w:marBottom w:val="0"/>
      <w:divBdr>
        <w:top w:val="none" w:sz="0" w:space="0" w:color="auto"/>
        <w:left w:val="none" w:sz="0" w:space="0" w:color="auto"/>
        <w:bottom w:val="none" w:sz="0" w:space="0" w:color="auto"/>
        <w:right w:val="none" w:sz="0" w:space="0" w:color="auto"/>
      </w:divBdr>
    </w:div>
    <w:div w:id="1859850532">
      <w:bodyDiv w:val="1"/>
      <w:marLeft w:val="0"/>
      <w:marRight w:val="0"/>
      <w:marTop w:val="0"/>
      <w:marBottom w:val="0"/>
      <w:divBdr>
        <w:top w:val="none" w:sz="0" w:space="0" w:color="auto"/>
        <w:left w:val="none" w:sz="0" w:space="0" w:color="auto"/>
        <w:bottom w:val="none" w:sz="0" w:space="0" w:color="auto"/>
        <w:right w:val="none" w:sz="0" w:space="0" w:color="auto"/>
      </w:divBdr>
    </w:div>
    <w:div w:id="1860311190">
      <w:bodyDiv w:val="1"/>
      <w:marLeft w:val="0"/>
      <w:marRight w:val="0"/>
      <w:marTop w:val="0"/>
      <w:marBottom w:val="0"/>
      <w:divBdr>
        <w:top w:val="none" w:sz="0" w:space="0" w:color="auto"/>
        <w:left w:val="none" w:sz="0" w:space="0" w:color="auto"/>
        <w:bottom w:val="none" w:sz="0" w:space="0" w:color="auto"/>
        <w:right w:val="none" w:sz="0" w:space="0" w:color="auto"/>
      </w:divBdr>
    </w:div>
    <w:div w:id="1869642943">
      <w:bodyDiv w:val="1"/>
      <w:marLeft w:val="0"/>
      <w:marRight w:val="0"/>
      <w:marTop w:val="0"/>
      <w:marBottom w:val="0"/>
      <w:divBdr>
        <w:top w:val="none" w:sz="0" w:space="0" w:color="auto"/>
        <w:left w:val="none" w:sz="0" w:space="0" w:color="auto"/>
        <w:bottom w:val="none" w:sz="0" w:space="0" w:color="auto"/>
        <w:right w:val="none" w:sz="0" w:space="0" w:color="auto"/>
      </w:divBdr>
    </w:div>
    <w:div w:id="1892842595">
      <w:bodyDiv w:val="1"/>
      <w:marLeft w:val="0"/>
      <w:marRight w:val="0"/>
      <w:marTop w:val="0"/>
      <w:marBottom w:val="0"/>
      <w:divBdr>
        <w:top w:val="none" w:sz="0" w:space="0" w:color="auto"/>
        <w:left w:val="none" w:sz="0" w:space="0" w:color="auto"/>
        <w:bottom w:val="none" w:sz="0" w:space="0" w:color="auto"/>
        <w:right w:val="none" w:sz="0" w:space="0" w:color="auto"/>
      </w:divBdr>
    </w:div>
    <w:div w:id="1899708553">
      <w:bodyDiv w:val="1"/>
      <w:marLeft w:val="0"/>
      <w:marRight w:val="0"/>
      <w:marTop w:val="0"/>
      <w:marBottom w:val="0"/>
      <w:divBdr>
        <w:top w:val="none" w:sz="0" w:space="0" w:color="auto"/>
        <w:left w:val="none" w:sz="0" w:space="0" w:color="auto"/>
        <w:bottom w:val="none" w:sz="0" w:space="0" w:color="auto"/>
        <w:right w:val="none" w:sz="0" w:space="0" w:color="auto"/>
      </w:divBdr>
    </w:div>
    <w:div w:id="1941645829">
      <w:bodyDiv w:val="1"/>
      <w:marLeft w:val="0"/>
      <w:marRight w:val="0"/>
      <w:marTop w:val="0"/>
      <w:marBottom w:val="0"/>
      <w:divBdr>
        <w:top w:val="none" w:sz="0" w:space="0" w:color="auto"/>
        <w:left w:val="none" w:sz="0" w:space="0" w:color="auto"/>
        <w:bottom w:val="none" w:sz="0" w:space="0" w:color="auto"/>
        <w:right w:val="none" w:sz="0" w:space="0" w:color="auto"/>
      </w:divBdr>
    </w:div>
    <w:div w:id="1961372659">
      <w:bodyDiv w:val="1"/>
      <w:marLeft w:val="0"/>
      <w:marRight w:val="0"/>
      <w:marTop w:val="0"/>
      <w:marBottom w:val="0"/>
      <w:divBdr>
        <w:top w:val="none" w:sz="0" w:space="0" w:color="auto"/>
        <w:left w:val="none" w:sz="0" w:space="0" w:color="auto"/>
        <w:bottom w:val="none" w:sz="0" w:space="0" w:color="auto"/>
        <w:right w:val="none" w:sz="0" w:space="0" w:color="auto"/>
      </w:divBdr>
    </w:div>
    <w:div w:id="1988169800">
      <w:bodyDiv w:val="1"/>
      <w:marLeft w:val="0"/>
      <w:marRight w:val="0"/>
      <w:marTop w:val="0"/>
      <w:marBottom w:val="0"/>
      <w:divBdr>
        <w:top w:val="none" w:sz="0" w:space="0" w:color="auto"/>
        <w:left w:val="none" w:sz="0" w:space="0" w:color="auto"/>
        <w:bottom w:val="none" w:sz="0" w:space="0" w:color="auto"/>
        <w:right w:val="none" w:sz="0" w:space="0" w:color="auto"/>
      </w:divBdr>
    </w:div>
    <w:div w:id="2036423808">
      <w:bodyDiv w:val="1"/>
      <w:marLeft w:val="0"/>
      <w:marRight w:val="0"/>
      <w:marTop w:val="0"/>
      <w:marBottom w:val="0"/>
      <w:divBdr>
        <w:top w:val="none" w:sz="0" w:space="0" w:color="auto"/>
        <w:left w:val="none" w:sz="0" w:space="0" w:color="auto"/>
        <w:bottom w:val="none" w:sz="0" w:space="0" w:color="auto"/>
        <w:right w:val="none" w:sz="0" w:space="0" w:color="auto"/>
      </w:divBdr>
    </w:div>
    <w:div w:id="2078816786">
      <w:bodyDiv w:val="1"/>
      <w:marLeft w:val="0"/>
      <w:marRight w:val="0"/>
      <w:marTop w:val="0"/>
      <w:marBottom w:val="0"/>
      <w:divBdr>
        <w:top w:val="none" w:sz="0" w:space="0" w:color="auto"/>
        <w:left w:val="none" w:sz="0" w:space="0" w:color="auto"/>
        <w:bottom w:val="none" w:sz="0" w:space="0" w:color="auto"/>
        <w:right w:val="none" w:sz="0" w:space="0" w:color="auto"/>
      </w:divBdr>
    </w:div>
    <w:div w:id="2078941033">
      <w:bodyDiv w:val="1"/>
      <w:marLeft w:val="0"/>
      <w:marRight w:val="0"/>
      <w:marTop w:val="0"/>
      <w:marBottom w:val="0"/>
      <w:divBdr>
        <w:top w:val="none" w:sz="0" w:space="0" w:color="auto"/>
        <w:left w:val="none" w:sz="0" w:space="0" w:color="auto"/>
        <w:bottom w:val="none" w:sz="0" w:space="0" w:color="auto"/>
        <w:right w:val="none" w:sz="0" w:space="0" w:color="auto"/>
      </w:divBdr>
    </w:div>
    <w:div w:id="2084989530">
      <w:bodyDiv w:val="1"/>
      <w:marLeft w:val="0"/>
      <w:marRight w:val="0"/>
      <w:marTop w:val="0"/>
      <w:marBottom w:val="0"/>
      <w:divBdr>
        <w:top w:val="none" w:sz="0" w:space="0" w:color="auto"/>
        <w:left w:val="none" w:sz="0" w:space="0" w:color="auto"/>
        <w:bottom w:val="none" w:sz="0" w:space="0" w:color="auto"/>
        <w:right w:val="none" w:sz="0" w:space="0" w:color="auto"/>
      </w:divBdr>
    </w:div>
    <w:div w:id="2086951062">
      <w:bodyDiv w:val="1"/>
      <w:marLeft w:val="0"/>
      <w:marRight w:val="0"/>
      <w:marTop w:val="0"/>
      <w:marBottom w:val="0"/>
      <w:divBdr>
        <w:top w:val="none" w:sz="0" w:space="0" w:color="auto"/>
        <w:left w:val="none" w:sz="0" w:space="0" w:color="auto"/>
        <w:bottom w:val="none" w:sz="0" w:space="0" w:color="auto"/>
        <w:right w:val="none" w:sz="0" w:space="0" w:color="auto"/>
      </w:divBdr>
    </w:div>
    <w:div w:id="2090542476">
      <w:bodyDiv w:val="1"/>
      <w:marLeft w:val="0"/>
      <w:marRight w:val="0"/>
      <w:marTop w:val="0"/>
      <w:marBottom w:val="0"/>
      <w:divBdr>
        <w:top w:val="none" w:sz="0" w:space="0" w:color="auto"/>
        <w:left w:val="none" w:sz="0" w:space="0" w:color="auto"/>
        <w:bottom w:val="none" w:sz="0" w:space="0" w:color="auto"/>
        <w:right w:val="none" w:sz="0" w:space="0" w:color="auto"/>
      </w:divBdr>
    </w:div>
    <w:div w:id="212993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So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Ber04</b:Tag>
    <b:SourceType>Book</b:SourceType>
    <b:Guid>{B4A5A774-9AF9-431F-9F19-847D229F0E84}</b:Guid>
    <b:Title>The Origins of the British Welfare State</b:Title>
    <b:Year>2004</b:Year>
    <b:Author>
      <b:Author>
        <b:NameList>
          <b:Person>
            <b:Last>Harris</b:Last>
            <b:First>Bernard</b:First>
          </b:Person>
        </b:NameList>
      </b:Author>
    </b:Author>
    <b:City>Basingstoke</b:City>
    <b:Publisher>Palgrave Macmillan</b:Publisher>
    <b:RefOrder>1</b:RefOrder>
  </b:Source>
  <b:Source>
    <b:Tag>Dav711</b:Tag>
    <b:SourceType>Book</b:SourceType>
    <b:Guid>{5CE2FA9D-530D-4C50-A39D-7665CE32EA7A}</b:Guid>
    <b:Author>
      <b:Author>
        <b:NameList>
          <b:Person>
            <b:Last>Jenkins</b:Last>
            <b:First>David</b:First>
          </b:Person>
        </b:NameList>
      </b:Author>
    </b:Author>
    <b:Title>The Agricultural Community in south-west Wales</b:Title>
    <b:Year>1971</b:Year>
    <b:City>Cardiff</b:City>
    <b:Publisher>University of Wales Press</b:Publisher>
    <b:RefOrder>2</b:RefOrder>
  </b:Source>
  <b:Source>
    <b:Tag>Gin09</b:Tag>
    <b:SourceType>Book</b:SourceType>
    <b:Guid>{9F9C35BF-B2C4-4B0C-9AD6-06136A212170}</b:Guid>
    <b:Author>
      <b:Author>
        <b:NameList>
          <b:Person>
            <b:Last>Frost</b:Last>
            <b:First>Ginger</b:First>
            <b:Middle>S.</b:Middle>
          </b:Person>
        </b:NameList>
      </b:Author>
    </b:Author>
    <b:Title>Victorian Childhoods</b:Title>
    <b:Year>2009</b:Year>
    <b:City>London</b:City>
    <b:Publisher>Praeger</b:Publisher>
    <b:RefOrder>3</b:RefOrder>
  </b:Source>
  <b:Source>
    <b:Tag>DGa892</b:Tag>
    <b:SourceType>Book</b:SourceType>
    <b:Guid>{35D0DB25-88B1-4F7E-A48E-30DD487A373E}</b:Guid>
    <b:Author>
      <b:Author>
        <b:NameList>
          <b:Person>
            <b:Last>Evans</b:Last>
            <b:First>D.</b:First>
            <b:Middle>Gareth</b:Middle>
          </b:Person>
        </b:NameList>
      </b:Author>
    </b:Author>
    <b:Title>A History of Wales 1815-1906</b:Title>
    <b:Year>1989</b:Year>
    <b:City>Cardiff</b:City>
    <b:Publisher>University of Wales Press</b:Publisher>
    <b:RefOrder>4</b:RefOrder>
  </b:Source>
  <b:Source>
    <b:Tag>Rus052</b:Tag>
    <b:SourceType>Book</b:SourceType>
    <b:Guid>{5C8FCBD8-C9A1-4CEA-873B-008389B0D4B1}</b:Guid>
    <b:Author>
      <b:Author>
        <b:NameList>
          <b:Person>
            <b:Last>Davies</b:Last>
            <b:First>Russell</b:First>
          </b:Person>
        </b:NameList>
      </b:Author>
    </b:Author>
    <b:Title>Hope and Heartbreak</b:Title>
    <b:Year>2005</b:Year>
    <b:City>Trowbridge</b:City>
    <b:Publisher>Cromwell Press</b:Publisher>
    <b:RefOrder>6</b:RefOrder>
  </b:Source>
  <b:Source>
    <b:Tag>Sar17</b:Tag>
    <b:SourceType>Book</b:SourceType>
    <b:Guid>{ECF7EC6C-46F3-406F-AD5F-1A0894947992}</b:Guid>
    <b:Author>
      <b:Author>
        <b:NameList>
          <b:Person>
            <b:Last>Seaton</b:Last>
            <b:First>Sarah</b:First>
          </b:Person>
        </b:NameList>
      </b:Author>
    </b:Author>
    <b:Title>Childhood &amp; Death in Victorian England</b:Title>
    <b:Year>2017</b:Year>
    <b:City>Barnsley</b:City>
    <b:Publisher>Pen &amp; Sword</b:Publisher>
    <b:RefOrder>8</b:RefOrder>
  </b:Source>
  <b:Source>
    <b:Tag>Mic08</b:Tag>
    <b:SourceType>Book</b:SourceType>
    <b:Guid>{0D59485C-B62B-46DA-A623-3203115BA33E}</b:Guid>
    <b:Author>
      <b:Author>
        <b:NameList>
          <b:Person>
            <b:Last>Paterson</b:Last>
            <b:First>Michael</b:First>
          </b:Person>
        </b:NameList>
      </b:Author>
    </b:Author>
    <b:Title>Life in Victorian Britain</b:Title>
    <b:Year>2008</b:Year>
    <b:City>Philadelphia</b:City>
    <b:Publisher>Robinson</b:Publisher>
    <b:RefOrder>9</b:RefOrder>
  </b:Source>
  <b:Source>
    <b:Tag>Chi13</b:Tag>
    <b:SourceType>Report</b:SourceType>
    <b:Guid>{92B3049F-4092-48AD-AC94-F5C1831D81B0}</b:Guid>
    <b:Title>Board of Education Report</b:Title>
    <b:Year>1913</b:Year>
    <b:City>Pembrokeshire</b:City>
    <b:Author>
      <b:Author>
        <b:NameList>
          <b:Person>
            <b:Last>Officer</b:Last>
            <b:First>Chief</b:First>
            <b:Middle>Medical</b:Middle>
          </b:Person>
        </b:NameList>
      </b:Author>
    </b:Author>
    <b:RefOrder>13</b:RefOrder>
  </b:Source>
  <b:Source>
    <b:Tag>CPH921</b:Tag>
    <b:SourceType>Book</b:SourceType>
    <b:Guid>{ECB6B602-A8D4-4A96-BBF7-DFF2DAB2F675}</b:Guid>
    <b:Title>British Economic &amp; Social History 1700-1982</b:Title>
    <b:Year>1992</b:Year>
    <b:Publisher>Hodder &amp; Stoughton</b:Publisher>
    <b:City>London</b:City>
    <b:Author>
      <b:Author>
        <b:NameList>
          <b:Person>
            <b:Last>Hill</b:Last>
            <b:First>C</b:First>
            <b:Middle>P</b:Middle>
          </b:Person>
        </b:NameList>
      </b:Author>
    </b:Author>
    <b:RefOrder>16</b:RefOrder>
  </b:Source>
  <b:Source>
    <b:Tag>Pet991</b:Tag>
    <b:SourceType>Book</b:SourceType>
    <b:Guid>{21B27CFA-4EDE-46B5-96AA-DB773E320AB7}</b:Guid>
    <b:Author>
      <b:Author>
        <b:NameList>
          <b:Person>
            <b:Last>Murray</b:Last>
            <b:First>Peter</b:First>
          </b:Person>
        </b:NameList>
      </b:Author>
    </b:Author>
    <b:Title>Poverty &amp; welfare 1830-1914</b:Title>
    <b:Year>1999</b:Year>
    <b:City>oxon</b:City>
    <b:Publisher>Hodder &amp; Stoughton</b:Publisher>
    <b:RefOrder>18</b:RefOrder>
  </b:Source>
  <b:Source>
    <b:Tag>Cer14</b:Tag>
    <b:SourceType>Book</b:SourceType>
    <b:Guid>{24AA7F6A-EED9-4337-916E-6CA6BC69CD10}</b:Guid>
    <b:Author>
      <b:Author>
        <b:NameList>
          <b:Person>
            <b:Last>Thompson</b:Last>
            <b:First>Ceri</b:First>
          </b:Person>
        </b:NameList>
      </b:Author>
    </b:Author>
    <b:Title>From the cradle to the coalmine</b:Title>
    <b:Year>2014</b:Year>
    <b:City>Cardiff</b:City>
    <b:Publisher>Univeristy of Wales Press</b:Publisher>
    <b:RefOrder>19</b:RefOrder>
  </b:Source>
  <b:Source>
    <b:Tag>Chi00</b:Tag>
    <b:SourceType>DocumentFromInternetSite</b:SourceType>
    <b:Guid>{C4634CB4-79E1-473D-B0E9-A96E1DF42926}</b:Guid>
    <b:Title>Chidren outside Cambrian Hotel, Saundersfoot</b:Title>
    <b:InternetSiteTitle>Peoples Collection Wales</b:InternetSiteTitle>
    <b:Year>1900</b:Year>
    <b:URL>https://www.peoplescollection.wales/items/381594</b:URL>
    <b:RefOrder>10</b:RefOrder>
  </b:Source>
  <b:Source>
    <b:Tag>Sch00</b:Tag>
    <b:SourceType>DocumentFromInternetSite</b:SourceType>
    <b:Guid>{17AD526F-3142-43BA-A83D-E3F0CC92F15D}</b:Guid>
    <b:Title>Schools</b:Title>
    <b:InternetSiteTitle>Museum of Wales</b:InternetSiteTitle>
    <b:Year>1900</b:Year>
    <b:URL>https://www.museumwales.ac.uk/media/8624</b:URL>
    <b:RefOrder>11</b:RefOrder>
  </b:Source>
  <b:Source>
    <b:Tag>Wom</b:Tag>
    <b:SourceType>DocumentFromInternetSite</b:SourceType>
    <b:Guid>{A8A83D03-2E86-4A57-B0D3-352A72742260}</b:Guid>
    <b:Title>Women's Work and Welfare</b:Title>
    <b:InternetSiteTitle>Museum of Wales</b:InternetSiteTitle>
    <b:URL>https://www.museumwales.ac.uk/media/8620</b:URL>
    <b:RefOrder>5</b:RefOrder>
  </b:Source>
  <b:Source>
    <b:Tag>Mus</b:Tag>
    <b:SourceType>Interview</b:SourceType>
    <b:Guid>{8E19480B-546C-4143-8BA2-3BAB515250EF}</b:Guid>
    <b:Title>A Woman's Work</b:Title>
    <b:Author>
      <b:Interviewer>
        <b:NameList>
          <b:Person>
            <b:Last>musuemwales.ac.uk/8539</b:Last>
            <b:First>Museum</b:First>
            <b:Middle>of Wales -</b:Middle>
          </b:Person>
        </b:NameList>
      </b:Interviewer>
    </b:Author>
    <b:RefOrder>7</b:RefOrder>
  </b:Source>
  <b:Source>
    <b:Tag>The86</b:Tag>
    <b:SourceType>JournalArticle</b:SourceType>
    <b:Guid>{D680E636-BCCC-4B3F-BC87-1FAE8A007633}</b:Guid>
    <b:Title>The WNMA &amp; its policy towards TB</b:Title>
    <b:Year>1986</b:Year>
    <b:JournalName>Welsh History review</b:JournalName>
    <b:Pages>194-216</b:Pages>
    <b:RefOrder>15</b:RefOrder>
  </b:Source>
  <b:Source>
    <b:Tag>Sui</b:Tag>
    <b:SourceType>ArticleInAPeriodical</b:SourceType>
    <b:Guid>{5C20A3FA-8DAB-40B4-BCA4-4B228B349E28}</b:Guid>
    <b:Title>Suitable Homes revisited.</b:Title>
    <b:JournalName>Science Direct</b:JournalName>
    <b:Pages>SO190740999000523</b:Pages>
    <b:PeriodicalTitle>Science Direct</b:PeriodicalTitle>
    <b:RefOrder>12</b:RefOrder>
  </b:Source>
  <b:Source>
    <b:Tag>Wel1</b:Tag>
    <b:SourceType>JournalArticle</b:SourceType>
    <b:Guid>{86C5055A-E9B5-4EC9-A5C0-49877096DDE5}</b:Guid>
    <b:Title>Welfare Reform in Historical Perspective</b:Title>
    <b:Pages>Volume 1</b:Pages>
    <b:JournalName>Social Justice Vol. 21</b:JournalName>
    <b:RefOrder>14</b:RefOrder>
  </b:Source>
  <b:Source>
    <b:Tag>Ray18</b:Tag>
    <b:SourceType>InternetSite</b:SourceType>
    <b:Guid>{5D79E85A-2E3B-4CCF-B526-642E6AD89A9B}</b:Guid>
    <b:Title>Infectious diseases</b:Title>
    <b:Year>2018</b:Year>
    <b:Author>
      <b:Author>
        <b:NameList>
          <b:Person>
            <b:Last>Jones</b:Last>
            <b:First>Ray</b:First>
          </b:Person>
        </b:NameList>
      </b:Author>
    </b:Author>
    <b:InternetSiteTitle>Pembrokeshire Historical Society</b:InternetSiteTitle>
    <b:Month>December </b:Month>
    <b:Day>31</b:Day>
    <b:URL>www.pembrokeshirehistoricalsociety.co.uk/infectious-diseases-in-pembrokeshire-in-19th-century</b:URL>
    <b:RefOrder>17</b:RefOrder>
  </b:Source>
</b:Sources>
</file>

<file path=customXml/itemProps1.xml><?xml version="1.0" encoding="utf-8"?>
<ds:datastoreItem xmlns:ds="http://schemas.openxmlformats.org/officeDocument/2006/customXml" ds:itemID="{39E6B70A-5F12-4B32-8043-8BD3F32B7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4525</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Ashworth (1805027)</dc:creator>
  <cp:keywords/>
  <dc:description/>
  <cp:lastModifiedBy>User</cp:lastModifiedBy>
  <cp:revision>2</cp:revision>
  <dcterms:created xsi:type="dcterms:W3CDTF">2019-01-01T11:26:00Z</dcterms:created>
  <dcterms:modified xsi:type="dcterms:W3CDTF">2019-01-01T11:26:00Z</dcterms:modified>
</cp:coreProperties>
</file>