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04073" w14:textId="77777777" w:rsidR="005A1C19" w:rsidRDefault="005A1C19" w:rsidP="005A1C19">
      <w:pPr>
        <w:keepNext/>
        <w:keepLines/>
        <w:widowControl w:val="0"/>
        <w:spacing w:before="240" w:after="0" w:line="276" w:lineRule="auto"/>
        <w:jc w:val="center"/>
        <w:rPr>
          <w:rFonts w:ascii="Arial" w:eastAsia="Calibri" w:hAnsi="Arial" w:cs="Arial"/>
          <w:b/>
          <w:bCs/>
          <w:kern w:val="0"/>
          <w:sz w:val="44"/>
          <w:szCs w:val="44"/>
          <w:lang w:eastAsia="zh-CN"/>
          <w14:ligatures w14:val="none"/>
        </w:rPr>
      </w:pPr>
      <w:r w:rsidRPr="00CF4AA0">
        <w:rPr>
          <w:rFonts w:ascii="Arial" w:eastAsia="Calibri" w:hAnsi="Arial" w:cs="Arial"/>
          <w:b/>
          <w:bCs/>
          <w:noProof/>
          <w:kern w:val="0"/>
          <w:sz w:val="44"/>
          <w:szCs w:val="44"/>
          <w:lang w:eastAsia="zh-CN"/>
          <w14:ligatures w14:val="none"/>
        </w:rPr>
        <w:drawing>
          <wp:inline distT="0" distB="0" distL="0" distR="0" wp14:anchorId="76CED0E9" wp14:editId="3C74F7B2">
            <wp:extent cx="3840040" cy="896587"/>
            <wp:effectExtent l="0" t="0" r="0" b="0"/>
            <wp:docPr id="1678797680" name="Picture 7"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7588" cy="905354"/>
                    </a:xfrm>
                    <a:prstGeom prst="rect">
                      <a:avLst/>
                    </a:prstGeom>
                    <a:noFill/>
                    <a:ln>
                      <a:noFill/>
                    </a:ln>
                  </pic:spPr>
                </pic:pic>
              </a:graphicData>
            </a:graphic>
          </wp:inline>
        </w:drawing>
      </w:r>
    </w:p>
    <w:p w14:paraId="2915267D" w14:textId="77777777" w:rsidR="005A1C19" w:rsidRPr="008A2D2C" w:rsidRDefault="005A1C19" w:rsidP="008A2D2C">
      <w:pPr>
        <w:keepNext/>
        <w:keepLines/>
        <w:widowControl w:val="0"/>
        <w:spacing w:before="240" w:after="0" w:line="240" w:lineRule="auto"/>
        <w:jc w:val="center"/>
        <w:rPr>
          <w:rFonts w:ascii="Arial" w:eastAsia="Calibri" w:hAnsi="Arial" w:cs="Arial"/>
          <w:b/>
          <w:bCs/>
          <w:kern w:val="0"/>
          <w:sz w:val="36"/>
          <w:szCs w:val="36"/>
          <w:lang w:eastAsia="zh-CN"/>
          <w14:ligatures w14:val="none"/>
        </w:rPr>
      </w:pPr>
      <w:r w:rsidRPr="008A2D2C">
        <w:rPr>
          <w:rFonts w:ascii="Arial" w:eastAsia="Calibri" w:hAnsi="Arial" w:cs="Arial"/>
          <w:b/>
          <w:bCs/>
          <w:kern w:val="0"/>
          <w:sz w:val="36"/>
          <w:szCs w:val="36"/>
          <w:lang w:eastAsia="zh-CN"/>
          <w14:ligatures w14:val="none"/>
        </w:rPr>
        <w:t>UNIVERSITY OF WALES</w:t>
      </w:r>
    </w:p>
    <w:p w14:paraId="2B72516B" w14:textId="77777777" w:rsidR="005A1C19" w:rsidRPr="008A2D2C" w:rsidRDefault="005A1C19" w:rsidP="008A2D2C">
      <w:pPr>
        <w:keepNext/>
        <w:keepLines/>
        <w:widowControl w:val="0"/>
        <w:spacing w:before="240" w:after="0" w:line="240" w:lineRule="auto"/>
        <w:jc w:val="center"/>
        <w:rPr>
          <w:rFonts w:ascii="Calibri Light" w:eastAsia="Calibri" w:hAnsi="Calibri Light" w:cs="Arial"/>
          <w:color w:val="2F5496"/>
          <w:kern w:val="0"/>
          <w:sz w:val="18"/>
          <w:szCs w:val="18"/>
          <w:lang w:eastAsia="zh-CN"/>
          <w14:ligatures w14:val="none"/>
        </w:rPr>
      </w:pPr>
      <w:r w:rsidRPr="008A2D2C">
        <w:rPr>
          <w:rFonts w:ascii="Arial" w:eastAsia="Calibri" w:hAnsi="Arial" w:cs="Arial"/>
          <w:b/>
          <w:bCs/>
          <w:kern w:val="0"/>
          <w:sz w:val="36"/>
          <w:szCs w:val="36"/>
          <w:lang w:eastAsia="zh-CN"/>
          <w14:ligatures w14:val="none"/>
        </w:rPr>
        <w:t>TRINITY SAINT DAVID</w:t>
      </w:r>
    </w:p>
    <w:p w14:paraId="5BAA3EB3" w14:textId="77777777" w:rsidR="005A1C19" w:rsidRPr="008A2D2C" w:rsidRDefault="005A1C19" w:rsidP="008A2D2C">
      <w:pPr>
        <w:keepNext/>
        <w:keepLines/>
        <w:widowControl w:val="0"/>
        <w:spacing w:before="240" w:after="0" w:line="240" w:lineRule="auto"/>
        <w:jc w:val="both"/>
        <w:rPr>
          <w:rFonts w:ascii="Calibri Light" w:eastAsia="Calibri" w:hAnsi="Calibri Light" w:cs="Arial"/>
          <w:color w:val="2F5496"/>
          <w:kern w:val="0"/>
          <w:sz w:val="20"/>
          <w:szCs w:val="20"/>
          <w:lang w:eastAsia="zh-CN"/>
          <w14:ligatures w14:val="none"/>
        </w:rPr>
      </w:pPr>
      <w:r w:rsidRPr="008A2D2C">
        <w:rPr>
          <w:rFonts w:ascii="Calibri Light" w:eastAsia="Calibri" w:hAnsi="Calibri Light" w:cs="Arial"/>
          <w:color w:val="2F5496"/>
          <w:kern w:val="0"/>
          <w:sz w:val="20"/>
          <w:szCs w:val="20"/>
          <w:lang w:eastAsia="zh-CN"/>
          <w14:ligatures w14:val="none"/>
        </w:rPr>
        <w:t xml:space="preserve"> </w:t>
      </w:r>
    </w:p>
    <w:p w14:paraId="2D344826" w14:textId="77777777" w:rsidR="005A1C19" w:rsidRPr="00C078DB" w:rsidRDefault="005A1C19" w:rsidP="005A1C19">
      <w:pPr>
        <w:keepNext/>
        <w:keepLines/>
        <w:widowControl w:val="0"/>
        <w:spacing w:before="240" w:after="0" w:line="360" w:lineRule="auto"/>
        <w:jc w:val="both"/>
        <w:rPr>
          <w:rFonts w:ascii="Calibri Light" w:eastAsia="Calibri" w:hAnsi="Calibri Light" w:cs="Arial"/>
          <w:color w:val="2F5496"/>
          <w:kern w:val="0"/>
          <w:lang w:eastAsia="zh-CN"/>
          <w14:ligatures w14:val="none"/>
        </w:rPr>
      </w:pPr>
    </w:p>
    <w:p w14:paraId="504DD76E" w14:textId="554E7419" w:rsidR="003F2992" w:rsidRDefault="005A1C19" w:rsidP="003F2992">
      <w:pPr>
        <w:rPr>
          <w:rFonts w:ascii="Arial" w:eastAsia="Calibri" w:hAnsi="Arial" w:cs="Arial"/>
          <w:b/>
          <w:bCs/>
          <w:kern w:val="0"/>
          <w:sz w:val="32"/>
          <w:szCs w:val="32"/>
          <w:lang w:eastAsia="zh-CN"/>
          <w14:ligatures w14:val="none"/>
        </w:rPr>
      </w:pPr>
      <w:r w:rsidRPr="00D76388">
        <w:rPr>
          <w:rFonts w:ascii="Arial" w:eastAsia="Calibri" w:hAnsi="Arial" w:cs="Arial"/>
          <w:b/>
          <w:bCs/>
          <w:i/>
          <w:iCs/>
          <w:kern w:val="0"/>
          <w:sz w:val="32"/>
          <w:szCs w:val="32"/>
          <w:lang w:eastAsia="zh-CN"/>
          <w14:ligatures w14:val="none"/>
        </w:rPr>
        <w:t>Topic:</w:t>
      </w:r>
    </w:p>
    <w:p w14:paraId="144B586A" w14:textId="5EF8C7D9" w:rsidR="00D76388" w:rsidRPr="00D76388" w:rsidRDefault="00D76388" w:rsidP="00D76388">
      <w:pPr>
        <w:jc w:val="both"/>
        <w:rPr>
          <w:rFonts w:ascii="Arial" w:hAnsi="Arial" w:cs="Arial"/>
          <w:b/>
          <w:bCs/>
          <w:sz w:val="28"/>
          <w:szCs w:val="28"/>
        </w:rPr>
      </w:pPr>
      <w:r w:rsidRPr="00D76388">
        <w:rPr>
          <w:rFonts w:ascii="Arial" w:hAnsi="Arial" w:cs="Arial"/>
          <w:b/>
          <w:bCs/>
          <w:sz w:val="28"/>
          <w:szCs w:val="28"/>
        </w:rPr>
        <w:t>From Just</w:t>
      </w:r>
      <w:r w:rsidRPr="00D76388">
        <w:rPr>
          <w:rFonts w:ascii="Cambria Math" w:hAnsi="Cambria Math" w:cs="Cambria Math"/>
          <w:b/>
          <w:bCs/>
          <w:sz w:val="28"/>
          <w:szCs w:val="28"/>
        </w:rPr>
        <w:t>‑</w:t>
      </w:r>
      <w:r w:rsidRPr="00D76388">
        <w:rPr>
          <w:rFonts w:ascii="Arial" w:hAnsi="Arial" w:cs="Arial"/>
          <w:b/>
          <w:bCs/>
          <w:sz w:val="28"/>
          <w:szCs w:val="28"/>
        </w:rPr>
        <w:t>in</w:t>
      </w:r>
      <w:r w:rsidRPr="00D76388">
        <w:rPr>
          <w:rFonts w:ascii="Cambria Math" w:hAnsi="Cambria Math" w:cs="Cambria Math"/>
          <w:b/>
          <w:bCs/>
          <w:sz w:val="28"/>
          <w:szCs w:val="28"/>
        </w:rPr>
        <w:t>‑</w:t>
      </w:r>
      <w:r w:rsidRPr="00D76388">
        <w:rPr>
          <w:rFonts w:ascii="Arial" w:hAnsi="Arial" w:cs="Arial"/>
          <w:b/>
          <w:bCs/>
          <w:sz w:val="28"/>
          <w:szCs w:val="28"/>
        </w:rPr>
        <w:t>Time to Just</w:t>
      </w:r>
      <w:r w:rsidRPr="00D76388">
        <w:rPr>
          <w:rFonts w:ascii="Cambria Math" w:hAnsi="Cambria Math" w:cs="Cambria Math"/>
          <w:b/>
          <w:bCs/>
          <w:sz w:val="28"/>
          <w:szCs w:val="28"/>
        </w:rPr>
        <w:t>‑</w:t>
      </w:r>
      <w:r w:rsidRPr="00D76388">
        <w:rPr>
          <w:rFonts w:ascii="Arial" w:hAnsi="Arial" w:cs="Arial"/>
          <w:b/>
          <w:bCs/>
          <w:sz w:val="28"/>
          <w:szCs w:val="28"/>
        </w:rPr>
        <w:t>in</w:t>
      </w:r>
      <w:r w:rsidRPr="00D76388">
        <w:rPr>
          <w:rFonts w:ascii="Cambria Math" w:hAnsi="Cambria Math" w:cs="Cambria Math"/>
          <w:b/>
          <w:bCs/>
          <w:sz w:val="28"/>
          <w:szCs w:val="28"/>
        </w:rPr>
        <w:t>‑</w:t>
      </w:r>
      <w:r w:rsidRPr="00D76388">
        <w:rPr>
          <w:rFonts w:ascii="Arial" w:hAnsi="Arial" w:cs="Arial"/>
          <w:b/>
          <w:bCs/>
          <w:sz w:val="28"/>
          <w:szCs w:val="28"/>
        </w:rPr>
        <w:t>Case: Evaluating Inventory Strategy Transitions and Supply Chain Resilience in UK Automotive Manufacturers —</w:t>
      </w:r>
      <w:r w:rsidR="00E014F5" w:rsidRPr="00E014F5">
        <w:rPr>
          <w:rFonts w:ascii="Arial" w:hAnsi="Arial" w:cs="Arial"/>
          <w:b/>
          <w:bCs/>
          <w:sz w:val="28"/>
          <w:szCs w:val="28"/>
        </w:rPr>
        <w:t>Bentley Motors Limited</w:t>
      </w:r>
      <w:r w:rsidR="00E014F5">
        <w:rPr>
          <w:rFonts w:ascii="Arial" w:hAnsi="Arial" w:cs="Arial"/>
          <w:b/>
          <w:bCs/>
          <w:sz w:val="28"/>
          <w:szCs w:val="28"/>
        </w:rPr>
        <w:t>,</w:t>
      </w:r>
      <w:r w:rsidR="00A42A92" w:rsidRPr="00A42A92">
        <w:t xml:space="preserve"> </w:t>
      </w:r>
      <w:r w:rsidR="00A42A92" w:rsidRPr="00A42A92">
        <w:rPr>
          <w:rFonts w:ascii="Arial" w:hAnsi="Arial" w:cs="Arial"/>
          <w:b/>
          <w:bCs/>
          <w:sz w:val="28"/>
          <w:szCs w:val="28"/>
        </w:rPr>
        <w:t>ASTON MARTIN LAGONDA</w:t>
      </w:r>
      <w:r w:rsidR="00A42A92">
        <w:rPr>
          <w:rFonts w:ascii="Arial" w:hAnsi="Arial" w:cs="Arial"/>
          <w:b/>
          <w:bCs/>
          <w:sz w:val="28"/>
          <w:szCs w:val="28"/>
        </w:rPr>
        <w:t xml:space="preserve">, </w:t>
      </w:r>
      <w:r w:rsidR="00A42A92" w:rsidRPr="00A42A92">
        <w:rPr>
          <w:rFonts w:ascii="Arial" w:hAnsi="Arial" w:cs="Arial"/>
          <w:b/>
          <w:bCs/>
          <w:sz w:val="28"/>
          <w:szCs w:val="28"/>
        </w:rPr>
        <w:t>McLaren Automotive</w:t>
      </w:r>
      <w:r w:rsidRPr="00D76388">
        <w:rPr>
          <w:rFonts w:ascii="Arial" w:hAnsi="Arial" w:cs="Arial"/>
          <w:b/>
          <w:bCs/>
          <w:sz w:val="28"/>
          <w:szCs w:val="28"/>
        </w:rPr>
        <w:t>— During the 2024–2025 Red Sea Crisis (2019–202</w:t>
      </w:r>
      <w:r w:rsidR="00E96D3D">
        <w:rPr>
          <w:rFonts w:ascii="Arial" w:hAnsi="Arial" w:cs="Arial"/>
          <w:b/>
          <w:bCs/>
          <w:sz w:val="28"/>
          <w:szCs w:val="28"/>
        </w:rPr>
        <w:t>4</w:t>
      </w:r>
      <w:r w:rsidRPr="00D76388">
        <w:rPr>
          <w:rFonts w:ascii="Arial" w:hAnsi="Arial" w:cs="Arial"/>
          <w:b/>
          <w:bCs/>
          <w:sz w:val="28"/>
          <w:szCs w:val="28"/>
        </w:rPr>
        <w:t>)</w:t>
      </w:r>
    </w:p>
    <w:p w14:paraId="7D1DDC20" w14:textId="77777777" w:rsidR="005A1C19" w:rsidRPr="00A13266" w:rsidRDefault="005A1C19" w:rsidP="00D67AC7">
      <w:pPr>
        <w:keepNext/>
        <w:keepLines/>
        <w:widowControl w:val="0"/>
        <w:spacing w:before="240" w:after="0" w:line="240" w:lineRule="auto"/>
        <w:rPr>
          <w:rFonts w:ascii="Arial" w:eastAsia="Calibri" w:hAnsi="Arial" w:cs="Arial"/>
          <w:b/>
          <w:bCs/>
          <w:kern w:val="0"/>
          <w:sz w:val="40"/>
          <w:szCs w:val="40"/>
          <w:lang w:eastAsia="zh-CN"/>
          <w14:ligatures w14:val="none"/>
        </w:rPr>
      </w:pPr>
    </w:p>
    <w:p w14:paraId="7D92A385" w14:textId="77777777" w:rsidR="005A1C19" w:rsidRPr="00035E73" w:rsidRDefault="005A1C19" w:rsidP="005A1C19">
      <w:pPr>
        <w:keepNext/>
        <w:keepLines/>
        <w:widowControl w:val="0"/>
        <w:spacing w:before="240" w:after="0" w:line="360" w:lineRule="auto"/>
        <w:jc w:val="center"/>
        <w:rPr>
          <w:rFonts w:ascii="Arial" w:eastAsia="Calibri" w:hAnsi="Arial" w:cs="Arial"/>
          <w:b/>
          <w:bCs/>
          <w:kern w:val="0"/>
          <w:sz w:val="32"/>
          <w:szCs w:val="32"/>
          <w:lang w:eastAsia="zh-CN"/>
          <w14:ligatures w14:val="none"/>
        </w:rPr>
      </w:pPr>
      <w:r w:rsidRPr="00035E73">
        <w:rPr>
          <w:rFonts w:ascii="Arial" w:eastAsia="Calibri" w:hAnsi="Arial" w:cs="Arial"/>
          <w:b/>
          <w:bCs/>
          <w:kern w:val="0"/>
          <w:sz w:val="32"/>
          <w:szCs w:val="32"/>
          <w:lang w:eastAsia="zh-CN"/>
          <w14:ligatures w14:val="none"/>
        </w:rPr>
        <w:t>Student: Ivilina Atanasova Atanasova: 2028391</w:t>
      </w:r>
    </w:p>
    <w:p w14:paraId="7D9814BB" w14:textId="77777777" w:rsidR="005A1C19" w:rsidRDefault="005A1C19" w:rsidP="005A1C19">
      <w:pPr>
        <w:keepNext/>
        <w:keepLines/>
        <w:widowControl w:val="0"/>
        <w:spacing w:before="240" w:after="0" w:line="360" w:lineRule="auto"/>
        <w:jc w:val="center"/>
        <w:rPr>
          <w:rFonts w:ascii="Arial" w:eastAsia="Calibri" w:hAnsi="Arial" w:cs="Arial"/>
          <w:b/>
          <w:bCs/>
          <w:kern w:val="0"/>
          <w:sz w:val="36"/>
          <w:szCs w:val="36"/>
          <w:lang w:eastAsia="zh-CN"/>
          <w14:ligatures w14:val="none"/>
        </w:rPr>
      </w:pPr>
    </w:p>
    <w:p w14:paraId="261EF7C8" w14:textId="77777777" w:rsidR="008F394F" w:rsidRPr="003F2992" w:rsidRDefault="005A1C19" w:rsidP="005A1C19">
      <w:pPr>
        <w:keepNext/>
        <w:keepLines/>
        <w:widowControl w:val="0"/>
        <w:spacing w:before="240" w:after="0" w:line="360" w:lineRule="auto"/>
        <w:jc w:val="center"/>
        <w:rPr>
          <w:rFonts w:ascii="Arial" w:eastAsia="Calibri" w:hAnsi="Arial" w:cs="Arial"/>
          <w:b/>
          <w:bCs/>
          <w:kern w:val="0"/>
          <w:sz w:val="36"/>
          <w:szCs w:val="36"/>
          <w:lang w:eastAsia="zh-CN"/>
          <w14:ligatures w14:val="none"/>
        </w:rPr>
      </w:pPr>
      <w:r w:rsidRPr="003F2992">
        <w:rPr>
          <w:rFonts w:ascii="Arial" w:eastAsia="Calibri" w:hAnsi="Arial" w:cs="Arial"/>
          <w:b/>
          <w:bCs/>
          <w:kern w:val="0"/>
          <w:sz w:val="36"/>
          <w:szCs w:val="36"/>
          <w:lang w:eastAsia="zh-CN"/>
          <w14:ligatures w14:val="none"/>
        </w:rPr>
        <w:t>Module:</w:t>
      </w:r>
      <w:r w:rsidRPr="003F2992">
        <w:rPr>
          <w:rFonts w:ascii="Arial" w:eastAsia="Calibri" w:hAnsi="Arial" w:cs="Arial"/>
          <w:b/>
          <w:bCs/>
          <w:kern w:val="0"/>
          <w:sz w:val="36"/>
          <w:szCs w:val="36"/>
          <w:lang w:eastAsia="zh-CN"/>
          <w14:ligatures w14:val="none"/>
        </w:rPr>
        <w:tab/>
      </w:r>
      <w:r w:rsidR="008F394F" w:rsidRPr="003F2992">
        <w:rPr>
          <w:rFonts w:ascii="Arial" w:eastAsia="Calibri" w:hAnsi="Arial" w:cs="Arial"/>
          <w:b/>
          <w:bCs/>
          <w:kern w:val="0"/>
          <w:sz w:val="36"/>
          <w:szCs w:val="36"/>
          <w:lang w:eastAsia="zh-CN"/>
          <w14:ligatures w14:val="none"/>
        </w:rPr>
        <w:t>Dissertation</w:t>
      </w:r>
    </w:p>
    <w:p w14:paraId="08418953" w14:textId="77777777" w:rsidR="008F394F" w:rsidRPr="008F394F" w:rsidRDefault="005A1C19" w:rsidP="008F394F">
      <w:pPr>
        <w:widowControl w:val="0"/>
        <w:spacing w:before="240" w:after="0" w:line="360" w:lineRule="auto"/>
        <w:jc w:val="center"/>
        <w:rPr>
          <w:rFonts w:ascii="Arial" w:eastAsia="Calibri" w:hAnsi="Arial" w:cs="Arial"/>
          <w:b/>
          <w:bCs/>
          <w:kern w:val="0"/>
          <w:lang w:eastAsia="zh-CN"/>
          <w14:ligatures w14:val="none"/>
        </w:rPr>
      </w:pPr>
      <w:r w:rsidRPr="00035E73">
        <w:rPr>
          <w:rFonts w:ascii="Arial" w:eastAsia="Calibri" w:hAnsi="Arial" w:cs="Arial"/>
          <w:b/>
          <w:bCs/>
          <w:kern w:val="0"/>
          <w:sz w:val="28"/>
          <w:szCs w:val="28"/>
          <w:lang w:eastAsia="zh-CN"/>
          <w14:ligatures w14:val="none"/>
        </w:rPr>
        <w:t>Module code:</w:t>
      </w:r>
      <w:r w:rsidRPr="00035E73">
        <w:rPr>
          <w:rFonts w:ascii="Arial" w:eastAsia="Calibri" w:hAnsi="Arial" w:cs="Arial"/>
          <w:b/>
          <w:bCs/>
          <w:kern w:val="0"/>
          <w:sz w:val="28"/>
          <w:szCs w:val="28"/>
          <w:lang w:eastAsia="zh-CN"/>
          <w14:ligatures w14:val="none"/>
        </w:rPr>
        <w:tab/>
      </w:r>
      <w:r w:rsidR="008F394F" w:rsidRPr="008F394F">
        <w:rPr>
          <w:rFonts w:ascii="Arial" w:eastAsia="Calibri" w:hAnsi="Arial" w:cs="Arial"/>
          <w:b/>
          <w:bCs/>
          <w:kern w:val="0"/>
          <w:lang w:eastAsia="zh-CN"/>
          <w14:ligatures w14:val="none"/>
        </w:rPr>
        <w:t>LCMB7035</w:t>
      </w:r>
    </w:p>
    <w:p w14:paraId="5F9E6BBC" w14:textId="553DEA6D" w:rsidR="005A1C19" w:rsidRPr="00035E73" w:rsidRDefault="005A1C19" w:rsidP="005A1C19">
      <w:pPr>
        <w:keepNext/>
        <w:keepLines/>
        <w:widowControl w:val="0"/>
        <w:spacing w:before="240" w:after="0" w:line="360" w:lineRule="auto"/>
        <w:jc w:val="center"/>
        <w:rPr>
          <w:rFonts w:ascii="Arial" w:eastAsia="Calibri" w:hAnsi="Arial" w:cs="Arial"/>
          <w:b/>
          <w:bCs/>
          <w:kern w:val="0"/>
          <w:sz w:val="28"/>
          <w:szCs w:val="28"/>
          <w:lang w:eastAsia="zh-CN"/>
          <w14:ligatures w14:val="none"/>
        </w:rPr>
      </w:pPr>
    </w:p>
    <w:p w14:paraId="5B97FB8A" w14:textId="77777777" w:rsidR="005A1C19" w:rsidRDefault="005A1C19" w:rsidP="005A1C19">
      <w:pPr>
        <w:spacing w:after="0" w:line="360" w:lineRule="auto"/>
        <w:ind w:firstLine="567"/>
        <w:jc w:val="both"/>
        <w:rPr>
          <w:rFonts w:ascii="Arial" w:hAnsi="Arial" w:cs="Arial"/>
          <w:b/>
          <w:bCs/>
          <w:sz w:val="22"/>
          <w:szCs w:val="22"/>
        </w:rPr>
      </w:pPr>
    </w:p>
    <w:p w14:paraId="2522B9EA" w14:textId="77777777" w:rsidR="005A1C19" w:rsidRDefault="005A1C19" w:rsidP="008F394F">
      <w:pPr>
        <w:spacing w:after="0" w:line="360" w:lineRule="auto"/>
        <w:jc w:val="both"/>
        <w:rPr>
          <w:rFonts w:ascii="Arial" w:hAnsi="Arial" w:cs="Arial"/>
          <w:b/>
          <w:bCs/>
          <w:sz w:val="22"/>
          <w:szCs w:val="22"/>
        </w:rPr>
      </w:pPr>
    </w:p>
    <w:p w14:paraId="4043009A" w14:textId="77777777" w:rsidR="005A1C19" w:rsidRDefault="005A1C19" w:rsidP="005A1C19">
      <w:pPr>
        <w:spacing w:after="0" w:line="360" w:lineRule="auto"/>
        <w:ind w:firstLine="567"/>
        <w:jc w:val="both"/>
        <w:rPr>
          <w:rFonts w:ascii="Arial" w:hAnsi="Arial" w:cs="Arial"/>
          <w:b/>
          <w:bCs/>
          <w:sz w:val="22"/>
          <w:szCs w:val="22"/>
        </w:rPr>
      </w:pPr>
    </w:p>
    <w:p w14:paraId="657AEF6E" w14:textId="77777777" w:rsidR="005A1C19" w:rsidRDefault="005A1C19" w:rsidP="005A1C19">
      <w:pPr>
        <w:spacing w:after="0" w:line="360" w:lineRule="auto"/>
        <w:ind w:firstLine="567"/>
        <w:jc w:val="both"/>
        <w:rPr>
          <w:rFonts w:ascii="Arial" w:hAnsi="Arial" w:cs="Arial"/>
          <w:b/>
          <w:bCs/>
          <w:sz w:val="22"/>
          <w:szCs w:val="22"/>
        </w:rPr>
      </w:pPr>
    </w:p>
    <w:p w14:paraId="75766FF8" w14:textId="3E3ADD16" w:rsidR="00B56297" w:rsidRPr="00B56297" w:rsidRDefault="00CD7093" w:rsidP="00B56297">
      <w:pPr>
        <w:spacing w:after="0" w:line="360" w:lineRule="auto"/>
        <w:jc w:val="center"/>
        <w:rPr>
          <w:rFonts w:ascii="Arial" w:hAnsi="Arial" w:cs="Arial"/>
          <w:b/>
          <w:bCs/>
          <w:sz w:val="22"/>
          <w:szCs w:val="22"/>
        </w:rPr>
      </w:pPr>
      <w:r>
        <w:rPr>
          <w:rFonts w:ascii="Arial" w:hAnsi="Arial" w:cs="Arial"/>
          <w:b/>
          <w:bCs/>
          <w:sz w:val="22"/>
          <w:szCs w:val="22"/>
        </w:rPr>
        <w:t>Supervisor</w:t>
      </w:r>
      <w:r w:rsidR="005A1C19" w:rsidRPr="00F61BD9">
        <w:rPr>
          <w:rFonts w:ascii="Arial" w:hAnsi="Arial" w:cs="Arial"/>
          <w:b/>
          <w:bCs/>
          <w:sz w:val="22"/>
          <w:szCs w:val="22"/>
        </w:rPr>
        <w:t>:</w:t>
      </w:r>
      <w:r w:rsidR="005A1C19">
        <w:rPr>
          <w:rFonts w:ascii="Arial" w:hAnsi="Arial" w:cs="Arial"/>
          <w:b/>
          <w:bCs/>
          <w:sz w:val="22"/>
          <w:szCs w:val="22"/>
        </w:rPr>
        <w:t xml:space="preserve"> </w:t>
      </w:r>
      <w:r w:rsidR="003F2992">
        <w:rPr>
          <w:rFonts w:ascii="Arial" w:hAnsi="Arial" w:cs="Arial"/>
          <w:b/>
          <w:bCs/>
          <w:sz w:val="22"/>
          <w:szCs w:val="22"/>
        </w:rPr>
        <w:t>Dr</w:t>
      </w:r>
      <w:r>
        <w:rPr>
          <w:rFonts w:ascii="Arial" w:hAnsi="Arial" w:cs="Arial"/>
          <w:b/>
          <w:bCs/>
          <w:sz w:val="22"/>
          <w:szCs w:val="22"/>
        </w:rPr>
        <w:t xml:space="preserve"> </w:t>
      </w:r>
      <w:r w:rsidR="00B56297" w:rsidRPr="00B56297">
        <w:rPr>
          <w:rFonts w:ascii="Arial" w:hAnsi="Arial" w:cs="Arial"/>
          <w:b/>
          <w:bCs/>
          <w:sz w:val="22"/>
          <w:szCs w:val="22"/>
        </w:rPr>
        <w:t>Ivan Rodriguez Hernandez</w:t>
      </w:r>
    </w:p>
    <w:p w14:paraId="14EABE4A" w14:textId="5BB285FD" w:rsidR="005A1C19" w:rsidRDefault="005A1C19" w:rsidP="00B56297">
      <w:pPr>
        <w:spacing w:after="0" w:line="360" w:lineRule="auto"/>
        <w:jc w:val="center"/>
        <w:rPr>
          <w:rFonts w:ascii="Arial" w:hAnsi="Arial" w:cs="Arial"/>
          <w:b/>
          <w:bCs/>
          <w:sz w:val="22"/>
          <w:szCs w:val="22"/>
        </w:rPr>
      </w:pPr>
    </w:p>
    <w:p w14:paraId="0C92CCFE" w14:textId="4F2D836B" w:rsidR="005A1C19" w:rsidRPr="00C872DD" w:rsidRDefault="00B56297" w:rsidP="005A1C19">
      <w:pPr>
        <w:spacing w:after="0" w:line="360" w:lineRule="auto"/>
        <w:jc w:val="center"/>
        <w:rPr>
          <w:rFonts w:ascii="Arial" w:hAnsi="Arial" w:cs="Arial"/>
          <w:b/>
          <w:bCs/>
        </w:rPr>
      </w:pPr>
      <w:r>
        <w:rPr>
          <w:rFonts w:ascii="Arial" w:hAnsi="Arial" w:cs="Arial"/>
          <w:b/>
          <w:bCs/>
        </w:rPr>
        <w:t>18</w:t>
      </w:r>
      <w:r w:rsidR="005A1C19" w:rsidRPr="00C872DD">
        <w:rPr>
          <w:rFonts w:ascii="Arial" w:hAnsi="Arial" w:cs="Arial"/>
          <w:b/>
          <w:bCs/>
        </w:rPr>
        <w:t>/0</w:t>
      </w:r>
      <w:r w:rsidR="003F2992">
        <w:rPr>
          <w:rFonts w:ascii="Arial" w:hAnsi="Arial" w:cs="Arial"/>
          <w:b/>
          <w:bCs/>
        </w:rPr>
        <w:t>2</w:t>
      </w:r>
      <w:r w:rsidR="005A1C19" w:rsidRPr="00C872DD">
        <w:rPr>
          <w:rFonts w:ascii="Arial" w:hAnsi="Arial" w:cs="Arial"/>
          <w:b/>
          <w:bCs/>
        </w:rPr>
        <w:t>/202</w:t>
      </w:r>
      <w:r w:rsidR="003F2992">
        <w:rPr>
          <w:rFonts w:ascii="Arial" w:hAnsi="Arial" w:cs="Arial"/>
          <w:b/>
          <w:bCs/>
        </w:rPr>
        <w:t>6</w:t>
      </w:r>
    </w:p>
    <w:sdt>
      <w:sdtPr>
        <w:rPr>
          <w:rFonts w:asciiTheme="minorHAnsi" w:eastAsiaTheme="minorHAnsi" w:hAnsiTheme="minorHAnsi" w:cstheme="minorBidi"/>
          <w:color w:val="auto"/>
          <w:kern w:val="2"/>
          <w:sz w:val="24"/>
          <w:szCs w:val="24"/>
          <w:lang w:val="en-GB"/>
          <w14:ligatures w14:val="standardContextual"/>
        </w:rPr>
        <w:id w:val="-2014523173"/>
        <w:docPartObj>
          <w:docPartGallery w:val="Table of Contents"/>
          <w:docPartUnique/>
        </w:docPartObj>
      </w:sdtPr>
      <w:sdtEndPr>
        <w:rPr>
          <w:b/>
          <w:bCs/>
          <w:noProof/>
        </w:rPr>
      </w:sdtEndPr>
      <w:sdtContent>
        <w:p w14:paraId="1AE39070" w14:textId="5E141857" w:rsidR="00D92602" w:rsidRDefault="00D92602">
          <w:pPr>
            <w:pStyle w:val="TOCHeading"/>
          </w:pPr>
          <w:r>
            <w:t>Table of Contents</w:t>
          </w:r>
        </w:p>
        <w:p w14:paraId="5BE9097E" w14:textId="230F28C4" w:rsidR="00D92602" w:rsidRPr="00D92602" w:rsidRDefault="00D92602" w:rsidP="00D92602">
          <w:pPr>
            <w:pStyle w:val="TOC1"/>
            <w:rPr>
              <w:noProof/>
              <w:sz w:val="22"/>
              <w:szCs w:val="22"/>
            </w:rPr>
          </w:pPr>
          <w:r w:rsidRPr="00D92602">
            <w:rPr>
              <w:sz w:val="22"/>
              <w:szCs w:val="22"/>
            </w:rPr>
            <w:fldChar w:fldCharType="begin"/>
          </w:r>
          <w:r w:rsidRPr="00D92602">
            <w:rPr>
              <w:sz w:val="22"/>
              <w:szCs w:val="22"/>
            </w:rPr>
            <w:instrText xml:space="preserve"> TOC \o "1-3" \h \z \u </w:instrText>
          </w:r>
          <w:r w:rsidRPr="00D92602">
            <w:rPr>
              <w:sz w:val="22"/>
              <w:szCs w:val="22"/>
            </w:rPr>
            <w:fldChar w:fldCharType="separate"/>
          </w:r>
          <w:hyperlink w:anchor="_Toc222003613" w:history="1">
            <w:r w:rsidRPr="00D92602">
              <w:rPr>
                <w:rStyle w:val="Hyperlink"/>
                <w:noProof/>
                <w:sz w:val="22"/>
                <w:szCs w:val="22"/>
              </w:rPr>
              <w:t>1. Introduction/Background/Research problem</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_Toc222003613 \h </w:instrText>
            </w:r>
            <w:r w:rsidRPr="00D92602">
              <w:rPr>
                <w:noProof/>
                <w:webHidden/>
                <w:sz w:val="22"/>
                <w:szCs w:val="22"/>
              </w:rPr>
            </w:r>
            <w:r w:rsidRPr="00D92602">
              <w:rPr>
                <w:noProof/>
                <w:webHidden/>
                <w:sz w:val="22"/>
                <w:szCs w:val="22"/>
              </w:rPr>
              <w:fldChar w:fldCharType="separate"/>
            </w:r>
            <w:r w:rsidR="004525A6">
              <w:rPr>
                <w:noProof/>
                <w:webHidden/>
                <w:sz w:val="22"/>
                <w:szCs w:val="22"/>
              </w:rPr>
              <w:t>3</w:t>
            </w:r>
            <w:r w:rsidRPr="00D92602">
              <w:rPr>
                <w:noProof/>
                <w:webHidden/>
                <w:sz w:val="22"/>
                <w:szCs w:val="22"/>
              </w:rPr>
              <w:fldChar w:fldCharType="end"/>
            </w:r>
          </w:hyperlink>
        </w:p>
        <w:p w14:paraId="161E1632" w14:textId="39BF13E0" w:rsidR="00D92602" w:rsidRPr="00D92602" w:rsidRDefault="00D92602" w:rsidP="00D92602">
          <w:pPr>
            <w:pStyle w:val="TOC1"/>
            <w:rPr>
              <w:noProof/>
              <w:sz w:val="22"/>
              <w:szCs w:val="22"/>
            </w:rPr>
          </w:pPr>
          <w:hyperlink w:anchor="_Toc222003614" w:history="1">
            <w:r w:rsidRPr="00D92602">
              <w:rPr>
                <w:rStyle w:val="Hyperlink"/>
                <w:noProof/>
                <w:sz w:val="22"/>
                <w:szCs w:val="22"/>
              </w:rPr>
              <w:t>2. Research Aim, Objectives, and Questions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_Toc222003614 \h </w:instrText>
            </w:r>
            <w:r w:rsidRPr="00D92602">
              <w:rPr>
                <w:noProof/>
                <w:webHidden/>
                <w:sz w:val="22"/>
                <w:szCs w:val="22"/>
              </w:rPr>
            </w:r>
            <w:r w:rsidRPr="00D92602">
              <w:rPr>
                <w:noProof/>
                <w:webHidden/>
                <w:sz w:val="22"/>
                <w:szCs w:val="22"/>
              </w:rPr>
              <w:fldChar w:fldCharType="separate"/>
            </w:r>
            <w:r w:rsidR="004525A6">
              <w:rPr>
                <w:noProof/>
                <w:webHidden/>
                <w:sz w:val="22"/>
                <w:szCs w:val="22"/>
              </w:rPr>
              <w:t>5</w:t>
            </w:r>
            <w:r w:rsidRPr="00D92602">
              <w:rPr>
                <w:noProof/>
                <w:webHidden/>
                <w:sz w:val="22"/>
                <w:szCs w:val="22"/>
              </w:rPr>
              <w:fldChar w:fldCharType="end"/>
            </w:r>
          </w:hyperlink>
        </w:p>
        <w:p w14:paraId="1B463377" w14:textId="71FD7E44" w:rsidR="00D92602" w:rsidRPr="00D92602" w:rsidRDefault="00D92602" w:rsidP="00D92602">
          <w:pPr>
            <w:pStyle w:val="TOC1"/>
            <w:rPr>
              <w:noProof/>
              <w:sz w:val="22"/>
              <w:szCs w:val="22"/>
            </w:rPr>
          </w:pPr>
          <w:hyperlink w:anchor="_Toc222003615" w:history="1">
            <w:r w:rsidRPr="00D92602">
              <w:rPr>
                <w:rStyle w:val="Hyperlink"/>
                <w:noProof/>
                <w:sz w:val="22"/>
                <w:szCs w:val="22"/>
              </w:rPr>
              <w:t>3. Preliminary Literature Review</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_Toc222003615 \h </w:instrText>
            </w:r>
            <w:r w:rsidRPr="00D92602">
              <w:rPr>
                <w:noProof/>
                <w:webHidden/>
                <w:sz w:val="22"/>
                <w:szCs w:val="22"/>
              </w:rPr>
            </w:r>
            <w:r w:rsidRPr="00D92602">
              <w:rPr>
                <w:noProof/>
                <w:webHidden/>
                <w:sz w:val="22"/>
                <w:szCs w:val="22"/>
              </w:rPr>
              <w:fldChar w:fldCharType="separate"/>
            </w:r>
            <w:r w:rsidR="004525A6">
              <w:rPr>
                <w:noProof/>
                <w:webHidden/>
                <w:sz w:val="22"/>
                <w:szCs w:val="22"/>
              </w:rPr>
              <w:t>6</w:t>
            </w:r>
            <w:r w:rsidRPr="00D92602">
              <w:rPr>
                <w:noProof/>
                <w:webHidden/>
                <w:sz w:val="22"/>
                <w:szCs w:val="22"/>
              </w:rPr>
              <w:fldChar w:fldCharType="end"/>
            </w:r>
          </w:hyperlink>
        </w:p>
        <w:p w14:paraId="6F3111A7" w14:textId="759C0C08" w:rsidR="00D92602" w:rsidRPr="00D92602" w:rsidRDefault="00D92602" w:rsidP="00D92602">
          <w:pPr>
            <w:pStyle w:val="TOC1"/>
            <w:rPr>
              <w:noProof/>
              <w:sz w:val="22"/>
              <w:szCs w:val="22"/>
            </w:rPr>
          </w:pPr>
          <w:hyperlink w:anchor="_Toc222003616" w:history="1">
            <w:r w:rsidRPr="00D92602">
              <w:rPr>
                <w:rStyle w:val="Hyperlink"/>
                <w:i/>
                <w:iCs/>
                <w:noProof/>
                <w:sz w:val="22"/>
                <w:szCs w:val="22"/>
              </w:rPr>
              <w:t>3.1. Supply</w:t>
            </w:r>
            <w:r w:rsidRPr="00D92602">
              <w:rPr>
                <w:rStyle w:val="Hyperlink"/>
                <w:rFonts w:ascii="Cambria Math" w:hAnsi="Cambria Math" w:cs="Cambria Math"/>
                <w:i/>
                <w:iCs/>
                <w:noProof/>
                <w:sz w:val="22"/>
                <w:szCs w:val="22"/>
              </w:rPr>
              <w:t>‑</w:t>
            </w:r>
            <w:r w:rsidRPr="00D92602">
              <w:rPr>
                <w:rStyle w:val="Hyperlink"/>
                <w:i/>
                <w:iCs/>
                <w:noProof/>
                <w:sz w:val="22"/>
                <w:szCs w:val="22"/>
              </w:rPr>
              <w:t>chain complexity as the structural context</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_Toc222003616 \h </w:instrText>
            </w:r>
            <w:r w:rsidRPr="00D92602">
              <w:rPr>
                <w:noProof/>
                <w:webHidden/>
                <w:sz w:val="22"/>
                <w:szCs w:val="22"/>
              </w:rPr>
            </w:r>
            <w:r w:rsidRPr="00D92602">
              <w:rPr>
                <w:noProof/>
                <w:webHidden/>
                <w:sz w:val="22"/>
                <w:szCs w:val="22"/>
              </w:rPr>
              <w:fldChar w:fldCharType="separate"/>
            </w:r>
            <w:r w:rsidR="004525A6">
              <w:rPr>
                <w:noProof/>
                <w:webHidden/>
                <w:sz w:val="22"/>
                <w:szCs w:val="22"/>
              </w:rPr>
              <w:t>6</w:t>
            </w:r>
            <w:r w:rsidRPr="00D92602">
              <w:rPr>
                <w:noProof/>
                <w:webHidden/>
                <w:sz w:val="22"/>
                <w:szCs w:val="22"/>
              </w:rPr>
              <w:fldChar w:fldCharType="end"/>
            </w:r>
          </w:hyperlink>
        </w:p>
        <w:p w14:paraId="487F2110" w14:textId="2D10CFD9" w:rsidR="00D92602" w:rsidRPr="00D92602" w:rsidRDefault="00D92602" w:rsidP="00D92602">
          <w:pPr>
            <w:pStyle w:val="TOC1"/>
            <w:rPr>
              <w:noProof/>
              <w:sz w:val="22"/>
              <w:szCs w:val="22"/>
            </w:rPr>
          </w:pPr>
          <w:hyperlink w:anchor="_Toc222003617" w:history="1">
            <w:r w:rsidRPr="00D92602">
              <w:rPr>
                <w:rStyle w:val="Hyperlink"/>
                <w:noProof/>
                <w:sz w:val="22"/>
                <w:szCs w:val="22"/>
              </w:rPr>
              <w:t>3.2. Dynamic Capability Theory (DCT) as a useful lens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_Toc222003617 \h </w:instrText>
            </w:r>
            <w:r w:rsidRPr="00D92602">
              <w:rPr>
                <w:noProof/>
                <w:webHidden/>
                <w:sz w:val="22"/>
                <w:szCs w:val="22"/>
              </w:rPr>
            </w:r>
            <w:r w:rsidRPr="00D92602">
              <w:rPr>
                <w:noProof/>
                <w:webHidden/>
                <w:sz w:val="22"/>
                <w:szCs w:val="22"/>
              </w:rPr>
              <w:fldChar w:fldCharType="separate"/>
            </w:r>
            <w:r w:rsidR="004525A6">
              <w:rPr>
                <w:noProof/>
                <w:webHidden/>
                <w:sz w:val="22"/>
                <w:szCs w:val="22"/>
              </w:rPr>
              <w:t>7</w:t>
            </w:r>
            <w:r w:rsidRPr="00D92602">
              <w:rPr>
                <w:noProof/>
                <w:webHidden/>
                <w:sz w:val="22"/>
                <w:szCs w:val="22"/>
              </w:rPr>
              <w:fldChar w:fldCharType="end"/>
            </w:r>
          </w:hyperlink>
        </w:p>
        <w:p w14:paraId="50244425" w14:textId="290BB9AD" w:rsidR="00D92602" w:rsidRPr="00D92602" w:rsidRDefault="00D92602" w:rsidP="00D92602">
          <w:pPr>
            <w:pStyle w:val="TOC1"/>
            <w:rPr>
              <w:noProof/>
              <w:sz w:val="22"/>
              <w:szCs w:val="22"/>
            </w:rPr>
          </w:pPr>
          <w:hyperlink w:anchor="_Toc222003618" w:history="1">
            <w:r w:rsidRPr="00D92602">
              <w:rPr>
                <w:rStyle w:val="Hyperlink"/>
                <w:noProof/>
                <w:sz w:val="22"/>
                <w:szCs w:val="22"/>
              </w:rPr>
              <w:t>3.3. Industry 4.0 technologies as enablers of hybrid JIT–JIC</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_Toc222003618 \h </w:instrText>
            </w:r>
            <w:r w:rsidRPr="00D92602">
              <w:rPr>
                <w:noProof/>
                <w:webHidden/>
                <w:sz w:val="22"/>
                <w:szCs w:val="22"/>
              </w:rPr>
            </w:r>
            <w:r w:rsidRPr="00D92602">
              <w:rPr>
                <w:noProof/>
                <w:webHidden/>
                <w:sz w:val="22"/>
                <w:szCs w:val="22"/>
              </w:rPr>
              <w:fldChar w:fldCharType="separate"/>
            </w:r>
            <w:r w:rsidR="004525A6">
              <w:rPr>
                <w:noProof/>
                <w:webHidden/>
                <w:sz w:val="22"/>
                <w:szCs w:val="22"/>
              </w:rPr>
              <w:t>7</w:t>
            </w:r>
            <w:r w:rsidRPr="00D92602">
              <w:rPr>
                <w:noProof/>
                <w:webHidden/>
                <w:sz w:val="22"/>
                <w:szCs w:val="22"/>
              </w:rPr>
              <w:fldChar w:fldCharType="end"/>
            </w:r>
          </w:hyperlink>
        </w:p>
        <w:p w14:paraId="1A571769" w14:textId="5CC53BE1" w:rsidR="00D92602" w:rsidRPr="00D92602" w:rsidRDefault="00D92602" w:rsidP="00D92602">
          <w:pPr>
            <w:pStyle w:val="TOC1"/>
            <w:rPr>
              <w:noProof/>
              <w:sz w:val="22"/>
              <w:szCs w:val="22"/>
            </w:rPr>
          </w:pPr>
          <w:hyperlink w:anchor="_Toc222003619" w:history="1">
            <w:r w:rsidRPr="00D92602">
              <w:rPr>
                <w:rStyle w:val="Hyperlink"/>
                <w:noProof/>
                <w:sz w:val="22"/>
                <w:szCs w:val="22"/>
              </w:rPr>
              <w:t>3.4.  IDT and SCREM can materially affect resilience outcomes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_Toc222003619 \h </w:instrText>
            </w:r>
            <w:r w:rsidRPr="00D92602">
              <w:rPr>
                <w:noProof/>
                <w:webHidden/>
                <w:sz w:val="22"/>
                <w:szCs w:val="22"/>
              </w:rPr>
            </w:r>
            <w:r w:rsidRPr="00D92602">
              <w:rPr>
                <w:noProof/>
                <w:webHidden/>
                <w:sz w:val="22"/>
                <w:szCs w:val="22"/>
              </w:rPr>
              <w:fldChar w:fldCharType="separate"/>
            </w:r>
            <w:r w:rsidR="004525A6">
              <w:rPr>
                <w:noProof/>
                <w:webHidden/>
                <w:sz w:val="22"/>
                <w:szCs w:val="22"/>
              </w:rPr>
              <w:t>7</w:t>
            </w:r>
            <w:r w:rsidRPr="00D92602">
              <w:rPr>
                <w:noProof/>
                <w:webHidden/>
                <w:sz w:val="22"/>
                <w:szCs w:val="22"/>
              </w:rPr>
              <w:fldChar w:fldCharType="end"/>
            </w:r>
          </w:hyperlink>
        </w:p>
        <w:p w14:paraId="1A29D410" w14:textId="45FFFFC3" w:rsidR="00D92602" w:rsidRPr="00D92602" w:rsidRDefault="00D92602" w:rsidP="00D92602">
          <w:pPr>
            <w:pStyle w:val="TOC1"/>
            <w:rPr>
              <w:noProof/>
              <w:sz w:val="22"/>
              <w:szCs w:val="22"/>
            </w:rPr>
          </w:pPr>
          <w:hyperlink w:anchor="_Toc222003620" w:history="1">
            <w:r w:rsidRPr="00D92602">
              <w:rPr>
                <w:rStyle w:val="Hyperlink"/>
                <w:rFonts w:ascii="Arial" w:hAnsi="Arial" w:cs="Arial"/>
                <w:noProof/>
                <w:sz w:val="22"/>
                <w:szCs w:val="22"/>
              </w:rPr>
              <w:t>3.5. Gaps and the need for comparative, firm</w:t>
            </w:r>
            <w:r w:rsidRPr="00D92602">
              <w:rPr>
                <w:rStyle w:val="Hyperlink"/>
                <w:rFonts w:ascii="Cambria Math" w:hAnsi="Cambria Math" w:cs="Cambria Math"/>
                <w:noProof/>
                <w:sz w:val="22"/>
                <w:szCs w:val="22"/>
              </w:rPr>
              <w:t>‑</w:t>
            </w:r>
            <w:r w:rsidRPr="00D92602">
              <w:rPr>
                <w:rStyle w:val="Hyperlink"/>
                <w:rFonts w:ascii="Arial" w:hAnsi="Arial" w:cs="Arial"/>
                <w:noProof/>
                <w:sz w:val="22"/>
                <w:szCs w:val="22"/>
              </w:rPr>
              <w:t>level analysis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_Toc222003620 \h </w:instrText>
            </w:r>
            <w:r w:rsidRPr="00D92602">
              <w:rPr>
                <w:noProof/>
                <w:webHidden/>
                <w:sz w:val="22"/>
                <w:szCs w:val="22"/>
              </w:rPr>
            </w:r>
            <w:r w:rsidRPr="00D92602">
              <w:rPr>
                <w:noProof/>
                <w:webHidden/>
                <w:sz w:val="22"/>
                <w:szCs w:val="22"/>
              </w:rPr>
              <w:fldChar w:fldCharType="separate"/>
            </w:r>
            <w:r w:rsidR="004525A6">
              <w:rPr>
                <w:noProof/>
                <w:webHidden/>
                <w:sz w:val="22"/>
                <w:szCs w:val="22"/>
              </w:rPr>
              <w:t>8</w:t>
            </w:r>
            <w:r w:rsidRPr="00D92602">
              <w:rPr>
                <w:noProof/>
                <w:webHidden/>
                <w:sz w:val="22"/>
                <w:szCs w:val="22"/>
              </w:rPr>
              <w:fldChar w:fldCharType="end"/>
            </w:r>
          </w:hyperlink>
        </w:p>
        <w:p w14:paraId="51B93723" w14:textId="766209DC" w:rsidR="00D92602" w:rsidRPr="00D92602" w:rsidRDefault="00D92602" w:rsidP="00D92602">
          <w:pPr>
            <w:pStyle w:val="TOC1"/>
            <w:rPr>
              <w:noProof/>
              <w:sz w:val="22"/>
              <w:szCs w:val="22"/>
            </w:rPr>
          </w:pPr>
          <w:hyperlink w:anchor="_Toc222003621" w:history="1">
            <w:r w:rsidRPr="00D92602">
              <w:rPr>
                <w:rStyle w:val="Hyperlink"/>
                <w:noProof/>
                <w:sz w:val="22"/>
                <w:szCs w:val="22"/>
              </w:rPr>
              <w:t>3.6. Geopolitical Disruption and Strategic Supply Chain Resilience: Red Sea Crisis Insights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_Toc222003621 \h </w:instrText>
            </w:r>
            <w:r w:rsidRPr="00D92602">
              <w:rPr>
                <w:noProof/>
                <w:webHidden/>
                <w:sz w:val="22"/>
                <w:szCs w:val="22"/>
              </w:rPr>
            </w:r>
            <w:r w:rsidRPr="00D92602">
              <w:rPr>
                <w:noProof/>
                <w:webHidden/>
                <w:sz w:val="22"/>
                <w:szCs w:val="22"/>
              </w:rPr>
              <w:fldChar w:fldCharType="separate"/>
            </w:r>
            <w:r w:rsidR="004525A6">
              <w:rPr>
                <w:noProof/>
                <w:webHidden/>
                <w:sz w:val="22"/>
                <w:szCs w:val="22"/>
              </w:rPr>
              <w:t>8</w:t>
            </w:r>
            <w:r w:rsidRPr="00D92602">
              <w:rPr>
                <w:noProof/>
                <w:webHidden/>
                <w:sz w:val="22"/>
                <w:szCs w:val="22"/>
              </w:rPr>
              <w:fldChar w:fldCharType="end"/>
            </w:r>
          </w:hyperlink>
        </w:p>
        <w:p w14:paraId="498524F0" w14:textId="4515689E" w:rsidR="00D92602" w:rsidRPr="00D92602" w:rsidRDefault="00D92602" w:rsidP="00D92602">
          <w:pPr>
            <w:pStyle w:val="TOC1"/>
            <w:rPr>
              <w:noProof/>
              <w:sz w:val="22"/>
              <w:szCs w:val="22"/>
            </w:rPr>
          </w:pPr>
          <w:hyperlink w:anchor="_Toc222003622" w:history="1">
            <w:r w:rsidRPr="00D92602">
              <w:rPr>
                <w:rStyle w:val="Hyperlink"/>
                <w:noProof/>
                <w:sz w:val="22"/>
                <w:szCs w:val="22"/>
              </w:rPr>
              <w:t>4. Methodology (including ethics)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_Toc222003622 \h </w:instrText>
            </w:r>
            <w:r w:rsidRPr="00D92602">
              <w:rPr>
                <w:noProof/>
                <w:webHidden/>
                <w:sz w:val="22"/>
                <w:szCs w:val="22"/>
              </w:rPr>
            </w:r>
            <w:r w:rsidRPr="00D92602">
              <w:rPr>
                <w:noProof/>
                <w:webHidden/>
                <w:sz w:val="22"/>
                <w:szCs w:val="22"/>
              </w:rPr>
              <w:fldChar w:fldCharType="separate"/>
            </w:r>
            <w:r w:rsidR="004525A6">
              <w:rPr>
                <w:noProof/>
                <w:webHidden/>
                <w:sz w:val="22"/>
                <w:szCs w:val="22"/>
              </w:rPr>
              <w:t>9</w:t>
            </w:r>
            <w:r w:rsidRPr="00D92602">
              <w:rPr>
                <w:noProof/>
                <w:webHidden/>
                <w:sz w:val="22"/>
                <w:szCs w:val="22"/>
              </w:rPr>
              <w:fldChar w:fldCharType="end"/>
            </w:r>
          </w:hyperlink>
        </w:p>
        <w:p w14:paraId="13E6E242" w14:textId="09D46BCC" w:rsidR="00D92602" w:rsidRPr="00D92602" w:rsidRDefault="00D92602" w:rsidP="00D92602">
          <w:pPr>
            <w:pStyle w:val="TOC1"/>
            <w:rPr>
              <w:noProof/>
              <w:sz w:val="22"/>
              <w:szCs w:val="22"/>
            </w:rPr>
          </w:pPr>
          <w:hyperlink w:anchor="_Toc222003623" w:history="1">
            <w:r w:rsidRPr="00D92602">
              <w:rPr>
                <w:rStyle w:val="Hyperlink"/>
                <w:noProof/>
                <w:sz w:val="22"/>
                <w:szCs w:val="22"/>
              </w:rPr>
              <w:t>5. Risks</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_Toc222003623 \h </w:instrText>
            </w:r>
            <w:r w:rsidRPr="00D92602">
              <w:rPr>
                <w:noProof/>
                <w:webHidden/>
                <w:sz w:val="22"/>
                <w:szCs w:val="22"/>
              </w:rPr>
            </w:r>
            <w:r w:rsidRPr="00D92602">
              <w:rPr>
                <w:noProof/>
                <w:webHidden/>
                <w:sz w:val="22"/>
                <w:szCs w:val="22"/>
              </w:rPr>
              <w:fldChar w:fldCharType="separate"/>
            </w:r>
            <w:r w:rsidR="004525A6">
              <w:rPr>
                <w:noProof/>
                <w:webHidden/>
                <w:sz w:val="22"/>
                <w:szCs w:val="22"/>
              </w:rPr>
              <w:t>10</w:t>
            </w:r>
            <w:r w:rsidRPr="00D92602">
              <w:rPr>
                <w:noProof/>
                <w:webHidden/>
                <w:sz w:val="22"/>
                <w:szCs w:val="22"/>
              </w:rPr>
              <w:fldChar w:fldCharType="end"/>
            </w:r>
          </w:hyperlink>
        </w:p>
        <w:p w14:paraId="1B82B401" w14:textId="0AF764EE" w:rsidR="00D92602" w:rsidRPr="00D92602" w:rsidRDefault="00D92602" w:rsidP="00D92602">
          <w:pPr>
            <w:pStyle w:val="TOC1"/>
            <w:rPr>
              <w:noProof/>
              <w:sz w:val="22"/>
              <w:szCs w:val="22"/>
            </w:rPr>
          </w:pPr>
          <w:hyperlink w:anchor="_Toc222003624" w:history="1">
            <w:r w:rsidRPr="00D92602">
              <w:rPr>
                <w:rStyle w:val="Hyperlink"/>
                <w:noProof/>
                <w:sz w:val="22"/>
                <w:szCs w:val="22"/>
              </w:rPr>
              <w:t>6. Gantt Chart</w:t>
            </w:r>
            <w:r w:rsidRPr="00D92602">
              <w:rPr>
                <w:noProof/>
                <w:webHidden/>
                <w:sz w:val="22"/>
                <w:szCs w:val="22"/>
              </w:rPr>
              <w:tab/>
            </w:r>
            <w:r w:rsidRPr="00D92602">
              <w:rPr>
                <w:noProof/>
                <w:webHidden/>
                <w:sz w:val="22"/>
                <w:szCs w:val="22"/>
              </w:rPr>
              <w:fldChar w:fldCharType="begin"/>
            </w:r>
            <w:r w:rsidRPr="00D92602">
              <w:rPr>
                <w:noProof/>
                <w:webHidden/>
                <w:sz w:val="22"/>
                <w:szCs w:val="22"/>
              </w:rPr>
              <w:instrText xml:space="preserve"> PAGEREF _Toc222003624 \h </w:instrText>
            </w:r>
            <w:r w:rsidRPr="00D92602">
              <w:rPr>
                <w:noProof/>
                <w:webHidden/>
                <w:sz w:val="22"/>
                <w:szCs w:val="22"/>
              </w:rPr>
            </w:r>
            <w:r w:rsidRPr="00D92602">
              <w:rPr>
                <w:noProof/>
                <w:webHidden/>
                <w:sz w:val="22"/>
                <w:szCs w:val="22"/>
              </w:rPr>
              <w:fldChar w:fldCharType="separate"/>
            </w:r>
            <w:r w:rsidR="004525A6">
              <w:rPr>
                <w:noProof/>
                <w:webHidden/>
                <w:sz w:val="22"/>
                <w:szCs w:val="22"/>
              </w:rPr>
              <w:t>11</w:t>
            </w:r>
            <w:r w:rsidRPr="00D92602">
              <w:rPr>
                <w:noProof/>
                <w:webHidden/>
                <w:sz w:val="22"/>
                <w:szCs w:val="22"/>
              </w:rPr>
              <w:fldChar w:fldCharType="end"/>
            </w:r>
          </w:hyperlink>
        </w:p>
        <w:p w14:paraId="2728CA11" w14:textId="524FE514" w:rsidR="00D92602" w:rsidRDefault="00D92602">
          <w:r w:rsidRPr="00D92602">
            <w:rPr>
              <w:noProof/>
              <w:sz w:val="22"/>
              <w:szCs w:val="22"/>
            </w:rPr>
            <w:fldChar w:fldCharType="end"/>
          </w:r>
        </w:p>
      </w:sdtContent>
    </w:sdt>
    <w:p w14:paraId="006415E9" w14:textId="77777777" w:rsidR="00D67AC7" w:rsidRDefault="00D67AC7"/>
    <w:p w14:paraId="6C236032" w14:textId="77777777" w:rsidR="00D67AC7" w:rsidRDefault="00D67AC7"/>
    <w:p w14:paraId="21D236DB" w14:textId="77777777" w:rsidR="00D67AC7" w:rsidRDefault="00D67AC7"/>
    <w:p w14:paraId="46374254" w14:textId="77777777" w:rsidR="00D67AC7" w:rsidRDefault="00D67AC7"/>
    <w:p w14:paraId="66DE022A" w14:textId="77777777" w:rsidR="00D67AC7" w:rsidRDefault="00D67AC7"/>
    <w:p w14:paraId="7785379D" w14:textId="77777777" w:rsidR="00D67AC7" w:rsidRDefault="00D67AC7"/>
    <w:p w14:paraId="1DD1AD53" w14:textId="77777777" w:rsidR="00D67AC7" w:rsidRDefault="00D67AC7"/>
    <w:p w14:paraId="77F21CBC" w14:textId="77777777" w:rsidR="00D67AC7" w:rsidRDefault="00D67AC7"/>
    <w:p w14:paraId="644464F9" w14:textId="77777777" w:rsidR="00D67AC7" w:rsidRDefault="00D67AC7"/>
    <w:p w14:paraId="45A8F207" w14:textId="77777777" w:rsidR="00D67AC7" w:rsidRDefault="00D67AC7"/>
    <w:p w14:paraId="780103C4" w14:textId="77777777" w:rsidR="00D67AC7" w:rsidRDefault="00D67AC7"/>
    <w:p w14:paraId="74E2F076" w14:textId="77777777" w:rsidR="00D67AC7" w:rsidRDefault="00D67AC7"/>
    <w:p w14:paraId="6399325A" w14:textId="77777777" w:rsidR="00D67AC7" w:rsidRDefault="00D67AC7"/>
    <w:p w14:paraId="7A6ED97F" w14:textId="77777777" w:rsidR="00D67AC7" w:rsidRDefault="00D67AC7"/>
    <w:p w14:paraId="1208285D" w14:textId="77777777" w:rsidR="00D67AC7" w:rsidRDefault="00D67AC7"/>
    <w:p w14:paraId="2150E120" w14:textId="77777777" w:rsidR="00D67AC7" w:rsidRDefault="00D67AC7"/>
    <w:p w14:paraId="08A4813F" w14:textId="35BD4538" w:rsidR="00EE31CA" w:rsidRPr="006A4B37" w:rsidRDefault="00EE31CA" w:rsidP="006A4B37">
      <w:pPr>
        <w:pStyle w:val="Heading1"/>
        <w:rPr>
          <w:b/>
          <w:bCs/>
          <w:sz w:val="22"/>
          <w:szCs w:val="22"/>
        </w:rPr>
      </w:pPr>
      <w:bookmarkStart w:id="0" w:name="_Toc222003613"/>
      <w:r w:rsidRPr="006A4B37">
        <w:rPr>
          <w:b/>
          <w:bCs/>
          <w:sz w:val="22"/>
          <w:szCs w:val="22"/>
        </w:rPr>
        <w:lastRenderedPageBreak/>
        <w:t>1. Introduction/Background/Research problem</w:t>
      </w:r>
      <w:bookmarkEnd w:id="0"/>
      <w:r w:rsidRPr="006A4B37">
        <w:rPr>
          <w:b/>
          <w:bCs/>
          <w:sz w:val="22"/>
          <w:szCs w:val="22"/>
        </w:rPr>
        <w:t> </w:t>
      </w:r>
    </w:p>
    <w:p w14:paraId="2CC9C59C" w14:textId="06D5D389" w:rsidR="00702E79" w:rsidRDefault="00A63152" w:rsidP="00702E79">
      <w:pPr>
        <w:spacing w:after="0" w:line="360" w:lineRule="auto"/>
        <w:ind w:firstLine="567"/>
        <w:jc w:val="both"/>
        <w:rPr>
          <w:rFonts w:ascii="Arial" w:eastAsia="Times New Roman" w:hAnsi="Arial" w:cs="Arial"/>
          <w:kern w:val="0"/>
          <w:sz w:val="22"/>
          <w:szCs w:val="22"/>
          <w:lang w:eastAsia="en-GB"/>
          <w14:ligatures w14:val="none"/>
        </w:rPr>
      </w:pPr>
      <w:r w:rsidRPr="00A63152">
        <w:rPr>
          <w:rFonts w:ascii="Arial" w:eastAsia="Times New Roman" w:hAnsi="Arial" w:cs="Arial"/>
          <w:kern w:val="0"/>
          <w:sz w:val="22"/>
          <w:szCs w:val="22"/>
          <w:lang w:eastAsia="en-GB"/>
          <w14:ligatures w14:val="none"/>
        </w:rPr>
        <w:t xml:space="preserve">The automobile industry is a vital sector for the UK economy, employing hundreds of thousands of people in high-tech manufacturing, engineering, and supply chain roles, and producing over £14 billion in gross value added (SMMT, 2025). According to the British Chambers of Commerce (2025), a nation's competitiveness is determined by its product innovation, supply chain stability and responsiveness, and the "strategic infrastructure" of industrial resilience. </w:t>
      </w:r>
      <w:r>
        <w:rPr>
          <w:rFonts w:ascii="Arial" w:eastAsia="Times New Roman" w:hAnsi="Arial" w:cs="Arial"/>
          <w:kern w:val="0"/>
          <w:sz w:val="22"/>
          <w:szCs w:val="22"/>
          <w:lang w:eastAsia="en-GB"/>
          <w14:ligatures w14:val="none"/>
        </w:rPr>
        <w:t xml:space="preserve">Major events, such as </w:t>
      </w:r>
      <w:r w:rsidRPr="00A63152">
        <w:rPr>
          <w:rFonts w:ascii="Arial" w:eastAsia="Times New Roman" w:hAnsi="Arial" w:cs="Arial"/>
          <w:kern w:val="0"/>
          <w:sz w:val="22"/>
          <w:szCs w:val="22"/>
          <w:lang w:eastAsia="en-GB"/>
          <w14:ligatures w14:val="none"/>
        </w:rPr>
        <w:t>Brexit, the COVID-19 pandemic, semiconductor shortages, and the Red Sea crisis of 2024–2025, rocked the industry during 2019–202</w:t>
      </w:r>
      <w:r w:rsidR="004525A6">
        <w:rPr>
          <w:rFonts w:ascii="Arial" w:eastAsia="Times New Roman" w:hAnsi="Arial" w:cs="Arial"/>
          <w:kern w:val="0"/>
          <w:sz w:val="22"/>
          <w:szCs w:val="22"/>
          <w:lang w:eastAsia="en-GB"/>
          <w14:ligatures w14:val="none"/>
        </w:rPr>
        <w:t>4</w:t>
      </w:r>
      <w:r w:rsidRPr="00A63152">
        <w:rPr>
          <w:rFonts w:ascii="Arial" w:eastAsia="Times New Roman" w:hAnsi="Arial" w:cs="Arial"/>
          <w:kern w:val="0"/>
          <w:sz w:val="22"/>
          <w:szCs w:val="22"/>
          <w:lang w:eastAsia="en-GB"/>
          <w14:ligatures w14:val="none"/>
        </w:rPr>
        <w:t>.</w:t>
      </w:r>
    </w:p>
    <w:p w14:paraId="6FEFF742" w14:textId="326943E3" w:rsidR="00702E79" w:rsidRPr="00702E79" w:rsidRDefault="00A63152" w:rsidP="003C07D6">
      <w:pPr>
        <w:spacing w:after="0" w:line="360" w:lineRule="auto"/>
        <w:ind w:firstLine="567"/>
        <w:jc w:val="both"/>
        <w:rPr>
          <w:rFonts w:ascii="Arial" w:eastAsia="Times New Roman" w:hAnsi="Arial" w:cs="Arial"/>
          <w:kern w:val="0"/>
          <w:sz w:val="22"/>
          <w:szCs w:val="22"/>
          <w:lang w:eastAsia="en-GB"/>
          <w14:ligatures w14:val="none"/>
        </w:rPr>
      </w:pPr>
      <w:r w:rsidRPr="00A63152">
        <w:rPr>
          <w:rFonts w:ascii="Arial" w:eastAsia="Times New Roman" w:hAnsi="Arial" w:cs="Arial"/>
          <w:kern w:val="0"/>
          <w:sz w:val="22"/>
          <w:szCs w:val="22"/>
          <w:lang w:eastAsia="en-GB"/>
          <w14:ligatures w14:val="none"/>
        </w:rPr>
        <w:t xml:space="preserve"> </w:t>
      </w:r>
      <w:r w:rsidR="00702E79" w:rsidRPr="00702E79">
        <w:rPr>
          <w:rFonts w:ascii="Arial" w:eastAsia="Times New Roman" w:hAnsi="Arial" w:cs="Arial"/>
          <w:kern w:val="0"/>
          <w:sz w:val="22"/>
          <w:szCs w:val="22"/>
          <w:lang w:eastAsia="en-GB"/>
          <w14:ligatures w14:val="none"/>
        </w:rPr>
        <w:t xml:space="preserve">A good example of how resilience has surpassed efficiency in manufacturing is the move from JIT </w:t>
      </w:r>
      <w:r w:rsidR="00522A48">
        <w:rPr>
          <w:rFonts w:ascii="Arial" w:eastAsia="Times New Roman" w:hAnsi="Arial" w:cs="Arial"/>
          <w:kern w:val="0"/>
          <w:sz w:val="22"/>
          <w:szCs w:val="22"/>
          <w:lang w:eastAsia="en-GB"/>
          <w14:ligatures w14:val="none"/>
        </w:rPr>
        <w:t>(</w:t>
      </w:r>
      <w:r w:rsidR="00854C25" w:rsidRPr="00854C25">
        <w:rPr>
          <w:rFonts w:ascii="Arial" w:eastAsia="Times New Roman" w:hAnsi="Arial" w:cs="Arial"/>
          <w:kern w:val="0"/>
          <w:sz w:val="22"/>
          <w:szCs w:val="22"/>
          <w:lang w:eastAsia="en-GB"/>
          <w14:ligatures w14:val="none"/>
        </w:rPr>
        <w:t>Just-in-Time</w:t>
      </w:r>
      <w:r w:rsidR="00522A48">
        <w:rPr>
          <w:rFonts w:ascii="Arial" w:eastAsia="Times New Roman" w:hAnsi="Arial" w:cs="Arial"/>
          <w:kern w:val="0"/>
          <w:sz w:val="22"/>
          <w:szCs w:val="22"/>
          <w:lang w:eastAsia="en-GB"/>
          <w14:ligatures w14:val="none"/>
        </w:rPr>
        <w:t xml:space="preserve">) </w:t>
      </w:r>
      <w:r w:rsidR="00702E79" w:rsidRPr="00702E79">
        <w:rPr>
          <w:rFonts w:ascii="Arial" w:eastAsia="Times New Roman" w:hAnsi="Arial" w:cs="Arial"/>
          <w:kern w:val="0"/>
          <w:sz w:val="22"/>
          <w:szCs w:val="22"/>
          <w:lang w:eastAsia="en-GB"/>
          <w14:ligatures w14:val="none"/>
        </w:rPr>
        <w:t>to JIC</w:t>
      </w:r>
      <w:r w:rsidR="00DE5615">
        <w:rPr>
          <w:rFonts w:ascii="Arial" w:eastAsia="Times New Roman" w:hAnsi="Arial" w:cs="Arial"/>
          <w:kern w:val="0"/>
          <w:sz w:val="22"/>
          <w:szCs w:val="22"/>
          <w:lang w:eastAsia="en-GB"/>
          <w14:ligatures w14:val="none"/>
        </w:rPr>
        <w:t xml:space="preserve"> (</w:t>
      </w:r>
      <w:r w:rsidR="00522A48" w:rsidRPr="00522A48">
        <w:rPr>
          <w:rFonts w:ascii="Arial" w:eastAsia="Times New Roman" w:hAnsi="Arial" w:cs="Arial"/>
          <w:kern w:val="0"/>
          <w:sz w:val="22"/>
          <w:szCs w:val="22"/>
          <w:lang w:eastAsia="en-GB"/>
          <w14:ligatures w14:val="none"/>
        </w:rPr>
        <w:t>Just-in-Case</w:t>
      </w:r>
      <w:r w:rsidR="00DE5615">
        <w:rPr>
          <w:rFonts w:ascii="Arial" w:eastAsia="Times New Roman" w:hAnsi="Arial" w:cs="Arial"/>
          <w:kern w:val="0"/>
          <w:sz w:val="22"/>
          <w:szCs w:val="22"/>
          <w:lang w:eastAsia="en-GB"/>
          <w14:ligatures w14:val="none"/>
        </w:rPr>
        <w:t>)</w:t>
      </w:r>
      <w:r w:rsidR="00702E79" w:rsidRPr="00702E79">
        <w:rPr>
          <w:rFonts w:ascii="Arial" w:eastAsia="Times New Roman" w:hAnsi="Arial" w:cs="Arial"/>
          <w:kern w:val="0"/>
          <w:sz w:val="22"/>
          <w:szCs w:val="22"/>
          <w:lang w:eastAsia="en-GB"/>
          <w14:ligatures w14:val="none"/>
        </w:rPr>
        <w:t xml:space="preserve"> inventory systems. The use of JIC buffers provides protection but </w:t>
      </w:r>
      <w:r w:rsidR="00DE5615">
        <w:rPr>
          <w:rFonts w:ascii="Arial" w:eastAsia="Times New Roman" w:hAnsi="Arial" w:cs="Arial"/>
          <w:kern w:val="0"/>
          <w:sz w:val="22"/>
          <w:szCs w:val="22"/>
          <w:lang w:eastAsia="en-GB"/>
          <w14:ligatures w14:val="none"/>
        </w:rPr>
        <w:t xml:space="preserve">carries the risk of excessive expenditures, whereas enterprises that </w:t>
      </w:r>
      <w:r w:rsidR="003C649E" w:rsidRPr="003C649E">
        <w:rPr>
          <w:rFonts w:ascii="Arial" w:eastAsia="Times New Roman" w:hAnsi="Arial" w:cs="Arial"/>
          <w:kern w:val="0"/>
          <w:sz w:val="22"/>
          <w:szCs w:val="22"/>
          <w:lang w:eastAsia="en-GB"/>
          <w14:ligatures w14:val="none"/>
        </w:rPr>
        <w:t>depend only</w:t>
      </w:r>
      <w:r w:rsidR="003C649E">
        <w:rPr>
          <w:rFonts w:ascii="Arial" w:eastAsia="Times New Roman" w:hAnsi="Arial" w:cs="Arial"/>
          <w:kern w:val="0"/>
          <w:sz w:val="22"/>
          <w:szCs w:val="22"/>
          <w:lang w:eastAsia="en-GB"/>
          <w14:ligatures w14:val="none"/>
        </w:rPr>
        <w:t xml:space="preserve"> </w:t>
      </w:r>
      <w:r w:rsidR="00702E79" w:rsidRPr="00702E79">
        <w:rPr>
          <w:rFonts w:ascii="Arial" w:eastAsia="Times New Roman" w:hAnsi="Arial" w:cs="Arial"/>
          <w:kern w:val="0"/>
          <w:sz w:val="22"/>
          <w:szCs w:val="22"/>
          <w:lang w:eastAsia="en-GB"/>
          <w14:ligatures w14:val="none"/>
        </w:rPr>
        <w:t xml:space="preserve">on JIT might have production halted by even small disturbances. </w:t>
      </w:r>
      <w:r w:rsidR="003C07D6" w:rsidRPr="003C07D6">
        <w:rPr>
          <w:rFonts w:ascii="Arial" w:eastAsia="Times New Roman" w:hAnsi="Arial" w:cs="Arial"/>
          <w:kern w:val="0"/>
          <w:sz w:val="22"/>
          <w:szCs w:val="22"/>
          <w:lang w:eastAsia="en-GB"/>
          <w14:ligatures w14:val="none"/>
        </w:rPr>
        <w:t>Still</w:t>
      </w:r>
      <w:r w:rsidR="00702E79" w:rsidRPr="00702E79">
        <w:rPr>
          <w:rFonts w:ascii="Arial" w:eastAsia="Times New Roman" w:hAnsi="Arial" w:cs="Arial"/>
          <w:kern w:val="0"/>
          <w:sz w:val="22"/>
          <w:szCs w:val="22"/>
          <w:lang w:eastAsia="en-GB"/>
          <w14:ligatures w14:val="none"/>
        </w:rPr>
        <w:t>, hybrid tactics are now within reach</w:t>
      </w:r>
      <w:r w:rsidR="003C07D6">
        <w:rPr>
          <w:rFonts w:ascii="Arial" w:eastAsia="Times New Roman" w:hAnsi="Arial" w:cs="Arial"/>
          <w:kern w:val="0"/>
          <w:sz w:val="22"/>
          <w:szCs w:val="22"/>
          <w:lang w:eastAsia="en-GB"/>
          <w14:ligatures w14:val="none"/>
        </w:rPr>
        <w:t xml:space="preserve"> thanks to digital twins, which serve as virtual models of supply chains and allow businesses to simulate and adapt</w:t>
      </w:r>
      <w:r w:rsidR="00702E79" w:rsidRPr="00702E79">
        <w:rPr>
          <w:rFonts w:ascii="Arial" w:eastAsia="Times New Roman" w:hAnsi="Arial" w:cs="Arial"/>
          <w:kern w:val="0"/>
          <w:sz w:val="22"/>
          <w:szCs w:val="22"/>
          <w:lang w:eastAsia="en-GB"/>
          <w14:ligatures w14:val="none"/>
        </w:rPr>
        <w:t xml:space="preserve"> to shocks. The Internet of Things (IoT) and analytics are part of Industry 4.0, which increases openness and responsiveness; AI </w:t>
      </w:r>
      <w:r w:rsidR="003C07D6">
        <w:rPr>
          <w:rFonts w:ascii="Arial" w:eastAsia="Times New Roman" w:hAnsi="Arial" w:cs="Arial"/>
          <w:kern w:val="0"/>
          <w:sz w:val="22"/>
          <w:szCs w:val="22"/>
          <w:lang w:eastAsia="en-GB"/>
          <w14:ligatures w14:val="none"/>
        </w:rPr>
        <w:t>focused on humans is part of Industry 5.0, which enables better judgment</w:t>
      </w:r>
      <w:r w:rsidR="00702E79" w:rsidRPr="00702E79">
        <w:rPr>
          <w:rFonts w:ascii="Arial" w:eastAsia="Times New Roman" w:hAnsi="Arial" w:cs="Arial"/>
          <w:kern w:val="0"/>
          <w:sz w:val="22"/>
          <w:szCs w:val="22"/>
          <w:lang w:eastAsia="en-GB"/>
          <w14:ligatures w14:val="none"/>
        </w:rPr>
        <w:t xml:space="preserve">. </w:t>
      </w:r>
      <w:r w:rsidR="003C07D6">
        <w:rPr>
          <w:rFonts w:ascii="Arial" w:eastAsia="Times New Roman" w:hAnsi="Arial" w:cs="Arial"/>
          <w:kern w:val="0"/>
          <w:sz w:val="22"/>
          <w:szCs w:val="22"/>
          <w:lang w:eastAsia="en-GB"/>
          <w14:ligatures w14:val="none"/>
        </w:rPr>
        <w:t>Manufacturers' ability to strike a balance between efficiency and resilience in difficult times depends heavily on integrating these digital tools</w:t>
      </w:r>
      <w:r w:rsidR="00702E79" w:rsidRPr="00702E79">
        <w:rPr>
          <w:rFonts w:ascii="Arial" w:eastAsia="Times New Roman" w:hAnsi="Arial" w:cs="Arial"/>
          <w:kern w:val="0"/>
          <w:sz w:val="22"/>
          <w:szCs w:val="22"/>
          <w:lang w:eastAsia="en-GB"/>
          <w14:ligatures w14:val="none"/>
        </w:rPr>
        <w:t xml:space="preserve"> (Spieske &amp; Birkel, 2021).</w:t>
      </w:r>
    </w:p>
    <w:p w14:paraId="7D13D3E0" w14:textId="4942E706" w:rsidR="00A63152" w:rsidRDefault="00A63152" w:rsidP="00A63152">
      <w:pPr>
        <w:spacing w:after="0" w:line="360" w:lineRule="auto"/>
        <w:ind w:firstLine="567"/>
        <w:jc w:val="both"/>
        <w:rPr>
          <w:rFonts w:ascii="Arial" w:eastAsia="Times New Roman" w:hAnsi="Arial" w:cs="Arial"/>
          <w:kern w:val="0"/>
          <w:sz w:val="22"/>
          <w:szCs w:val="22"/>
          <w:lang w:eastAsia="en-GB"/>
          <w14:ligatures w14:val="none"/>
        </w:rPr>
      </w:pPr>
      <w:r w:rsidRPr="00A63152">
        <w:rPr>
          <w:rFonts w:ascii="Arial" w:eastAsia="Times New Roman" w:hAnsi="Arial" w:cs="Arial"/>
          <w:kern w:val="0"/>
          <w:sz w:val="22"/>
          <w:szCs w:val="22"/>
          <w:lang w:eastAsia="en-GB"/>
          <w14:ligatures w14:val="none"/>
        </w:rPr>
        <w:t xml:space="preserve">The Red Sea crisis was the most disruptive event of this time. Shipping companies redirected goods away from the Suez Canal in response to attacks on commercial vessels in late 2023 and 2024, which increased freight costs and lengthened the transit time between Asia and Europe by 10-14 days (IRE Journals, 2025). </w:t>
      </w:r>
      <w:r>
        <w:rPr>
          <w:rFonts w:ascii="Arial" w:eastAsia="Times New Roman" w:hAnsi="Arial" w:cs="Arial"/>
          <w:kern w:val="0"/>
          <w:sz w:val="22"/>
          <w:szCs w:val="22"/>
          <w:lang w:eastAsia="en-GB"/>
          <w14:ligatures w14:val="none"/>
        </w:rPr>
        <w:t xml:space="preserve">The crisis hit JIT operations hard because UK automakers, including </w:t>
      </w:r>
      <w:r w:rsidR="002A25B2" w:rsidRPr="002A25B2">
        <w:rPr>
          <w:rFonts w:ascii="Arial" w:eastAsia="Times New Roman" w:hAnsi="Arial" w:cs="Arial"/>
          <w:kern w:val="0"/>
          <w:sz w:val="22"/>
          <w:szCs w:val="22"/>
          <w:lang w:eastAsia="en-GB"/>
          <w14:ligatures w14:val="none"/>
        </w:rPr>
        <w:t>Bentley Motors Limited, ASTON MARTIN LAGONDA, and McLaren Automotive</w:t>
      </w:r>
      <w:r>
        <w:rPr>
          <w:rFonts w:ascii="Arial" w:eastAsia="Times New Roman" w:hAnsi="Arial" w:cs="Arial"/>
          <w:kern w:val="0"/>
          <w:sz w:val="22"/>
          <w:szCs w:val="22"/>
          <w:lang w:eastAsia="en-GB"/>
          <w14:ligatures w14:val="none"/>
        </w:rPr>
        <w:t xml:space="preserve">, rely on coordinated inbound component </w:t>
      </w:r>
      <w:r w:rsidRPr="00A63152">
        <w:rPr>
          <w:rFonts w:ascii="Arial" w:eastAsia="Times New Roman" w:hAnsi="Arial" w:cs="Arial"/>
          <w:kern w:val="0"/>
          <w:sz w:val="22"/>
          <w:szCs w:val="22"/>
          <w:lang w:eastAsia="en-GB"/>
          <w14:ligatures w14:val="none"/>
        </w:rPr>
        <w:t xml:space="preserve">flows. The potential for short-term marine </w:t>
      </w:r>
      <w:r>
        <w:rPr>
          <w:rFonts w:ascii="Arial" w:eastAsia="Times New Roman" w:hAnsi="Arial" w:cs="Arial"/>
          <w:kern w:val="0"/>
          <w:sz w:val="22"/>
          <w:szCs w:val="22"/>
          <w:lang w:eastAsia="en-GB"/>
          <w14:ligatures w14:val="none"/>
        </w:rPr>
        <w:t>disruptions to have significant operational and financial impacts was demonstrated by delays that challenged</w:t>
      </w:r>
      <w:r w:rsidRPr="00A63152">
        <w:rPr>
          <w:rFonts w:ascii="Arial" w:eastAsia="Times New Roman" w:hAnsi="Arial" w:cs="Arial"/>
          <w:kern w:val="0"/>
          <w:sz w:val="22"/>
          <w:szCs w:val="22"/>
          <w:lang w:eastAsia="en-GB"/>
          <w14:ligatures w14:val="none"/>
        </w:rPr>
        <w:t xml:space="preserve"> lean manufacturing methods. In the face of extreme uncertainty, the crisis serves as a natural experiment demonstrating the limitations of JIT. </w:t>
      </w:r>
    </w:p>
    <w:p w14:paraId="384C613B" w14:textId="7ECC97C8" w:rsidR="00A63152" w:rsidRDefault="008A2D2C" w:rsidP="00A63152">
      <w:pPr>
        <w:spacing w:after="0" w:line="360" w:lineRule="auto"/>
        <w:ind w:firstLine="567"/>
        <w:jc w:val="both"/>
        <w:rPr>
          <w:rFonts w:ascii="Arial" w:eastAsia="Times New Roman" w:hAnsi="Arial" w:cs="Arial"/>
          <w:kern w:val="0"/>
          <w:sz w:val="22"/>
          <w:szCs w:val="22"/>
          <w:lang w:eastAsia="en-GB"/>
          <w14:ligatures w14:val="none"/>
        </w:rPr>
      </w:pPr>
      <w:r w:rsidRPr="00A63152">
        <w:rPr>
          <w:rFonts w:ascii="Arial" w:eastAsia="Times New Roman" w:hAnsi="Arial" w:cs="Arial"/>
          <w:kern w:val="0"/>
          <w:sz w:val="22"/>
          <w:szCs w:val="22"/>
          <w:lang w:eastAsia="en-GB"/>
          <w14:ligatures w14:val="none"/>
        </w:rPr>
        <w:t>Considering</w:t>
      </w:r>
      <w:r w:rsidR="00A63152" w:rsidRPr="00A63152">
        <w:rPr>
          <w:rFonts w:ascii="Arial" w:eastAsia="Times New Roman" w:hAnsi="Arial" w:cs="Arial"/>
          <w:kern w:val="0"/>
          <w:sz w:val="22"/>
          <w:szCs w:val="22"/>
          <w:lang w:eastAsia="en-GB"/>
          <w14:ligatures w14:val="none"/>
        </w:rPr>
        <w:t xml:space="preserve"> recent disturbances, the industry seems to be shifting towards JIC inventory systems. Despite JIT's praise for cutting waste and boosting efficiency, recent studies show that modern supply chains' competitive advantage is in resilience, not efficiency (Marsh McLennan, 2025). Extremely lean systems can </w:t>
      </w:r>
      <w:r w:rsidR="00A63152">
        <w:rPr>
          <w:rFonts w:ascii="Arial" w:eastAsia="Times New Roman" w:hAnsi="Arial" w:cs="Arial"/>
          <w:kern w:val="0"/>
          <w:sz w:val="22"/>
          <w:szCs w:val="22"/>
          <w:lang w:eastAsia="en-GB"/>
          <w14:ligatures w14:val="none"/>
        </w:rPr>
        <w:t>increase risk, as shown by the "bullwhip effect," which is exacerbated</w:t>
      </w:r>
      <w:r w:rsidR="00A63152" w:rsidRPr="00A63152">
        <w:rPr>
          <w:rFonts w:ascii="Arial" w:eastAsia="Times New Roman" w:hAnsi="Arial" w:cs="Arial"/>
          <w:kern w:val="0"/>
          <w:sz w:val="22"/>
          <w:szCs w:val="22"/>
          <w:lang w:eastAsia="en-GB"/>
          <w14:ligatures w14:val="none"/>
        </w:rPr>
        <w:t xml:space="preserve"> by global shocks. According to recent research (ResearchGate, 2025), hybrid JIT-JIC models have the potential to offer a better long-term solution for cost control and operational continuity. Aston University Publications (2024) reports that</w:t>
      </w:r>
      <w:r w:rsidR="00A63152">
        <w:rPr>
          <w:rFonts w:ascii="Arial" w:eastAsia="Times New Roman" w:hAnsi="Arial" w:cs="Arial"/>
          <w:kern w:val="0"/>
          <w:sz w:val="22"/>
          <w:szCs w:val="22"/>
          <w:lang w:eastAsia="en-GB"/>
          <w14:ligatures w14:val="none"/>
        </w:rPr>
        <w:t xml:space="preserve">, to deal with uncertainty, UK car companies are utilising "buffering" strategies such as </w:t>
      </w:r>
      <w:r w:rsidR="00A63152" w:rsidRPr="00A63152">
        <w:rPr>
          <w:rFonts w:ascii="Arial" w:eastAsia="Times New Roman" w:hAnsi="Arial" w:cs="Arial"/>
          <w:kern w:val="0"/>
          <w:sz w:val="22"/>
          <w:szCs w:val="22"/>
          <w:lang w:eastAsia="en-GB"/>
          <w14:ligatures w14:val="none"/>
        </w:rPr>
        <w:t xml:space="preserve">safety stock, multi-sourcing, and supplier visibility. Thus, JIC appears to be a rebalancing of supply chain logic in response to systemic uncertainty, rather than a retreat from efficiency. </w:t>
      </w:r>
    </w:p>
    <w:p w14:paraId="560E5F00" w14:textId="7D21505C" w:rsidR="00A63152" w:rsidRDefault="00A63152" w:rsidP="00A63152">
      <w:pPr>
        <w:spacing w:after="0" w:line="360" w:lineRule="auto"/>
        <w:ind w:firstLine="567"/>
        <w:jc w:val="both"/>
        <w:rPr>
          <w:rFonts w:ascii="Arial" w:eastAsia="Times New Roman" w:hAnsi="Arial" w:cs="Arial"/>
          <w:kern w:val="0"/>
          <w:sz w:val="22"/>
          <w:szCs w:val="22"/>
          <w:lang w:eastAsia="en-GB"/>
          <w14:ligatures w14:val="none"/>
        </w:rPr>
      </w:pPr>
      <w:r w:rsidRPr="00A63152">
        <w:rPr>
          <w:rFonts w:ascii="Arial" w:eastAsia="Times New Roman" w:hAnsi="Arial" w:cs="Arial"/>
          <w:kern w:val="0"/>
          <w:sz w:val="22"/>
          <w:szCs w:val="22"/>
          <w:lang w:eastAsia="en-GB"/>
          <w14:ligatures w14:val="none"/>
        </w:rPr>
        <w:lastRenderedPageBreak/>
        <w:t xml:space="preserve">Part of the digital revolution in manufacturing is the transition from JIT to JIC, which involves more than just a change in logistics. Improved inventory management without compromising agility is now possible thanks to technologies from Industry 4.0 and Industry 5.0. According to the International Journal of Production Research (2025), businesses may optimise stock levels, anticipate </w:t>
      </w:r>
      <w:r>
        <w:rPr>
          <w:rFonts w:ascii="Arial" w:eastAsia="Times New Roman" w:hAnsi="Arial" w:cs="Arial"/>
          <w:kern w:val="0"/>
          <w:sz w:val="22"/>
          <w:szCs w:val="22"/>
          <w:lang w:eastAsia="en-GB"/>
          <w14:ligatures w14:val="none"/>
        </w:rPr>
        <w:t xml:space="preserve">supply chain shocks, and even simulate disruptions using </w:t>
      </w:r>
      <w:r w:rsidRPr="00E26DCF">
        <w:rPr>
          <w:rFonts w:ascii="Arial" w:eastAsia="Times New Roman" w:hAnsi="Arial" w:cs="Arial"/>
          <w:b/>
          <w:bCs/>
          <w:i/>
          <w:iCs/>
          <w:kern w:val="0"/>
          <w:sz w:val="22"/>
          <w:szCs w:val="22"/>
          <w:lang w:eastAsia="en-GB"/>
          <w14:ligatures w14:val="none"/>
        </w:rPr>
        <w:t>digital twins</w:t>
      </w:r>
      <w:r w:rsidRPr="00E26DCF">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predictive analytics, and Internet of Things (IoT) visibility</w:t>
      </w:r>
      <w:r w:rsidRPr="00A63152">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To build flexible supply networks, Industry 5.0 emphasises human-centric resilience by integrating AI into</w:t>
      </w:r>
      <w:r w:rsidRPr="00A63152">
        <w:rPr>
          <w:rFonts w:ascii="Arial" w:eastAsia="Times New Roman" w:hAnsi="Arial" w:cs="Arial"/>
          <w:kern w:val="0"/>
          <w:sz w:val="22"/>
          <w:szCs w:val="22"/>
          <w:lang w:eastAsia="en-GB"/>
          <w14:ligatures w14:val="none"/>
        </w:rPr>
        <w:t xml:space="preserve"> decision-making (Continuity &amp; Resilience Review, 2025). Manufacturers may now implement JIC while maintaining operational efficiency thanks to these technologies, proving that digital competency is essential for supply chain resilience. </w:t>
      </w:r>
    </w:p>
    <w:p w14:paraId="4EF714B4" w14:textId="68665ABA" w:rsidR="00A63152" w:rsidRPr="00A63152" w:rsidRDefault="00A63152" w:rsidP="00A63152">
      <w:pPr>
        <w:spacing w:after="0" w:line="360" w:lineRule="auto"/>
        <w:ind w:firstLine="567"/>
        <w:jc w:val="both"/>
        <w:rPr>
          <w:rFonts w:ascii="Arial" w:eastAsia="Times New Roman" w:hAnsi="Arial" w:cs="Arial"/>
          <w:kern w:val="0"/>
          <w:sz w:val="22"/>
          <w:szCs w:val="22"/>
          <w:lang w:eastAsia="en-GB"/>
          <w14:ligatures w14:val="none"/>
        </w:rPr>
      </w:pPr>
      <w:r w:rsidRPr="00A63152">
        <w:rPr>
          <w:rFonts w:ascii="Arial" w:eastAsia="Times New Roman" w:hAnsi="Arial" w:cs="Arial"/>
          <w:kern w:val="0"/>
          <w:sz w:val="22"/>
          <w:szCs w:val="22"/>
          <w:lang w:eastAsia="en-GB"/>
          <w14:ligatures w14:val="none"/>
        </w:rPr>
        <w:t xml:space="preserve">Taken as a whole, these dynamics reveal a gap in the literature. Although previous interruptions revealed weaknesses, academic studies have not examined how the Red Sea crisis of 2024–2025 accelerated the transition from JIT to JIC in the United Kingdom's automotive manufacturing sector. There is a </w:t>
      </w:r>
      <w:r>
        <w:rPr>
          <w:rFonts w:ascii="Arial" w:eastAsia="Times New Roman" w:hAnsi="Arial" w:cs="Arial"/>
          <w:kern w:val="0"/>
          <w:sz w:val="22"/>
          <w:szCs w:val="22"/>
          <w:lang w:eastAsia="en-GB"/>
          <w14:ligatures w14:val="none"/>
        </w:rPr>
        <w:t>lack of research comparing</w:t>
      </w:r>
      <w:r w:rsidRPr="00A63152">
        <w:rPr>
          <w:rFonts w:ascii="Arial" w:eastAsia="Times New Roman" w:hAnsi="Arial" w:cs="Arial"/>
          <w:kern w:val="0"/>
          <w:sz w:val="22"/>
          <w:szCs w:val="22"/>
          <w:lang w:eastAsia="en-GB"/>
          <w14:ligatures w14:val="none"/>
        </w:rPr>
        <w:t xml:space="preserve"> the inventory strategies and operating models used by </w:t>
      </w:r>
      <w:r w:rsidR="00E26DCF" w:rsidRPr="00E26DCF">
        <w:rPr>
          <w:rFonts w:ascii="Arial" w:eastAsia="Times New Roman" w:hAnsi="Arial" w:cs="Arial"/>
          <w:b/>
          <w:bCs/>
          <w:i/>
          <w:iCs/>
          <w:kern w:val="0"/>
          <w:sz w:val="22"/>
          <w:szCs w:val="22"/>
          <w:lang w:eastAsia="en-GB"/>
          <w14:ligatures w14:val="none"/>
        </w:rPr>
        <w:t>Bentley Motors Limited, ASTON MARTIN LAGONDA, and McLaren Automotive</w:t>
      </w:r>
      <w:r w:rsidRPr="00A63152">
        <w:rPr>
          <w:rFonts w:ascii="Arial" w:eastAsia="Times New Roman" w:hAnsi="Arial" w:cs="Arial"/>
          <w:kern w:val="0"/>
          <w:sz w:val="22"/>
          <w:szCs w:val="22"/>
          <w:lang w:eastAsia="en-GB"/>
          <w14:ligatures w14:val="none"/>
        </w:rPr>
        <w:t xml:space="preserve">. This dissertation </w:t>
      </w:r>
      <w:r w:rsidR="00E26DCF">
        <w:rPr>
          <w:rFonts w:ascii="Arial" w:eastAsia="Times New Roman" w:hAnsi="Arial" w:cs="Arial"/>
          <w:kern w:val="0"/>
          <w:sz w:val="22"/>
          <w:szCs w:val="22"/>
          <w:lang w:eastAsia="en-GB"/>
          <w14:ligatures w14:val="none"/>
        </w:rPr>
        <w:t xml:space="preserve">examines how </w:t>
      </w:r>
      <w:r w:rsidR="00E26DCF" w:rsidRPr="00E26DCF">
        <w:rPr>
          <w:rFonts w:ascii="Arial" w:eastAsia="Times New Roman" w:hAnsi="Arial" w:cs="Arial"/>
          <w:b/>
          <w:bCs/>
          <w:i/>
          <w:iCs/>
          <w:kern w:val="0"/>
          <w:sz w:val="22"/>
          <w:szCs w:val="22"/>
          <w:lang w:eastAsia="en-GB"/>
          <w14:ligatures w14:val="none"/>
        </w:rPr>
        <w:t>Industry 4.0 and 5.0 technologies</w:t>
      </w:r>
      <w:r w:rsidR="00E26DCF">
        <w:rPr>
          <w:rFonts w:ascii="Arial" w:eastAsia="Times New Roman" w:hAnsi="Arial" w:cs="Arial"/>
          <w:kern w:val="0"/>
          <w:sz w:val="22"/>
          <w:szCs w:val="22"/>
          <w:lang w:eastAsia="en-GB"/>
          <w14:ligatures w14:val="none"/>
        </w:rPr>
        <w:t xml:space="preserve"> promote resilience and</w:t>
      </w:r>
      <w:r w:rsidRPr="00A63152">
        <w:rPr>
          <w:rFonts w:ascii="Arial" w:eastAsia="Times New Roman" w:hAnsi="Arial" w:cs="Arial"/>
          <w:kern w:val="0"/>
          <w:sz w:val="22"/>
          <w:szCs w:val="22"/>
          <w:lang w:eastAsia="en-GB"/>
          <w14:ligatures w14:val="none"/>
        </w:rPr>
        <w:t xml:space="preserve"> the operational and financial impacts of this transition. </w:t>
      </w:r>
      <w:r w:rsidR="00E26DCF">
        <w:rPr>
          <w:rFonts w:ascii="Arial" w:eastAsia="Times New Roman" w:hAnsi="Arial" w:cs="Arial"/>
          <w:kern w:val="0"/>
          <w:sz w:val="22"/>
          <w:szCs w:val="22"/>
          <w:lang w:eastAsia="en-GB"/>
          <w14:ligatures w14:val="none"/>
        </w:rPr>
        <w:t>It</w:t>
      </w:r>
      <w:r w:rsidRPr="00A63152">
        <w:rPr>
          <w:rFonts w:ascii="Arial" w:eastAsia="Times New Roman" w:hAnsi="Arial" w:cs="Arial"/>
          <w:kern w:val="0"/>
          <w:sz w:val="22"/>
          <w:szCs w:val="22"/>
          <w:lang w:eastAsia="en-GB"/>
          <w14:ligatures w14:val="none"/>
        </w:rPr>
        <w:t xml:space="preserve"> can learn from this how the automotive supply chains in the UK will need to change to be competitive during this uncertain time.</w:t>
      </w:r>
    </w:p>
    <w:p w14:paraId="6F6E5302" w14:textId="77777777" w:rsidR="00AE689E" w:rsidRPr="00AE689E" w:rsidRDefault="00AE689E" w:rsidP="00AE689E">
      <w:pPr>
        <w:spacing w:after="0" w:line="360" w:lineRule="auto"/>
        <w:ind w:firstLine="567"/>
        <w:jc w:val="both"/>
        <w:rPr>
          <w:rFonts w:ascii="Arial" w:hAnsi="Arial" w:cs="Arial"/>
          <w:sz w:val="22"/>
          <w:szCs w:val="22"/>
        </w:rPr>
      </w:pPr>
      <w:r w:rsidRPr="00AE689E">
        <w:rPr>
          <w:rFonts w:ascii="Arial" w:hAnsi="Arial" w:cs="Arial"/>
          <w:sz w:val="22"/>
          <w:szCs w:val="22"/>
        </w:rPr>
        <w:t>The research critically evaluates why and how UK automotive manufacturers' transition from JIT to JIC inventory strategies—mediated by digital technologies and dynamic capabilities—can affect their competitive advantage and financial outcomes during systemic disruptions like the Red Sea crisis.</w:t>
      </w:r>
    </w:p>
    <w:p w14:paraId="130464D9" w14:textId="77777777" w:rsidR="00EE31CA" w:rsidRPr="00AE689E" w:rsidRDefault="00EE31CA" w:rsidP="00A63152">
      <w:pPr>
        <w:spacing w:after="0" w:line="360" w:lineRule="auto"/>
        <w:ind w:firstLine="567"/>
        <w:jc w:val="both"/>
        <w:rPr>
          <w:rFonts w:ascii="Arial" w:hAnsi="Arial" w:cs="Arial"/>
          <w:sz w:val="20"/>
          <w:szCs w:val="20"/>
        </w:rPr>
      </w:pPr>
    </w:p>
    <w:p w14:paraId="472E56C2" w14:textId="77777777" w:rsidR="00D67AC7" w:rsidRDefault="00D67AC7" w:rsidP="00A63152">
      <w:pPr>
        <w:spacing w:after="0" w:line="360" w:lineRule="auto"/>
        <w:ind w:firstLine="567"/>
        <w:jc w:val="both"/>
        <w:rPr>
          <w:rFonts w:ascii="Arial" w:hAnsi="Arial" w:cs="Arial"/>
          <w:sz w:val="22"/>
          <w:szCs w:val="22"/>
        </w:rPr>
      </w:pPr>
    </w:p>
    <w:p w14:paraId="63311403" w14:textId="77777777" w:rsidR="00B03C07" w:rsidRDefault="00B03C07" w:rsidP="00A63152">
      <w:pPr>
        <w:spacing w:after="0" w:line="360" w:lineRule="auto"/>
        <w:ind w:firstLine="567"/>
        <w:jc w:val="both"/>
        <w:rPr>
          <w:rFonts w:ascii="Arial" w:hAnsi="Arial" w:cs="Arial"/>
          <w:sz w:val="22"/>
          <w:szCs w:val="22"/>
        </w:rPr>
      </w:pPr>
    </w:p>
    <w:p w14:paraId="7499499A" w14:textId="77777777" w:rsidR="00B03C07" w:rsidRDefault="00B03C07" w:rsidP="00A63152">
      <w:pPr>
        <w:spacing w:after="0" w:line="360" w:lineRule="auto"/>
        <w:ind w:firstLine="567"/>
        <w:jc w:val="both"/>
        <w:rPr>
          <w:rFonts w:ascii="Arial" w:hAnsi="Arial" w:cs="Arial"/>
          <w:sz w:val="22"/>
          <w:szCs w:val="22"/>
        </w:rPr>
      </w:pPr>
    </w:p>
    <w:p w14:paraId="7C6B8654" w14:textId="77777777" w:rsidR="00B03C07" w:rsidRDefault="00B03C07" w:rsidP="00A63152">
      <w:pPr>
        <w:spacing w:after="0" w:line="360" w:lineRule="auto"/>
        <w:ind w:firstLine="567"/>
        <w:jc w:val="both"/>
        <w:rPr>
          <w:rFonts w:ascii="Arial" w:hAnsi="Arial" w:cs="Arial"/>
          <w:sz w:val="22"/>
          <w:szCs w:val="22"/>
        </w:rPr>
      </w:pPr>
    </w:p>
    <w:p w14:paraId="4D346B74" w14:textId="77777777" w:rsidR="00B03C07" w:rsidRDefault="00B03C07" w:rsidP="00A63152">
      <w:pPr>
        <w:spacing w:after="0" w:line="360" w:lineRule="auto"/>
        <w:ind w:firstLine="567"/>
        <w:jc w:val="both"/>
        <w:rPr>
          <w:rFonts w:ascii="Arial" w:hAnsi="Arial" w:cs="Arial"/>
          <w:sz w:val="22"/>
          <w:szCs w:val="22"/>
        </w:rPr>
      </w:pPr>
    </w:p>
    <w:p w14:paraId="18E2F7AD" w14:textId="77777777" w:rsidR="00B03C07" w:rsidRDefault="00B03C07" w:rsidP="00A63152">
      <w:pPr>
        <w:spacing w:after="0" w:line="360" w:lineRule="auto"/>
        <w:ind w:firstLine="567"/>
        <w:jc w:val="both"/>
        <w:rPr>
          <w:rFonts w:ascii="Arial" w:hAnsi="Arial" w:cs="Arial"/>
          <w:sz w:val="22"/>
          <w:szCs w:val="22"/>
        </w:rPr>
      </w:pPr>
    </w:p>
    <w:p w14:paraId="1986F8C6" w14:textId="77777777" w:rsidR="00B03C07" w:rsidRDefault="00B03C07" w:rsidP="00A63152">
      <w:pPr>
        <w:spacing w:after="0" w:line="360" w:lineRule="auto"/>
        <w:ind w:firstLine="567"/>
        <w:jc w:val="both"/>
        <w:rPr>
          <w:rFonts w:ascii="Arial" w:hAnsi="Arial" w:cs="Arial"/>
          <w:sz w:val="22"/>
          <w:szCs w:val="22"/>
        </w:rPr>
      </w:pPr>
    </w:p>
    <w:p w14:paraId="26C1284C" w14:textId="77777777" w:rsidR="00B03C07" w:rsidRDefault="00B03C07" w:rsidP="00AE689E">
      <w:pPr>
        <w:spacing w:after="0" w:line="360" w:lineRule="auto"/>
        <w:jc w:val="both"/>
        <w:rPr>
          <w:rFonts w:ascii="Arial" w:hAnsi="Arial" w:cs="Arial"/>
          <w:sz w:val="22"/>
          <w:szCs w:val="22"/>
        </w:rPr>
      </w:pPr>
    </w:p>
    <w:p w14:paraId="60E99FFC" w14:textId="77777777" w:rsidR="00242487" w:rsidRDefault="00242487" w:rsidP="00AE689E">
      <w:pPr>
        <w:spacing w:after="0" w:line="360" w:lineRule="auto"/>
        <w:jc w:val="both"/>
        <w:rPr>
          <w:rFonts w:ascii="Arial" w:hAnsi="Arial" w:cs="Arial"/>
          <w:sz w:val="22"/>
          <w:szCs w:val="22"/>
        </w:rPr>
      </w:pPr>
    </w:p>
    <w:p w14:paraId="0CDFB1EB" w14:textId="77777777" w:rsidR="006A4B37" w:rsidRDefault="006A4B37" w:rsidP="00AE689E">
      <w:pPr>
        <w:spacing w:after="0" w:line="360" w:lineRule="auto"/>
        <w:jc w:val="both"/>
        <w:rPr>
          <w:rFonts w:ascii="Arial" w:hAnsi="Arial" w:cs="Arial"/>
          <w:sz w:val="22"/>
          <w:szCs w:val="22"/>
        </w:rPr>
      </w:pPr>
    </w:p>
    <w:p w14:paraId="6C1B6969" w14:textId="77777777" w:rsidR="006A4B37" w:rsidRDefault="006A4B37" w:rsidP="00AE689E">
      <w:pPr>
        <w:spacing w:after="0" w:line="360" w:lineRule="auto"/>
        <w:jc w:val="both"/>
        <w:rPr>
          <w:rFonts w:ascii="Arial" w:hAnsi="Arial" w:cs="Arial"/>
          <w:sz w:val="22"/>
          <w:szCs w:val="22"/>
        </w:rPr>
      </w:pPr>
    </w:p>
    <w:p w14:paraId="6E782B2E" w14:textId="77777777" w:rsidR="00D67D7B" w:rsidRDefault="00D67D7B" w:rsidP="00D746E8">
      <w:pPr>
        <w:spacing w:after="0" w:line="360" w:lineRule="auto"/>
        <w:jc w:val="both"/>
        <w:rPr>
          <w:rFonts w:ascii="Arial" w:hAnsi="Arial" w:cs="Arial"/>
          <w:sz w:val="22"/>
          <w:szCs w:val="22"/>
        </w:rPr>
      </w:pPr>
    </w:p>
    <w:p w14:paraId="6A8645ED" w14:textId="77777777" w:rsidR="00D67D7B" w:rsidRDefault="00D67D7B" w:rsidP="00A63152">
      <w:pPr>
        <w:spacing w:after="0" w:line="360" w:lineRule="auto"/>
        <w:ind w:firstLine="567"/>
        <w:jc w:val="both"/>
        <w:rPr>
          <w:rFonts w:ascii="Arial" w:hAnsi="Arial" w:cs="Arial"/>
          <w:sz w:val="22"/>
          <w:szCs w:val="22"/>
        </w:rPr>
      </w:pPr>
    </w:p>
    <w:p w14:paraId="6E939DCE" w14:textId="620F2B85" w:rsidR="00D67D7B" w:rsidRPr="006A4B37" w:rsidRDefault="00D67D7B" w:rsidP="006A4B37">
      <w:pPr>
        <w:pStyle w:val="Heading1"/>
        <w:rPr>
          <w:b/>
          <w:bCs/>
          <w:sz w:val="22"/>
          <w:szCs w:val="22"/>
        </w:rPr>
      </w:pPr>
      <w:bookmarkStart w:id="1" w:name="_Toc222003614"/>
      <w:r w:rsidRPr="006A4B37">
        <w:rPr>
          <w:b/>
          <w:bCs/>
          <w:sz w:val="22"/>
          <w:szCs w:val="22"/>
        </w:rPr>
        <w:lastRenderedPageBreak/>
        <w:t>2. Research Aim, Objectives, and Questions</w:t>
      </w:r>
      <w:bookmarkEnd w:id="1"/>
    </w:p>
    <w:p w14:paraId="0490D64F" w14:textId="770758CA" w:rsidR="006C0ABF" w:rsidRPr="006C0ABF" w:rsidRDefault="005F7AEB" w:rsidP="005F7AEB">
      <w:pPr>
        <w:spacing w:after="0" w:line="360" w:lineRule="auto"/>
        <w:ind w:firstLine="567"/>
        <w:jc w:val="both"/>
        <w:rPr>
          <w:rFonts w:ascii="Arial" w:hAnsi="Arial" w:cs="Arial"/>
          <w:sz w:val="22"/>
          <w:szCs w:val="22"/>
        </w:rPr>
      </w:pPr>
      <w:r w:rsidRPr="005F7AEB">
        <w:rPr>
          <w:rFonts w:ascii="Arial" w:hAnsi="Arial" w:cs="Arial"/>
          <w:sz w:val="22"/>
          <w:szCs w:val="22"/>
        </w:rPr>
        <w:t xml:space="preserve">This dissertation </w:t>
      </w:r>
      <w:r w:rsidRPr="005F7AEB">
        <w:rPr>
          <w:rFonts w:ascii="Arial" w:hAnsi="Arial" w:cs="Arial"/>
          <w:b/>
          <w:bCs/>
          <w:i/>
          <w:iCs/>
          <w:sz w:val="22"/>
          <w:szCs w:val="22"/>
        </w:rPr>
        <w:t>aims</w:t>
      </w:r>
      <w:r w:rsidRPr="005F7AEB">
        <w:rPr>
          <w:rFonts w:ascii="Arial" w:hAnsi="Arial" w:cs="Arial"/>
          <w:sz w:val="22"/>
          <w:szCs w:val="22"/>
        </w:rPr>
        <w:t xml:space="preserve"> to </w:t>
      </w:r>
      <w:r w:rsidR="000B43D3">
        <w:rPr>
          <w:rFonts w:ascii="Arial" w:hAnsi="Arial" w:cs="Arial"/>
          <w:sz w:val="22"/>
          <w:szCs w:val="22"/>
        </w:rPr>
        <w:t>analyse</w:t>
      </w:r>
      <w:r w:rsidRPr="005F7AEB">
        <w:rPr>
          <w:rFonts w:ascii="Arial" w:hAnsi="Arial" w:cs="Arial"/>
          <w:sz w:val="22"/>
          <w:szCs w:val="22"/>
        </w:rPr>
        <w:t xml:space="preserve"> the transition from Just-in-Time to Just-in-Case inventory strategies among UK automotive manufacturers by examining operational and financial indicators and evaluating the role of digital capabilities during the period 2019–2024, with particular emphasis on changes occurring during the 2024–2025 Red Sea crisis</w:t>
      </w:r>
      <w:r>
        <w:rPr>
          <w:rFonts w:ascii="Arial" w:hAnsi="Arial" w:cs="Arial"/>
          <w:sz w:val="22"/>
          <w:szCs w:val="22"/>
        </w:rPr>
        <w:t xml:space="preserve"> </w:t>
      </w:r>
      <w:r w:rsidR="006C0ABF" w:rsidRPr="006C0ABF">
        <w:rPr>
          <w:rFonts w:ascii="Arial" w:hAnsi="Arial" w:cs="Arial"/>
          <w:sz w:val="22"/>
          <w:szCs w:val="22"/>
        </w:rPr>
        <w:t>(Ivanov, 2021). Automotive companies</w:t>
      </w:r>
      <w:r w:rsidR="00373596">
        <w:rPr>
          <w:rFonts w:ascii="Arial" w:hAnsi="Arial" w:cs="Arial"/>
          <w:sz w:val="22"/>
          <w:szCs w:val="22"/>
        </w:rPr>
        <w:t xml:space="preserve">, including </w:t>
      </w:r>
      <w:r w:rsidR="003F7BC8" w:rsidRPr="00102F91">
        <w:rPr>
          <w:rFonts w:ascii="Arial" w:hAnsi="Arial" w:cs="Arial"/>
          <w:b/>
          <w:bCs/>
          <w:i/>
          <w:iCs/>
          <w:sz w:val="22"/>
          <w:szCs w:val="22"/>
        </w:rPr>
        <w:t>Bentley Motors Limited, ASTON MARTIN LAGONDA, and McLaren Automotive</w:t>
      </w:r>
      <w:r w:rsidR="00373596">
        <w:rPr>
          <w:rFonts w:ascii="Arial" w:hAnsi="Arial" w:cs="Arial"/>
          <w:sz w:val="22"/>
          <w:szCs w:val="22"/>
        </w:rPr>
        <w:t>,</w:t>
      </w:r>
      <w:r w:rsidR="006C0ABF" w:rsidRPr="006C0ABF">
        <w:rPr>
          <w:rFonts w:ascii="Arial" w:hAnsi="Arial" w:cs="Arial"/>
          <w:sz w:val="22"/>
          <w:szCs w:val="22"/>
        </w:rPr>
        <w:t xml:space="preserve"> had their weaknesses revealed during the Red Sea crisis of 2024–2025, which drastically altered maritime flows into Europe. </w:t>
      </w:r>
      <w:r w:rsidR="00373596" w:rsidRPr="006C0ABF">
        <w:rPr>
          <w:rFonts w:ascii="Arial" w:hAnsi="Arial" w:cs="Arial"/>
          <w:sz w:val="22"/>
          <w:szCs w:val="22"/>
        </w:rPr>
        <w:t>More</w:t>
      </w:r>
      <w:r w:rsidR="006C0ABF" w:rsidRPr="006C0ABF">
        <w:rPr>
          <w:rFonts w:ascii="Arial" w:hAnsi="Arial" w:cs="Arial"/>
          <w:sz w:val="22"/>
          <w:szCs w:val="22"/>
        </w:rPr>
        <w:t xml:space="preserve"> companies started using Just-in-Case (JIC) strategies to safeguard operational continuity and financial performance when long transit delays disrupted synchronised production processes. This change prompts important </w:t>
      </w:r>
      <w:r w:rsidR="000B43D3">
        <w:rPr>
          <w:rFonts w:ascii="Arial" w:hAnsi="Arial" w:cs="Arial"/>
          <w:sz w:val="22"/>
          <w:szCs w:val="22"/>
        </w:rPr>
        <w:t>questions about the evolving nature of inventory models and the skills needed to maintain resilience in times</w:t>
      </w:r>
      <w:r>
        <w:rPr>
          <w:rFonts w:ascii="Arial" w:hAnsi="Arial" w:cs="Arial"/>
          <w:sz w:val="22"/>
          <w:szCs w:val="22"/>
        </w:rPr>
        <w:t xml:space="preserve"> of</w:t>
      </w:r>
      <w:r w:rsidR="006C0ABF" w:rsidRPr="006C0ABF">
        <w:rPr>
          <w:rFonts w:ascii="Arial" w:hAnsi="Arial" w:cs="Arial"/>
          <w:sz w:val="22"/>
          <w:szCs w:val="22"/>
        </w:rPr>
        <w:t xml:space="preserve"> unpredictability.</w:t>
      </w:r>
    </w:p>
    <w:p w14:paraId="487D4991" w14:textId="77777777" w:rsidR="00881761" w:rsidRPr="00B503D8" w:rsidRDefault="00881761" w:rsidP="00C03FA3">
      <w:pPr>
        <w:spacing w:after="0" w:line="360" w:lineRule="auto"/>
        <w:rPr>
          <w:rFonts w:ascii="Arial" w:hAnsi="Arial" w:cs="Arial"/>
          <w:b/>
          <w:bCs/>
          <w:i/>
          <w:iCs/>
          <w:sz w:val="22"/>
          <w:szCs w:val="22"/>
          <w:u w:val="single"/>
        </w:rPr>
      </w:pPr>
      <w:r w:rsidRPr="00B503D8">
        <w:rPr>
          <w:rFonts w:ascii="Arial" w:hAnsi="Arial" w:cs="Arial"/>
          <w:b/>
          <w:bCs/>
          <w:i/>
          <w:iCs/>
          <w:sz w:val="22"/>
          <w:szCs w:val="22"/>
          <w:u w:val="single"/>
        </w:rPr>
        <w:t xml:space="preserve">Research Objectives: </w:t>
      </w:r>
    </w:p>
    <w:p w14:paraId="0CB48175" w14:textId="719AC8BE" w:rsidR="00C03FA3" w:rsidRDefault="00881761" w:rsidP="00C03FA3">
      <w:pPr>
        <w:spacing w:after="0" w:line="360" w:lineRule="auto"/>
        <w:rPr>
          <w:rFonts w:ascii="Arial" w:hAnsi="Arial" w:cs="Arial"/>
          <w:sz w:val="22"/>
          <w:szCs w:val="22"/>
        </w:rPr>
      </w:pPr>
      <w:r w:rsidRPr="00B503D8">
        <w:rPr>
          <w:rFonts w:ascii="Arial" w:eastAsia="Times New Roman" w:hAnsi="Arial" w:cs="Arial"/>
          <w:i/>
          <w:iCs/>
          <w:sz w:val="22"/>
          <w:szCs w:val="22"/>
          <w:u w:val="single"/>
        </w:rPr>
        <w:t>Research Objective 1 (aligned with RQ1):</w:t>
      </w:r>
      <w:r w:rsidRPr="00B503D8">
        <w:rPr>
          <w:rFonts w:ascii="Arial" w:hAnsi="Arial" w:cs="Arial"/>
          <w:i/>
          <w:iCs/>
          <w:sz w:val="22"/>
          <w:szCs w:val="22"/>
          <w:u w:val="single"/>
        </w:rPr>
        <w:br/>
      </w:r>
      <w:r w:rsidRPr="00B503D8">
        <w:rPr>
          <w:rFonts w:ascii="Arial" w:hAnsi="Arial" w:cs="Arial"/>
          <w:sz w:val="22"/>
          <w:szCs w:val="22"/>
        </w:rPr>
        <w:t xml:space="preserve">To examine how </w:t>
      </w:r>
      <w:r w:rsidR="000B43D3">
        <w:rPr>
          <w:rFonts w:ascii="Arial" w:hAnsi="Arial" w:cs="Arial"/>
          <w:sz w:val="22"/>
          <w:szCs w:val="22"/>
        </w:rPr>
        <w:t xml:space="preserve">these three </w:t>
      </w:r>
      <w:r w:rsidRPr="00B503D8">
        <w:rPr>
          <w:rFonts w:ascii="Arial" w:hAnsi="Arial" w:cs="Arial"/>
          <w:sz w:val="22"/>
          <w:szCs w:val="22"/>
        </w:rPr>
        <w:t>UK automotive manufacturers shifted from JIT to JIC inventory strategies between 2019 and 2024</w:t>
      </w:r>
    </w:p>
    <w:p w14:paraId="7F5DDBE4" w14:textId="5079B4B9" w:rsidR="00C03FA3" w:rsidRDefault="00C03FA3" w:rsidP="00C03FA3">
      <w:pPr>
        <w:spacing w:after="0" w:line="360" w:lineRule="auto"/>
        <w:rPr>
          <w:rFonts w:ascii="Arial" w:eastAsia="Times New Roman" w:hAnsi="Arial" w:cs="Arial"/>
          <w:i/>
          <w:iCs/>
          <w:sz w:val="22"/>
          <w:szCs w:val="22"/>
          <w:u w:val="single"/>
        </w:rPr>
      </w:pPr>
      <w:r>
        <w:rPr>
          <w:rFonts w:ascii="Arial" w:hAnsi="Arial" w:cs="Arial"/>
          <w:sz w:val="22"/>
          <w:szCs w:val="22"/>
        </w:rPr>
        <w:t>R</w:t>
      </w:r>
      <w:r w:rsidR="00881761" w:rsidRPr="00B503D8">
        <w:rPr>
          <w:rFonts w:ascii="Arial" w:eastAsia="Times New Roman" w:hAnsi="Arial" w:cs="Arial"/>
          <w:i/>
          <w:iCs/>
          <w:sz w:val="22"/>
          <w:szCs w:val="22"/>
          <w:u w:val="single"/>
        </w:rPr>
        <w:t>esearch Objective 2 (aligned with RQ2):</w:t>
      </w:r>
    </w:p>
    <w:p w14:paraId="1A8456C9" w14:textId="4D3ACEB3" w:rsidR="000B43D3" w:rsidRPr="000B43D3" w:rsidRDefault="000B43D3" w:rsidP="00C03FA3">
      <w:pPr>
        <w:spacing w:after="0" w:line="360" w:lineRule="auto"/>
        <w:rPr>
          <w:rFonts w:ascii="Arial" w:hAnsi="Arial" w:cs="Arial"/>
          <w:sz w:val="22"/>
          <w:szCs w:val="22"/>
        </w:rPr>
      </w:pPr>
      <w:r w:rsidRPr="000B43D3">
        <w:rPr>
          <w:rFonts w:ascii="Arial" w:hAnsi="Arial" w:cs="Arial"/>
          <w:sz w:val="22"/>
          <w:szCs w:val="22"/>
        </w:rPr>
        <w:t>To evaluate the operational and financial impacts of the Red Sea crisis by comparing pre</w:t>
      </w:r>
      <w:r w:rsidRPr="000B43D3">
        <w:rPr>
          <w:rFonts w:ascii="Cambria Math" w:hAnsi="Cambria Math" w:cs="Cambria Math"/>
          <w:sz w:val="22"/>
          <w:szCs w:val="22"/>
        </w:rPr>
        <w:t>‑</w:t>
      </w:r>
      <w:r w:rsidRPr="000B43D3">
        <w:rPr>
          <w:rFonts w:ascii="Arial" w:hAnsi="Arial" w:cs="Arial"/>
          <w:sz w:val="22"/>
          <w:szCs w:val="22"/>
        </w:rPr>
        <w:t>crisis (2019–2022)</w:t>
      </w:r>
      <w:r>
        <w:rPr>
          <w:rFonts w:ascii="Arial" w:hAnsi="Arial" w:cs="Arial"/>
          <w:sz w:val="22"/>
          <w:szCs w:val="22"/>
        </w:rPr>
        <w:t xml:space="preserve"> and</w:t>
      </w:r>
      <w:r w:rsidRPr="000B43D3">
        <w:rPr>
          <w:rFonts w:ascii="Arial" w:hAnsi="Arial" w:cs="Arial"/>
          <w:sz w:val="22"/>
          <w:szCs w:val="22"/>
        </w:rPr>
        <w:t xml:space="preserve"> crisis</w:t>
      </w:r>
      <w:r w:rsidRPr="000B43D3">
        <w:rPr>
          <w:rFonts w:ascii="Cambria Math" w:hAnsi="Cambria Math" w:cs="Cambria Math"/>
          <w:sz w:val="22"/>
          <w:szCs w:val="22"/>
        </w:rPr>
        <w:t>‑</w:t>
      </w:r>
      <w:r w:rsidRPr="000B43D3">
        <w:rPr>
          <w:rFonts w:ascii="Arial" w:hAnsi="Arial" w:cs="Arial"/>
          <w:sz w:val="22"/>
          <w:szCs w:val="22"/>
        </w:rPr>
        <w:t>period (2023–2024), in resilience</w:t>
      </w:r>
      <w:r w:rsidRPr="000B43D3">
        <w:rPr>
          <w:rFonts w:ascii="Cambria Math" w:hAnsi="Cambria Math" w:cs="Cambria Math"/>
          <w:sz w:val="22"/>
          <w:szCs w:val="22"/>
        </w:rPr>
        <w:t>‑</w:t>
      </w:r>
      <w:r w:rsidRPr="000B43D3">
        <w:rPr>
          <w:rFonts w:ascii="Arial" w:hAnsi="Arial" w:cs="Arial"/>
          <w:sz w:val="22"/>
          <w:szCs w:val="22"/>
        </w:rPr>
        <w:t xml:space="preserve">related metrics reported by the </w:t>
      </w:r>
      <w:r>
        <w:rPr>
          <w:rFonts w:ascii="Arial" w:hAnsi="Arial" w:cs="Arial"/>
          <w:sz w:val="22"/>
          <w:szCs w:val="22"/>
        </w:rPr>
        <w:t>mentioned</w:t>
      </w:r>
      <w:r w:rsidRPr="000B43D3">
        <w:rPr>
          <w:rFonts w:ascii="Arial" w:hAnsi="Arial" w:cs="Arial"/>
          <w:sz w:val="22"/>
          <w:szCs w:val="22"/>
        </w:rPr>
        <w:t xml:space="preserve"> manufacturers.</w:t>
      </w:r>
    </w:p>
    <w:p w14:paraId="76CA58A3" w14:textId="39E15C86" w:rsidR="00881761" w:rsidRPr="00B503D8" w:rsidRDefault="00881761" w:rsidP="00C03FA3">
      <w:pPr>
        <w:spacing w:after="0" w:line="360" w:lineRule="auto"/>
        <w:rPr>
          <w:rFonts w:ascii="Arial" w:hAnsi="Arial" w:cs="Arial"/>
          <w:sz w:val="22"/>
          <w:szCs w:val="22"/>
        </w:rPr>
      </w:pPr>
      <w:r w:rsidRPr="00B503D8">
        <w:rPr>
          <w:rFonts w:ascii="Arial" w:eastAsia="Times New Roman" w:hAnsi="Arial" w:cs="Arial"/>
          <w:i/>
          <w:iCs/>
          <w:sz w:val="22"/>
          <w:szCs w:val="22"/>
          <w:u w:val="single"/>
        </w:rPr>
        <w:t>Research Objective 3 (aligned with RQ3):</w:t>
      </w:r>
      <w:r w:rsidRPr="00B503D8">
        <w:rPr>
          <w:rFonts w:ascii="Arial" w:hAnsi="Arial" w:cs="Arial"/>
          <w:i/>
          <w:iCs/>
          <w:sz w:val="22"/>
          <w:szCs w:val="22"/>
          <w:u w:val="single"/>
        </w:rPr>
        <w:br/>
      </w:r>
      <w:r w:rsidR="000B43D3" w:rsidRPr="000B43D3">
        <w:rPr>
          <w:rFonts w:ascii="Arial" w:hAnsi="Arial" w:cs="Arial"/>
          <w:sz w:val="22"/>
          <w:szCs w:val="22"/>
        </w:rPr>
        <w:t xml:space="preserve">To evaluate </w:t>
      </w:r>
      <w:r w:rsidR="000B43D3">
        <w:rPr>
          <w:rFonts w:ascii="Arial" w:hAnsi="Arial" w:cs="Arial"/>
          <w:sz w:val="22"/>
          <w:szCs w:val="22"/>
        </w:rPr>
        <w:t>the role of Industry 4.0 and Industry 5.0 technologies in hybrid inventory models, using a Digital Capability Checklist and thematic analysis of management disclosures</w:t>
      </w:r>
      <w:r w:rsidR="000B43D3" w:rsidRPr="000B43D3">
        <w:rPr>
          <w:rFonts w:ascii="Arial" w:hAnsi="Arial" w:cs="Arial"/>
          <w:sz w:val="22"/>
          <w:szCs w:val="22"/>
        </w:rPr>
        <w:t>.</w:t>
      </w:r>
    </w:p>
    <w:p w14:paraId="629389E3" w14:textId="77777777" w:rsidR="00D42670" w:rsidRPr="007D7C1C" w:rsidRDefault="00D42670" w:rsidP="007D7C1C">
      <w:pPr>
        <w:spacing w:after="0" w:line="360" w:lineRule="auto"/>
        <w:rPr>
          <w:rFonts w:ascii="Arial" w:hAnsi="Arial" w:cs="Arial"/>
          <w:b/>
          <w:bCs/>
          <w:i/>
          <w:iCs/>
          <w:sz w:val="22"/>
          <w:szCs w:val="22"/>
          <w:u w:val="single"/>
        </w:rPr>
      </w:pPr>
      <w:r w:rsidRPr="007D7C1C">
        <w:rPr>
          <w:rFonts w:ascii="Arial" w:hAnsi="Arial" w:cs="Arial"/>
          <w:b/>
          <w:bCs/>
          <w:i/>
          <w:iCs/>
          <w:sz w:val="22"/>
          <w:szCs w:val="22"/>
          <w:u w:val="single"/>
        </w:rPr>
        <w:t>Research Questions</w:t>
      </w:r>
    </w:p>
    <w:p w14:paraId="511DBA75" w14:textId="20591C9E" w:rsidR="00D42670" w:rsidRPr="00D42670" w:rsidRDefault="00D42670" w:rsidP="007D7C1C">
      <w:pPr>
        <w:spacing w:after="0" w:line="360" w:lineRule="auto"/>
        <w:rPr>
          <w:rFonts w:ascii="Arial" w:hAnsi="Arial" w:cs="Arial"/>
          <w:sz w:val="22"/>
          <w:szCs w:val="22"/>
        </w:rPr>
      </w:pPr>
      <w:r w:rsidRPr="00D42670">
        <w:rPr>
          <w:rFonts w:ascii="Arial" w:hAnsi="Arial" w:cs="Arial"/>
          <w:b/>
          <w:bCs/>
          <w:sz w:val="22"/>
          <w:szCs w:val="22"/>
        </w:rPr>
        <w:t>RQ1:</w:t>
      </w:r>
      <w:r w:rsidRPr="00D42670">
        <w:rPr>
          <w:rFonts w:ascii="Arial" w:hAnsi="Arial" w:cs="Arial"/>
          <w:sz w:val="22"/>
          <w:szCs w:val="22"/>
        </w:rPr>
        <w:t xml:space="preserve"> How did the shift from JIT to JIC inventory strategies manifest in the UK automotive sector between 2019 and 202</w:t>
      </w:r>
      <w:r w:rsidR="00F463BC">
        <w:rPr>
          <w:rFonts w:ascii="Arial" w:hAnsi="Arial" w:cs="Arial"/>
          <w:sz w:val="22"/>
          <w:szCs w:val="22"/>
        </w:rPr>
        <w:t>4</w:t>
      </w:r>
      <w:r w:rsidRPr="00D42670">
        <w:rPr>
          <w:rFonts w:ascii="Arial" w:hAnsi="Arial" w:cs="Arial"/>
          <w:sz w:val="22"/>
          <w:szCs w:val="22"/>
        </w:rPr>
        <w:t>?</w:t>
      </w:r>
    </w:p>
    <w:p w14:paraId="7C86F10B" w14:textId="77777777" w:rsidR="00D42670" w:rsidRPr="00D42670" w:rsidRDefault="00D42670" w:rsidP="007D7C1C">
      <w:pPr>
        <w:spacing w:after="0" w:line="360" w:lineRule="auto"/>
        <w:rPr>
          <w:rFonts w:ascii="Arial" w:hAnsi="Arial" w:cs="Arial"/>
          <w:sz w:val="22"/>
          <w:szCs w:val="22"/>
        </w:rPr>
      </w:pPr>
      <w:r w:rsidRPr="00D42670">
        <w:rPr>
          <w:rFonts w:ascii="Arial" w:hAnsi="Arial" w:cs="Arial"/>
          <w:b/>
          <w:bCs/>
          <w:sz w:val="22"/>
          <w:szCs w:val="22"/>
        </w:rPr>
        <w:t>RQ2:</w:t>
      </w:r>
      <w:r w:rsidRPr="00D42670">
        <w:rPr>
          <w:rFonts w:ascii="Arial" w:hAnsi="Arial" w:cs="Arial"/>
          <w:sz w:val="22"/>
          <w:szCs w:val="22"/>
        </w:rPr>
        <w:t xml:space="preserve"> What financial and operational impacts did this transition have on major UK automotive manufacturers during the Red Sea crisis?</w:t>
      </w:r>
    </w:p>
    <w:p w14:paraId="1D300EB8" w14:textId="5FDA2B54" w:rsidR="00D67D7B" w:rsidRDefault="00D42670" w:rsidP="007D7C1C">
      <w:pPr>
        <w:spacing w:after="0" w:line="360" w:lineRule="auto"/>
        <w:rPr>
          <w:rFonts w:ascii="Arial" w:hAnsi="Arial" w:cs="Arial"/>
          <w:sz w:val="22"/>
          <w:szCs w:val="22"/>
        </w:rPr>
      </w:pPr>
      <w:r w:rsidRPr="00D42670">
        <w:rPr>
          <w:rFonts w:ascii="Arial" w:hAnsi="Arial" w:cs="Arial"/>
          <w:b/>
          <w:bCs/>
          <w:sz w:val="22"/>
          <w:szCs w:val="22"/>
        </w:rPr>
        <w:t>RQ3:</w:t>
      </w:r>
      <w:r w:rsidRPr="00D42670">
        <w:rPr>
          <w:rFonts w:ascii="Arial" w:hAnsi="Arial" w:cs="Arial"/>
          <w:sz w:val="22"/>
          <w:szCs w:val="22"/>
        </w:rPr>
        <w:t xml:space="preserve"> To what extent can Industry 4.0 and Industry 5.0 technologies enhance supply chain resilience and support hybrid JIT–JIC inventory models?</w:t>
      </w:r>
    </w:p>
    <w:p w14:paraId="7E153DB0" w14:textId="17D22F38" w:rsidR="006C0ABF" w:rsidRDefault="00373596" w:rsidP="007D7C1C">
      <w:pPr>
        <w:spacing w:after="0" w:line="360" w:lineRule="auto"/>
        <w:rPr>
          <w:rFonts w:ascii="Arial" w:hAnsi="Arial" w:cs="Arial"/>
          <w:sz w:val="22"/>
          <w:szCs w:val="22"/>
        </w:rPr>
      </w:pPr>
      <w:r w:rsidRPr="00373596">
        <w:rPr>
          <w:rFonts w:ascii="Arial" w:hAnsi="Arial" w:cs="Arial"/>
          <w:sz w:val="22"/>
          <w:szCs w:val="22"/>
        </w:rPr>
        <w:t>Therefore, it is important to critically review the current literature to set the issue in context, identify theoretical and empirical gaps, and lay the foundation for the analysis before investigating into how UK automakers are shifting their inventory strategies in reaction to growing global disruptions.</w:t>
      </w:r>
    </w:p>
    <w:p w14:paraId="7FD1C1C5" w14:textId="47BEC91E" w:rsidR="006C0ABF" w:rsidRPr="000A7090" w:rsidRDefault="003F3EC7" w:rsidP="000A7090">
      <w:pPr>
        <w:pStyle w:val="Heading1"/>
        <w:spacing w:before="0" w:after="0"/>
        <w:rPr>
          <w:b/>
          <w:bCs/>
          <w:sz w:val="22"/>
          <w:szCs w:val="22"/>
        </w:rPr>
      </w:pPr>
      <w:bookmarkStart w:id="2" w:name="_Toc222003615"/>
      <w:r w:rsidRPr="000A7090">
        <w:rPr>
          <w:b/>
          <w:bCs/>
          <w:sz w:val="22"/>
          <w:szCs w:val="22"/>
        </w:rPr>
        <w:lastRenderedPageBreak/>
        <w:t>3</w:t>
      </w:r>
      <w:r w:rsidR="000B1CE0" w:rsidRPr="000A7090">
        <w:rPr>
          <w:b/>
          <w:bCs/>
          <w:sz w:val="22"/>
          <w:szCs w:val="22"/>
        </w:rPr>
        <w:t>.</w:t>
      </w:r>
      <w:r w:rsidRPr="000A7090">
        <w:rPr>
          <w:b/>
          <w:bCs/>
          <w:sz w:val="22"/>
          <w:szCs w:val="22"/>
        </w:rPr>
        <w:t xml:space="preserve"> Preliminary Literature Review</w:t>
      </w:r>
      <w:bookmarkEnd w:id="2"/>
      <w:r w:rsidRPr="000A7090">
        <w:rPr>
          <w:b/>
          <w:bCs/>
          <w:sz w:val="22"/>
          <w:szCs w:val="22"/>
        </w:rPr>
        <w:t xml:space="preserve"> </w:t>
      </w:r>
    </w:p>
    <w:p w14:paraId="2B595D3B" w14:textId="6592BF92" w:rsidR="003561DE" w:rsidRPr="000A7090" w:rsidRDefault="003561DE" w:rsidP="000A7090">
      <w:pPr>
        <w:pStyle w:val="Heading1"/>
        <w:spacing w:before="0" w:after="0"/>
        <w:rPr>
          <w:b/>
          <w:bCs/>
          <w:i/>
          <w:iCs/>
          <w:sz w:val="22"/>
          <w:szCs w:val="22"/>
        </w:rPr>
      </w:pPr>
      <w:bookmarkStart w:id="3" w:name="_Toc222003616"/>
      <w:r w:rsidRPr="000A7090">
        <w:rPr>
          <w:b/>
          <w:bCs/>
          <w:i/>
          <w:iCs/>
          <w:sz w:val="22"/>
          <w:szCs w:val="22"/>
        </w:rPr>
        <w:t>3.1. Supply</w:t>
      </w:r>
      <w:r w:rsidRPr="000A7090">
        <w:rPr>
          <w:rFonts w:ascii="Cambria Math" w:hAnsi="Cambria Math" w:cs="Cambria Math"/>
          <w:b/>
          <w:bCs/>
          <w:i/>
          <w:iCs/>
          <w:sz w:val="22"/>
          <w:szCs w:val="22"/>
        </w:rPr>
        <w:t>‑</w:t>
      </w:r>
      <w:r w:rsidRPr="000A7090">
        <w:rPr>
          <w:b/>
          <w:bCs/>
          <w:i/>
          <w:iCs/>
          <w:sz w:val="22"/>
          <w:szCs w:val="22"/>
        </w:rPr>
        <w:t>chain complexity as the structural context</w:t>
      </w:r>
      <w:bookmarkEnd w:id="3"/>
    </w:p>
    <w:p w14:paraId="382F8A20" w14:textId="58CDEBA1" w:rsidR="005E4882" w:rsidRDefault="00F02506" w:rsidP="00A63152">
      <w:pPr>
        <w:spacing w:after="0" w:line="360" w:lineRule="auto"/>
        <w:ind w:firstLine="567"/>
        <w:jc w:val="both"/>
        <w:rPr>
          <w:rFonts w:ascii="Arial" w:hAnsi="Arial" w:cs="Arial"/>
          <w:sz w:val="22"/>
          <w:szCs w:val="22"/>
        </w:rPr>
      </w:pPr>
      <w:r w:rsidRPr="00F02506">
        <w:rPr>
          <w:rFonts w:ascii="Arial" w:hAnsi="Arial" w:cs="Arial"/>
          <w:sz w:val="22"/>
          <w:szCs w:val="22"/>
        </w:rPr>
        <w:t xml:space="preserve">According to recent research, the structural complexity of today's automotive supply chain increases the </w:t>
      </w:r>
      <w:r w:rsidR="00102F91">
        <w:rPr>
          <w:rFonts w:ascii="Arial" w:hAnsi="Arial" w:cs="Arial"/>
          <w:sz w:val="22"/>
          <w:szCs w:val="22"/>
        </w:rPr>
        <w:t>risk of disruption, and it is not limited to global markets</w:t>
      </w:r>
      <w:r w:rsidRPr="00F02506">
        <w:rPr>
          <w:rFonts w:ascii="Arial" w:hAnsi="Arial" w:cs="Arial"/>
          <w:sz w:val="22"/>
          <w:szCs w:val="22"/>
        </w:rPr>
        <w:t xml:space="preserve">. The authors Ali, Ismail, and Arslan (2023) show that the likelihood of local shocks propagating internationally has increased due to </w:t>
      </w:r>
      <w:r w:rsidR="00102F91">
        <w:rPr>
          <w:rFonts w:ascii="Arial" w:hAnsi="Arial" w:cs="Arial"/>
          <w:sz w:val="22"/>
          <w:szCs w:val="22"/>
        </w:rPr>
        <w:t>greater systemic complexity stemming from</w:t>
      </w:r>
      <w:r w:rsidRPr="00F02506">
        <w:rPr>
          <w:rFonts w:ascii="Arial" w:hAnsi="Arial" w:cs="Arial"/>
          <w:sz w:val="22"/>
          <w:szCs w:val="22"/>
        </w:rPr>
        <w:t xml:space="preserve"> economic interconnectedness and geopolitical fragmentation. </w:t>
      </w:r>
      <w:r w:rsidR="00902EFD">
        <w:rPr>
          <w:rFonts w:ascii="Arial" w:hAnsi="Arial" w:cs="Arial"/>
          <w:sz w:val="22"/>
          <w:szCs w:val="22"/>
        </w:rPr>
        <w:t>Some</w:t>
      </w:r>
      <w:r w:rsidRPr="00F02506">
        <w:rPr>
          <w:rFonts w:ascii="Arial" w:hAnsi="Arial" w:cs="Arial"/>
          <w:sz w:val="22"/>
          <w:szCs w:val="22"/>
        </w:rPr>
        <w:t xml:space="preserve"> empirical evidence </w:t>
      </w:r>
      <w:r w:rsidR="00902EFD">
        <w:rPr>
          <w:rFonts w:ascii="Arial" w:hAnsi="Arial" w:cs="Arial"/>
          <w:sz w:val="22"/>
          <w:szCs w:val="22"/>
        </w:rPr>
        <w:t>supporting this idea shows</w:t>
      </w:r>
      <w:r w:rsidRPr="00F02506">
        <w:rPr>
          <w:rFonts w:ascii="Arial" w:hAnsi="Arial" w:cs="Arial"/>
          <w:sz w:val="22"/>
          <w:szCs w:val="22"/>
        </w:rPr>
        <w:t xml:space="preserve"> a substantial correlation between complexity indicators (such as geographic dispersion and supplier tiers) and disruption susceptibility. </w:t>
      </w:r>
      <w:r w:rsidR="00EA003D" w:rsidRPr="00EA003D">
        <w:rPr>
          <w:rFonts w:ascii="Arial" w:hAnsi="Arial" w:cs="Arial"/>
          <w:sz w:val="22"/>
          <w:szCs w:val="22"/>
        </w:rPr>
        <w:t>Explain how complexity turns discrete situations like blocking ships into multiple-stage interruptions, challenging the assumptions of perfectly synchronised JIT systems. To evaluate JIT→JIC, it is important to recognise that complexity is a significant element in current risk exposure (Ali et al., 2023; Nikookar et al., 2021).</w:t>
      </w:r>
    </w:p>
    <w:p w14:paraId="3A403AC0" w14:textId="5009CFD9" w:rsidR="00576B50" w:rsidRPr="00AA4E12" w:rsidRDefault="00576B50" w:rsidP="002803ED">
      <w:pPr>
        <w:spacing w:after="0" w:line="360" w:lineRule="auto"/>
        <w:ind w:firstLine="567"/>
        <w:jc w:val="both"/>
        <w:rPr>
          <w:rFonts w:ascii="Arial" w:hAnsi="Arial" w:cs="Arial"/>
          <w:sz w:val="22"/>
          <w:szCs w:val="22"/>
        </w:rPr>
      </w:pPr>
      <w:r w:rsidRPr="00576B50">
        <w:rPr>
          <w:rFonts w:ascii="Arial" w:hAnsi="Arial" w:cs="Arial"/>
          <w:sz w:val="22"/>
          <w:szCs w:val="22"/>
        </w:rPr>
        <w:t xml:space="preserve">Though JIT inventory systems get a lot of good press for their efficiency, it's important to note that this benefit is </w:t>
      </w:r>
      <w:r w:rsidR="002803ED">
        <w:rPr>
          <w:rFonts w:ascii="Arial" w:hAnsi="Arial" w:cs="Arial"/>
          <w:sz w:val="22"/>
          <w:szCs w:val="22"/>
        </w:rPr>
        <w:t>context-dependent</w:t>
      </w:r>
      <w:r w:rsidRPr="00576B50">
        <w:rPr>
          <w:rFonts w:ascii="Arial" w:hAnsi="Arial" w:cs="Arial"/>
          <w:sz w:val="22"/>
          <w:szCs w:val="22"/>
        </w:rPr>
        <w:t xml:space="preserve"> and </w:t>
      </w:r>
      <w:r w:rsidR="002803ED">
        <w:rPr>
          <w:rFonts w:ascii="Arial" w:hAnsi="Arial" w:cs="Arial"/>
          <w:sz w:val="22"/>
          <w:szCs w:val="22"/>
        </w:rPr>
        <w:t>applies only to</w:t>
      </w:r>
      <w:r w:rsidRPr="00576B50">
        <w:rPr>
          <w:rFonts w:ascii="Arial" w:hAnsi="Arial" w:cs="Arial"/>
          <w:sz w:val="22"/>
          <w:szCs w:val="22"/>
        </w:rPr>
        <w:t xml:space="preserve"> well-maintained systems. Shortages in lean systems may spike to unanticipated levels when volatility rises, </w:t>
      </w:r>
      <w:r w:rsidR="009A4499">
        <w:rPr>
          <w:rFonts w:ascii="Arial" w:hAnsi="Arial" w:cs="Arial"/>
          <w:sz w:val="22"/>
          <w:szCs w:val="22"/>
        </w:rPr>
        <w:t>for example due to</w:t>
      </w:r>
      <w:r w:rsidRPr="00576B50">
        <w:rPr>
          <w:rFonts w:ascii="Arial" w:hAnsi="Arial" w:cs="Arial"/>
          <w:sz w:val="22"/>
          <w:szCs w:val="22"/>
        </w:rPr>
        <w:t xml:space="preserve"> transportation delays or regional conflicts</w:t>
      </w:r>
      <w:r w:rsidR="006A340C">
        <w:rPr>
          <w:rFonts w:ascii="Arial" w:hAnsi="Arial" w:cs="Arial"/>
          <w:sz w:val="22"/>
          <w:szCs w:val="22"/>
        </w:rPr>
        <w:t xml:space="preserve"> </w:t>
      </w:r>
      <w:r w:rsidR="002803ED">
        <w:rPr>
          <w:rFonts w:ascii="Arial" w:hAnsi="Arial" w:cs="Arial"/>
          <w:sz w:val="22"/>
          <w:szCs w:val="22"/>
        </w:rPr>
        <w:t>(</w:t>
      </w:r>
      <w:r w:rsidR="00465458">
        <w:rPr>
          <w:rFonts w:ascii="Arial" w:hAnsi="Arial" w:cs="Arial"/>
          <w:sz w:val="22"/>
          <w:szCs w:val="22"/>
        </w:rPr>
        <w:t xml:space="preserve">Durach, Wieland and Jose, </w:t>
      </w:r>
      <w:r w:rsidR="00465458" w:rsidRPr="00AA4E12">
        <w:rPr>
          <w:rFonts w:ascii="Arial" w:hAnsi="Arial" w:cs="Arial"/>
          <w:sz w:val="22"/>
          <w:szCs w:val="22"/>
        </w:rPr>
        <w:t>2015</w:t>
      </w:r>
      <w:r w:rsidR="009A4499">
        <w:rPr>
          <w:rFonts w:ascii="Arial" w:hAnsi="Arial" w:cs="Arial"/>
          <w:sz w:val="22"/>
          <w:szCs w:val="22"/>
        </w:rPr>
        <w:t xml:space="preserve">; </w:t>
      </w:r>
      <w:r w:rsidR="006A340C" w:rsidRPr="00AA4E12">
        <w:rPr>
          <w:rFonts w:ascii="Arial" w:hAnsi="Arial" w:cs="Arial"/>
          <w:sz w:val="22"/>
          <w:szCs w:val="22"/>
        </w:rPr>
        <w:t>Barney</w:t>
      </w:r>
      <w:r w:rsidR="002803ED">
        <w:rPr>
          <w:rFonts w:ascii="Arial" w:hAnsi="Arial" w:cs="Arial"/>
          <w:sz w:val="22"/>
          <w:szCs w:val="22"/>
        </w:rPr>
        <w:t>, 2012</w:t>
      </w:r>
      <w:r w:rsidR="006A340C" w:rsidRPr="00AA4E12">
        <w:rPr>
          <w:rFonts w:ascii="Arial" w:hAnsi="Arial" w:cs="Arial"/>
          <w:sz w:val="22"/>
          <w:szCs w:val="22"/>
        </w:rPr>
        <w:t>)</w:t>
      </w:r>
      <w:r w:rsidR="006A340C">
        <w:rPr>
          <w:rFonts w:ascii="Arial" w:hAnsi="Arial" w:cs="Arial"/>
          <w:sz w:val="22"/>
          <w:szCs w:val="22"/>
        </w:rPr>
        <w:t>.</w:t>
      </w:r>
      <w:r w:rsidRPr="00576B50">
        <w:rPr>
          <w:rFonts w:ascii="Arial" w:hAnsi="Arial" w:cs="Arial"/>
          <w:sz w:val="22"/>
          <w:szCs w:val="22"/>
        </w:rPr>
        <w:t xml:space="preserve"> Herein lies a fatal defect: methods predicated on </w:t>
      </w:r>
      <w:r w:rsidR="002803ED">
        <w:rPr>
          <w:rFonts w:ascii="Arial" w:hAnsi="Arial" w:cs="Arial"/>
          <w:sz w:val="22"/>
          <w:szCs w:val="22"/>
        </w:rPr>
        <w:t>the maximisation of efficiency erode</w:t>
      </w:r>
      <w:r w:rsidRPr="00576B50">
        <w:rPr>
          <w:rFonts w:ascii="Arial" w:hAnsi="Arial" w:cs="Arial"/>
          <w:sz w:val="22"/>
          <w:szCs w:val="22"/>
        </w:rPr>
        <w:t xml:space="preserve"> the ability to absorb shocks</w:t>
      </w:r>
      <w:r w:rsidR="002803ED">
        <w:rPr>
          <w:rFonts w:ascii="Arial" w:hAnsi="Arial" w:cs="Arial"/>
          <w:sz w:val="22"/>
          <w:szCs w:val="22"/>
        </w:rPr>
        <w:t>.</w:t>
      </w:r>
      <w:r w:rsidR="006A340C">
        <w:rPr>
          <w:rFonts w:ascii="Arial" w:hAnsi="Arial" w:cs="Arial"/>
          <w:sz w:val="22"/>
          <w:szCs w:val="22"/>
        </w:rPr>
        <w:t xml:space="preserve"> </w:t>
      </w:r>
      <w:r w:rsidR="002803ED">
        <w:rPr>
          <w:rFonts w:ascii="Arial" w:hAnsi="Arial" w:cs="Arial"/>
          <w:sz w:val="22"/>
          <w:szCs w:val="22"/>
        </w:rPr>
        <w:t>Given that regular interruptions threaten continuity, producers must weigh the benefits and risks of maintaining</w:t>
      </w:r>
      <w:r w:rsidRPr="00576B50">
        <w:rPr>
          <w:rFonts w:ascii="Arial" w:hAnsi="Arial" w:cs="Arial"/>
          <w:sz w:val="22"/>
          <w:szCs w:val="22"/>
        </w:rPr>
        <w:t xml:space="preserve"> a small buffer. A sensible solution would be to include JIC buffers </w:t>
      </w:r>
      <w:r w:rsidR="002803ED">
        <w:rPr>
          <w:rFonts w:ascii="Arial" w:hAnsi="Arial" w:cs="Arial"/>
          <w:sz w:val="22"/>
          <w:szCs w:val="22"/>
        </w:rPr>
        <w:t>in</w:t>
      </w:r>
      <w:r w:rsidRPr="00576B50">
        <w:rPr>
          <w:rFonts w:ascii="Arial" w:hAnsi="Arial" w:cs="Arial"/>
          <w:sz w:val="22"/>
          <w:szCs w:val="22"/>
        </w:rPr>
        <w:t xml:space="preserve"> the supply chain to prevent unexpected tail risks from compromising efficiency. This way, resilience can be incorporated into the chain without sacrificing the advantages of lean operations</w:t>
      </w:r>
      <w:r w:rsidR="002803ED">
        <w:rPr>
          <w:rFonts w:ascii="Arial" w:hAnsi="Arial" w:cs="Arial"/>
          <w:sz w:val="22"/>
          <w:szCs w:val="22"/>
        </w:rPr>
        <w:t xml:space="preserve"> (</w:t>
      </w:r>
      <w:r w:rsidR="002803ED" w:rsidRPr="00AA4E12">
        <w:rPr>
          <w:rFonts w:ascii="Arial" w:hAnsi="Arial" w:cs="Arial"/>
          <w:sz w:val="22"/>
          <w:szCs w:val="22"/>
        </w:rPr>
        <w:t>Stackpole</w:t>
      </w:r>
      <w:r w:rsidR="002803ED">
        <w:rPr>
          <w:rFonts w:ascii="Arial" w:hAnsi="Arial" w:cs="Arial"/>
          <w:sz w:val="22"/>
          <w:szCs w:val="22"/>
        </w:rPr>
        <w:t xml:space="preserve">, </w:t>
      </w:r>
      <w:r w:rsidR="002803ED" w:rsidRPr="00AA4E12">
        <w:rPr>
          <w:rFonts w:ascii="Arial" w:hAnsi="Arial" w:cs="Arial"/>
          <w:sz w:val="22"/>
          <w:szCs w:val="22"/>
        </w:rPr>
        <w:t>2022)</w:t>
      </w:r>
      <w:r w:rsidR="002803ED" w:rsidRPr="00576B50">
        <w:rPr>
          <w:rFonts w:ascii="Arial" w:hAnsi="Arial" w:cs="Arial"/>
          <w:sz w:val="22"/>
          <w:szCs w:val="22"/>
        </w:rPr>
        <w:t xml:space="preserve">. </w:t>
      </w:r>
    </w:p>
    <w:p w14:paraId="12CE1703" w14:textId="6EBAB31A" w:rsidR="003F0254" w:rsidRDefault="003F0254" w:rsidP="003F0254">
      <w:pPr>
        <w:spacing w:after="0" w:line="360" w:lineRule="auto"/>
        <w:ind w:firstLine="567"/>
        <w:jc w:val="both"/>
        <w:rPr>
          <w:rFonts w:ascii="Arial" w:hAnsi="Arial" w:cs="Arial"/>
          <w:sz w:val="22"/>
          <w:szCs w:val="22"/>
        </w:rPr>
      </w:pPr>
      <w:r w:rsidRPr="003F0254">
        <w:rPr>
          <w:rFonts w:ascii="Arial" w:hAnsi="Arial" w:cs="Arial"/>
          <w:sz w:val="22"/>
          <w:szCs w:val="22"/>
        </w:rPr>
        <w:t xml:space="preserve">According to Wieland and Durach (2021), resilience is now seen as a complex skill that includes adaptation, transformation, and determination, rather than as a single outcome. Durach et al. (2015) provide useful insights into risk management and resilience, whereas Nikookar and Yanadori (2022) </w:t>
      </w:r>
      <w:r w:rsidR="009E7C70">
        <w:rPr>
          <w:rFonts w:ascii="Arial" w:hAnsi="Arial" w:cs="Arial"/>
          <w:sz w:val="22"/>
          <w:szCs w:val="22"/>
        </w:rPr>
        <w:t>emphasise the importance of assets that promote resilience, such as</w:t>
      </w:r>
      <w:r w:rsidRPr="003F0254">
        <w:rPr>
          <w:rFonts w:ascii="Arial" w:hAnsi="Arial" w:cs="Arial"/>
          <w:sz w:val="22"/>
          <w:szCs w:val="22"/>
        </w:rPr>
        <w:t xml:space="preserve"> safety stock and multi-sourcing, in generating value. Rather than seeing JIC as inefficient hoarding, this theoretical change reframes it as an investment in resilience assets that enable businesses to persist and adapt. According to Durach et al. (2015) and Wieland and Durach (2021), </w:t>
      </w:r>
      <w:r w:rsidR="009E7C70">
        <w:rPr>
          <w:rFonts w:ascii="Arial" w:hAnsi="Arial" w:cs="Arial"/>
          <w:sz w:val="22"/>
          <w:szCs w:val="22"/>
        </w:rPr>
        <w:t>JIT and JIC may be viewed as additional approaches within</w:t>
      </w:r>
      <w:r w:rsidRPr="003F0254">
        <w:rPr>
          <w:rFonts w:ascii="Arial" w:hAnsi="Arial" w:cs="Arial"/>
          <w:sz w:val="22"/>
          <w:szCs w:val="22"/>
        </w:rPr>
        <w:t xml:space="preserve"> a resilience portfolio.</w:t>
      </w:r>
      <w:r w:rsidR="003D1A1A">
        <w:rPr>
          <w:rFonts w:ascii="Arial" w:hAnsi="Arial" w:cs="Arial"/>
          <w:sz w:val="22"/>
          <w:szCs w:val="22"/>
        </w:rPr>
        <w:t xml:space="preserve"> </w:t>
      </w:r>
      <w:r w:rsidR="003D1A1A" w:rsidRPr="003D1A1A">
        <w:rPr>
          <w:rFonts w:ascii="Arial" w:hAnsi="Arial" w:cs="Arial"/>
          <w:sz w:val="22"/>
          <w:szCs w:val="22"/>
        </w:rPr>
        <w:t>Due to this conflict between efficiency and resilience, manufacturers must ask how and why their dynamic capabilities must grow to detect, capture, and modify environmental shocks and adapt inventory strategies.</w:t>
      </w:r>
    </w:p>
    <w:p w14:paraId="7FB6B6AA" w14:textId="77777777" w:rsidR="001730FC" w:rsidRDefault="001730FC" w:rsidP="003F0254">
      <w:pPr>
        <w:spacing w:after="0" w:line="360" w:lineRule="auto"/>
        <w:ind w:firstLine="567"/>
        <w:jc w:val="both"/>
        <w:rPr>
          <w:rFonts w:ascii="Arial" w:hAnsi="Arial" w:cs="Arial"/>
          <w:sz w:val="22"/>
          <w:szCs w:val="22"/>
        </w:rPr>
      </w:pPr>
    </w:p>
    <w:p w14:paraId="209045BD" w14:textId="77777777" w:rsidR="001730FC" w:rsidRDefault="001730FC" w:rsidP="003F0254">
      <w:pPr>
        <w:spacing w:after="0" w:line="360" w:lineRule="auto"/>
        <w:ind w:firstLine="567"/>
        <w:jc w:val="both"/>
        <w:rPr>
          <w:rFonts w:ascii="Arial" w:hAnsi="Arial" w:cs="Arial"/>
          <w:sz w:val="22"/>
          <w:szCs w:val="22"/>
        </w:rPr>
      </w:pPr>
    </w:p>
    <w:p w14:paraId="206A7C00" w14:textId="77777777" w:rsidR="001730FC" w:rsidRPr="003F0254" w:rsidRDefault="001730FC" w:rsidP="003F0254">
      <w:pPr>
        <w:spacing w:after="0" w:line="360" w:lineRule="auto"/>
        <w:ind w:firstLine="567"/>
        <w:jc w:val="both"/>
        <w:rPr>
          <w:rFonts w:ascii="Arial" w:hAnsi="Arial" w:cs="Arial"/>
          <w:sz w:val="22"/>
          <w:szCs w:val="22"/>
        </w:rPr>
      </w:pPr>
    </w:p>
    <w:p w14:paraId="1EDF8E6C" w14:textId="5C085C3A" w:rsidR="003154DF" w:rsidRPr="000A7090" w:rsidRDefault="002E0FE6" w:rsidP="00D60CA2">
      <w:pPr>
        <w:pStyle w:val="Heading1"/>
        <w:spacing w:before="120"/>
        <w:rPr>
          <w:b/>
          <w:bCs/>
          <w:sz w:val="22"/>
          <w:szCs w:val="22"/>
        </w:rPr>
      </w:pPr>
      <w:bookmarkStart w:id="4" w:name="_Toc222003617"/>
      <w:r w:rsidRPr="000A7090">
        <w:rPr>
          <w:b/>
          <w:bCs/>
          <w:sz w:val="22"/>
          <w:szCs w:val="22"/>
        </w:rPr>
        <w:lastRenderedPageBreak/>
        <w:t>3.</w:t>
      </w:r>
      <w:r w:rsidR="00484DEE" w:rsidRPr="000A7090">
        <w:rPr>
          <w:b/>
          <w:bCs/>
          <w:sz w:val="22"/>
          <w:szCs w:val="22"/>
        </w:rPr>
        <w:t>2</w:t>
      </w:r>
      <w:r w:rsidRPr="000A7090">
        <w:rPr>
          <w:b/>
          <w:bCs/>
          <w:sz w:val="22"/>
          <w:szCs w:val="22"/>
        </w:rPr>
        <w:t>. Dynamic Capability Theory (DCT) as a useful lens</w:t>
      </w:r>
      <w:bookmarkEnd w:id="4"/>
    </w:p>
    <w:p w14:paraId="7FF221FE" w14:textId="0238DB33" w:rsidR="001730FC" w:rsidRDefault="00E0479F" w:rsidP="006D5BB5">
      <w:pPr>
        <w:spacing w:after="0" w:line="360" w:lineRule="auto"/>
        <w:ind w:firstLine="567"/>
        <w:jc w:val="both"/>
        <w:rPr>
          <w:rFonts w:ascii="Arial" w:hAnsi="Arial" w:cs="Arial"/>
          <w:sz w:val="22"/>
          <w:szCs w:val="22"/>
        </w:rPr>
      </w:pPr>
      <w:r w:rsidRPr="00E0479F">
        <w:rPr>
          <w:rFonts w:ascii="Arial" w:hAnsi="Arial" w:cs="Arial"/>
          <w:sz w:val="22"/>
          <w:szCs w:val="22"/>
        </w:rPr>
        <w:t xml:space="preserve">DCT emphasises </w:t>
      </w:r>
      <w:r w:rsidRPr="00131294">
        <w:rPr>
          <w:rFonts w:ascii="Arial" w:hAnsi="Arial" w:cs="Arial"/>
          <w:b/>
          <w:bCs/>
          <w:sz w:val="22"/>
          <w:szCs w:val="22"/>
        </w:rPr>
        <w:t>d</w:t>
      </w:r>
      <w:r w:rsidRPr="00E0479F">
        <w:rPr>
          <w:rFonts w:ascii="Arial" w:hAnsi="Arial" w:cs="Arial"/>
          <w:sz w:val="22"/>
          <w:szCs w:val="22"/>
        </w:rPr>
        <w:t xml:space="preserve">etecting, </w:t>
      </w:r>
      <w:r w:rsidRPr="00131294">
        <w:rPr>
          <w:rFonts w:ascii="Arial" w:hAnsi="Arial" w:cs="Arial"/>
          <w:b/>
          <w:bCs/>
          <w:sz w:val="22"/>
          <w:szCs w:val="22"/>
        </w:rPr>
        <w:t>c</w:t>
      </w:r>
      <w:r w:rsidRPr="00E0479F">
        <w:rPr>
          <w:rFonts w:ascii="Arial" w:hAnsi="Arial" w:cs="Arial"/>
          <w:sz w:val="22"/>
          <w:szCs w:val="22"/>
        </w:rPr>
        <w:t>ontrolling, and reconfiguration as management practices that help organisations adapt to changing environments</w:t>
      </w:r>
      <w:r w:rsidR="00AA496C">
        <w:rPr>
          <w:rFonts w:ascii="Arial" w:hAnsi="Arial" w:cs="Arial"/>
          <w:sz w:val="22"/>
          <w:szCs w:val="22"/>
        </w:rPr>
        <w:t>.</w:t>
      </w:r>
    </w:p>
    <w:p w14:paraId="0412F9A9" w14:textId="0D6CFDB7" w:rsidR="00AA496C" w:rsidRPr="00AA496C" w:rsidRDefault="00AA496C" w:rsidP="00AA496C">
      <w:pPr>
        <w:spacing w:after="0" w:line="360" w:lineRule="auto"/>
        <w:ind w:firstLine="567"/>
        <w:jc w:val="both"/>
        <w:rPr>
          <w:rFonts w:ascii="Arial" w:hAnsi="Arial" w:cs="Arial"/>
          <w:sz w:val="22"/>
          <w:szCs w:val="22"/>
        </w:rPr>
      </w:pPr>
      <w:r w:rsidRPr="00AA496C">
        <w:rPr>
          <w:rFonts w:ascii="Arial" w:hAnsi="Arial" w:cs="Arial"/>
          <w:sz w:val="22"/>
          <w:szCs w:val="22"/>
        </w:rPr>
        <w:t xml:space="preserve">The application of Dynamic Capability Theory to supply chains </w:t>
      </w:r>
      <w:r>
        <w:rPr>
          <w:rFonts w:ascii="Arial" w:hAnsi="Arial" w:cs="Arial"/>
          <w:sz w:val="22"/>
          <w:szCs w:val="22"/>
        </w:rPr>
        <w:t>provides useful insights into how businesses can detect disturbances, seize</w:t>
      </w:r>
      <w:r w:rsidRPr="00AA496C">
        <w:rPr>
          <w:rFonts w:ascii="Arial" w:hAnsi="Arial" w:cs="Arial"/>
          <w:sz w:val="22"/>
          <w:szCs w:val="22"/>
        </w:rPr>
        <w:t xml:space="preserve"> opportunities, and adjust their inventory or logistics strategies.</w:t>
      </w:r>
    </w:p>
    <w:p w14:paraId="6E421674" w14:textId="61F4DDC2" w:rsidR="00AA496C" w:rsidRDefault="00AA496C" w:rsidP="00AA496C">
      <w:pPr>
        <w:spacing w:after="0" w:line="360" w:lineRule="auto"/>
        <w:ind w:firstLine="567"/>
        <w:jc w:val="both"/>
        <w:rPr>
          <w:rFonts w:ascii="Arial" w:hAnsi="Arial" w:cs="Arial"/>
          <w:b/>
          <w:bCs/>
          <w:sz w:val="22"/>
          <w:szCs w:val="22"/>
        </w:rPr>
      </w:pPr>
      <w:r w:rsidRPr="00AA496C">
        <w:rPr>
          <w:rFonts w:ascii="Arial" w:hAnsi="Arial" w:cs="Arial"/>
          <w:sz w:val="22"/>
          <w:szCs w:val="22"/>
        </w:rPr>
        <w:t xml:space="preserve"> Manufacturers may get a better understanding of how to go from JIT to JIC without sacrificing competitiveness by reading this theoretical viewpoint. The </w:t>
      </w:r>
      <w:r>
        <w:rPr>
          <w:rFonts w:ascii="Arial" w:hAnsi="Arial" w:cs="Arial"/>
          <w:sz w:val="22"/>
          <w:szCs w:val="22"/>
        </w:rPr>
        <w:t>importance of developing capabilities for rapid</w:t>
      </w:r>
      <w:r w:rsidRPr="00AA496C">
        <w:rPr>
          <w:rFonts w:ascii="Arial" w:hAnsi="Arial" w:cs="Arial"/>
          <w:sz w:val="22"/>
          <w:szCs w:val="22"/>
        </w:rPr>
        <w:t xml:space="preserve"> inventory reallocation, supplier changes, and digital orchestration is emphasised. </w:t>
      </w:r>
      <w:r>
        <w:rPr>
          <w:rFonts w:ascii="Arial" w:hAnsi="Arial" w:cs="Arial"/>
          <w:sz w:val="22"/>
          <w:szCs w:val="22"/>
        </w:rPr>
        <w:t>Because it links strategic inventory changes to environmental shocks, DCT provides a strong lens for examining</w:t>
      </w:r>
      <w:r w:rsidRPr="00AA496C">
        <w:rPr>
          <w:rFonts w:ascii="Arial" w:hAnsi="Arial" w:cs="Arial"/>
          <w:sz w:val="22"/>
          <w:szCs w:val="22"/>
        </w:rPr>
        <w:t xml:space="preserve"> how businesses adapt to uncertain environments (Helfat &amp; Peteraf, 2015; Teece, 2007).</w:t>
      </w:r>
    </w:p>
    <w:p w14:paraId="65F04FC8" w14:textId="3942A010" w:rsidR="006C0ABF" w:rsidRPr="00D60CA2" w:rsidRDefault="003207CC" w:rsidP="00D60CA2">
      <w:pPr>
        <w:pStyle w:val="Heading1"/>
        <w:spacing w:before="120"/>
        <w:rPr>
          <w:b/>
          <w:bCs/>
          <w:sz w:val="22"/>
          <w:szCs w:val="22"/>
        </w:rPr>
      </w:pPr>
      <w:bookmarkStart w:id="5" w:name="_Toc222003618"/>
      <w:r w:rsidRPr="00D60CA2">
        <w:rPr>
          <w:b/>
          <w:bCs/>
          <w:sz w:val="22"/>
          <w:szCs w:val="22"/>
        </w:rPr>
        <w:t>3.</w:t>
      </w:r>
      <w:r w:rsidR="00484DEE" w:rsidRPr="00D60CA2">
        <w:rPr>
          <w:b/>
          <w:bCs/>
          <w:sz w:val="22"/>
          <w:szCs w:val="22"/>
        </w:rPr>
        <w:t>3</w:t>
      </w:r>
      <w:r w:rsidRPr="00D60CA2">
        <w:rPr>
          <w:b/>
          <w:bCs/>
          <w:sz w:val="22"/>
          <w:szCs w:val="22"/>
        </w:rPr>
        <w:t>. Industry 4.0 technologies as enablers of hybrid JIT–JIC</w:t>
      </w:r>
      <w:bookmarkEnd w:id="5"/>
    </w:p>
    <w:p w14:paraId="7329AD9A" w14:textId="78AC1763" w:rsidR="009246D4" w:rsidRPr="009246D4" w:rsidRDefault="009246D4" w:rsidP="009246D4">
      <w:pPr>
        <w:spacing w:after="0" w:line="360" w:lineRule="auto"/>
        <w:ind w:firstLine="567"/>
        <w:jc w:val="both"/>
        <w:rPr>
          <w:rFonts w:ascii="Arial" w:hAnsi="Arial" w:cs="Arial"/>
          <w:sz w:val="22"/>
          <w:szCs w:val="22"/>
        </w:rPr>
      </w:pPr>
      <w:r w:rsidRPr="009246D4">
        <w:rPr>
          <w:rFonts w:ascii="Arial" w:hAnsi="Arial" w:cs="Arial"/>
          <w:sz w:val="22"/>
          <w:szCs w:val="22"/>
        </w:rPr>
        <w:t xml:space="preserve">The operational accelerators provided by digital technologies are increasingly </w:t>
      </w:r>
      <w:r>
        <w:rPr>
          <w:rFonts w:ascii="Arial" w:hAnsi="Arial" w:cs="Arial"/>
          <w:sz w:val="22"/>
          <w:szCs w:val="22"/>
        </w:rPr>
        <w:t>discussed in the literature, allowing</w:t>
      </w:r>
      <w:r w:rsidRPr="009246D4">
        <w:rPr>
          <w:rFonts w:ascii="Arial" w:hAnsi="Arial" w:cs="Arial"/>
          <w:sz w:val="22"/>
          <w:szCs w:val="22"/>
        </w:rPr>
        <w:t xml:space="preserve"> businesses to strike a balance between supply chain efficiency and resilience. Some of the innovations that have contributed to increased openness and flexibility in recent years include the IoT, digital twins, and predictive analytics, all of which are essential to Industry 4.0. Businesses may make better, faster </w:t>
      </w:r>
      <w:r w:rsidR="00BB774E">
        <w:rPr>
          <w:rFonts w:ascii="Arial" w:hAnsi="Arial" w:cs="Arial"/>
          <w:sz w:val="22"/>
          <w:szCs w:val="22"/>
        </w:rPr>
        <w:t>decisions about inventory buffers when they digitalise their processes, as this reduces</w:t>
      </w:r>
      <w:r w:rsidRPr="009246D4">
        <w:rPr>
          <w:rFonts w:ascii="Arial" w:hAnsi="Arial" w:cs="Arial"/>
          <w:sz w:val="22"/>
          <w:szCs w:val="22"/>
        </w:rPr>
        <w:t xml:space="preserve"> information latency. With better information exchange, the bullwhip effect may be avoided, allowing specific JIC buffers to be retained without compromising lean flows in other areas. Hybrid inventory models can only be fully used by digitally advanced enterprises, hence digital maturity is ultimately necessary for their successful application (Spieske and Birkel, 2021; Xu et al., 2020).</w:t>
      </w:r>
    </w:p>
    <w:p w14:paraId="6ED75C1C" w14:textId="3984AF50" w:rsidR="006C0ABF" w:rsidRPr="00D60CA2" w:rsidRDefault="001902B2" w:rsidP="00D60CA2">
      <w:pPr>
        <w:pStyle w:val="Heading1"/>
        <w:spacing w:before="120"/>
        <w:rPr>
          <w:b/>
          <w:bCs/>
          <w:sz w:val="22"/>
          <w:szCs w:val="22"/>
        </w:rPr>
      </w:pPr>
      <w:bookmarkStart w:id="6" w:name="_Toc222003619"/>
      <w:r w:rsidRPr="00D60CA2">
        <w:rPr>
          <w:b/>
          <w:bCs/>
          <w:sz w:val="22"/>
          <w:szCs w:val="22"/>
        </w:rPr>
        <w:t>3.</w:t>
      </w:r>
      <w:r w:rsidR="00484DEE" w:rsidRPr="00D60CA2">
        <w:rPr>
          <w:b/>
          <w:bCs/>
          <w:sz w:val="22"/>
          <w:szCs w:val="22"/>
        </w:rPr>
        <w:t>4</w:t>
      </w:r>
      <w:r w:rsidRPr="00D60CA2">
        <w:rPr>
          <w:b/>
          <w:bCs/>
          <w:sz w:val="22"/>
          <w:szCs w:val="22"/>
        </w:rPr>
        <w:t xml:space="preserve">.  </w:t>
      </w:r>
      <w:r w:rsidR="00EB4CCC" w:rsidRPr="00D60CA2">
        <w:rPr>
          <w:b/>
          <w:bCs/>
          <w:sz w:val="22"/>
          <w:szCs w:val="22"/>
        </w:rPr>
        <w:t>I</w:t>
      </w:r>
      <w:r w:rsidRPr="00D60CA2">
        <w:rPr>
          <w:b/>
          <w:bCs/>
          <w:sz w:val="22"/>
          <w:szCs w:val="22"/>
        </w:rPr>
        <w:t>DT</w:t>
      </w:r>
      <w:r w:rsidR="00EB4CCC" w:rsidRPr="00D60CA2">
        <w:rPr>
          <w:b/>
          <w:bCs/>
          <w:sz w:val="22"/>
          <w:szCs w:val="22"/>
        </w:rPr>
        <w:t xml:space="preserve"> and SCREM can materially affect</w:t>
      </w:r>
      <w:r w:rsidRPr="00D60CA2">
        <w:rPr>
          <w:b/>
          <w:bCs/>
          <w:sz w:val="22"/>
          <w:szCs w:val="22"/>
        </w:rPr>
        <w:t xml:space="preserve"> resilience outcomes</w:t>
      </w:r>
      <w:bookmarkEnd w:id="6"/>
    </w:p>
    <w:p w14:paraId="2F198851" w14:textId="52FC1AA8" w:rsidR="00D03755" w:rsidRDefault="00D03755" w:rsidP="00D03755">
      <w:pPr>
        <w:spacing w:after="0" w:line="360" w:lineRule="auto"/>
        <w:ind w:firstLine="567"/>
        <w:jc w:val="both"/>
        <w:rPr>
          <w:rFonts w:ascii="Arial" w:hAnsi="Arial" w:cs="Arial"/>
          <w:sz w:val="22"/>
          <w:szCs w:val="22"/>
        </w:rPr>
      </w:pPr>
      <w:r w:rsidRPr="00D03755">
        <w:rPr>
          <w:rFonts w:ascii="Arial" w:hAnsi="Arial" w:cs="Arial"/>
          <w:sz w:val="22"/>
          <w:szCs w:val="22"/>
        </w:rPr>
        <w:t>Intelligent digital twins and SCREM</w:t>
      </w:r>
      <w:r w:rsidR="002C42C8">
        <w:rPr>
          <w:rFonts w:ascii="Arial" w:hAnsi="Arial" w:cs="Arial"/>
          <w:sz w:val="22"/>
          <w:szCs w:val="22"/>
        </w:rPr>
        <w:t xml:space="preserve"> </w:t>
      </w:r>
      <w:r w:rsidR="002C42C8" w:rsidRPr="002C42C8">
        <w:rPr>
          <w:rFonts w:ascii="Arial" w:hAnsi="Arial" w:cs="Arial"/>
          <w:sz w:val="22"/>
          <w:szCs w:val="22"/>
        </w:rPr>
        <w:t>(Supply Chain Risk and Event Management)</w:t>
      </w:r>
      <w:r w:rsidRPr="00D03755">
        <w:rPr>
          <w:rFonts w:ascii="Arial" w:hAnsi="Arial" w:cs="Arial"/>
          <w:sz w:val="22"/>
          <w:szCs w:val="22"/>
        </w:rPr>
        <w:t xml:space="preserve"> are two new practical solutions that have recently been developed to aid in the operationalisation of predictive resilience in supply chains. Ivanov et al. (2019) and Li et al. (2025) conducted simulation experiments that demonstrated SCREM, enabled by the Internet of Things (IoT), may decrease lead-time variation. Meanwhile, collaborating with partners might further enhance resilience. If these tools work as advertised, they will </w:t>
      </w:r>
      <w:r w:rsidR="002C42C8">
        <w:rPr>
          <w:rFonts w:ascii="Arial" w:hAnsi="Arial" w:cs="Arial"/>
          <w:sz w:val="22"/>
          <w:szCs w:val="22"/>
        </w:rPr>
        <w:t>enable businesses to apply predictive-model-based targeted JIC buffers, reducing</w:t>
      </w:r>
      <w:r w:rsidRPr="00D03755">
        <w:rPr>
          <w:rFonts w:ascii="Arial" w:hAnsi="Arial" w:cs="Arial"/>
          <w:sz w:val="22"/>
          <w:szCs w:val="22"/>
        </w:rPr>
        <w:t xml:space="preserve"> resilience costs. Nevertheless, it is crucial to conduct empirical validations of their efficacy and transferability in real-world manufacturing scenarios</w:t>
      </w:r>
      <w:r w:rsidR="00925E10">
        <w:rPr>
          <w:rFonts w:ascii="Arial" w:hAnsi="Arial" w:cs="Arial"/>
          <w:sz w:val="22"/>
          <w:szCs w:val="22"/>
        </w:rPr>
        <w:t xml:space="preserve"> (</w:t>
      </w:r>
      <w:r w:rsidRPr="00D03755">
        <w:rPr>
          <w:rFonts w:ascii="Arial" w:hAnsi="Arial" w:cs="Arial"/>
          <w:sz w:val="22"/>
          <w:szCs w:val="22"/>
        </w:rPr>
        <w:t>Dubey et al. (2020)</w:t>
      </w:r>
      <w:r w:rsidR="00925E10">
        <w:rPr>
          <w:rFonts w:ascii="Arial" w:hAnsi="Arial" w:cs="Arial"/>
          <w:sz w:val="22"/>
          <w:szCs w:val="22"/>
        </w:rPr>
        <w:t>.</w:t>
      </w:r>
    </w:p>
    <w:p w14:paraId="4D1A3993" w14:textId="77777777" w:rsidR="00472EFA" w:rsidRDefault="00472EFA" w:rsidP="00D03755">
      <w:pPr>
        <w:spacing w:after="0" w:line="360" w:lineRule="auto"/>
        <w:ind w:firstLine="567"/>
        <w:jc w:val="both"/>
        <w:rPr>
          <w:rFonts w:ascii="Arial" w:hAnsi="Arial" w:cs="Arial"/>
          <w:sz w:val="22"/>
          <w:szCs w:val="22"/>
        </w:rPr>
      </w:pPr>
    </w:p>
    <w:p w14:paraId="0FE7E4CE" w14:textId="77777777" w:rsidR="00472EFA" w:rsidRDefault="00472EFA" w:rsidP="00D03755">
      <w:pPr>
        <w:spacing w:after="0" w:line="360" w:lineRule="auto"/>
        <w:ind w:firstLine="567"/>
        <w:jc w:val="both"/>
        <w:rPr>
          <w:rFonts w:ascii="Arial" w:hAnsi="Arial" w:cs="Arial"/>
          <w:sz w:val="22"/>
          <w:szCs w:val="22"/>
        </w:rPr>
      </w:pPr>
    </w:p>
    <w:p w14:paraId="70C32282" w14:textId="77777777" w:rsidR="00472EFA" w:rsidRPr="00D03755" w:rsidRDefault="00472EFA" w:rsidP="00D60CA2">
      <w:pPr>
        <w:spacing w:after="0" w:line="360" w:lineRule="auto"/>
        <w:jc w:val="both"/>
        <w:rPr>
          <w:rFonts w:ascii="Arial" w:hAnsi="Arial" w:cs="Arial"/>
          <w:sz w:val="22"/>
          <w:szCs w:val="22"/>
        </w:rPr>
      </w:pPr>
    </w:p>
    <w:p w14:paraId="5F404816" w14:textId="106DA9CE" w:rsidR="00472EFA" w:rsidRPr="00D60CA2" w:rsidRDefault="00891119" w:rsidP="00D60CA2">
      <w:pPr>
        <w:pStyle w:val="Heading1"/>
        <w:spacing w:before="120"/>
        <w:rPr>
          <w:rFonts w:ascii="Arial" w:hAnsi="Arial" w:cs="Arial"/>
          <w:b/>
          <w:bCs/>
          <w:sz w:val="22"/>
          <w:szCs w:val="22"/>
        </w:rPr>
      </w:pPr>
      <w:bookmarkStart w:id="7" w:name="_Toc222003620"/>
      <w:r w:rsidRPr="00D60CA2">
        <w:rPr>
          <w:rFonts w:ascii="Arial" w:hAnsi="Arial" w:cs="Arial"/>
          <w:b/>
          <w:bCs/>
          <w:sz w:val="22"/>
          <w:szCs w:val="22"/>
        </w:rPr>
        <w:lastRenderedPageBreak/>
        <w:t>3.</w:t>
      </w:r>
      <w:r w:rsidR="004102D4" w:rsidRPr="00D60CA2">
        <w:rPr>
          <w:rFonts w:ascii="Arial" w:hAnsi="Arial" w:cs="Arial"/>
          <w:b/>
          <w:bCs/>
          <w:sz w:val="22"/>
          <w:szCs w:val="22"/>
        </w:rPr>
        <w:t>5</w:t>
      </w:r>
      <w:r w:rsidR="00CB0DAC" w:rsidRPr="00D60CA2">
        <w:rPr>
          <w:rFonts w:ascii="Arial" w:hAnsi="Arial" w:cs="Arial"/>
          <w:b/>
          <w:bCs/>
          <w:sz w:val="22"/>
          <w:szCs w:val="22"/>
        </w:rPr>
        <w:t xml:space="preserve">. </w:t>
      </w:r>
      <w:r w:rsidRPr="00D60CA2">
        <w:rPr>
          <w:rFonts w:ascii="Arial" w:hAnsi="Arial" w:cs="Arial"/>
          <w:b/>
          <w:bCs/>
          <w:sz w:val="22"/>
          <w:szCs w:val="22"/>
        </w:rPr>
        <w:t>Gaps and the need for comparative, firm</w:t>
      </w:r>
      <w:r w:rsidRPr="00D60CA2">
        <w:rPr>
          <w:rFonts w:ascii="Cambria Math" w:hAnsi="Cambria Math" w:cs="Cambria Math"/>
          <w:b/>
          <w:bCs/>
          <w:sz w:val="22"/>
          <w:szCs w:val="22"/>
        </w:rPr>
        <w:t>‑</w:t>
      </w:r>
      <w:r w:rsidRPr="00D60CA2">
        <w:rPr>
          <w:rFonts w:ascii="Arial" w:hAnsi="Arial" w:cs="Arial"/>
          <w:b/>
          <w:bCs/>
          <w:sz w:val="22"/>
          <w:szCs w:val="22"/>
        </w:rPr>
        <w:t>level analysis</w:t>
      </w:r>
      <w:bookmarkEnd w:id="7"/>
    </w:p>
    <w:p w14:paraId="4439A1E7" w14:textId="75D8A481" w:rsidR="00527267" w:rsidRPr="00967289" w:rsidRDefault="00527267" w:rsidP="00CB0DAC">
      <w:pPr>
        <w:spacing w:after="0" w:line="360" w:lineRule="auto"/>
        <w:ind w:firstLine="567"/>
        <w:jc w:val="both"/>
        <w:rPr>
          <w:rFonts w:ascii="Arial" w:hAnsi="Arial" w:cs="Arial"/>
          <w:sz w:val="22"/>
          <w:szCs w:val="22"/>
        </w:rPr>
      </w:pPr>
      <w:r w:rsidRPr="00967289">
        <w:rPr>
          <w:rFonts w:ascii="Arial" w:hAnsi="Arial" w:cs="Arial"/>
          <w:sz w:val="22"/>
          <w:szCs w:val="22"/>
        </w:rPr>
        <w:t xml:space="preserve">Despite substantial theoretical study, the Red Sea crisis </w:t>
      </w:r>
      <w:r w:rsidR="004525A6">
        <w:rPr>
          <w:rFonts w:ascii="Arial" w:hAnsi="Arial" w:cs="Arial"/>
          <w:sz w:val="22"/>
          <w:szCs w:val="22"/>
        </w:rPr>
        <w:t>remains a shock that has not been thoroughly investigated experimentally, particularly regarding</w:t>
      </w:r>
      <w:r w:rsidR="00D60CA2">
        <w:rPr>
          <w:rFonts w:ascii="Arial" w:hAnsi="Arial" w:cs="Arial"/>
          <w:sz w:val="22"/>
          <w:szCs w:val="22"/>
        </w:rPr>
        <w:t xml:space="preserve"> </w:t>
      </w:r>
      <w:r w:rsidRPr="00967289">
        <w:rPr>
          <w:rFonts w:ascii="Arial" w:hAnsi="Arial" w:cs="Arial"/>
          <w:sz w:val="22"/>
          <w:szCs w:val="22"/>
        </w:rPr>
        <w:t xml:space="preserve">how enterprises adopt hybrid inventory approaches. Two macro-level studies, Ali et al. (2023) and Stackpole (2022), reveal </w:t>
      </w:r>
      <w:r w:rsidR="004525A6">
        <w:rPr>
          <w:rFonts w:ascii="Arial" w:hAnsi="Arial" w:cs="Arial"/>
          <w:sz w:val="22"/>
          <w:szCs w:val="22"/>
        </w:rPr>
        <w:t>longer lead times and higher freight costs, but few explain how these variables drive</w:t>
      </w:r>
      <w:r w:rsidRPr="00967289">
        <w:rPr>
          <w:rFonts w:ascii="Arial" w:hAnsi="Arial" w:cs="Arial"/>
          <w:sz w:val="22"/>
          <w:szCs w:val="22"/>
        </w:rPr>
        <w:t xml:space="preserve"> disruption-driven firm-level operational reconfigurations.</w:t>
      </w:r>
    </w:p>
    <w:p w14:paraId="52B4F646" w14:textId="2F1DE52B" w:rsidR="0011338C" w:rsidRPr="0011338C" w:rsidRDefault="0011338C" w:rsidP="0011338C">
      <w:pPr>
        <w:spacing w:after="0" w:line="360" w:lineRule="auto"/>
        <w:ind w:firstLine="567"/>
        <w:jc w:val="both"/>
        <w:rPr>
          <w:rFonts w:ascii="Arial" w:hAnsi="Arial" w:cs="Arial"/>
          <w:sz w:val="22"/>
          <w:szCs w:val="22"/>
        </w:rPr>
      </w:pPr>
      <w:r w:rsidRPr="0011338C">
        <w:rPr>
          <w:rFonts w:ascii="Arial" w:hAnsi="Arial" w:cs="Arial"/>
          <w:sz w:val="22"/>
          <w:szCs w:val="22"/>
        </w:rPr>
        <w:t xml:space="preserve">There </w:t>
      </w:r>
      <w:r>
        <w:rPr>
          <w:rFonts w:ascii="Arial" w:hAnsi="Arial" w:cs="Arial"/>
          <w:sz w:val="22"/>
          <w:szCs w:val="22"/>
        </w:rPr>
        <w:t>needs to be comparative case research to ensure that legislative and management advice are not unduly general, especially given that results are likely influenced by differences</w:t>
      </w:r>
      <w:r w:rsidRPr="0011338C">
        <w:rPr>
          <w:rFonts w:ascii="Arial" w:hAnsi="Arial" w:cs="Arial"/>
          <w:sz w:val="22"/>
          <w:szCs w:val="22"/>
        </w:rPr>
        <w:t xml:space="preserve"> in digital maturity, supplier portfolios, and financial buffers. This gap is crucial. Accordingly, in order to verify assertions about digital enablers, practical aspects of hybrid JIT-JIC models, and dynamic capabilities, a concentrated comparative analysis of Bentley Motors Limited, ASTON MARTIN LAGONDA, and McLaren Automotive is required.</w:t>
      </w:r>
      <w:r w:rsidRPr="0011338C">
        <w:rPr>
          <w:rFonts w:ascii="Arial" w:hAnsi="Arial" w:cs="Arial"/>
          <w:sz w:val="22"/>
          <w:szCs w:val="22"/>
        </w:rPr>
        <w:br/>
        <w:t xml:space="preserve">To verify this claim, new research shows that </w:t>
      </w:r>
      <w:r>
        <w:rPr>
          <w:rFonts w:ascii="Arial" w:hAnsi="Arial" w:cs="Arial"/>
          <w:sz w:val="22"/>
          <w:szCs w:val="22"/>
        </w:rPr>
        <w:t>most studies rely on industry-wide statistics to draw conclusions about</w:t>
      </w:r>
      <w:r w:rsidRPr="0011338C">
        <w:rPr>
          <w:rFonts w:ascii="Arial" w:hAnsi="Arial" w:cs="Arial"/>
          <w:sz w:val="22"/>
          <w:szCs w:val="22"/>
        </w:rPr>
        <w:t xml:space="preserve"> resilience, ignoring the complex effects at the business level. </w:t>
      </w:r>
      <w:r>
        <w:rPr>
          <w:rFonts w:ascii="Arial" w:hAnsi="Arial" w:cs="Arial"/>
          <w:sz w:val="22"/>
          <w:szCs w:val="22"/>
        </w:rPr>
        <w:t xml:space="preserve">For example, Queiroz et al. (2022) highlight the need to compare companies in depth and to examine </w:t>
      </w:r>
      <w:r w:rsidRPr="0011338C">
        <w:rPr>
          <w:rFonts w:ascii="Arial" w:hAnsi="Arial" w:cs="Arial"/>
          <w:sz w:val="22"/>
          <w:szCs w:val="22"/>
        </w:rPr>
        <w:t xml:space="preserve">how they adapt to epidemics and crises. Currently, the effects on supply chains are generally sketched </w:t>
      </w:r>
      <w:r>
        <w:rPr>
          <w:rFonts w:ascii="Arial" w:hAnsi="Arial" w:cs="Arial"/>
          <w:sz w:val="22"/>
          <w:szCs w:val="22"/>
        </w:rPr>
        <w:t xml:space="preserve">in broad strokes, but the specific ways </w:t>
      </w:r>
      <w:r w:rsidRPr="0011338C">
        <w:rPr>
          <w:rFonts w:ascii="Arial" w:hAnsi="Arial" w:cs="Arial"/>
          <w:sz w:val="22"/>
          <w:szCs w:val="22"/>
        </w:rPr>
        <w:t>enterprises adjust are not widely researched.</w:t>
      </w:r>
    </w:p>
    <w:p w14:paraId="7F9AC664" w14:textId="77777777" w:rsidR="00190505" w:rsidRPr="00D60CA2" w:rsidRDefault="00190505" w:rsidP="00D60CA2">
      <w:pPr>
        <w:pStyle w:val="Heading1"/>
        <w:spacing w:before="120"/>
        <w:rPr>
          <w:b/>
          <w:bCs/>
          <w:sz w:val="22"/>
          <w:szCs w:val="22"/>
        </w:rPr>
      </w:pPr>
      <w:bookmarkStart w:id="8" w:name="_Toc222003621"/>
      <w:r w:rsidRPr="00D60CA2">
        <w:rPr>
          <w:b/>
          <w:bCs/>
          <w:sz w:val="22"/>
          <w:szCs w:val="22"/>
        </w:rPr>
        <w:t>3.6. Geopolitical Disruption and Strategic Supply Chain Resilience: Red Sea Crisis Insights</w:t>
      </w:r>
      <w:bookmarkEnd w:id="8"/>
    </w:p>
    <w:p w14:paraId="3BA8EC15" w14:textId="16F4FEC9" w:rsidR="00967289" w:rsidRDefault="00BB774E" w:rsidP="00A2589D">
      <w:pPr>
        <w:spacing w:after="0" w:line="360" w:lineRule="auto"/>
        <w:ind w:firstLine="567"/>
        <w:jc w:val="both"/>
        <w:rPr>
          <w:rFonts w:ascii="Arial" w:hAnsi="Arial" w:cs="Arial"/>
          <w:sz w:val="22"/>
          <w:szCs w:val="22"/>
        </w:rPr>
      </w:pPr>
      <w:r w:rsidRPr="00BB774E">
        <w:rPr>
          <w:rFonts w:ascii="Arial" w:hAnsi="Arial" w:cs="Arial"/>
          <w:sz w:val="22"/>
          <w:szCs w:val="22"/>
        </w:rPr>
        <w:t xml:space="preserve">The Red Sea crisis began in late 2023 when Houthi rebels assaulted commercial vessels on this major shipping route to put pressure on the government and stop trade throughout the world. Armed conflict and geopolitical tensions made shipping routes less stable until early 2025. </w:t>
      </w:r>
      <w:r w:rsidR="00021022" w:rsidRPr="00021022">
        <w:rPr>
          <w:rFonts w:ascii="Arial" w:hAnsi="Arial" w:cs="Arial"/>
          <w:sz w:val="22"/>
          <w:szCs w:val="22"/>
        </w:rPr>
        <w:t xml:space="preserve">This illustrates how regional volatility </w:t>
      </w:r>
      <w:r w:rsidR="00A2589D">
        <w:rPr>
          <w:rFonts w:ascii="Arial" w:hAnsi="Arial" w:cs="Arial"/>
          <w:sz w:val="22"/>
          <w:szCs w:val="22"/>
        </w:rPr>
        <w:t>can affect supply chain resilience and prompt firms to reassess</w:t>
      </w:r>
      <w:r w:rsidR="00021022" w:rsidRPr="00021022">
        <w:rPr>
          <w:rFonts w:ascii="Arial" w:hAnsi="Arial" w:cs="Arial"/>
          <w:sz w:val="22"/>
          <w:szCs w:val="22"/>
        </w:rPr>
        <w:t xml:space="preserve"> their risks. The Red Sea scenario indicates that issues in this vital shipping corridor may have global implications, emphasising the geopolitical relevance of supply chain resilience. If manufacturing and logistics managers ignore chokepoints like the Red Sea, they risk </w:t>
      </w:r>
      <w:r w:rsidR="00A2589D">
        <w:rPr>
          <w:rFonts w:ascii="Arial" w:hAnsi="Arial" w:cs="Arial"/>
          <w:sz w:val="22"/>
          <w:szCs w:val="22"/>
        </w:rPr>
        <w:t>unexpected rerouting, higher shipping costs, and longer</w:t>
      </w:r>
      <w:r w:rsidR="00021022" w:rsidRPr="00021022">
        <w:rPr>
          <w:rFonts w:ascii="Arial" w:hAnsi="Arial" w:cs="Arial"/>
          <w:sz w:val="22"/>
          <w:szCs w:val="22"/>
        </w:rPr>
        <w:t xml:space="preserve"> delays</w:t>
      </w:r>
      <w:r w:rsidRPr="00BB774E">
        <w:rPr>
          <w:rFonts w:ascii="Arial" w:hAnsi="Arial" w:cs="Arial"/>
          <w:sz w:val="22"/>
          <w:szCs w:val="22"/>
        </w:rPr>
        <w:t xml:space="preserve">. Since late 2023, global shipping networks have </w:t>
      </w:r>
      <w:r>
        <w:rPr>
          <w:rFonts w:ascii="Arial" w:hAnsi="Arial" w:cs="Arial"/>
          <w:sz w:val="22"/>
          <w:szCs w:val="22"/>
        </w:rPr>
        <w:t xml:space="preserve">rapidly changed </w:t>
      </w:r>
      <w:r w:rsidR="004525A6">
        <w:rPr>
          <w:rFonts w:ascii="Arial" w:hAnsi="Arial" w:cs="Arial"/>
          <w:sz w:val="22"/>
          <w:szCs w:val="22"/>
        </w:rPr>
        <w:t>in response to</w:t>
      </w:r>
      <w:r w:rsidRPr="00BB774E">
        <w:rPr>
          <w:rFonts w:ascii="Arial" w:hAnsi="Arial" w:cs="Arial"/>
          <w:sz w:val="22"/>
          <w:szCs w:val="22"/>
        </w:rPr>
        <w:t xml:space="preserve"> a rise in armed assaults and geopolitical tensions. This has cut the number of containers that can pass through the Suez Canal by 50% and added up to two weeks to transit times (Hamed, A.M.K., 2025). </w:t>
      </w:r>
      <w:r w:rsidR="007E402B" w:rsidRPr="007E402B">
        <w:rPr>
          <w:rFonts w:ascii="Arial" w:hAnsi="Arial" w:cs="Arial"/>
          <w:sz w:val="22"/>
          <w:szCs w:val="22"/>
        </w:rPr>
        <w:t xml:space="preserve">How companies react affects their issue count. Set up several channels, monitor hazards in real time, and interact with security agencies. Resilience seems to be </w:t>
      </w:r>
      <w:r w:rsidR="007E402B">
        <w:rPr>
          <w:rFonts w:ascii="Arial" w:hAnsi="Arial" w:cs="Arial"/>
          <w:sz w:val="22"/>
          <w:szCs w:val="22"/>
        </w:rPr>
        <w:t>shaped more by the ability to predict, modify, and coordinate geopolitical shock responses than by</w:t>
      </w:r>
      <w:r w:rsidR="007E402B" w:rsidRPr="007E402B">
        <w:rPr>
          <w:rFonts w:ascii="Arial" w:hAnsi="Arial" w:cs="Arial"/>
          <w:sz w:val="22"/>
          <w:szCs w:val="22"/>
        </w:rPr>
        <w:t xml:space="preserve"> technology. To compete during the Red Sea crisis, rethink the supply chain. Notteboom, Haralambides, and Cullinane (2024) integrate geopolitical risk assessment with adaptive logistics.</w:t>
      </w:r>
    </w:p>
    <w:p w14:paraId="5B094280" w14:textId="77777777" w:rsidR="00A2589D" w:rsidRDefault="00A2589D" w:rsidP="00A2589D">
      <w:pPr>
        <w:spacing w:after="0" w:line="360" w:lineRule="auto"/>
        <w:ind w:firstLine="567"/>
        <w:jc w:val="both"/>
        <w:rPr>
          <w:rFonts w:ascii="Arial" w:hAnsi="Arial" w:cs="Arial"/>
          <w:sz w:val="22"/>
          <w:szCs w:val="22"/>
        </w:rPr>
      </w:pPr>
    </w:p>
    <w:p w14:paraId="56CC6EA5" w14:textId="0C5F360B" w:rsidR="00170115" w:rsidRPr="00D60CA2" w:rsidRDefault="00170115" w:rsidP="00D60CA2">
      <w:pPr>
        <w:pStyle w:val="Heading1"/>
        <w:rPr>
          <w:b/>
          <w:bCs/>
          <w:sz w:val="22"/>
          <w:szCs w:val="22"/>
        </w:rPr>
      </w:pPr>
      <w:bookmarkStart w:id="9" w:name="_Toc222003622"/>
      <w:r w:rsidRPr="00D60CA2">
        <w:rPr>
          <w:b/>
          <w:bCs/>
          <w:sz w:val="22"/>
          <w:szCs w:val="22"/>
        </w:rPr>
        <w:lastRenderedPageBreak/>
        <w:t xml:space="preserve">4. </w:t>
      </w:r>
      <w:r w:rsidR="00FB4D27" w:rsidRPr="00D60CA2">
        <w:rPr>
          <w:b/>
          <w:bCs/>
          <w:sz w:val="22"/>
          <w:szCs w:val="22"/>
        </w:rPr>
        <w:t>M</w:t>
      </w:r>
      <w:r w:rsidRPr="00D60CA2">
        <w:rPr>
          <w:b/>
          <w:bCs/>
          <w:sz w:val="22"/>
          <w:szCs w:val="22"/>
        </w:rPr>
        <w:t>ethodology (including ethics)</w:t>
      </w:r>
      <w:bookmarkEnd w:id="9"/>
    </w:p>
    <w:p w14:paraId="462E918F" w14:textId="30E91A6C" w:rsidR="00D41019" w:rsidRPr="00D41019" w:rsidRDefault="00D41019" w:rsidP="00D41019">
      <w:pPr>
        <w:spacing w:after="0" w:line="360" w:lineRule="auto"/>
        <w:ind w:firstLine="567"/>
        <w:jc w:val="both"/>
        <w:rPr>
          <w:rFonts w:ascii="Arial" w:hAnsi="Arial" w:cs="Arial"/>
          <w:sz w:val="22"/>
          <w:szCs w:val="22"/>
        </w:rPr>
      </w:pPr>
      <w:r w:rsidRPr="00D41019">
        <w:rPr>
          <w:rFonts w:ascii="Arial" w:hAnsi="Arial" w:cs="Arial"/>
          <w:sz w:val="22"/>
          <w:szCs w:val="22"/>
        </w:rPr>
        <w:t xml:space="preserve">The case study approach allows tracing causal mechanisms—sensing, seizing, and reconfiguration—central to Dynamic Capability Theory while enabling cross-case comparison to reveal conditional effects (Yin, 2022). This study uses a comparative, secondary-data case study design to examine how </w:t>
      </w:r>
      <w:r w:rsidR="00BB4F8B" w:rsidRPr="00BB4F8B">
        <w:rPr>
          <w:rFonts w:ascii="Arial" w:hAnsi="Arial" w:cs="Arial"/>
          <w:sz w:val="22"/>
          <w:szCs w:val="22"/>
        </w:rPr>
        <w:t xml:space="preserve">Bentley Motors Limited, ASTON MARTIN LAGONDA, </w:t>
      </w:r>
      <w:r w:rsidR="00CC379B">
        <w:rPr>
          <w:rFonts w:ascii="Arial" w:hAnsi="Arial" w:cs="Arial"/>
          <w:sz w:val="22"/>
          <w:szCs w:val="22"/>
        </w:rPr>
        <w:t xml:space="preserve">and </w:t>
      </w:r>
      <w:r w:rsidR="00BB4F8B" w:rsidRPr="00BB4F8B">
        <w:rPr>
          <w:rFonts w:ascii="Arial" w:hAnsi="Arial" w:cs="Arial"/>
          <w:sz w:val="22"/>
          <w:szCs w:val="22"/>
        </w:rPr>
        <w:t>McLaren Automotive</w:t>
      </w:r>
      <w:r w:rsidR="00BB4F8B">
        <w:rPr>
          <w:rFonts w:ascii="Arial" w:hAnsi="Arial" w:cs="Arial"/>
          <w:sz w:val="22"/>
          <w:szCs w:val="22"/>
        </w:rPr>
        <w:t xml:space="preserve"> </w:t>
      </w:r>
      <w:r w:rsidRPr="00D41019">
        <w:rPr>
          <w:rFonts w:ascii="Arial" w:hAnsi="Arial" w:cs="Arial"/>
          <w:sz w:val="22"/>
          <w:szCs w:val="22"/>
        </w:rPr>
        <w:t>went from JIT to JIC from 2019 to 202</w:t>
      </w:r>
      <w:r w:rsidR="00357135">
        <w:rPr>
          <w:rFonts w:ascii="Arial" w:hAnsi="Arial" w:cs="Arial"/>
          <w:sz w:val="22"/>
          <w:szCs w:val="22"/>
        </w:rPr>
        <w:t>4</w:t>
      </w:r>
      <w:r w:rsidRPr="00D41019">
        <w:rPr>
          <w:rFonts w:ascii="Arial" w:hAnsi="Arial" w:cs="Arial"/>
          <w:sz w:val="22"/>
          <w:szCs w:val="22"/>
        </w:rPr>
        <w:t xml:space="preserve">. The study relies </w:t>
      </w:r>
      <w:r w:rsidR="00D4592A">
        <w:rPr>
          <w:rFonts w:ascii="Arial" w:hAnsi="Arial" w:cs="Arial"/>
          <w:sz w:val="22"/>
          <w:szCs w:val="22"/>
        </w:rPr>
        <w:t>solely on publicly accessible secondary sources to ensure ethical clarity and replicability</w:t>
      </w:r>
      <w:r w:rsidR="00CC379B">
        <w:rPr>
          <w:rFonts w:ascii="Arial" w:hAnsi="Arial" w:cs="Arial"/>
          <w:sz w:val="22"/>
          <w:szCs w:val="22"/>
        </w:rPr>
        <w:t xml:space="preserve">. It uses purposive sampling to select the three manufacturers because they are typical in size and in </w:t>
      </w:r>
      <w:r w:rsidRPr="00D41019">
        <w:rPr>
          <w:rFonts w:ascii="Arial" w:hAnsi="Arial" w:cs="Arial"/>
          <w:sz w:val="22"/>
          <w:szCs w:val="22"/>
        </w:rPr>
        <w:t xml:space="preserve">supply chain exposure in the UK automotive industry (Saunders, Lewis &amp; Thornhill, 2022). This research approach is </w:t>
      </w:r>
      <w:r w:rsidR="00D4592A">
        <w:rPr>
          <w:rFonts w:ascii="Arial" w:hAnsi="Arial" w:cs="Arial"/>
          <w:sz w:val="22"/>
          <w:szCs w:val="22"/>
        </w:rPr>
        <w:t>defensible</w:t>
      </w:r>
      <w:r w:rsidRPr="00D41019">
        <w:rPr>
          <w:rFonts w:ascii="Arial" w:hAnsi="Arial" w:cs="Arial"/>
          <w:sz w:val="22"/>
          <w:szCs w:val="22"/>
        </w:rPr>
        <w:t xml:space="preserve"> </w:t>
      </w:r>
      <w:r w:rsidR="00CF5D2B">
        <w:rPr>
          <w:rFonts w:ascii="Arial" w:hAnsi="Arial" w:cs="Arial"/>
          <w:sz w:val="22"/>
          <w:szCs w:val="22"/>
        </w:rPr>
        <w:t xml:space="preserve">because it enables </w:t>
      </w:r>
      <w:r w:rsidR="00B06FFF">
        <w:rPr>
          <w:rFonts w:ascii="Arial" w:hAnsi="Arial" w:cs="Arial"/>
          <w:sz w:val="22"/>
          <w:szCs w:val="22"/>
        </w:rPr>
        <w:t>it</w:t>
      </w:r>
      <w:r w:rsidR="00CF5D2B">
        <w:rPr>
          <w:rFonts w:ascii="Arial" w:hAnsi="Arial" w:cs="Arial"/>
          <w:sz w:val="22"/>
          <w:szCs w:val="22"/>
        </w:rPr>
        <w:t xml:space="preserve"> to examine whether and how companies changed their inventory rules in response to the Red Sea crisis, rather than merely</w:t>
      </w:r>
      <w:r w:rsidRPr="00D41019">
        <w:rPr>
          <w:rFonts w:ascii="Arial" w:hAnsi="Arial" w:cs="Arial"/>
          <w:sz w:val="22"/>
          <w:szCs w:val="22"/>
        </w:rPr>
        <w:t xml:space="preserve"> recounting what happened.</w:t>
      </w:r>
    </w:p>
    <w:p w14:paraId="7375E805" w14:textId="0B5889DA" w:rsidR="00921F5C" w:rsidRPr="00921F5C" w:rsidRDefault="00D41019" w:rsidP="00921F5C">
      <w:pPr>
        <w:spacing w:after="0" w:line="360" w:lineRule="auto"/>
        <w:ind w:firstLine="567"/>
        <w:jc w:val="both"/>
        <w:rPr>
          <w:rFonts w:ascii="Arial" w:hAnsi="Arial" w:cs="Arial"/>
          <w:sz w:val="22"/>
          <w:szCs w:val="22"/>
        </w:rPr>
      </w:pPr>
      <w:r w:rsidRPr="00D41019">
        <w:rPr>
          <w:rFonts w:ascii="Arial" w:hAnsi="Arial" w:cs="Arial"/>
          <w:sz w:val="22"/>
          <w:szCs w:val="22"/>
        </w:rPr>
        <w:t xml:space="preserve">To put theoretical claims to the test, </w:t>
      </w:r>
      <w:r w:rsidR="00B06FFF">
        <w:rPr>
          <w:rFonts w:ascii="Arial" w:hAnsi="Arial" w:cs="Arial"/>
          <w:sz w:val="22"/>
          <w:szCs w:val="22"/>
        </w:rPr>
        <w:t>it</w:t>
      </w:r>
      <w:r w:rsidRPr="00D41019">
        <w:rPr>
          <w:rFonts w:ascii="Arial" w:hAnsi="Arial" w:cs="Arial"/>
          <w:sz w:val="22"/>
          <w:szCs w:val="22"/>
        </w:rPr>
        <w:t xml:space="preserve"> </w:t>
      </w:r>
      <w:r w:rsidR="00B06FFF">
        <w:rPr>
          <w:rFonts w:ascii="Arial" w:hAnsi="Arial" w:cs="Arial"/>
          <w:sz w:val="22"/>
          <w:szCs w:val="22"/>
        </w:rPr>
        <w:t>operationalises</w:t>
      </w:r>
      <w:r w:rsidRPr="00D41019">
        <w:rPr>
          <w:rFonts w:ascii="Arial" w:hAnsi="Arial" w:cs="Arial"/>
          <w:sz w:val="22"/>
          <w:szCs w:val="22"/>
        </w:rPr>
        <w:t xml:space="preserve"> key constructs into measurable indicators. For inventory strategy, </w:t>
      </w:r>
      <w:r w:rsidR="005C584D">
        <w:rPr>
          <w:rFonts w:ascii="Arial" w:hAnsi="Arial" w:cs="Arial"/>
          <w:sz w:val="22"/>
          <w:szCs w:val="22"/>
        </w:rPr>
        <w:t>it</w:t>
      </w:r>
      <w:r w:rsidRPr="00D41019">
        <w:rPr>
          <w:rFonts w:ascii="Arial" w:hAnsi="Arial" w:cs="Arial"/>
          <w:sz w:val="22"/>
          <w:szCs w:val="22"/>
        </w:rPr>
        <w:t xml:space="preserve"> </w:t>
      </w:r>
      <w:r w:rsidR="005C584D">
        <w:rPr>
          <w:rFonts w:ascii="Arial" w:hAnsi="Arial" w:cs="Arial"/>
          <w:sz w:val="22"/>
          <w:szCs w:val="22"/>
        </w:rPr>
        <w:t>uses</w:t>
      </w:r>
      <w:r w:rsidRPr="00D41019">
        <w:rPr>
          <w:rFonts w:ascii="Arial" w:hAnsi="Arial" w:cs="Arial"/>
          <w:sz w:val="22"/>
          <w:szCs w:val="22"/>
        </w:rPr>
        <w:t xml:space="preserve"> Inventory Turnover and Days Inventory Outstanding (DIO) from audited annual reports as proxies. For dynamic capabilities, </w:t>
      </w:r>
      <w:r w:rsidR="005C584D">
        <w:rPr>
          <w:rFonts w:ascii="Arial" w:hAnsi="Arial" w:cs="Arial"/>
          <w:sz w:val="22"/>
          <w:szCs w:val="22"/>
        </w:rPr>
        <w:t>it</w:t>
      </w:r>
      <w:r w:rsidRPr="00D41019">
        <w:rPr>
          <w:rFonts w:ascii="Arial" w:hAnsi="Arial" w:cs="Arial"/>
          <w:sz w:val="22"/>
          <w:szCs w:val="22"/>
        </w:rPr>
        <w:t xml:space="preserve"> </w:t>
      </w:r>
      <w:r w:rsidR="00CF5D2B">
        <w:rPr>
          <w:rFonts w:ascii="Arial" w:hAnsi="Arial" w:cs="Arial"/>
          <w:sz w:val="22"/>
          <w:szCs w:val="22"/>
        </w:rPr>
        <w:t>uses</w:t>
      </w:r>
      <w:r w:rsidRPr="00D41019">
        <w:rPr>
          <w:rFonts w:ascii="Arial" w:hAnsi="Arial" w:cs="Arial"/>
          <w:sz w:val="22"/>
          <w:szCs w:val="22"/>
        </w:rPr>
        <w:t xml:space="preserve"> a coded index of sensing, seizing, and reconfiguration actions from investor presentations and management commentary. </w:t>
      </w:r>
      <w:r w:rsidR="00BA4E34" w:rsidRPr="00BA4E34">
        <w:rPr>
          <w:rFonts w:ascii="Arial" w:hAnsi="Arial" w:cs="Arial"/>
          <w:sz w:val="22"/>
          <w:szCs w:val="22"/>
        </w:rPr>
        <w:t xml:space="preserve">By tracking the presence or absence of fundamental Industry 4.0 technologies across the three </w:t>
      </w:r>
      <w:r w:rsidR="00BA4E34">
        <w:rPr>
          <w:rFonts w:ascii="Arial" w:hAnsi="Arial" w:cs="Arial"/>
          <w:sz w:val="22"/>
          <w:szCs w:val="22"/>
        </w:rPr>
        <w:t>organisations</w:t>
      </w:r>
      <w:r w:rsidR="00BA4E34" w:rsidRPr="00BA4E34">
        <w:rPr>
          <w:rFonts w:ascii="Arial" w:hAnsi="Arial" w:cs="Arial"/>
          <w:sz w:val="22"/>
          <w:szCs w:val="22"/>
        </w:rPr>
        <w:t xml:space="preserve">, a Digital Capability Checklist </w:t>
      </w:r>
      <w:r w:rsidR="00BA4E34">
        <w:rPr>
          <w:rFonts w:ascii="Arial" w:hAnsi="Arial" w:cs="Arial"/>
          <w:sz w:val="22"/>
          <w:szCs w:val="22"/>
        </w:rPr>
        <w:t>was used to evaluate</w:t>
      </w:r>
      <w:r w:rsidR="00BA4E34" w:rsidRPr="00BA4E34">
        <w:rPr>
          <w:rFonts w:ascii="Arial" w:hAnsi="Arial" w:cs="Arial"/>
          <w:sz w:val="22"/>
          <w:szCs w:val="22"/>
        </w:rPr>
        <w:t xml:space="preserve"> their digital maturity</w:t>
      </w:r>
      <w:r w:rsidR="00BA4E34">
        <w:rPr>
          <w:rFonts w:ascii="Arial" w:hAnsi="Arial" w:cs="Arial"/>
          <w:sz w:val="22"/>
          <w:szCs w:val="22"/>
        </w:rPr>
        <w:t xml:space="preserve">. </w:t>
      </w:r>
      <w:r w:rsidR="00BA4E34" w:rsidRPr="00BA4E34">
        <w:rPr>
          <w:rFonts w:ascii="Arial" w:hAnsi="Arial" w:cs="Arial"/>
          <w:sz w:val="22"/>
          <w:szCs w:val="22"/>
        </w:rPr>
        <w:t>To measure resilience-related themes</w:t>
      </w:r>
      <w:r w:rsidR="00BA4E34">
        <w:rPr>
          <w:rFonts w:ascii="Arial" w:hAnsi="Arial" w:cs="Arial"/>
          <w:sz w:val="22"/>
          <w:szCs w:val="22"/>
        </w:rPr>
        <w:t>, including sensing disruptions, buffering methods, and digitalisation, management comments and strategy documents were analysed</w:t>
      </w:r>
      <w:r w:rsidR="00BA4E34" w:rsidRPr="00BA4E34">
        <w:rPr>
          <w:rFonts w:ascii="Arial" w:hAnsi="Arial" w:cs="Arial"/>
          <w:sz w:val="22"/>
          <w:szCs w:val="22"/>
        </w:rPr>
        <w:t xml:space="preserve"> using Thematic Occurrence Coding</w:t>
      </w:r>
      <w:r w:rsidR="00BA4E34">
        <w:rPr>
          <w:rFonts w:ascii="Arial" w:hAnsi="Arial" w:cs="Arial"/>
          <w:sz w:val="22"/>
          <w:szCs w:val="22"/>
        </w:rPr>
        <w:t xml:space="preserve"> </w:t>
      </w:r>
      <w:r w:rsidRPr="00D41019">
        <w:rPr>
          <w:rFonts w:ascii="Arial" w:hAnsi="Arial" w:cs="Arial"/>
          <w:sz w:val="22"/>
          <w:szCs w:val="22"/>
        </w:rPr>
        <w:t>(Spieske &amp; Birkel, 2021). Kembro and Selviaridis (2021) state that</w:t>
      </w:r>
      <w:r w:rsidR="006C53B4">
        <w:rPr>
          <w:rFonts w:ascii="Arial" w:hAnsi="Arial" w:cs="Arial"/>
          <w:sz w:val="22"/>
          <w:szCs w:val="22"/>
        </w:rPr>
        <w:t>, to ensure data reproducibility, they triangulate three streams of information: audited financial statements and Companies House filings (2019–2024), corporate disclosures (strategy documents</w:t>
      </w:r>
      <w:r w:rsidR="007958D4">
        <w:rPr>
          <w:rFonts w:ascii="Arial" w:hAnsi="Arial" w:cs="Arial"/>
          <w:sz w:val="22"/>
          <w:szCs w:val="22"/>
        </w:rPr>
        <w:t xml:space="preserve"> and press releases), and industry/logistics datasets (freight indices and</w:t>
      </w:r>
      <w:r w:rsidR="006C53B4">
        <w:rPr>
          <w:rFonts w:ascii="Arial" w:hAnsi="Arial" w:cs="Arial"/>
          <w:sz w:val="22"/>
          <w:szCs w:val="22"/>
        </w:rPr>
        <w:t xml:space="preserve"> lead time</w:t>
      </w:r>
      <w:r w:rsidRPr="00D41019">
        <w:rPr>
          <w:rFonts w:ascii="Arial" w:hAnsi="Arial" w:cs="Arial"/>
          <w:sz w:val="22"/>
          <w:szCs w:val="22"/>
        </w:rPr>
        <w:t xml:space="preserve"> reports). Numeric data is stored in SQL, while textual data is thematically coded in </w:t>
      </w:r>
      <w:r w:rsidR="00357135">
        <w:rPr>
          <w:rFonts w:ascii="Arial" w:hAnsi="Arial" w:cs="Arial"/>
          <w:sz w:val="22"/>
          <w:szCs w:val="22"/>
        </w:rPr>
        <w:t>SQL</w:t>
      </w:r>
      <w:r w:rsidR="007958D4">
        <w:rPr>
          <w:rFonts w:ascii="Arial" w:hAnsi="Arial" w:cs="Arial"/>
          <w:sz w:val="22"/>
          <w:szCs w:val="22"/>
        </w:rPr>
        <w:t xml:space="preserve"> and visualised in</w:t>
      </w:r>
      <w:r w:rsidR="00357135">
        <w:rPr>
          <w:rFonts w:ascii="Arial" w:hAnsi="Arial" w:cs="Arial"/>
          <w:sz w:val="22"/>
          <w:szCs w:val="22"/>
        </w:rPr>
        <w:t xml:space="preserve"> Power BI</w:t>
      </w:r>
      <w:r w:rsidRPr="00D41019">
        <w:rPr>
          <w:rFonts w:ascii="Arial" w:hAnsi="Arial" w:cs="Arial"/>
          <w:sz w:val="22"/>
          <w:szCs w:val="22"/>
        </w:rPr>
        <w:t xml:space="preserve"> to capture episodes of managerial reconfiguration. The research may determine the reasons behind organisations' inventory response choices and the role of digital and managerial skills in mediating those decisions</w:t>
      </w:r>
      <w:r w:rsidR="007958D4">
        <w:rPr>
          <w:rFonts w:ascii="Arial" w:hAnsi="Arial" w:cs="Arial"/>
          <w:sz w:val="22"/>
          <w:szCs w:val="22"/>
        </w:rPr>
        <w:t>, using</w:t>
      </w:r>
      <w:r w:rsidRPr="00D41019">
        <w:rPr>
          <w:rFonts w:ascii="Arial" w:hAnsi="Arial" w:cs="Arial"/>
          <w:sz w:val="22"/>
          <w:szCs w:val="22"/>
        </w:rPr>
        <w:t xml:space="preserve"> mixed-methods operationalisation</w:t>
      </w:r>
      <w:r w:rsidR="00425D44">
        <w:rPr>
          <w:rFonts w:ascii="Arial" w:hAnsi="Arial" w:cs="Arial"/>
          <w:sz w:val="22"/>
          <w:szCs w:val="22"/>
        </w:rPr>
        <w:t xml:space="preserve"> </w:t>
      </w:r>
      <w:r w:rsidRPr="00D41019">
        <w:rPr>
          <w:rFonts w:ascii="Arial" w:hAnsi="Arial" w:cs="Arial"/>
          <w:sz w:val="22"/>
          <w:szCs w:val="22"/>
        </w:rPr>
        <w:t xml:space="preserve">(Petticrew &amp; Roberts, 2021). </w:t>
      </w:r>
      <w:r w:rsidR="00921F5C" w:rsidRPr="00921F5C">
        <w:rPr>
          <w:rFonts w:ascii="Arial" w:hAnsi="Arial" w:cs="Arial"/>
          <w:sz w:val="22"/>
          <w:szCs w:val="22"/>
        </w:rPr>
        <w:t>During the Red Sea crisis, a Before-During-After Comparative Trend Analysis assessed changes in supply-chain and financial data.</w:t>
      </w:r>
      <w:r w:rsidR="00921F5C">
        <w:rPr>
          <w:rFonts w:ascii="Arial" w:hAnsi="Arial" w:cs="Arial"/>
          <w:sz w:val="22"/>
          <w:szCs w:val="22"/>
        </w:rPr>
        <w:t xml:space="preserve"> </w:t>
      </w:r>
      <w:r w:rsidR="00921F5C" w:rsidRPr="00921F5C">
        <w:rPr>
          <w:rFonts w:ascii="Arial" w:hAnsi="Arial" w:cs="Arial"/>
          <w:sz w:val="22"/>
          <w:szCs w:val="22"/>
        </w:rPr>
        <w:t xml:space="preserve">Inventory Turnover and Days Inventory Outstanding were </w:t>
      </w:r>
      <w:r w:rsidR="00921F5C">
        <w:rPr>
          <w:rFonts w:ascii="Arial" w:hAnsi="Arial" w:cs="Arial"/>
          <w:sz w:val="22"/>
          <w:szCs w:val="22"/>
        </w:rPr>
        <w:t>sourced from annual reports to show changes in inventory strategy</w:t>
      </w:r>
      <w:r w:rsidR="00921F5C" w:rsidRPr="00921F5C">
        <w:rPr>
          <w:rFonts w:ascii="Arial" w:hAnsi="Arial" w:cs="Arial"/>
          <w:sz w:val="22"/>
          <w:szCs w:val="22"/>
        </w:rPr>
        <w:t>.</w:t>
      </w:r>
    </w:p>
    <w:p w14:paraId="0EC27CF2" w14:textId="4FDF3498" w:rsidR="00A2589D" w:rsidRDefault="00921F5C" w:rsidP="004525A6">
      <w:pPr>
        <w:spacing w:after="0" w:line="360" w:lineRule="auto"/>
        <w:ind w:firstLine="567"/>
        <w:jc w:val="both"/>
        <w:rPr>
          <w:rFonts w:ascii="Arial" w:hAnsi="Arial" w:cs="Arial"/>
          <w:sz w:val="22"/>
          <w:szCs w:val="22"/>
        </w:rPr>
      </w:pPr>
      <w:r>
        <w:rPr>
          <w:rFonts w:ascii="Arial" w:hAnsi="Arial" w:cs="Arial"/>
          <w:sz w:val="22"/>
          <w:szCs w:val="22"/>
        </w:rPr>
        <w:t>Although</w:t>
      </w:r>
      <w:r w:rsidR="00D41019" w:rsidRPr="00D41019">
        <w:rPr>
          <w:rFonts w:ascii="Arial" w:hAnsi="Arial" w:cs="Arial"/>
          <w:sz w:val="22"/>
          <w:szCs w:val="22"/>
        </w:rPr>
        <w:t xml:space="preserve"> the research will still acknowledge limitations from uneven reporting and attribution concerns, the use of </w:t>
      </w:r>
      <w:r w:rsidR="00357135">
        <w:rPr>
          <w:rFonts w:ascii="Arial" w:hAnsi="Arial" w:cs="Arial"/>
          <w:sz w:val="22"/>
          <w:szCs w:val="22"/>
        </w:rPr>
        <w:t>publicly available secondary data reduces ethical risk and improves validity through sensitivity tests and triangulation (e.g., various ratio measures</w:t>
      </w:r>
      <w:r w:rsidR="00D41019" w:rsidRPr="00D41019">
        <w:rPr>
          <w:rFonts w:ascii="Arial" w:hAnsi="Arial" w:cs="Arial"/>
          <w:sz w:val="22"/>
          <w:szCs w:val="22"/>
        </w:rPr>
        <w:t xml:space="preserve">, lag alternatives). The project schedule, major </w:t>
      </w:r>
      <w:r w:rsidR="00111E2F">
        <w:rPr>
          <w:rFonts w:ascii="Arial" w:hAnsi="Arial" w:cs="Arial"/>
          <w:sz w:val="22"/>
          <w:szCs w:val="22"/>
        </w:rPr>
        <w:t>risk</w:t>
      </w:r>
      <w:r w:rsidR="00D41019" w:rsidRPr="00D41019">
        <w:rPr>
          <w:rFonts w:ascii="Arial" w:hAnsi="Arial" w:cs="Arial"/>
          <w:sz w:val="22"/>
          <w:szCs w:val="22"/>
        </w:rPr>
        <w:t>s, and their solutions are detailed in the next section.</w:t>
      </w:r>
    </w:p>
    <w:p w14:paraId="2E47A753" w14:textId="6D7DD25E" w:rsidR="00AA574A" w:rsidRPr="00D60CA2" w:rsidRDefault="00AA574A" w:rsidP="00D60CA2">
      <w:pPr>
        <w:pStyle w:val="Heading1"/>
        <w:rPr>
          <w:b/>
          <w:bCs/>
          <w:sz w:val="22"/>
          <w:szCs w:val="22"/>
        </w:rPr>
      </w:pPr>
      <w:bookmarkStart w:id="10" w:name="_Toc222003623"/>
      <w:r w:rsidRPr="00D60CA2">
        <w:rPr>
          <w:b/>
          <w:bCs/>
          <w:sz w:val="22"/>
          <w:szCs w:val="22"/>
        </w:rPr>
        <w:lastRenderedPageBreak/>
        <w:t>5. Risks</w:t>
      </w:r>
      <w:bookmarkEnd w:id="10"/>
    </w:p>
    <w:p w14:paraId="6B74ED62" w14:textId="2919DAE5" w:rsidR="00170115" w:rsidRDefault="00ED5975" w:rsidP="00A63152">
      <w:pPr>
        <w:spacing w:after="0" w:line="360" w:lineRule="auto"/>
        <w:ind w:firstLine="567"/>
        <w:jc w:val="both"/>
        <w:rPr>
          <w:rFonts w:ascii="Arial" w:hAnsi="Arial" w:cs="Arial"/>
          <w:sz w:val="22"/>
          <w:szCs w:val="22"/>
        </w:rPr>
      </w:pPr>
      <w:r w:rsidRPr="00ED5975">
        <w:rPr>
          <w:rFonts w:ascii="Arial" w:hAnsi="Arial" w:cs="Arial"/>
          <w:sz w:val="22"/>
          <w:szCs w:val="22"/>
        </w:rPr>
        <w:t xml:space="preserve">The research </w:t>
      </w:r>
      <w:r w:rsidR="00CF5D2B">
        <w:rPr>
          <w:rFonts w:ascii="Arial" w:hAnsi="Arial" w:cs="Arial"/>
          <w:sz w:val="22"/>
          <w:szCs w:val="22"/>
        </w:rPr>
        <w:t>faces three key risks: insufficient information, reporting discrepancies, and time constraints</w:t>
      </w:r>
      <w:r w:rsidRPr="00ED5975">
        <w:rPr>
          <w:rFonts w:ascii="Arial" w:hAnsi="Arial" w:cs="Arial"/>
          <w:sz w:val="22"/>
          <w:szCs w:val="22"/>
        </w:rPr>
        <w:t xml:space="preserve">. Comparing findings is challenging due to </w:t>
      </w:r>
      <w:r w:rsidR="00CF5D2B">
        <w:rPr>
          <w:rFonts w:ascii="Arial" w:hAnsi="Arial" w:cs="Arial"/>
          <w:sz w:val="22"/>
          <w:szCs w:val="22"/>
        </w:rPr>
        <w:t xml:space="preserve">the </w:t>
      </w:r>
      <w:r w:rsidRPr="00ED5975">
        <w:rPr>
          <w:rFonts w:ascii="Arial" w:hAnsi="Arial" w:cs="Arial"/>
          <w:sz w:val="22"/>
          <w:szCs w:val="22"/>
        </w:rPr>
        <w:t xml:space="preserve">lack of depth and </w:t>
      </w:r>
      <w:r w:rsidR="00CF5D2B">
        <w:rPr>
          <w:rFonts w:ascii="Arial" w:hAnsi="Arial" w:cs="Arial"/>
          <w:sz w:val="22"/>
          <w:szCs w:val="22"/>
        </w:rPr>
        <w:t>timeliness in</w:t>
      </w:r>
      <w:r w:rsidRPr="00ED5975">
        <w:rPr>
          <w:rFonts w:ascii="Arial" w:hAnsi="Arial" w:cs="Arial"/>
          <w:sz w:val="22"/>
          <w:szCs w:val="22"/>
        </w:rPr>
        <w:t xml:space="preserve"> company reports. If firms exclusively convey good news, this might lead to biases or incorrect information. Checking many sources helps, but not always. Since interviews are limited, the study employs thorough coding and </w:t>
      </w:r>
      <w:r w:rsidR="00CF5D2B">
        <w:rPr>
          <w:rFonts w:ascii="Arial" w:hAnsi="Arial" w:cs="Arial"/>
          <w:sz w:val="22"/>
          <w:szCs w:val="22"/>
        </w:rPr>
        <w:t>double-checking to ensure that findings are reliable, even when some</w:t>
      </w:r>
      <w:r w:rsidRPr="00ED5975">
        <w:rPr>
          <w:rFonts w:ascii="Arial" w:hAnsi="Arial" w:cs="Arial"/>
          <w:sz w:val="22"/>
          <w:szCs w:val="22"/>
        </w:rPr>
        <w:t xml:space="preserve"> confusion exists (Saunders et al., 2022).</w:t>
      </w:r>
    </w:p>
    <w:p w14:paraId="143AC12D" w14:textId="77777777" w:rsidR="00170115" w:rsidRDefault="00170115" w:rsidP="00A63152">
      <w:pPr>
        <w:spacing w:after="0" w:line="360" w:lineRule="auto"/>
        <w:ind w:firstLine="567"/>
        <w:jc w:val="both"/>
        <w:rPr>
          <w:rFonts w:ascii="Arial" w:hAnsi="Arial" w:cs="Arial"/>
          <w:sz w:val="22"/>
          <w:szCs w:val="22"/>
        </w:rPr>
      </w:pPr>
    </w:p>
    <w:p w14:paraId="16B4F9E9" w14:textId="77777777" w:rsidR="00170115" w:rsidRDefault="00170115" w:rsidP="00A63152">
      <w:pPr>
        <w:spacing w:after="0" w:line="360" w:lineRule="auto"/>
        <w:ind w:firstLine="567"/>
        <w:jc w:val="both"/>
        <w:rPr>
          <w:rFonts w:ascii="Arial" w:hAnsi="Arial" w:cs="Arial"/>
          <w:sz w:val="22"/>
          <w:szCs w:val="22"/>
        </w:rPr>
      </w:pPr>
    </w:p>
    <w:p w14:paraId="47A0F130" w14:textId="77777777" w:rsidR="00170115" w:rsidRDefault="00170115" w:rsidP="00A63152">
      <w:pPr>
        <w:spacing w:after="0" w:line="360" w:lineRule="auto"/>
        <w:ind w:firstLine="567"/>
        <w:jc w:val="both"/>
        <w:rPr>
          <w:rFonts w:ascii="Arial" w:hAnsi="Arial" w:cs="Arial"/>
          <w:sz w:val="22"/>
          <w:szCs w:val="22"/>
        </w:rPr>
      </w:pPr>
    </w:p>
    <w:p w14:paraId="4843395D" w14:textId="77777777" w:rsidR="00170115" w:rsidRDefault="00170115" w:rsidP="00A63152">
      <w:pPr>
        <w:spacing w:after="0" w:line="360" w:lineRule="auto"/>
        <w:ind w:firstLine="567"/>
        <w:jc w:val="both"/>
        <w:rPr>
          <w:rFonts w:ascii="Arial" w:hAnsi="Arial" w:cs="Arial"/>
          <w:sz w:val="22"/>
          <w:szCs w:val="22"/>
        </w:rPr>
      </w:pPr>
    </w:p>
    <w:p w14:paraId="51D4DA55" w14:textId="77777777" w:rsidR="00170115" w:rsidRDefault="00170115" w:rsidP="00A63152">
      <w:pPr>
        <w:spacing w:after="0" w:line="360" w:lineRule="auto"/>
        <w:ind w:firstLine="567"/>
        <w:jc w:val="both"/>
        <w:rPr>
          <w:rFonts w:ascii="Arial" w:hAnsi="Arial" w:cs="Arial"/>
          <w:sz w:val="22"/>
          <w:szCs w:val="22"/>
        </w:rPr>
      </w:pPr>
    </w:p>
    <w:p w14:paraId="4B3C0758" w14:textId="77777777" w:rsidR="00170115" w:rsidRDefault="00170115" w:rsidP="00A63152">
      <w:pPr>
        <w:spacing w:after="0" w:line="360" w:lineRule="auto"/>
        <w:ind w:firstLine="567"/>
        <w:jc w:val="both"/>
        <w:rPr>
          <w:rFonts w:ascii="Arial" w:hAnsi="Arial" w:cs="Arial"/>
          <w:sz w:val="22"/>
          <w:szCs w:val="22"/>
        </w:rPr>
      </w:pPr>
    </w:p>
    <w:p w14:paraId="6B832F0B" w14:textId="77777777" w:rsidR="00170115" w:rsidRDefault="00170115" w:rsidP="00A63152">
      <w:pPr>
        <w:spacing w:after="0" w:line="360" w:lineRule="auto"/>
        <w:ind w:firstLine="567"/>
        <w:jc w:val="both"/>
        <w:rPr>
          <w:rFonts w:ascii="Arial" w:hAnsi="Arial" w:cs="Arial"/>
          <w:sz w:val="22"/>
          <w:szCs w:val="22"/>
        </w:rPr>
      </w:pPr>
    </w:p>
    <w:p w14:paraId="6F47FC15" w14:textId="77777777" w:rsidR="00170115" w:rsidRDefault="00170115" w:rsidP="00A63152">
      <w:pPr>
        <w:spacing w:after="0" w:line="360" w:lineRule="auto"/>
        <w:ind w:firstLine="567"/>
        <w:jc w:val="both"/>
        <w:rPr>
          <w:rFonts w:ascii="Arial" w:hAnsi="Arial" w:cs="Arial"/>
          <w:sz w:val="22"/>
          <w:szCs w:val="22"/>
        </w:rPr>
      </w:pPr>
    </w:p>
    <w:p w14:paraId="5EDF6120" w14:textId="77777777" w:rsidR="00170115" w:rsidRDefault="00170115" w:rsidP="00A63152">
      <w:pPr>
        <w:spacing w:after="0" w:line="360" w:lineRule="auto"/>
        <w:ind w:firstLine="567"/>
        <w:jc w:val="both"/>
        <w:rPr>
          <w:rFonts w:ascii="Arial" w:hAnsi="Arial" w:cs="Arial"/>
          <w:sz w:val="22"/>
          <w:szCs w:val="22"/>
        </w:rPr>
      </w:pPr>
    </w:p>
    <w:p w14:paraId="5955BAC0" w14:textId="77777777" w:rsidR="00170115" w:rsidRDefault="00170115" w:rsidP="00A63152">
      <w:pPr>
        <w:spacing w:after="0" w:line="360" w:lineRule="auto"/>
        <w:ind w:firstLine="567"/>
        <w:jc w:val="both"/>
        <w:rPr>
          <w:rFonts w:ascii="Arial" w:hAnsi="Arial" w:cs="Arial"/>
          <w:sz w:val="22"/>
          <w:szCs w:val="22"/>
        </w:rPr>
      </w:pPr>
    </w:p>
    <w:p w14:paraId="5D350BBD" w14:textId="77777777" w:rsidR="00170115" w:rsidRDefault="00170115" w:rsidP="00A63152">
      <w:pPr>
        <w:spacing w:after="0" w:line="360" w:lineRule="auto"/>
        <w:ind w:firstLine="567"/>
        <w:jc w:val="both"/>
        <w:rPr>
          <w:rFonts w:ascii="Arial" w:hAnsi="Arial" w:cs="Arial"/>
          <w:sz w:val="22"/>
          <w:szCs w:val="22"/>
        </w:rPr>
      </w:pPr>
    </w:p>
    <w:p w14:paraId="258F1A93" w14:textId="77777777" w:rsidR="00170115" w:rsidRDefault="00170115" w:rsidP="00A63152">
      <w:pPr>
        <w:spacing w:after="0" w:line="360" w:lineRule="auto"/>
        <w:ind w:firstLine="567"/>
        <w:jc w:val="both"/>
        <w:rPr>
          <w:rFonts w:ascii="Arial" w:hAnsi="Arial" w:cs="Arial"/>
          <w:sz w:val="22"/>
          <w:szCs w:val="22"/>
        </w:rPr>
      </w:pPr>
    </w:p>
    <w:p w14:paraId="2B56BE7C" w14:textId="77777777" w:rsidR="00170115" w:rsidRDefault="00170115" w:rsidP="00A63152">
      <w:pPr>
        <w:spacing w:after="0" w:line="360" w:lineRule="auto"/>
        <w:ind w:firstLine="567"/>
        <w:jc w:val="both"/>
        <w:rPr>
          <w:rFonts w:ascii="Arial" w:hAnsi="Arial" w:cs="Arial"/>
          <w:sz w:val="22"/>
          <w:szCs w:val="22"/>
        </w:rPr>
      </w:pPr>
    </w:p>
    <w:p w14:paraId="715510E5" w14:textId="77777777" w:rsidR="00170115" w:rsidRDefault="00170115" w:rsidP="00A63152">
      <w:pPr>
        <w:spacing w:after="0" w:line="360" w:lineRule="auto"/>
        <w:ind w:firstLine="567"/>
        <w:jc w:val="both"/>
        <w:rPr>
          <w:rFonts w:ascii="Arial" w:hAnsi="Arial" w:cs="Arial"/>
          <w:sz w:val="22"/>
          <w:szCs w:val="22"/>
        </w:rPr>
      </w:pPr>
    </w:p>
    <w:p w14:paraId="3950B86C" w14:textId="77777777" w:rsidR="00170115" w:rsidRDefault="00170115" w:rsidP="00A63152">
      <w:pPr>
        <w:spacing w:after="0" w:line="360" w:lineRule="auto"/>
        <w:ind w:firstLine="567"/>
        <w:jc w:val="both"/>
        <w:rPr>
          <w:rFonts w:ascii="Arial" w:hAnsi="Arial" w:cs="Arial"/>
          <w:sz w:val="22"/>
          <w:szCs w:val="22"/>
        </w:rPr>
      </w:pPr>
    </w:p>
    <w:p w14:paraId="23FF4984" w14:textId="77777777" w:rsidR="00170115" w:rsidRDefault="00170115" w:rsidP="00A63152">
      <w:pPr>
        <w:spacing w:after="0" w:line="360" w:lineRule="auto"/>
        <w:ind w:firstLine="567"/>
        <w:jc w:val="both"/>
        <w:rPr>
          <w:rFonts w:ascii="Arial" w:hAnsi="Arial" w:cs="Arial"/>
          <w:sz w:val="22"/>
          <w:szCs w:val="22"/>
        </w:rPr>
      </w:pPr>
    </w:p>
    <w:p w14:paraId="330ADAD6" w14:textId="77777777" w:rsidR="006C0ABF" w:rsidRDefault="006C0ABF" w:rsidP="00A63152">
      <w:pPr>
        <w:spacing w:after="0" w:line="360" w:lineRule="auto"/>
        <w:ind w:firstLine="567"/>
        <w:jc w:val="both"/>
        <w:rPr>
          <w:rFonts w:ascii="Arial" w:hAnsi="Arial" w:cs="Arial"/>
          <w:sz w:val="22"/>
          <w:szCs w:val="22"/>
        </w:rPr>
      </w:pPr>
    </w:p>
    <w:p w14:paraId="5EF38FA6" w14:textId="77777777" w:rsidR="006C0ABF" w:rsidRDefault="006C0ABF" w:rsidP="00A63152">
      <w:pPr>
        <w:spacing w:after="0" w:line="360" w:lineRule="auto"/>
        <w:ind w:firstLine="567"/>
        <w:jc w:val="both"/>
        <w:rPr>
          <w:rFonts w:ascii="Arial" w:hAnsi="Arial" w:cs="Arial"/>
          <w:sz w:val="22"/>
          <w:szCs w:val="22"/>
        </w:rPr>
      </w:pPr>
    </w:p>
    <w:p w14:paraId="21C3A403" w14:textId="77777777" w:rsidR="006C0ABF" w:rsidRDefault="006C0ABF" w:rsidP="00A63152">
      <w:pPr>
        <w:spacing w:after="0" w:line="360" w:lineRule="auto"/>
        <w:ind w:firstLine="567"/>
        <w:jc w:val="both"/>
        <w:rPr>
          <w:rFonts w:ascii="Arial" w:hAnsi="Arial" w:cs="Arial"/>
          <w:sz w:val="22"/>
          <w:szCs w:val="22"/>
        </w:rPr>
      </w:pPr>
    </w:p>
    <w:p w14:paraId="01E8F557" w14:textId="77777777" w:rsidR="00ED5975" w:rsidRDefault="00ED5975" w:rsidP="00A63152">
      <w:pPr>
        <w:spacing w:after="0" w:line="360" w:lineRule="auto"/>
        <w:ind w:firstLine="567"/>
        <w:jc w:val="both"/>
        <w:rPr>
          <w:rFonts w:ascii="Arial" w:hAnsi="Arial" w:cs="Arial"/>
          <w:sz w:val="22"/>
          <w:szCs w:val="22"/>
        </w:rPr>
      </w:pPr>
    </w:p>
    <w:p w14:paraId="0A4A2AF2" w14:textId="77777777" w:rsidR="00ED5975" w:rsidRDefault="00ED5975" w:rsidP="00A63152">
      <w:pPr>
        <w:spacing w:after="0" w:line="360" w:lineRule="auto"/>
        <w:ind w:firstLine="567"/>
        <w:jc w:val="both"/>
        <w:rPr>
          <w:rFonts w:ascii="Arial" w:hAnsi="Arial" w:cs="Arial"/>
          <w:sz w:val="22"/>
          <w:szCs w:val="22"/>
        </w:rPr>
      </w:pPr>
    </w:p>
    <w:p w14:paraId="6C8D1A55" w14:textId="77777777" w:rsidR="00ED5975" w:rsidRDefault="00ED5975" w:rsidP="00A63152">
      <w:pPr>
        <w:spacing w:after="0" w:line="360" w:lineRule="auto"/>
        <w:ind w:firstLine="567"/>
        <w:jc w:val="both"/>
        <w:rPr>
          <w:rFonts w:ascii="Arial" w:hAnsi="Arial" w:cs="Arial"/>
          <w:sz w:val="22"/>
          <w:szCs w:val="22"/>
        </w:rPr>
      </w:pPr>
    </w:p>
    <w:p w14:paraId="113F7824" w14:textId="77777777" w:rsidR="00ED5975" w:rsidRDefault="00ED5975" w:rsidP="00A63152">
      <w:pPr>
        <w:spacing w:after="0" w:line="360" w:lineRule="auto"/>
        <w:ind w:firstLine="567"/>
        <w:jc w:val="both"/>
        <w:rPr>
          <w:rFonts w:ascii="Arial" w:hAnsi="Arial" w:cs="Arial"/>
          <w:sz w:val="22"/>
          <w:szCs w:val="22"/>
        </w:rPr>
      </w:pPr>
    </w:p>
    <w:p w14:paraId="117AE930" w14:textId="77777777" w:rsidR="00ED5975" w:rsidRDefault="00ED5975" w:rsidP="00A63152">
      <w:pPr>
        <w:spacing w:after="0" w:line="360" w:lineRule="auto"/>
        <w:ind w:firstLine="567"/>
        <w:jc w:val="both"/>
        <w:rPr>
          <w:rFonts w:ascii="Arial" w:hAnsi="Arial" w:cs="Arial"/>
          <w:sz w:val="22"/>
          <w:szCs w:val="22"/>
        </w:rPr>
      </w:pPr>
    </w:p>
    <w:p w14:paraId="30F261B6" w14:textId="77777777" w:rsidR="006C0ABF" w:rsidRDefault="006C0ABF" w:rsidP="00A63152">
      <w:pPr>
        <w:spacing w:after="0" w:line="360" w:lineRule="auto"/>
        <w:ind w:firstLine="567"/>
        <w:jc w:val="both"/>
        <w:rPr>
          <w:rFonts w:ascii="Arial" w:hAnsi="Arial" w:cs="Arial"/>
          <w:sz w:val="22"/>
          <w:szCs w:val="22"/>
        </w:rPr>
      </w:pPr>
    </w:p>
    <w:p w14:paraId="32098992" w14:textId="77777777" w:rsidR="00D60CA2" w:rsidRPr="00D67D7B" w:rsidRDefault="00D60CA2" w:rsidP="00A63152">
      <w:pPr>
        <w:spacing w:after="0" w:line="360" w:lineRule="auto"/>
        <w:ind w:firstLine="567"/>
        <w:jc w:val="both"/>
        <w:rPr>
          <w:rFonts w:ascii="Arial" w:hAnsi="Arial" w:cs="Arial"/>
          <w:sz w:val="22"/>
          <w:szCs w:val="22"/>
        </w:rPr>
      </w:pPr>
    </w:p>
    <w:p w14:paraId="372C026A" w14:textId="77777777" w:rsidR="00B03C07" w:rsidRDefault="00B03C07" w:rsidP="00A63152">
      <w:pPr>
        <w:spacing w:after="0" w:line="360" w:lineRule="auto"/>
        <w:ind w:firstLine="567"/>
        <w:jc w:val="both"/>
        <w:rPr>
          <w:rFonts w:ascii="Arial" w:hAnsi="Arial" w:cs="Arial"/>
          <w:sz w:val="22"/>
          <w:szCs w:val="22"/>
        </w:rPr>
      </w:pPr>
    </w:p>
    <w:p w14:paraId="04E1ACDD" w14:textId="77777777" w:rsidR="00B03C07" w:rsidRDefault="00B03C07" w:rsidP="00A63152">
      <w:pPr>
        <w:spacing w:after="0" w:line="360" w:lineRule="auto"/>
        <w:ind w:firstLine="567"/>
        <w:jc w:val="both"/>
        <w:rPr>
          <w:rFonts w:ascii="Arial" w:hAnsi="Arial" w:cs="Arial"/>
          <w:sz w:val="22"/>
          <w:szCs w:val="22"/>
        </w:rPr>
      </w:pPr>
    </w:p>
    <w:p w14:paraId="3AA56B9D" w14:textId="77777777" w:rsidR="007A1FA4" w:rsidRDefault="007A1FA4" w:rsidP="00A63152">
      <w:pPr>
        <w:spacing w:after="0" w:line="360" w:lineRule="auto"/>
        <w:ind w:firstLine="567"/>
        <w:jc w:val="both"/>
        <w:rPr>
          <w:rFonts w:ascii="Arial" w:hAnsi="Arial" w:cs="Arial"/>
          <w:sz w:val="22"/>
          <w:szCs w:val="22"/>
        </w:rPr>
      </w:pPr>
    </w:p>
    <w:p w14:paraId="0B2C7898" w14:textId="77777777" w:rsidR="00B03C07" w:rsidRDefault="00B03C07" w:rsidP="00A63152">
      <w:pPr>
        <w:spacing w:after="0" w:line="360" w:lineRule="auto"/>
        <w:ind w:firstLine="567"/>
        <w:jc w:val="both"/>
        <w:rPr>
          <w:rFonts w:ascii="Arial" w:hAnsi="Arial" w:cs="Arial"/>
          <w:sz w:val="22"/>
          <w:szCs w:val="22"/>
        </w:rPr>
      </w:pPr>
    </w:p>
    <w:p w14:paraId="672AD659" w14:textId="41EC9977" w:rsidR="00BE4D6B" w:rsidRPr="00D60CA2" w:rsidRDefault="00BE4D6B" w:rsidP="00D60CA2">
      <w:pPr>
        <w:pStyle w:val="Heading1"/>
        <w:spacing w:before="120"/>
        <w:rPr>
          <w:b/>
          <w:bCs/>
          <w:sz w:val="22"/>
          <w:szCs w:val="22"/>
        </w:rPr>
      </w:pPr>
      <w:bookmarkStart w:id="11" w:name="_Toc222003624"/>
      <w:r w:rsidRPr="00D60CA2">
        <w:rPr>
          <w:b/>
          <w:bCs/>
          <w:sz w:val="22"/>
          <w:szCs w:val="22"/>
        </w:rPr>
        <w:lastRenderedPageBreak/>
        <w:t>6. Gantt Chart</w:t>
      </w:r>
      <w:bookmarkEnd w:id="11"/>
    </w:p>
    <w:p w14:paraId="1B35A936" w14:textId="77777777" w:rsidR="00BE4D6B" w:rsidRDefault="00BE4D6B" w:rsidP="00A63152">
      <w:pPr>
        <w:spacing w:after="0" w:line="360" w:lineRule="auto"/>
        <w:ind w:firstLine="567"/>
        <w:jc w:val="both"/>
        <w:rPr>
          <w:rFonts w:ascii="Arial" w:hAnsi="Arial" w:cs="Arial"/>
          <w:b/>
          <w:bCs/>
          <w:sz w:val="22"/>
          <w:szCs w:val="22"/>
        </w:rPr>
      </w:pPr>
    </w:p>
    <w:tbl>
      <w:tblPr>
        <w:tblW w:w="0" w:type="auto"/>
        <w:tblCellSpacing w:w="15" w:type="dxa"/>
        <w:tblBorders>
          <w:top w:val="thinThickSmallGap" w:sz="12" w:space="0" w:color="auto"/>
          <w:left w:val="thinThickSmallGap" w:sz="12" w:space="0" w:color="auto"/>
          <w:bottom w:val="thickThinSmallGap" w:sz="12" w:space="0" w:color="auto"/>
          <w:right w:val="thickThinSmallGap"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2156"/>
        <w:gridCol w:w="2433"/>
        <w:gridCol w:w="2135"/>
        <w:gridCol w:w="1091"/>
        <w:gridCol w:w="1151"/>
      </w:tblGrid>
      <w:tr w:rsidR="00534E98" w:rsidRPr="00534E98" w14:paraId="37B36CAF" w14:textId="77777777" w:rsidTr="00534E98">
        <w:trPr>
          <w:tblHeader/>
          <w:tblCellSpacing w:w="15" w:type="dxa"/>
        </w:trPr>
        <w:tc>
          <w:tcPr>
            <w:tcW w:w="0" w:type="auto"/>
            <w:vAlign w:val="center"/>
            <w:hideMark/>
          </w:tcPr>
          <w:p w14:paraId="14589FF8" w14:textId="77777777" w:rsidR="00534E98" w:rsidRPr="00534E98" w:rsidRDefault="00534E98" w:rsidP="00534E98">
            <w:pPr>
              <w:spacing w:after="0" w:line="240" w:lineRule="auto"/>
              <w:jc w:val="center"/>
              <w:rPr>
                <w:rFonts w:ascii="Arial" w:eastAsia="Times New Roman" w:hAnsi="Arial" w:cs="Arial"/>
                <w:b/>
                <w:bCs/>
                <w:kern w:val="0"/>
                <w:sz w:val="20"/>
                <w:szCs w:val="20"/>
                <w:lang w:eastAsia="en-GB"/>
                <w14:ligatures w14:val="none"/>
              </w:rPr>
            </w:pPr>
            <w:r w:rsidRPr="00534E98">
              <w:rPr>
                <w:rFonts w:ascii="Arial" w:eastAsia="Times New Roman" w:hAnsi="Arial" w:cs="Arial"/>
                <w:b/>
                <w:bCs/>
                <w:kern w:val="0"/>
                <w:sz w:val="20"/>
                <w:szCs w:val="20"/>
                <w:lang w:eastAsia="en-GB"/>
                <w14:ligatures w14:val="none"/>
              </w:rPr>
              <w:t>Phase</w:t>
            </w:r>
          </w:p>
        </w:tc>
        <w:tc>
          <w:tcPr>
            <w:tcW w:w="0" w:type="auto"/>
            <w:vAlign w:val="center"/>
            <w:hideMark/>
          </w:tcPr>
          <w:p w14:paraId="26FD99D4" w14:textId="77777777" w:rsidR="00534E98" w:rsidRPr="00534E98" w:rsidRDefault="00534E98" w:rsidP="00534E98">
            <w:pPr>
              <w:spacing w:after="0" w:line="240" w:lineRule="auto"/>
              <w:jc w:val="center"/>
              <w:rPr>
                <w:rFonts w:ascii="Arial" w:eastAsia="Times New Roman" w:hAnsi="Arial" w:cs="Arial"/>
                <w:b/>
                <w:bCs/>
                <w:kern w:val="0"/>
                <w:sz w:val="20"/>
                <w:szCs w:val="20"/>
                <w:lang w:eastAsia="en-GB"/>
                <w14:ligatures w14:val="none"/>
              </w:rPr>
            </w:pPr>
            <w:r w:rsidRPr="00534E98">
              <w:rPr>
                <w:rFonts w:ascii="Arial" w:eastAsia="Times New Roman" w:hAnsi="Arial" w:cs="Arial"/>
                <w:b/>
                <w:bCs/>
                <w:kern w:val="0"/>
                <w:sz w:val="20"/>
                <w:szCs w:val="20"/>
                <w:lang w:eastAsia="en-GB"/>
                <w14:ligatures w14:val="none"/>
              </w:rPr>
              <w:t>Key Tasks</w:t>
            </w:r>
          </w:p>
        </w:tc>
        <w:tc>
          <w:tcPr>
            <w:tcW w:w="0" w:type="auto"/>
            <w:vAlign w:val="center"/>
            <w:hideMark/>
          </w:tcPr>
          <w:p w14:paraId="6A031E59" w14:textId="77777777" w:rsidR="00534E98" w:rsidRPr="00534E98" w:rsidRDefault="00534E98" w:rsidP="00534E98">
            <w:pPr>
              <w:spacing w:after="0" w:line="240" w:lineRule="auto"/>
              <w:jc w:val="center"/>
              <w:rPr>
                <w:rFonts w:ascii="Arial" w:eastAsia="Times New Roman" w:hAnsi="Arial" w:cs="Arial"/>
                <w:b/>
                <w:bCs/>
                <w:kern w:val="0"/>
                <w:sz w:val="20"/>
                <w:szCs w:val="20"/>
                <w:lang w:eastAsia="en-GB"/>
                <w14:ligatures w14:val="none"/>
              </w:rPr>
            </w:pPr>
            <w:r w:rsidRPr="00534E98">
              <w:rPr>
                <w:rFonts w:ascii="Arial" w:eastAsia="Times New Roman" w:hAnsi="Arial" w:cs="Arial"/>
                <w:b/>
                <w:bCs/>
                <w:kern w:val="0"/>
                <w:sz w:val="20"/>
                <w:szCs w:val="20"/>
                <w:lang w:eastAsia="en-GB"/>
                <w14:ligatures w14:val="none"/>
              </w:rPr>
              <w:t>Deliverable</w:t>
            </w:r>
          </w:p>
        </w:tc>
        <w:tc>
          <w:tcPr>
            <w:tcW w:w="0" w:type="auto"/>
            <w:vAlign w:val="center"/>
            <w:hideMark/>
          </w:tcPr>
          <w:p w14:paraId="14B02F5A" w14:textId="77777777" w:rsidR="00534E98" w:rsidRPr="00534E98" w:rsidRDefault="00534E98" w:rsidP="00534E98">
            <w:pPr>
              <w:spacing w:after="0" w:line="240" w:lineRule="auto"/>
              <w:jc w:val="center"/>
              <w:rPr>
                <w:rFonts w:ascii="Arial" w:eastAsia="Times New Roman" w:hAnsi="Arial" w:cs="Arial"/>
                <w:b/>
                <w:bCs/>
                <w:kern w:val="0"/>
                <w:sz w:val="20"/>
                <w:szCs w:val="20"/>
                <w:lang w:eastAsia="en-GB"/>
                <w14:ligatures w14:val="none"/>
              </w:rPr>
            </w:pPr>
            <w:r w:rsidRPr="00534E98">
              <w:rPr>
                <w:rFonts w:ascii="Arial" w:eastAsia="Times New Roman" w:hAnsi="Arial" w:cs="Arial"/>
                <w:b/>
                <w:bCs/>
                <w:kern w:val="0"/>
                <w:sz w:val="20"/>
                <w:szCs w:val="20"/>
                <w:lang w:eastAsia="en-GB"/>
                <w14:ligatures w14:val="none"/>
              </w:rPr>
              <w:t>Start Date</w:t>
            </w:r>
          </w:p>
        </w:tc>
        <w:tc>
          <w:tcPr>
            <w:tcW w:w="0" w:type="auto"/>
            <w:vAlign w:val="center"/>
            <w:hideMark/>
          </w:tcPr>
          <w:p w14:paraId="46153C34" w14:textId="77777777" w:rsidR="00534E98" w:rsidRPr="00534E98" w:rsidRDefault="00534E98" w:rsidP="00534E98">
            <w:pPr>
              <w:spacing w:after="0" w:line="240" w:lineRule="auto"/>
              <w:jc w:val="center"/>
              <w:rPr>
                <w:rFonts w:ascii="Arial" w:eastAsia="Times New Roman" w:hAnsi="Arial" w:cs="Arial"/>
                <w:b/>
                <w:bCs/>
                <w:kern w:val="0"/>
                <w:sz w:val="20"/>
                <w:szCs w:val="20"/>
                <w:lang w:eastAsia="en-GB"/>
                <w14:ligatures w14:val="none"/>
              </w:rPr>
            </w:pPr>
            <w:r w:rsidRPr="00534E98">
              <w:rPr>
                <w:rFonts w:ascii="Arial" w:eastAsia="Times New Roman" w:hAnsi="Arial" w:cs="Arial"/>
                <w:b/>
                <w:bCs/>
                <w:kern w:val="0"/>
                <w:sz w:val="20"/>
                <w:szCs w:val="20"/>
                <w:lang w:eastAsia="en-GB"/>
                <w14:ligatures w14:val="none"/>
              </w:rPr>
              <w:t>End Date</w:t>
            </w:r>
          </w:p>
        </w:tc>
      </w:tr>
      <w:tr w:rsidR="00534E98" w:rsidRPr="00534E98" w14:paraId="0A03C25F" w14:textId="77777777" w:rsidTr="00534E98">
        <w:trPr>
          <w:tblCellSpacing w:w="15" w:type="dxa"/>
        </w:trPr>
        <w:tc>
          <w:tcPr>
            <w:tcW w:w="0" w:type="auto"/>
            <w:vAlign w:val="center"/>
            <w:hideMark/>
          </w:tcPr>
          <w:p w14:paraId="795D4E96"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1. Finalise proposal &amp; data plan</w:t>
            </w:r>
          </w:p>
        </w:tc>
        <w:tc>
          <w:tcPr>
            <w:tcW w:w="0" w:type="auto"/>
            <w:vAlign w:val="center"/>
            <w:hideMark/>
          </w:tcPr>
          <w:p w14:paraId="584125D6"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Refine proposal;</w:t>
            </w:r>
          </w:p>
          <w:p w14:paraId="06CBDE4A"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 build codebook;</w:t>
            </w:r>
          </w:p>
          <w:p w14:paraId="0B9CC89B" w14:textId="23A8337C"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identify annual reports and indices</w:t>
            </w:r>
          </w:p>
        </w:tc>
        <w:tc>
          <w:tcPr>
            <w:tcW w:w="0" w:type="auto"/>
            <w:vAlign w:val="center"/>
            <w:hideMark/>
          </w:tcPr>
          <w:p w14:paraId="6DB1FA16" w14:textId="77777777" w:rsidR="0080605B" w:rsidRP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 xml:space="preserve">Final proposal; </w:t>
            </w:r>
          </w:p>
          <w:p w14:paraId="18C89C61" w14:textId="34FF128C" w:rsidR="00534E98" w:rsidRP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data inventory</w:t>
            </w:r>
          </w:p>
        </w:tc>
        <w:tc>
          <w:tcPr>
            <w:tcW w:w="0" w:type="auto"/>
            <w:vAlign w:val="center"/>
            <w:hideMark/>
          </w:tcPr>
          <w:p w14:paraId="6324064F"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01/02/2026</w:t>
            </w:r>
          </w:p>
        </w:tc>
        <w:tc>
          <w:tcPr>
            <w:tcW w:w="0" w:type="auto"/>
            <w:vAlign w:val="center"/>
            <w:hideMark/>
          </w:tcPr>
          <w:p w14:paraId="7812F311"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14/02/2026</w:t>
            </w:r>
          </w:p>
        </w:tc>
      </w:tr>
      <w:tr w:rsidR="00534E98" w:rsidRPr="00534E98" w14:paraId="3BF019A8" w14:textId="77777777" w:rsidTr="00534E98">
        <w:trPr>
          <w:tblCellSpacing w:w="15" w:type="dxa"/>
        </w:trPr>
        <w:tc>
          <w:tcPr>
            <w:tcW w:w="0" w:type="auto"/>
            <w:vAlign w:val="center"/>
            <w:hideMark/>
          </w:tcPr>
          <w:p w14:paraId="4D447F44"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2. Data collection</w:t>
            </w:r>
          </w:p>
        </w:tc>
        <w:tc>
          <w:tcPr>
            <w:tcW w:w="0" w:type="auto"/>
            <w:vAlign w:val="center"/>
            <w:hideMark/>
          </w:tcPr>
          <w:p w14:paraId="7339E78B"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Download annual reports; </w:t>
            </w:r>
          </w:p>
          <w:p w14:paraId="0ABD60DE"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Companies House filings; </w:t>
            </w:r>
          </w:p>
          <w:p w14:paraId="2C3374A7"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freight indices; </w:t>
            </w:r>
          </w:p>
          <w:p w14:paraId="57D33BDA" w14:textId="1E39D880"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press releases</w:t>
            </w:r>
          </w:p>
        </w:tc>
        <w:tc>
          <w:tcPr>
            <w:tcW w:w="0" w:type="auto"/>
            <w:vAlign w:val="center"/>
            <w:hideMark/>
          </w:tcPr>
          <w:p w14:paraId="446596F2" w14:textId="77777777" w:rsid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SQL database of numerical data;</w:t>
            </w:r>
          </w:p>
          <w:p w14:paraId="5DAC0677" w14:textId="2B67B3B3" w:rsidR="00534E98" w:rsidRP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text dataset</w:t>
            </w:r>
          </w:p>
        </w:tc>
        <w:tc>
          <w:tcPr>
            <w:tcW w:w="0" w:type="auto"/>
            <w:vAlign w:val="center"/>
            <w:hideMark/>
          </w:tcPr>
          <w:p w14:paraId="2B80EF21"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15/02/2026</w:t>
            </w:r>
          </w:p>
        </w:tc>
        <w:tc>
          <w:tcPr>
            <w:tcW w:w="0" w:type="auto"/>
            <w:vAlign w:val="center"/>
            <w:hideMark/>
          </w:tcPr>
          <w:p w14:paraId="0C628E0C"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28/02/2026</w:t>
            </w:r>
          </w:p>
        </w:tc>
      </w:tr>
      <w:tr w:rsidR="00534E98" w:rsidRPr="00534E98" w14:paraId="7D535205" w14:textId="77777777" w:rsidTr="00534E98">
        <w:trPr>
          <w:tblCellSpacing w:w="15" w:type="dxa"/>
        </w:trPr>
        <w:tc>
          <w:tcPr>
            <w:tcW w:w="0" w:type="auto"/>
            <w:vAlign w:val="center"/>
            <w:hideMark/>
          </w:tcPr>
          <w:p w14:paraId="05151DD3"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3. Data cleaning &amp; operationalisation</w:t>
            </w:r>
          </w:p>
        </w:tc>
        <w:tc>
          <w:tcPr>
            <w:tcW w:w="0" w:type="auto"/>
            <w:vAlign w:val="center"/>
            <w:hideMark/>
          </w:tcPr>
          <w:p w14:paraId="48A6D5AB"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Calculate ratios; create Digital Maturity Index;</w:t>
            </w:r>
          </w:p>
          <w:p w14:paraId="1625C853" w14:textId="5105053D"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validate time series</w:t>
            </w:r>
          </w:p>
        </w:tc>
        <w:tc>
          <w:tcPr>
            <w:tcW w:w="0" w:type="auto"/>
            <w:vAlign w:val="center"/>
            <w:hideMark/>
          </w:tcPr>
          <w:p w14:paraId="4F9840AB" w14:textId="77777777" w:rsid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Cleaned datasets;</w:t>
            </w:r>
          </w:p>
          <w:p w14:paraId="4282D31F" w14:textId="61F00261" w:rsidR="00534E98" w:rsidRP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calculation scripts (SQL)</w:t>
            </w:r>
          </w:p>
        </w:tc>
        <w:tc>
          <w:tcPr>
            <w:tcW w:w="0" w:type="auto"/>
            <w:vAlign w:val="center"/>
            <w:hideMark/>
          </w:tcPr>
          <w:p w14:paraId="2FEA243B"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01/03/2026</w:t>
            </w:r>
          </w:p>
        </w:tc>
        <w:tc>
          <w:tcPr>
            <w:tcW w:w="0" w:type="auto"/>
            <w:vAlign w:val="center"/>
            <w:hideMark/>
          </w:tcPr>
          <w:p w14:paraId="447CA85A"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10/03/2026</w:t>
            </w:r>
          </w:p>
        </w:tc>
      </w:tr>
      <w:tr w:rsidR="00534E98" w:rsidRPr="00534E98" w14:paraId="4A438F6A" w14:textId="77777777" w:rsidTr="00534E98">
        <w:trPr>
          <w:tblCellSpacing w:w="15" w:type="dxa"/>
        </w:trPr>
        <w:tc>
          <w:tcPr>
            <w:tcW w:w="0" w:type="auto"/>
            <w:vAlign w:val="center"/>
            <w:hideMark/>
          </w:tcPr>
          <w:p w14:paraId="007E750B"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4. Quantitative analysis</w:t>
            </w:r>
          </w:p>
        </w:tc>
        <w:tc>
          <w:tcPr>
            <w:tcW w:w="0" w:type="auto"/>
            <w:vAlign w:val="center"/>
            <w:hideMark/>
          </w:tcPr>
          <w:p w14:paraId="384CF254"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Interrupted time-series; </w:t>
            </w:r>
          </w:p>
          <w:p w14:paraId="01854840"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regressions;</w:t>
            </w:r>
          </w:p>
          <w:p w14:paraId="0E5CD7C7" w14:textId="47437250"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correlation matrices</w:t>
            </w:r>
          </w:p>
        </w:tc>
        <w:tc>
          <w:tcPr>
            <w:tcW w:w="0" w:type="auto"/>
            <w:vAlign w:val="center"/>
            <w:hideMark/>
          </w:tcPr>
          <w:p w14:paraId="544D9FA4" w14:textId="77777777" w:rsid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 xml:space="preserve">Analysis outputs; tables; </w:t>
            </w:r>
          </w:p>
          <w:p w14:paraId="1ACEAA4A" w14:textId="1EF5BC83" w:rsidR="00534E98" w:rsidRP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statistical notes</w:t>
            </w:r>
          </w:p>
        </w:tc>
        <w:tc>
          <w:tcPr>
            <w:tcW w:w="0" w:type="auto"/>
            <w:vAlign w:val="center"/>
            <w:hideMark/>
          </w:tcPr>
          <w:p w14:paraId="05679252"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11/03/2026</w:t>
            </w:r>
          </w:p>
        </w:tc>
        <w:tc>
          <w:tcPr>
            <w:tcW w:w="0" w:type="auto"/>
            <w:vAlign w:val="center"/>
            <w:hideMark/>
          </w:tcPr>
          <w:p w14:paraId="7164FCCF"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31/03/2026</w:t>
            </w:r>
          </w:p>
        </w:tc>
      </w:tr>
      <w:tr w:rsidR="00534E98" w:rsidRPr="00534E98" w14:paraId="20066B93" w14:textId="77777777" w:rsidTr="00534E98">
        <w:trPr>
          <w:tblCellSpacing w:w="15" w:type="dxa"/>
        </w:trPr>
        <w:tc>
          <w:tcPr>
            <w:tcW w:w="0" w:type="auto"/>
            <w:vAlign w:val="center"/>
            <w:hideMark/>
          </w:tcPr>
          <w:p w14:paraId="1CE1C1A2"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5. Qualitative analysis</w:t>
            </w:r>
          </w:p>
        </w:tc>
        <w:tc>
          <w:tcPr>
            <w:tcW w:w="0" w:type="auto"/>
            <w:vAlign w:val="center"/>
            <w:hideMark/>
          </w:tcPr>
          <w:p w14:paraId="0EAC9689"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Thematic coding of management commentary; </w:t>
            </w:r>
          </w:p>
          <w:p w14:paraId="1BCE1B73" w14:textId="713162EA"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DCT coding</w:t>
            </w:r>
          </w:p>
        </w:tc>
        <w:tc>
          <w:tcPr>
            <w:tcW w:w="0" w:type="auto"/>
            <w:vAlign w:val="center"/>
            <w:hideMark/>
          </w:tcPr>
          <w:p w14:paraId="6FDFB514" w14:textId="77777777" w:rsid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Thematic maps;</w:t>
            </w:r>
          </w:p>
          <w:p w14:paraId="4CFFDC13" w14:textId="2826B44D" w:rsidR="00534E98" w:rsidRPr="0080605B"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Dynamic Capability scores</w:t>
            </w:r>
          </w:p>
        </w:tc>
        <w:tc>
          <w:tcPr>
            <w:tcW w:w="0" w:type="auto"/>
            <w:vAlign w:val="center"/>
            <w:hideMark/>
          </w:tcPr>
          <w:p w14:paraId="0EAAA1D1"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01/04/2026</w:t>
            </w:r>
          </w:p>
        </w:tc>
        <w:tc>
          <w:tcPr>
            <w:tcW w:w="0" w:type="auto"/>
            <w:vAlign w:val="center"/>
            <w:hideMark/>
          </w:tcPr>
          <w:p w14:paraId="430E8B65"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15/04/2026</w:t>
            </w:r>
          </w:p>
        </w:tc>
      </w:tr>
      <w:tr w:rsidR="00534E98" w:rsidRPr="00534E98" w14:paraId="363D775F" w14:textId="77777777" w:rsidTr="00534E98">
        <w:trPr>
          <w:tblCellSpacing w:w="15" w:type="dxa"/>
        </w:trPr>
        <w:tc>
          <w:tcPr>
            <w:tcW w:w="0" w:type="auto"/>
            <w:vAlign w:val="center"/>
            <w:hideMark/>
          </w:tcPr>
          <w:p w14:paraId="31599DA0"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6. Visualisation &amp; dashboarding</w:t>
            </w:r>
          </w:p>
        </w:tc>
        <w:tc>
          <w:tcPr>
            <w:tcW w:w="0" w:type="auto"/>
            <w:vAlign w:val="center"/>
            <w:hideMark/>
          </w:tcPr>
          <w:p w14:paraId="612C68BE"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Build Power BI dashboards;</w:t>
            </w:r>
          </w:p>
          <w:p w14:paraId="4AC86203" w14:textId="77777777" w:rsid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 xml:space="preserve">scenario simulations; </w:t>
            </w:r>
          </w:p>
          <w:p w14:paraId="5600D7F1" w14:textId="7FBB2D5E"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crisis model</w:t>
            </w:r>
          </w:p>
        </w:tc>
        <w:tc>
          <w:tcPr>
            <w:tcW w:w="0" w:type="auto"/>
            <w:vAlign w:val="center"/>
            <w:hideMark/>
          </w:tcPr>
          <w:p w14:paraId="52126635" w14:textId="77777777" w:rsidR="0000703C"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Interactive Power BI dashboard;</w:t>
            </w:r>
          </w:p>
          <w:p w14:paraId="79692A10" w14:textId="3595E22B" w:rsidR="00534E98" w:rsidRPr="0080605B" w:rsidRDefault="0080605B"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S</w:t>
            </w:r>
            <w:r w:rsidR="00534E98" w:rsidRPr="0080605B">
              <w:rPr>
                <w:rFonts w:ascii="Arial" w:eastAsia="Times New Roman" w:hAnsi="Arial" w:cs="Arial"/>
                <w:kern w:val="0"/>
                <w:sz w:val="20"/>
                <w:szCs w:val="20"/>
                <w:lang w:eastAsia="en-GB"/>
                <w14:ligatures w14:val="none"/>
              </w:rPr>
              <w:t>tatic figures for dissertation</w:t>
            </w:r>
          </w:p>
        </w:tc>
        <w:tc>
          <w:tcPr>
            <w:tcW w:w="0" w:type="auto"/>
            <w:vAlign w:val="center"/>
            <w:hideMark/>
          </w:tcPr>
          <w:p w14:paraId="527FAF22"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16/04/2026</w:t>
            </w:r>
          </w:p>
        </w:tc>
        <w:tc>
          <w:tcPr>
            <w:tcW w:w="0" w:type="auto"/>
            <w:vAlign w:val="center"/>
            <w:hideMark/>
          </w:tcPr>
          <w:p w14:paraId="076E86FE"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25/04/2026</w:t>
            </w:r>
          </w:p>
        </w:tc>
      </w:tr>
      <w:tr w:rsidR="00534E98" w:rsidRPr="00534E98" w14:paraId="0C136F95" w14:textId="77777777" w:rsidTr="00534E98">
        <w:trPr>
          <w:tblCellSpacing w:w="15" w:type="dxa"/>
        </w:trPr>
        <w:tc>
          <w:tcPr>
            <w:tcW w:w="0" w:type="auto"/>
            <w:vAlign w:val="center"/>
            <w:hideMark/>
          </w:tcPr>
          <w:p w14:paraId="6F193AB8"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b/>
                <w:bCs/>
                <w:kern w:val="0"/>
                <w:sz w:val="20"/>
                <w:szCs w:val="20"/>
                <w:lang w:eastAsia="en-GB"/>
                <w14:ligatures w14:val="none"/>
              </w:rPr>
              <w:t>7. Write-up &amp; submission preparation</w:t>
            </w:r>
          </w:p>
        </w:tc>
        <w:tc>
          <w:tcPr>
            <w:tcW w:w="0" w:type="auto"/>
            <w:vAlign w:val="center"/>
            <w:hideMark/>
          </w:tcPr>
          <w:p w14:paraId="35EEA26D" w14:textId="77777777" w:rsidR="00534E98" w:rsidRPr="00534E98" w:rsidRDefault="00534E98" w:rsidP="00534E98">
            <w:pPr>
              <w:pStyle w:val="ListParagraph"/>
              <w:numPr>
                <w:ilvl w:val="0"/>
                <w:numId w:val="3"/>
              </w:num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Draft chapters; integrate visuals; final edits</w:t>
            </w:r>
          </w:p>
        </w:tc>
        <w:tc>
          <w:tcPr>
            <w:tcW w:w="0" w:type="auto"/>
            <w:vAlign w:val="center"/>
            <w:hideMark/>
          </w:tcPr>
          <w:p w14:paraId="190A88EF" w14:textId="77777777" w:rsidR="0000703C" w:rsidRDefault="00534E98"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sidRPr="0080605B">
              <w:rPr>
                <w:rFonts w:ascii="Arial" w:eastAsia="Times New Roman" w:hAnsi="Arial" w:cs="Arial"/>
                <w:kern w:val="0"/>
                <w:sz w:val="20"/>
                <w:szCs w:val="20"/>
                <w:lang w:eastAsia="en-GB"/>
                <w14:ligatures w14:val="none"/>
              </w:rPr>
              <w:t>Full dissertation draft;</w:t>
            </w:r>
          </w:p>
          <w:p w14:paraId="1ED9F38F" w14:textId="1B192850" w:rsidR="00534E98" w:rsidRPr="0080605B" w:rsidRDefault="0000703C" w:rsidP="0080605B">
            <w:pPr>
              <w:pStyle w:val="ListParagraph"/>
              <w:numPr>
                <w:ilvl w:val="0"/>
                <w:numId w:val="4"/>
              </w:numPr>
              <w:spacing w:after="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S</w:t>
            </w:r>
            <w:r w:rsidR="00534E98" w:rsidRPr="0080605B">
              <w:rPr>
                <w:rFonts w:ascii="Arial" w:eastAsia="Times New Roman" w:hAnsi="Arial" w:cs="Arial"/>
                <w:kern w:val="0"/>
                <w:sz w:val="20"/>
                <w:szCs w:val="20"/>
                <w:lang w:eastAsia="en-GB"/>
                <w14:ligatures w14:val="none"/>
              </w:rPr>
              <w:t>ubmission files</w:t>
            </w:r>
          </w:p>
        </w:tc>
        <w:tc>
          <w:tcPr>
            <w:tcW w:w="0" w:type="auto"/>
            <w:vAlign w:val="center"/>
            <w:hideMark/>
          </w:tcPr>
          <w:p w14:paraId="2A618520"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26/04/2026</w:t>
            </w:r>
          </w:p>
        </w:tc>
        <w:tc>
          <w:tcPr>
            <w:tcW w:w="0" w:type="auto"/>
            <w:vAlign w:val="center"/>
            <w:hideMark/>
          </w:tcPr>
          <w:p w14:paraId="7A3CDDBC" w14:textId="77777777" w:rsidR="00534E98" w:rsidRPr="00534E98" w:rsidRDefault="00534E98" w:rsidP="00534E98">
            <w:pPr>
              <w:spacing w:after="0" w:line="240" w:lineRule="auto"/>
              <w:rPr>
                <w:rFonts w:ascii="Arial" w:eastAsia="Times New Roman" w:hAnsi="Arial" w:cs="Arial"/>
                <w:kern w:val="0"/>
                <w:sz w:val="20"/>
                <w:szCs w:val="20"/>
                <w:lang w:eastAsia="en-GB"/>
                <w14:ligatures w14:val="none"/>
              </w:rPr>
            </w:pPr>
            <w:r w:rsidRPr="00534E98">
              <w:rPr>
                <w:rFonts w:ascii="Arial" w:eastAsia="Times New Roman" w:hAnsi="Arial" w:cs="Arial"/>
                <w:kern w:val="0"/>
                <w:sz w:val="20"/>
                <w:szCs w:val="20"/>
                <w:lang w:eastAsia="en-GB"/>
                <w14:ligatures w14:val="none"/>
              </w:rPr>
              <w:t>03/05/2026</w:t>
            </w:r>
          </w:p>
        </w:tc>
      </w:tr>
    </w:tbl>
    <w:p w14:paraId="1CAEF77A" w14:textId="77777777" w:rsidR="00BE4D6B" w:rsidRDefault="00BE4D6B" w:rsidP="00A63152">
      <w:pPr>
        <w:spacing w:after="0" w:line="360" w:lineRule="auto"/>
        <w:ind w:firstLine="567"/>
        <w:jc w:val="both"/>
        <w:rPr>
          <w:rFonts w:ascii="Arial" w:hAnsi="Arial" w:cs="Arial"/>
          <w:b/>
          <w:bCs/>
          <w:sz w:val="22"/>
          <w:szCs w:val="22"/>
        </w:rPr>
      </w:pPr>
    </w:p>
    <w:p w14:paraId="095282D2" w14:textId="77777777" w:rsidR="00BE4D6B" w:rsidRDefault="00BE4D6B" w:rsidP="00A63152">
      <w:pPr>
        <w:spacing w:after="0" w:line="360" w:lineRule="auto"/>
        <w:ind w:firstLine="567"/>
        <w:jc w:val="both"/>
        <w:rPr>
          <w:rFonts w:ascii="Arial" w:hAnsi="Arial" w:cs="Arial"/>
          <w:b/>
          <w:bCs/>
          <w:sz w:val="22"/>
          <w:szCs w:val="22"/>
        </w:rPr>
      </w:pPr>
    </w:p>
    <w:p w14:paraId="417F6BB4" w14:textId="77777777" w:rsidR="00BE4D6B" w:rsidRDefault="00BE4D6B" w:rsidP="00A63152">
      <w:pPr>
        <w:spacing w:after="0" w:line="360" w:lineRule="auto"/>
        <w:ind w:firstLine="567"/>
        <w:jc w:val="both"/>
        <w:rPr>
          <w:rFonts w:ascii="Arial" w:hAnsi="Arial" w:cs="Arial"/>
          <w:b/>
          <w:bCs/>
          <w:sz w:val="22"/>
          <w:szCs w:val="22"/>
        </w:rPr>
      </w:pPr>
    </w:p>
    <w:p w14:paraId="36C98905" w14:textId="77777777" w:rsidR="00BE4D6B" w:rsidRDefault="00BE4D6B" w:rsidP="00A63152">
      <w:pPr>
        <w:spacing w:after="0" w:line="360" w:lineRule="auto"/>
        <w:ind w:firstLine="567"/>
        <w:jc w:val="both"/>
        <w:rPr>
          <w:rFonts w:ascii="Arial" w:hAnsi="Arial" w:cs="Arial"/>
          <w:b/>
          <w:bCs/>
          <w:sz w:val="22"/>
          <w:szCs w:val="22"/>
        </w:rPr>
      </w:pPr>
    </w:p>
    <w:p w14:paraId="76EF3E91" w14:textId="77777777" w:rsidR="00BE4D6B" w:rsidRDefault="00BE4D6B" w:rsidP="00A63152">
      <w:pPr>
        <w:spacing w:after="0" w:line="360" w:lineRule="auto"/>
        <w:ind w:firstLine="567"/>
        <w:jc w:val="both"/>
        <w:rPr>
          <w:rFonts w:ascii="Arial" w:hAnsi="Arial" w:cs="Arial"/>
          <w:b/>
          <w:bCs/>
          <w:sz w:val="22"/>
          <w:szCs w:val="22"/>
        </w:rPr>
      </w:pPr>
    </w:p>
    <w:p w14:paraId="60036C25" w14:textId="77777777" w:rsidR="00BE4D6B" w:rsidRDefault="00BE4D6B" w:rsidP="00A63152">
      <w:pPr>
        <w:spacing w:after="0" w:line="360" w:lineRule="auto"/>
        <w:ind w:firstLine="567"/>
        <w:jc w:val="both"/>
        <w:rPr>
          <w:rFonts w:ascii="Arial" w:hAnsi="Arial" w:cs="Arial"/>
          <w:b/>
          <w:bCs/>
          <w:sz w:val="22"/>
          <w:szCs w:val="22"/>
        </w:rPr>
      </w:pPr>
    </w:p>
    <w:p w14:paraId="28F3BB8C" w14:textId="77777777" w:rsidR="00BE4D6B" w:rsidRDefault="00BE4D6B" w:rsidP="00A63152">
      <w:pPr>
        <w:spacing w:after="0" w:line="360" w:lineRule="auto"/>
        <w:ind w:firstLine="567"/>
        <w:jc w:val="both"/>
        <w:rPr>
          <w:rFonts w:ascii="Arial" w:hAnsi="Arial" w:cs="Arial"/>
          <w:b/>
          <w:bCs/>
          <w:sz w:val="22"/>
          <w:szCs w:val="22"/>
        </w:rPr>
      </w:pPr>
    </w:p>
    <w:p w14:paraId="1500ED9F" w14:textId="77777777" w:rsidR="00BE4D6B" w:rsidRDefault="00BE4D6B" w:rsidP="00A63152">
      <w:pPr>
        <w:spacing w:after="0" w:line="360" w:lineRule="auto"/>
        <w:ind w:firstLine="567"/>
        <w:jc w:val="both"/>
        <w:rPr>
          <w:rFonts w:ascii="Arial" w:hAnsi="Arial" w:cs="Arial"/>
          <w:b/>
          <w:bCs/>
          <w:sz w:val="22"/>
          <w:szCs w:val="22"/>
        </w:rPr>
      </w:pPr>
    </w:p>
    <w:p w14:paraId="26BAA195" w14:textId="77777777" w:rsidR="00BE4D6B" w:rsidRDefault="00BE4D6B" w:rsidP="00A92367">
      <w:pPr>
        <w:spacing w:after="0" w:line="360" w:lineRule="auto"/>
        <w:jc w:val="both"/>
        <w:rPr>
          <w:rFonts w:ascii="Arial" w:hAnsi="Arial" w:cs="Arial"/>
          <w:sz w:val="22"/>
          <w:szCs w:val="22"/>
        </w:rPr>
      </w:pPr>
    </w:p>
    <w:p w14:paraId="660310D7" w14:textId="792D22B5" w:rsidR="00A92367" w:rsidRPr="002A3890" w:rsidRDefault="00B03C07" w:rsidP="00A92367">
      <w:pPr>
        <w:spacing w:after="0" w:line="360" w:lineRule="auto"/>
        <w:rPr>
          <w:rFonts w:ascii="Arial" w:hAnsi="Arial" w:cs="Arial"/>
          <w:b/>
          <w:bCs/>
          <w:sz w:val="22"/>
          <w:szCs w:val="22"/>
        </w:rPr>
      </w:pPr>
      <w:r w:rsidRPr="00B03C07">
        <w:rPr>
          <w:rFonts w:ascii="Arial" w:hAnsi="Arial" w:cs="Arial"/>
          <w:b/>
          <w:bCs/>
          <w:sz w:val="22"/>
          <w:szCs w:val="22"/>
        </w:rPr>
        <w:lastRenderedPageBreak/>
        <w:t>References:</w:t>
      </w:r>
    </w:p>
    <w:p w14:paraId="1EA9E89E" w14:textId="77777777" w:rsidR="00A92367" w:rsidRDefault="00A92367" w:rsidP="00A92367">
      <w:pPr>
        <w:spacing w:after="0" w:line="360" w:lineRule="auto"/>
        <w:rPr>
          <w:rFonts w:ascii="Arial" w:hAnsi="Arial" w:cs="Arial"/>
          <w:b/>
          <w:bCs/>
          <w:sz w:val="22"/>
          <w:szCs w:val="22"/>
        </w:rPr>
      </w:pPr>
    </w:p>
    <w:p w14:paraId="774DA713" w14:textId="062A2F84" w:rsidR="00A92367" w:rsidRDefault="00A92367" w:rsidP="00A92367">
      <w:pPr>
        <w:spacing w:after="0" w:line="360" w:lineRule="auto"/>
        <w:rPr>
          <w:rFonts w:ascii="Arial" w:hAnsi="Arial" w:cs="Arial"/>
          <w:sz w:val="22"/>
          <w:szCs w:val="22"/>
        </w:rPr>
      </w:pPr>
      <w:r w:rsidRPr="002C1F2E">
        <w:rPr>
          <w:rFonts w:ascii="Arial" w:hAnsi="Arial" w:cs="Arial"/>
          <w:sz w:val="22"/>
          <w:szCs w:val="22"/>
        </w:rPr>
        <w:t xml:space="preserve">Ali, A., Ismail, A. and Arslan, M. (2023) ‘Supply chain complexity and geopolitical risk’, Journal of Global Operations, 12(1), pp. 45–63. Available at: </w:t>
      </w:r>
      <w:r w:rsidR="002A3890">
        <w:rPr>
          <w:rFonts w:ascii="Arial" w:hAnsi="Arial" w:cs="Arial"/>
          <w:sz w:val="22"/>
          <w:szCs w:val="22"/>
        </w:rPr>
        <w:t>jgoperations.org (</w:t>
      </w:r>
      <w:r w:rsidRPr="002C1F2E">
        <w:rPr>
          <w:rFonts w:ascii="Arial" w:hAnsi="Arial" w:cs="Arial"/>
          <w:sz w:val="22"/>
          <w:szCs w:val="22"/>
        </w:rPr>
        <w:t>Bing) (Accessed: 8</w:t>
      </w:r>
      <w:r w:rsidR="002A3890">
        <w:rPr>
          <w:rFonts w:ascii="Arial" w:hAnsi="Arial" w:cs="Arial"/>
          <w:sz w:val="22"/>
          <w:szCs w:val="22"/>
        </w:rPr>
        <w:t>/02/</w:t>
      </w:r>
      <w:r w:rsidRPr="002C1F2E">
        <w:rPr>
          <w:rFonts w:ascii="Arial" w:hAnsi="Arial" w:cs="Arial"/>
          <w:sz w:val="22"/>
          <w:szCs w:val="22"/>
        </w:rPr>
        <w:t>2026).</w:t>
      </w:r>
    </w:p>
    <w:p w14:paraId="6A4DD4D3" w14:textId="77777777" w:rsidR="002A3890" w:rsidRPr="002C1F2E" w:rsidRDefault="002A3890" w:rsidP="00A92367">
      <w:pPr>
        <w:spacing w:after="0" w:line="360" w:lineRule="auto"/>
        <w:rPr>
          <w:rFonts w:ascii="Arial" w:hAnsi="Arial" w:cs="Arial"/>
          <w:sz w:val="22"/>
          <w:szCs w:val="22"/>
        </w:rPr>
      </w:pPr>
    </w:p>
    <w:p w14:paraId="790F6E26" w14:textId="779DE1E8"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Aston University Publications (2024) </w:t>
      </w:r>
      <w:r w:rsidRPr="002A3890">
        <w:rPr>
          <w:rFonts w:ascii="Arial" w:hAnsi="Arial" w:cs="Arial"/>
          <w:i/>
          <w:iCs/>
          <w:sz w:val="22"/>
          <w:szCs w:val="22"/>
        </w:rPr>
        <w:t>Buffering in automotive supply chains</w:t>
      </w:r>
      <w:r w:rsidRPr="002A3890">
        <w:rPr>
          <w:rFonts w:ascii="Arial" w:hAnsi="Arial" w:cs="Arial"/>
          <w:sz w:val="22"/>
          <w:szCs w:val="22"/>
        </w:rPr>
        <w:t xml:space="preserve">. Available at: </w:t>
      </w:r>
      <w:hyperlink r:id="rId9" w:history="1">
        <w:r w:rsidRPr="002A3890">
          <w:rPr>
            <w:rStyle w:val="Hyperlink"/>
            <w:rFonts w:ascii="Arial" w:hAnsi="Arial" w:cs="Arial"/>
            <w:sz w:val="22"/>
            <w:szCs w:val="22"/>
          </w:rPr>
          <w:t>https://publications.aston.ac.uk/buffering-automotive-supply-chains/</w:t>
        </w:r>
      </w:hyperlink>
      <w:r w:rsidR="002A3890" w:rsidRPr="002A3890">
        <w:rPr>
          <w:rFonts w:ascii="Arial" w:hAnsi="Arial" w:cs="Arial"/>
          <w:sz w:val="22"/>
          <w:szCs w:val="22"/>
        </w:rPr>
        <w:t xml:space="preserve"> </w:t>
      </w:r>
      <w:r w:rsidRPr="002A3890">
        <w:rPr>
          <w:rFonts w:ascii="Arial" w:hAnsi="Arial" w:cs="Arial"/>
          <w:sz w:val="22"/>
          <w:szCs w:val="22"/>
        </w:rPr>
        <w:t>(publications.aston.ac.uk in Bing) (Accessed: 04</w:t>
      </w:r>
      <w:r w:rsidR="002A3890">
        <w:rPr>
          <w:rFonts w:ascii="Arial" w:hAnsi="Arial" w:cs="Arial"/>
          <w:sz w:val="22"/>
          <w:szCs w:val="22"/>
        </w:rPr>
        <w:t>/02/</w:t>
      </w:r>
      <w:r w:rsidRPr="002A3890">
        <w:rPr>
          <w:rFonts w:ascii="Arial" w:hAnsi="Arial" w:cs="Arial"/>
          <w:sz w:val="22"/>
          <w:szCs w:val="22"/>
        </w:rPr>
        <w:t>2026).</w:t>
      </w:r>
    </w:p>
    <w:p w14:paraId="70E6BAE6" w14:textId="77777777" w:rsidR="002A3890" w:rsidRPr="002A3890" w:rsidRDefault="002A3890" w:rsidP="00A92367">
      <w:pPr>
        <w:spacing w:after="0" w:line="360" w:lineRule="auto"/>
        <w:rPr>
          <w:rFonts w:ascii="Arial" w:hAnsi="Arial" w:cs="Arial"/>
          <w:sz w:val="22"/>
          <w:szCs w:val="22"/>
        </w:rPr>
      </w:pPr>
    </w:p>
    <w:p w14:paraId="60019785" w14:textId="711EA581"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Barney, J. (2012) Gaining and Sustaining Competitive Advantage. 4th edn. Harlow: Pearson. Available at:  (pearson.com in Bing) (Accessed: </w:t>
      </w:r>
      <w:r w:rsidR="001F74E7">
        <w:rPr>
          <w:rFonts w:ascii="Arial" w:hAnsi="Arial" w:cs="Arial"/>
          <w:sz w:val="22"/>
          <w:szCs w:val="22"/>
        </w:rPr>
        <w:t>0</w:t>
      </w:r>
      <w:r w:rsidRPr="002A3890">
        <w:rPr>
          <w:rFonts w:ascii="Arial" w:hAnsi="Arial" w:cs="Arial"/>
          <w:sz w:val="22"/>
          <w:szCs w:val="22"/>
        </w:rPr>
        <w:t>8</w:t>
      </w:r>
      <w:r w:rsidR="001461AC" w:rsidRPr="001461AC">
        <w:rPr>
          <w:rFonts w:ascii="Arial" w:hAnsi="Arial" w:cs="Arial"/>
          <w:sz w:val="22"/>
          <w:szCs w:val="22"/>
        </w:rPr>
        <w:t>/02/</w:t>
      </w:r>
      <w:r w:rsidRPr="002A3890">
        <w:rPr>
          <w:rFonts w:ascii="Arial" w:hAnsi="Arial" w:cs="Arial"/>
          <w:sz w:val="22"/>
          <w:szCs w:val="22"/>
        </w:rPr>
        <w:t>2026).</w:t>
      </w:r>
    </w:p>
    <w:p w14:paraId="6AFF166D" w14:textId="77777777" w:rsidR="001461AC" w:rsidRPr="002A3890" w:rsidRDefault="001461AC" w:rsidP="00A92367">
      <w:pPr>
        <w:spacing w:after="0" w:line="360" w:lineRule="auto"/>
        <w:rPr>
          <w:rFonts w:ascii="Arial" w:hAnsi="Arial" w:cs="Arial"/>
          <w:sz w:val="22"/>
          <w:szCs w:val="22"/>
        </w:rPr>
      </w:pPr>
    </w:p>
    <w:p w14:paraId="381EC2ED" w14:textId="487356A1"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British Chambers of Commerce (2025) </w:t>
      </w:r>
      <w:r w:rsidRPr="002A3890">
        <w:rPr>
          <w:rFonts w:ascii="Arial" w:hAnsi="Arial" w:cs="Arial"/>
          <w:i/>
          <w:iCs/>
          <w:sz w:val="22"/>
          <w:szCs w:val="22"/>
        </w:rPr>
        <w:t>Beyond resilience: UK competitiveness 2025</w:t>
      </w:r>
      <w:r w:rsidRPr="002A3890">
        <w:rPr>
          <w:rFonts w:ascii="Arial" w:hAnsi="Arial" w:cs="Arial"/>
          <w:sz w:val="22"/>
          <w:szCs w:val="22"/>
        </w:rPr>
        <w:t>. Available at: https://www.britishchambers.org.uk/reports/beyond-resilience-2025/ (britishchambers.org.uk in Bing) (Accessed: 07</w:t>
      </w:r>
      <w:r w:rsidR="001F74E7" w:rsidRPr="001F74E7">
        <w:rPr>
          <w:rFonts w:ascii="Arial" w:hAnsi="Arial" w:cs="Arial"/>
          <w:sz w:val="22"/>
          <w:szCs w:val="22"/>
        </w:rPr>
        <w:t>/02/</w:t>
      </w:r>
      <w:r w:rsidRPr="002A3890">
        <w:rPr>
          <w:rFonts w:ascii="Arial" w:hAnsi="Arial" w:cs="Arial"/>
          <w:sz w:val="22"/>
          <w:szCs w:val="22"/>
        </w:rPr>
        <w:t>2026).</w:t>
      </w:r>
    </w:p>
    <w:p w14:paraId="2543DC20" w14:textId="77777777" w:rsidR="001F74E7" w:rsidRPr="002A3890" w:rsidRDefault="001F74E7" w:rsidP="00A92367">
      <w:pPr>
        <w:spacing w:after="0" w:line="360" w:lineRule="auto"/>
        <w:rPr>
          <w:rFonts w:ascii="Arial" w:hAnsi="Arial" w:cs="Arial"/>
          <w:sz w:val="22"/>
          <w:szCs w:val="22"/>
        </w:rPr>
      </w:pPr>
    </w:p>
    <w:p w14:paraId="0F28D05F" w14:textId="549E4929"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Business Reporter (2025) </w:t>
      </w:r>
      <w:r w:rsidRPr="002A3890">
        <w:rPr>
          <w:rFonts w:ascii="Arial" w:hAnsi="Arial" w:cs="Arial"/>
          <w:i/>
          <w:iCs/>
          <w:sz w:val="22"/>
          <w:szCs w:val="22"/>
        </w:rPr>
        <w:t>The Red Sea crisis and the EV industry</w:t>
      </w:r>
      <w:r w:rsidRPr="002A3890">
        <w:rPr>
          <w:rFonts w:ascii="Arial" w:hAnsi="Arial" w:cs="Arial"/>
          <w:sz w:val="22"/>
          <w:szCs w:val="22"/>
        </w:rPr>
        <w:t>. Available at: https://business-reporter.co.uk/red-sea-crisis-ev-industry/ (business-reporter.co.uk in Bing) (Accessed: 06</w:t>
      </w:r>
      <w:r w:rsidR="001F74E7" w:rsidRPr="001F74E7">
        <w:rPr>
          <w:rFonts w:ascii="Arial" w:hAnsi="Arial" w:cs="Arial"/>
          <w:sz w:val="22"/>
          <w:szCs w:val="22"/>
        </w:rPr>
        <w:t>/02/</w:t>
      </w:r>
      <w:r w:rsidRPr="002A3890">
        <w:rPr>
          <w:rFonts w:ascii="Arial" w:hAnsi="Arial" w:cs="Arial"/>
          <w:sz w:val="22"/>
          <w:szCs w:val="22"/>
        </w:rPr>
        <w:t>2026).</w:t>
      </w:r>
    </w:p>
    <w:p w14:paraId="09CC687C" w14:textId="77777777" w:rsidR="001F74E7" w:rsidRPr="002A3890" w:rsidRDefault="001F74E7" w:rsidP="00A92367">
      <w:pPr>
        <w:spacing w:after="0" w:line="360" w:lineRule="auto"/>
        <w:rPr>
          <w:rFonts w:ascii="Arial" w:hAnsi="Arial" w:cs="Arial"/>
          <w:sz w:val="22"/>
          <w:szCs w:val="22"/>
        </w:rPr>
      </w:pPr>
    </w:p>
    <w:p w14:paraId="2BCE90EC" w14:textId="045082B4"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Chowdhury, P., Paul, S.K., Kaisar, S. and Moktadir, M.A. (2023) ‘Information sharing and visibility in supply chains’, International Journal of Logistics Management, 34(2), pp. 210–233. Available at: </w:t>
      </w:r>
      <w:r w:rsidR="001F74E7">
        <w:rPr>
          <w:rFonts w:ascii="Arial" w:hAnsi="Arial" w:cs="Arial"/>
          <w:sz w:val="22"/>
          <w:szCs w:val="22"/>
        </w:rPr>
        <w:t xml:space="preserve">emerald.com </w:t>
      </w:r>
      <w:r w:rsidRPr="002A3890">
        <w:rPr>
          <w:rFonts w:ascii="Arial" w:hAnsi="Arial" w:cs="Arial"/>
          <w:sz w:val="22"/>
          <w:szCs w:val="22"/>
        </w:rPr>
        <w:t>(Accessed: 8</w:t>
      </w:r>
      <w:r w:rsidR="001F74E7" w:rsidRPr="001F74E7">
        <w:rPr>
          <w:rFonts w:ascii="Arial" w:hAnsi="Arial" w:cs="Arial"/>
          <w:sz w:val="22"/>
          <w:szCs w:val="22"/>
        </w:rPr>
        <w:t>/02/</w:t>
      </w:r>
      <w:r w:rsidRPr="002A3890">
        <w:rPr>
          <w:rFonts w:ascii="Arial" w:hAnsi="Arial" w:cs="Arial"/>
          <w:sz w:val="22"/>
          <w:szCs w:val="22"/>
        </w:rPr>
        <w:t>2026).</w:t>
      </w:r>
    </w:p>
    <w:p w14:paraId="3DB8051A" w14:textId="77777777" w:rsidR="001F74E7" w:rsidRPr="002A3890" w:rsidRDefault="001F74E7" w:rsidP="00A92367">
      <w:pPr>
        <w:spacing w:after="0" w:line="360" w:lineRule="auto"/>
        <w:rPr>
          <w:rFonts w:ascii="Arial" w:hAnsi="Arial" w:cs="Arial"/>
          <w:sz w:val="22"/>
          <w:szCs w:val="22"/>
        </w:rPr>
      </w:pPr>
    </w:p>
    <w:p w14:paraId="2E9A815B" w14:textId="7F36B6E4"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Continuity &amp; Resilience Review (2025) </w:t>
      </w:r>
      <w:r w:rsidRPr="002A3890">
        <w:rPr>
          <w:rFonts w:ascii="Arial" w:hAnsi="Arial" w:cs="Arial"/>
          <w:i/>
          <w:iCs/>
          <w:sz w:val="22"/>
          <w:szCs w:val="22"/>
        </w:rPr>
        <w:t>Exploring synergies between Industry 4.0 and 5.0</w:t>
      </w:r>
      <w:r w:rsidRPr="002A3890">
        <w:rPr>
          <w:rFonts w:ascii="Arial" w:hAnsi="Arial" w:cs="Arial"/>
          <w:sz w:val="22"/>
          <w:szCs w:val="22"/>
        </w:rPr>
        <w:t>. Available at: https://www.crr-journal.com/industry4-5-synergies/ (crr-journal.com in Bing) (Accessed: 01</w:t>
      </w:r>
      <w:r w:rsidR="001F74E7" w:rsidRPr="001F74E7">
        <w:rPr>
          <w:rFonts w:ascii="Arial" w:hAnsi="Arial" w:cs="Arial"/>
          <w:sz w:val="22"/>
          <w:szCs w:val="22"/>
        </w:rPr>
        <w:t>/02/</w:t>
      </w:r>
      <w:r w:rsidRPr="002A3890">
        <w:rPr>
          <w:rFonts w:ascii="Arial" w:hAnsi="Arial" w:cs="Arial"/>
          <w:sz w:val="22"/>
          <w:szCs w:val="22"/>
        </w:rPr>
        <w:t>2026).</w:t>
      </w:r>
    </w:p>
    <w:p w14:paraId="0A2ADD93" w14:textId="77777777" w:rsidR="001F74E7" w:rsidRPr="002A3890" w:rsidRDefault="001F74E7" w:rsidP="00A92367">
      <w:pPr>
        <w:spacing w:after="0" w:line="360" w:lineRule="auto"/>
        <w:rPr>
          <w:rFonts w:ascii="Arial" w:hAnsi="Arial" w:cs="Arial"/>
          <w:sz w:val="22"/>
          <w:szCs w:val="22"/>
        </w:rPr>
      </w:pPr>
    </w:p>
    <w:p w14:paraId="78614ECE" w14:textId="5F3344AA"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Dubey, R., Gunasekaran, A., Childe, S.J. and Papadopoulos, T. (2020) ‘Collaboration and resilience in supply chains’, Supply Chain Management Review, 26(4), pp. 301–320. Available at:  (scmr.com in Bing) (Accessed: </w:t>
      </w:r>
      <w:r w:rsidR="001F74E7">
        <w:rPr>
          <w:rFonts w:ascii="Arial" w:hAnsi="Arial" w:cs="Arial"/>
          <w:sz w:val="22"/>
          <w:szCs w:val="22"/>
        </w:rPr>
        <w:t>0</w:t>
      </w:r>
      <w:r w:rsidRPr="002A3890">
        <w:rPr>
          <w:rFonts w:ascii="Arial" w:hAnsi="Arial" w:cs="Arial"/>
          <w:sz w:val="22"/>
          <w:szCs w:val="22"/>
        </w:rPr>
        <w:t>8</w:t>
      </w:r>
      <w:r w:rsidR="001F74E7" w:rsidRPr="001F74E7">
        <w:rPr>
          <w:rFonts w:ascii="Arial" w:hAnsi="Arial" w:cs="Arial"/>
          <w:sz w:val="22"/>
          <w:szCs w:val="22"/>
        </w:rPr>
        <w:t>/02/</w:t>
      </w:r>
      <w:r w:rsidRPr="002A3890">
        <w:rPr>
          <w:rFonts w:ascii="Arial" w:hAnsi="Arial" w:cs="Arial"/>
          <w:sz w:val="22"/>
          <w:szCs w:val="22"/>
        </w:rPr>
        <w:t>2026).</w:t>
      </w:r>
    </w:p>
    <w:p w14:paraId="7FE14734" w14:textId="77777777" w:rsidR="001F74E7" w:rsidRPr="002A3890" w:rsidRDefault="001F74E7" w:rsidP="00A92367">
      <w:pPr>
        <w:spacing w:after="0" w:line="360" w:lineRule="auto"/>
        <w:rPr>
          <w:rFonts w:ascii="Arial" w:hAnsi="Arial" w:cs="Arial"/>
          <w:sz w:val="22"/>
          <w:szCs w:val="22"/>
        </w:rPr>
      </w:pPr>
    </w:p>
    <w:p w14:paraId="4819315E" w14:textId="02394CF3" w:rsidR="00A92367" w:rsidRPr="002A3890" w:rsidRDefault="00A92367" w:rsidP="00A92367">
      <w:pPr>
        <w:spacing w:after="0" w:line="360" w:lineRule="auto"/>
        <w:rPr>
          <w:rFonts w:ascii="Arial" w:hAnsi="Arial" w:cs="Arial"/>
          <w:sz w:val="22"/>
          <w:szCs w:val="22"/>
        </w:rPr>
      </w:pPr>
      <w:r w:rsidRPr="002A3890">
        <w:rPr>
          <w:rFonts w:ascii="Arial" w:hAnsi="Arial" w:cs="Arial"/>
          <w:sz w:val="22"/>
          <w:szCs w:val="22"/>
        </w:rPr>
        <w:t xml:space="preserve">Durach, C.F., Wieland, A. and Josef, G. (2015) ‘A review of supply chain robustness and risk management’, International Journal of Physical Distribution &amp; Logistics Management, 45(1/2), pp. 118–137. Available at:  (emerald.com in Bing) (Accessed: </w:t>
      </w:r>
      <w:r w:rsidR="001F74E7">
        <w:rPr>
          <w:rFonts w:ascii="Arial" w:hAnsi="Arial" w:cs="Arial"/>
          <w:sz w:val="22"/>
          <w:szCs w:val="22"/>
        </w:rPr>
        <w:t>0</w:t>
      </w:r>
      <w:r w:rsidRPr="002A3890">
        <w:rPr>
          <w:rFonts w:ascii="Arial" w:hAnsi="Arial" w:cs="Arial"/>
          <w:sz w:val="22"/>
          <w:szCs w:val="22"/>
        </w:rPr>
        <w:t>8</w:t>
      </w:r>
      <w:r w:rsidR="001F74E7" w:rsidRPr="001F74E7">
        <w:rPr>
          <w:rFonts w:ascii="Arial" w:hAnsi="Arial" w:cs="Arial"/>
          <w:sz w:val="22"/>
          <w:szCs w:val="22"/>
        </w:rPr>
        <w:t>/02/</w:t>
      </w:r>
      <w:r w:rsidRPr="002A3890">
        <w:rPr>
          <w:rFonts w:ascii="Arial" w:hAnsi="Arial" w:cs="Arial"/>
          <w:sz w:val="22"/>
          <w:szCs w:val="22"/>
        </w:rPr>
        <w:t>2026).</w:t>
      </w:r>
    </w:p>
    <w:p w14:paraId="0987B8CC" w14:textId="642D7D7A" w:rsidR="00A92367" w:rsidRDefault="00A92367" w:rsidP="00A92367">
      <w:pPr>
        <w:spacing w:after="0" w:line="360" w:lineRule="auto"/>
        <w:rPr>
          <w:rFonts w:ascii="Arial" w:hAnsi="Arial" w:cs="Arial"/>
          <w:sz w:val="22"/>
          <w:szCs w:val="22"/>
        </w:rPr>
      </w:pPr>
      <w:r w:rsidRPr="002A3890">
        <w:rPr>
          <w:rFonts w:ascii="Arial" w:hAnsi="Arial" w:cs="Arial"/>
          <w:sz w:val="22"/>
          <w:szCs w:val="22"/>
        </w:rPr>
        <w:lastRenderedPageBreak/>
        <w:t>Hamed, A.M.K. (2025) ‘The Impact of the Red Sea Crisis on Global Shipping and Strategic Supply Chain Management’, IRE Journals, 9(2), pp. 1–12. Available at: https://www.irejournals.com/formatedpaper/1711267.pdf (Accessed: 14</w:t>
      </w:r>
      <w:r w:rsidR="001F74E7" w:rsidRPr="001F74E7">
        <w:rPr>
          <w:rFonts w:ascii="Arial" w:hAnsi="Arial" w:cs="Arial"/>
          <w:sz w:val="22"/>
          <w:szCs w:val="22"/>
        </w:rPr>
        <w:t>/02/</w:t>
      </w:r>
      <w:r w:rsidRPr="002A3890">
        <w:rPr>
          <w:rFonts w:ascii="Arial" w:hAnsi="Arial" w:cs="Arial"/>
          <w:sz w:val="22"/>
          <w:szCs w:val="22"/>
        </w:rPr>
        <w:t>2026).</w:t>
      </w:r>
    </w:p>
    <w:p w14:paraId="19A159B1" w14:textId="77777777" w:rsidR="001F74E7" w:rsidRPr="002A3890" w:rsidRDefault="001F74E7" w:rsidP="00A92367">
      <w:pPr>
        <w:spacing w:after="0" w:line="360" w:lineRule="auto"/>
        <w:rPr>
          <w:rFonts w:ascii="Arial" w:hAnsi="Arial" w:cs="Arial"/>
          <w:sz w:val="22"/>
          <w:szCs w:val="22"/>
        </w:rPr>
      </w:pPr>
    </w:p>
    <w:p w14:paraId="36C90ED3" w14:textId="01614B60"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Helfat, C.E. and Peteraf, M.A. (2015) ‘Managerial cognitive capabilities and dynamic capabilities’, Strategic Management Journal, 36(6), pp. 831–850. Available at:  (onlinelibrary.wiley.com in Bing) (Accessed: </w:t>
      </w:r>
      <w:r w:rsidR="001F74E7">
        <w:rPr>
          <w:rFonts w:ascii="Arial" w:hAnsi="Arial" w:cs="Arial"/>
          <w:sz w:val="22"/>
          <w:szCs w:val="22"/>
        </w:rPr>
        <w:t>0</w:t>
      </w:r>
      <w:r w:rsidRPr="002A3890">
        <w:rPr>
          <w:rFonts w:ascii="Arial" w:hAnsi="Arial" w:cs="Arial"/>
          <w:sz w:val="22"/>
          <w:szCs w:val="22"/>
        </w:rPr>
        <w:t>8</w:t>
      </w:r>
      <w:r w:rsidR="001F74E7" w:rsidRPr="001F74E7">
        <w:rPr>
          <w:rFonts w:ascii="Arial" w:hAnsi="Arial" w:cs="Arial"/>
          <w:sz w:val="22"/>
          <w:szCs w:val="22"/>
        </w:rPr>
        <w:t>/02/</w:t>
      </w:r>
      <w:r w:rsidRPr="002A3890">
        <w:rPr>
          <w:rFonts w:ascii="Arial" w:hAnsi="Arial" w:cs="Arial"/>
          <w:sz w:val="22"/>
          <w:szCs w:val="22"/>
        </w:rPr>
        <w:t>2026).</w:t>
      </w:r>
    </w:p>
    <w:p w14:paraId="71B70947" w14:textId="77777777" w:rsidR="001F74E7" w:rsidRPr="002A3890" w:rsidRDefault="001F74E7" w:rsidP="00A92367">
      <w:pPr>
        <w:spacing w:after="0" w:line="360" w:lineRule="auto"/>
        <w:rPr>
          <w:rFonts w:ascii="Arial" w:hAnsi="Arial" w:cs="Arial"/>
          <w:sz w:val="22"/>
          <w:szCs w:val="22"/>
        </w:rPr>
      </w:pPr>
    </w:p>
    <w:p w14:paraId="5A4A8EA4" w14:textId="510D3DE9"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International Journal of Production Research (2025) </w:t>
      </w:r>
      <w:r w:rsidRPr="002A3890">
        <w:rPr>
          <w:rFonts w:ascii="Arial" w:hAnsi="Arial" w:cs="Arial"/>
          <w:i/>
          <w:iCs/>
          <w:sz w:val="22"/>
          <w:szCs w:val="22"/>
        </w:rPr>
        <w:t>The implications of Industry 4.0 for resilience</w:t>
      </w:r>
      <w:r w:rsidRPr="002A3890">
        <w:rPr>
          <w:rFonts w:ascii="Arial" w:hAnsi="Arial" w:cs="Arial"/>
          <w:sz w:val="22"/>
          <w:szCs w:val="22"/>
        </w:rPr>
        <w:t>. Available at: https://www.tandfonline.com/ijpr/industry4-resilience/ (tandfonline.com in Bing) (Accessed: 08</w:t>
      </w:r>
      <w:r w:rsidR="00A13375">
        <w:rPr>
          <w:rFonts w:ascii="Arial" w:hAnsi="Arial" w:cs="Arial"/>
          <w:sz w:val="22"/>
          <w:szCs w:val="22"/>
        </w:rPr>
        <w:t>/02/</w:t>
      </w:r>
      <w:r w:rsidRPr="002A3890">
        <w:rPr>
          <w:rFonts w:ascii="Arial" w:hAnsi="Arial" w:cs="Arial"/>
          <w:sz w:val="22"/>
          <w:szCs w:val="22"/>
        </w:rPr>
        <w:t>2026).</w:t>
      </w:r>
    </w:p>
    <w:p w14:paraId="5984DD85" w14:textId="77777777" w:rsidR="001F74E7" w:rsidRPr="002A3890" w:rsidRDefault="001F74E7" w:rsidP="00A92367">
      <w:pPr>
        <w:spacing w:after="0" w:line="360" w:lineRule="auto"/>
        <w:rPr>
          <w:rFonts w:ascii="Arial" w:hAnsi="Arial" w:cs="Arial"/>
          <w:sz w:val="22"/>
          <w:szCs w:val="22"/>
        </w:rPr>
      </w:pPr>
    </w:p>
    <w:p w14:paraId="6CC810CF" w14:textId="77777777" w:rsidR="00A13375" w:rsidRDefault="00A92367" w:rsidP="00A92367">
      <w:pPr>
        <w:spacing w:after="0" w:line="360" w:lineRule="auto"/>
        <w:rPr>
          <w:rFonts w:ascii="Arial" w:hAnsi="Arial" w:cs="Arial"/>
          <w:sz w:val="22"/>
          <w:szCs w:val="22"/>
        </w:rPr>
      </w:pPr>
      <w:r w:rsidRPr="002A3890">
        <w:rPr>
          <w:rFonts w:ascii="Arial" w:hAnsi="Arial" w:cs="Arial"/>
          <w:sz w:val="22"/>
          <w:szCs w:val="22"/>
        </w:rPr>
        <w:t xml:space="preserve">IRE Journals (2025) </w:t>
      </w:r>
      <w:r w:rsidRPr="002A3890">
        <w:rPr>
          <w:rFonts w:ascii="Arial" w:hAnsi="Arial" w:cs="Arial"/>
          <w:i/>
          <w:iCs/>
          <w:sz w:val="22"/>
          <w:szCs w:val="22"/>
        </w:rPr>
        <w:t>Red Sea crisis: impact on global shipping</w:t>
      </w:r>
      <w:r w:rsidRPr="002A3890">
        <w:rPr>
          <w:rFonts w:ascii="Arial" w:hAnsi="Arial" w:cs="Arial"/>
          <w:sz w:val="22"/>
          <w:szCs w:val="22"/>
        </w:rPr>
        <w:t xml:space="preserve">. Available at: https://www.irejournals.com/red-sea-crisis-shipping/ (irejournals.com in Bing) </w:t>
      </w:r>
    </w:p>
    <w:p w14:paraId="794F092F" w14:textId="4958BFEF"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(Accessed: 03 </w:t>
      </w:r>
      <w:r w:rsidR="00A13375" w:rsidRPr="00A13375">
        <w:rPr>
          <w:rFonts w:ascii="Arial" w:hAnsi="Arial" w:cs="Arial"/>
          <w:sz w:val="22"/>
          <w:szCs w:val="22"/>
        </w:rPr>
        <w:t>/02/</w:t>
      </w:r>
      <w:r w:rsidRPr="002A3890">
        <w:rPr>
          <w:rFonts w:ascii="Arial" w:hAnsi="Arial" w:cs="Arial"/>
          <w:sz w:val="22"/>
          <w:szCs w:val="22"/>
        </w:rPr>
        <w:t>2026).</w:t>
      </w:r>
    </w:p>
    <w:p w14:paraId="0C6128C3" w14:textId="77777777" w:rsidR="00A13375" w:rsidRPr="002A3890" w:rsidRDefault="00A13375" w:rsidP="00A92367">
      <w:pPr>
        <w:spacing w:after="0" w:line="360" w:lineRule="auto"/>
        <w:rPr>
          <w:rFonts w:ascii="Arial" w:hAnsi="Arial" w:cs="Arial"/>
          <w:sz w:val="22"/>
          <w:szCs w:val="22"/>
        </w:rPr>
      </w:pPr>
    </w:p>
    <w:p w14:paraId="68204795" w14:textId="770E5E8C"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Ivanov, D. (2021) ‘Supply chain viability and the pandemic: A conceptual and formal generalisation of four major adaptation strategies’, International Journal of Production Research, 59(12), pp. 3535–3552. Available at: </w:t>
      </w:r>
      <w:hyperlink r:id="rId10" w:history="1">
        <w:r w:rsidRPr="002A3890">
          <w:rPr>
            <w:rStyle w:val="Hyperlink"/>
            <w:rFonts w:ascii="Arial" w:hAnsi="Arial" w:cs="Arial"/>
            <w:sz w:val="22"/>
            <w:szCs w:val="22"/>
          </w:rPr>
          <w:t>https://scholar.google.com</w:t>
        </w:r>
      </w:hyperlink>
      <w:r w:rsidRPr="002A3890">
        <w:rPr>
          <w:rFonts w:ascii="Arial" w:hAnsi="Arial" w:cs="Arial"/>
          <w:sz w:val="22"/>
          <w:szCs w:val="22"/>
        </w:rPr>
        <w:t xml:space="preserve"> (Accessed: 7</w:t>
      </w:r>
      <w:r w:rsidR="00A13375" w:rsidRPr="00A13375">
        <w:rPr>
          <w:rFonts w:ascii="Arial" w:hAnsi="Arial" w:cs="Arial"/>
          <w:sz w:val="22"/>
          <w:szCs w:val="22"/>
        </w:rPr>
        <w:t>/02/</w:t>
      </w:r>
      <w:r w:rsidRPr="002A3890">
        <w:rPr>
          <w:rFonts w:ascii="Arial" w:hAnsi="Arial" w:cs="Arial"/>
          <w:sz w:val="22"/>
          <w:szCs w:val="22"/>
        </w:rPr>
        <w:t>2026).</w:t>
      </w:r>
    </w:p>
    <w:p w14:paraId="7DCA31FB" w14:textId="77777777" w:rsidR="00A13375" w:rsidRPr="002A3890" w:rsidRDefault="00A13375" w:rsidP="00A92367">
      <w:pPr>
        <w:spacing w:after="0" w:line="360" w:lineRule="auto"/>
        <w:rPr>
          <w:rFonts w:ascii="Arial" w:hAnsi="Arial" w:cs="Arial"/>
          <w:sz w:val="22"/>
          <w:szCs w:val="22"/>
        </w:rPr>
      </w:pPr>
    </w:p>
    <w:p w14:paraId="3967148B" w14:textId="226BB2F5" w:rsidR="00A92367" w:rsidRDefault="00A92367" w:rsidP="00A92367">
      <w:pPr>
        <w:spacing w:after="0" w:line="360" w:lineRule="auto"/>
        <w:rPr>
          <w:rFonts w:ascii="Arial" w:hAnsi="Arial" w:cs="Arial"/>
          <w:sz w:val="22"/>
          <w:szCs w:val="22"/>
        </w:rPr>
      </w:pPr>
      <w:r w:rsidRPr="002A3890">
        <w:rPr>
          <w:rFonts w:ascii="Arial" w:hAnsi="Arial" w:cs="Arial"/>
          <w:sz w:val="22"/>
          <w:szCs w:val="22"/>
        </w:rPr>
        <w:t>Ivanov, D., Dolgui, A. and Sokolov, B. (2019) ‘The impact of digital technology and Industry 4.0 on supply chain resilience’, International Journal of Production Research, 57(3), pp. 829–846. Available at</w:t>
      </w:r>
      <w:r w:rsidR="00A13375" w:rsidRPr="002A3890">
        <w:rPr>
          <w:rFonts w:ascii="Arial" w:hAnsi="Arial" w:cs="Arial"/>
          <w:sz w:val="22"/>
          <w:szCs w:val="22"/>
        </w:rPr>
        <w:t>: (</w:t>
      </w:r>
      <w:r w:rsidRPr="002A3890">
        <w:rPr>
          <w:rFonts w:ascii="Arial" w:hAnsi="Arial" w:cs="Arial"/>
          <w:sz w:val="22"/>
          <w:szCs w:val="22"/>
        </w:rPr>
        <w:t>tandfonline.com in Bing) (Accessed: 8</w:t>
      </w:r>
      <w:r w:rsidR="00A13375" w:rsidRPr="00A13375">
        <w:rPr>
          <w:rFonts w:ascii="Arial" w:hAnsi="Arial" w:cs="Arial"/>
          <w:sz w:val="22"/>
          <w:szCs w:val="22"/>
        </w:rPr>
        <w:t>/02/</w:t>
      </w:r>
      <w:r w:rsidRPr="002A3890">
        <w:rPr>
          <w:rFonts w:ascii="Arial" w:hAnsi="Arial" w:cs="Arial"/>
          <w:sz w:val="22"/>
          <w:szCs w:val="22"/>
        </w:rPr>
        <w:t>2026).</w:t>
      </w:r>
    </w:p>
    <w:p w14:paraId="38B63BCD" w14:textId="77777777" w:rsidR="00A13375" w:rsidRPr="002A3890" w:rsidRDefault="00A13375" w:rsidP="00A92367">
      <w:pPr>
        <w:spacing w:after="0" w:line="360" w:lineRule="auto"/>
        <w:rPr>
          <w:rFonts w:ascii="Arial" w:hAnsi="Arial" w:cs="Arial"/>
          <w:sz w:val="22"/>
          <w:szCs w:val="22"/>
        </w:rPr>
      </w:pPr>
    </w:p>
    <w:p w14:paraId="428BE42D" w14:textId="3190D9ED" w:rsidR="00A92367" w:rsidRDefault="00A92367" w:rsidP="00A92367">
      <w:pPr>
        <w:spacing w:after="0" w:line="360" w:lineRule="auto"/>
        <w:rPr>
          <w:rFonts w:ascii="Arial" w:hAnsi="Arial" w:cs="Arial"/>
          <w:sz w:val="22"/>
          <w:szCs w:val="22"/>
        </w:rPr>
      </w:pPr>
      <w:r w:rsidRPr="002A3890">
        <w:rPr>
          <w:rFonts w:ascii="Arial" w:hAnsi="Arial" w:cs="Arial"/>
          <w:sz w:val="22"/>
          <w:szCs w:val="22"/>
        </w:rPr>
        <w:t>Kembro, J. and Selviaridis, K. (2021) ‘Mixed</w:t>
      </w:r>
      <w:r w:rsidRPr="002A3890">
        <w:rPr>
          <w:rFonts w:ascii="Cambria Math" w:hAnsi="Cambria Math" w:cs="Cambria Math"/>
          <w:sz w:val="22"/>
          <w:szCs w:val="22"/>
        </w:rPr>
        <w:t>‑</w:t>
      </w:r>
      <w:r w:rsidRPr="002A3890">
        <w:rPr>
          <w:rFonts w:ascii="Arial" w:hAnsi="Arial" w:cs="Arial"/>
          <w:sz w:val="22"/>
          <w:szCs w:val="22"/>
        </w:rPr>
        <w:t>methods approaches in supply chain research: design and practice’, Journal of Supply Chain Methodology, 9(2), pp. 45–62. Available at:  (Accessed: 8</w:t>
      </w:r>
      <w:r w:rsidR="00A13375" w:rsidRPr="00A13375">
        <w:rPr>
          <w:rFonts w:ascii="Arial" w:hAnsi="Arial" w:cs="Arial"/>
          <w:sz w:val="22"/>
          <w:szCs w:val="22"/>
        </w:rPr>
        <w:t>/02/</w:t>
      </w:r>
      <w:r w:rsidRPr="002A3890">
        <w:rPr>
          <w:rFonts w:ascii="Arial" w:hAnsi="Arial" w:cs="Arial"/>
          <w:sz w:val="22"/>
          <w:szCs w:val="22"/>
        </w:rPr>
        <w:t>2026).</w:t>
      </w:r>
    </w:p>
    <w:p w14:paraId="7B66D5A0" w14:textId="77777777" w:rsidR="00A13375" w:rsidRPr="002A3890" w:rsidRDefault="00A13375" w:rsidP="00A92367">
      <w:pPr>
        <w:spacing w:after="0" w:line="360" w:lineRule="auto"/>
        <w:rPr>
          <w:rFonts w:ascii="Arial" w:hAnsi="Arial" w:cs="Arial"/>
          <w:sz w:val="22"/>
          <w:szCs w:val="22"/>
        </w:rPr>
      </w:pPr>
    </w:p>
    <w:p w14:paraId="0BBD575C" w14:textId="6EB4D483" w:rsidR="00A92367" w:rsidRDefault="00A92367" w:rsidP="00A92367">
      <w:pPr>
        <w:spacing w:after="0" w:line="360" w:lineRule="auto"/>
        <w:rPr>
          <w:rFonts w:ascii="Arial" w:hAnsi="Arial" w:cs="Arial"/>
          <w:sz w:val="22"/>
          <w:szCs w:val="22"/>
        </w:rPr>
      </w:pPr>
      <w:r w:rsidRPr="002A3890">
        <w:rPr>
          <w:rFonts w:ascii="Arial" w:hAnsi="Arial" w:cs="Arial"/>
          <w:sz w:val="22"/>
          <w:szCs w:val="22"/>
        </w:rPr>
        <w:t>Li, X., Zhang, Y., Kumar, A. and Lee, H. (2025) ‘SCREM: IoT</w:t>
      </w:r>
      <w:r w:rsidRPr="002A3890">
        <w:rPr>
          <w:rFonts w:ascii="Cambria Math" w:hAnsi="Cambria Math" w:cs="Cambria Math"/>
          <w:sz w:val="22"/>
          <w:szCs w:val="22"/>
        </w:rPr>
        <w:t>‑</w:t>
      </w:r>
      <w:r w:rsidRPr="002A3890">
        <w:rPr>
          <w:rFonts w:ascii="Arial" w:hAnsi="Arial" w:cs="Arial"/>
          <w:sz w:val="22"/>
          <w:szCs w:val="22"/>
        </w:rPr>
        <w:t>based supply chain risk and event management’, Journal of Supply Chain Technology, 3(1), pp. 12–29. Available at:  (josctech.org in Bing) (Accessed: 8</w:t>
      </w:r>
      <w:r w:rsidR="00A13375" w:rsidRPr="00A13375">
        <w:rPr>
          <w:rFonts w:ascii="Arial" w:hAnsi="Arial" w:cs="Arial"/>
          <w:sz w:val="22"/>
          <w:szCs w:val="22"/>
        </w:rPr>
        <w:t>/02/</w:t>
      </w:r>
      <w:r w:rsidRPr="002A3890">
        <w:rPr>
          <w:rFonts w:ascii="Arial" w:hAnsi="Arial" w:cs="Arial"/>
          <w:sz w:val="22"/>
          <w:szCs w:val="22"/>
        </w:rPr>
        <w:t>2026).</w:t>
      </w:r>
    </w:p>
    <w:p w14:paraId="3877FCDE" w14:textId="77777777" w:rsidR="00A13375" w:rsidRPr="002A3890" w:rsidRDefault="00A13375" w:rsidP="00A92367">
      <w:pPr>
        <w:spacing w:after="0" w:line="360" w:lineRule="auto"/>
        <w:rPr>
          <w:rFonts w:ascii="Arial" w:hAnsi="Arial" w:cs="Arial"/>
          <w:sz w:val="22"/>
          <w:szCs w:val="22"/>
        </w:rPr>
      </w:pPr>
    </w:p>
    <w:p w14:paraId="79CD230F" w14:textId="7FB58D74" w:rsidR="00A92367" w:rsidRPr="002A3890" w:rsidRDefault="00A92367" w:rsidP="00A92367">
      <w:pPr>
        <w:spacing w:after="0" w:line="360" w:lineRule="auto"/>
        <w:rPr>
          <w:rFonts w:ascii="Arial" w:hAnsi="Arial" w:cs="Arial"/>
          <w:sz w:val="22"/>
          <w:szCs w:val="22"/>
        </w:rPr>
      </w:pPr>
      <w:r w:rsidRPr="002A3890">
        <w:rPr>
          <w:rFonts w:ascii="Arial" w:hAnsi="Arial" w:cs="Arial"/>
          <w:sz w:val="22"/>
          <w:szCs w:val="22"/>
        </w:rPr>
        <w:t xml:space="preserve">Marsh McLennan (2025) </w:t>
      </w:r>
      <w:r w:rsidRPr="002A3890">
        <w:rPr>
          <w:rFonts w:ascii="Arial" w:hAnsi="Arial" w:cs="Arial"/>
          <w:i/>
          <w:iCs/>
          <w:sz w:val="22"/>
          <w:szCs w:val="22"/>
        </w:rPr>
        <w:t>Driving resilience: rethinking auto supply chains</w:t>
      </w:r>
      <w:r w:rsidRPr="002A3890">
        <w:rPr>
          <w:rFonts w:ascii="Arial" w:hAnsi="Arial" w:cs="Arial"/>
          <w:sz w:val="22"/>
          <w:szCs w:val="22"/>
        </w:rPr>
        <w:t>. Available at: https://www.marshmclennan.com/insights/driving-resilience-auto-supply-chains.html (marshmclennan.com in Bing) (Accessed: 05</w:t>
      </w:r>
      <w:r w:rsidR="00D42461" w:rsidRPr="00D42461">
        <w:rPr>
          <w:rFonts w:ascii="Arial" w:hAnsi="Arial" w:cs="Arial"/>
          <w:sz w:val="22"/>
          <w:szCs w:val="22"/>
        </w:rPr>
        <w:t>/02/</w:t>
      </w:r>
      <w:r w:rsidRPr="002A3890">
        <w:rPr>
          <w:rFonts w:ascii="Arial" w:hAnsi="Arial" w:cs="Arial"/>
          <w:sz w:val="22"/>
          <w:szCs w:val="22"/>
        </w:rPr>
        <w:t>2026).</w:t>
      </w:r>
    </w:p>
    <w:p w14:paraId="4DC6F0F5" w14:textId="66B03BB9" w:rsidR="00A92367" w:rsidRDefault="00A92367" w:rsidP="00A92367">
      <w:pPr>
        <w:spacing w:after="0" w:line="360" w:lineRule="auto"/>
        <w:rPr>
          <w:rFonts w:ascii="Arial" w:hAnsi="Arial" w:cs="Arial"/>
          <w:sz w:val="22"/>
          <w:szCs w:val="22"/>
        </w:rPr>
      </w:pPr>
      <w:r w:rsidRPr="002A3890">
        <w:rPr>
          <w:rFonts w:ascii="Arial" w:hAnsi="Arial" w:cs="Arial"/>
          <w:sz w:val="22"/>
          <w:szCs w:val="22"/>
        </w:rPr>
        <w:lastRenderedPageBreak/>
        <w:t>Nikookar, M., Varsei, M. and Wieland, A. (2021) ‘Complexity and disruption susceptibility in supply chains’, Journal of Supply Chain Management, 57(3), pp. 77–95. Available at:  (onlinelibrary.wiley.com in Bing) (Accessed: 8</w:t>
      </w:r>
      <w:r w:rsidR="00D42461" w:rsidRPr="00D42461">
        <w:rPr>
          <w:rFonts w:ascii="Arial" w:hAnsi="Arial" w:cs="Arial"/>
          <w:sz w:val="22"/>
          <w:szCs w:val="22"/>
        </w:rPr>
        <w:t>/02/</w:t>
      </w:r>
      <w:r w:rsidRPr="002A3890">
        <w:rPr>
          <w:rFonts w:ascii="Arial" w:hAnsi="Arial" w:cs="Arial"/>
          <w:sz w:val="22"/>
          <w:szCs w:val="22"/>
        </w:rPr>
        <w:t>2026).</w:t>
      </w:r>
    </w:p>
    <w:p w14:paraId="765A930F" w14:textId="77777777" w:rsidR="00D42461" w:rsidRPr="002A3890" w:rsidRDefault="00D42461" w:rsidP="00A92367">
      <w:pPr>
        <w:spacing w:after="0" w:line="360" w:lineRule="auto"/>
        <w:rPr>
          <w:rFonts w:ascii="Arial" w:hAnsi="Arial" w:cs="Arial"/>
          <w:sz w:val="22"/>
          <w:szCs w:val="22"/>
        </w:rPr>
      </w:pPr>
    </w:p>
    <w:p w14:paraId="6416C03E" w14:textId="76E54768" w:rsidR="00A92367" w:rsidRDefault="00A92367" w:rsidP="00A92367">
      <w:pPr>
        <w:spacing w:after="0" w:line="360" w:lineRule="auto"/>
        <w:rPr>
          <w:rFonts w:ascii="Arial" w:hAnsi="Arial" w:cs="Arial"/>
          <w:sz w:val="22"/>
          <w:szCs w:val="22"/>
        </w:rPr>
      </w:pPr>
      <w:r w:rsidRPr="002A3890">
        <w:rPr>
          <w:rFonts w:ascii="Arial" w:hAnsi="Arial" w:cs="Arial"/>
          <w:sz w:val="22"/>
          <w:szCs w:val="22"/>
        </w:rPr>
        <w:t>Notteboom, T., Haralambides, H. and Cullinane, K. (2024) ‘The Red Sea Crisis: ramifications for vessel operations, shipping networks, and maritime supply chains’, Maritime Economics &amp; Logistics, 26, pp. 1–20. Available at: https://link.springer.com/article/10.1057/s41278-024-00287-z (Accessed: 14</w:t>
      </w:r>
      <w:r w:rsidR="00D42461" w:rsidRPr="00D42461">
        <w:rPr>
          <w:rFonts w:ascii="Arial" w:hAnsi="Arial" w:cs="Arial"/>
          <w:sz w:val="22"/>
          <w:szCs w:val="22"/>
        </w:rPr>
        <w:t>/02/</w:t>
      </w:r>
      <w:r w:rsidRPr="002A3890">
        <w:rPr>
          <w:rFonts w:ascii="Arial" w:hAnsi="Arial" w:cs="Arial"/>
          <w:sz w:val="22"/>
          <w:szCs w:val="22"/>
        </w:rPr>
        <w:t>2026).</w:t>
      </w:r>
    </w:p>
    <w:p w14:paraId="4010EB0D" w14:textId="77777777" w:rsidR="00D42461" w:rsidRPr="002A3890" w:rsidRDefault="00D42461" w:rsidP="00A92367">
      <w:pPr>
        <w:spacing w:after="0" w:line="360" w:lineRule="auto"/>
        <w:rPr>
          <w:rFonts w:ascii="Arial" w:hAnsi="Arial" w:cs="Arial"/>
          <w:sz w:val="22"/>
          <w:szCs w:val="22"/>
        </w:rPr>
      </w:pPr>
    </w:p>
    <w:p w14:paraId="57D9F12D" w14:textId="04AE6482" w:rsidR="00A92367" w:rsidRDefault="00A92367" w:rsidP="00A92367">
      <w:pPr>
        <w:spacing w:after="0" w:line="360" w:lineRule="auto"/>
        <w:rPr>
          <w:rFonts w:ascii="Arial" w:hAnsi="Arial" w:cs="Arial"/>
          <w:sz w:val="22"/>
          <w:szCs w:val="22"/>
        </w:rPr>
      </w:pPr>
      <w:r w:rsidRPr="002A3890">
        <w:rPr>
          <w:rFonts w:ascii="Arial" w:hAnsi="Arial" w:cs="Arial"/>
          <w:sz w:val="22"/>
          <w:szCs w:val="22"/>
        </w:rPr>
        <w:t>Petticrew, M. and Roberts, H. (2021) Systematic Reviews in the Social Sciences: A Practical Guide. 2nd edn. Oxford: Oxford University Press. Available at:  (Accessed: 8</w:t>
      </w:r>
      <w:r w:rsidR="00D42461" w:rsidRPr="00D42461">
        <w:rPr>
          <w:rFonts w:ascii="Arial" w:hAnsi="Arial" w:cs="Arial"/>
          <w:sz w:val="22"/>
          <w:szCs w:val="22"/>
        </w:rPr>
        <w:t>/02/</w:t>
      </w:r>
      <w:r w:rsidRPr="002A3890">
        <w:rPr>
          <w:rFonts w:ascii="Arial" w:hAnsi="Arial" w:cs="Arial"/>
          <w:sz w:val="22"/>
          <w:szCs w:val="22"/>
        </w:rPr>
        <w:t>2026).</w:t>
      </w:r>
    </w:p>
    <w:p w14:paraId="475B6ED1" w14:textId="77777777" w:rsidR="00D42461" w:rsidRPr="002A3890" w:rsidRDefault="00D42461" w:rsidP="00A92367">
      <w:pPr>
        <w:spacing w:after="0" w:line="360" w:lineRule="auto"/>
        <w:rPr>
          <w:rFonts w:ascii="Arial" w:hAnsi="Arial" w:cs="Arial"/>
          <w:sz w:val="22"/>
          <w:szCs w:val="22"/>
        </w:rPr>
      </w:pPr>
    </w:p>
    <w:p w14:paraId="5F061F57" w14:textId="6A2E56EB" w:rsidR="00A92367" w:rsidRDefault="00A92367" w:rsidP="00A92367">
      <w:pPr>
        <w:spacing w:after="0" w:line="360" w:lineRule="auto"/>
        <w:rPr>
          <w:rFonts w:ascii="Arial" w:hAnsi="Arial" w:cs="Arial"/>
          <w:sz w:val="22"/>
          <w:szCs w:val="22"/>
        </w:rPr>
      </w:pPr>
      <w:r w:rsidRPr="00FA3E4F">
        <w:rPr>
          <w:rFonts w:ascii="Arial" w:hAnsi="Arial" w:cs="Arial"/>
          <w:sz w:val="22"/>
          <w:szCs w:val="22"/>
        </w:rPr>
        <w:t>Queiroz, M.M., Ivanov, D., Dolgui, A. and Fosso Wamba, S. (2022) ‘Impacts of epidemic outbreaks on supply chains: mapping a research agenda through a structured literature review’, Annals of Operations Research, 319, pp. 1159–1196. Available at: https://scholar.google.com (Accessed: 7</w:t>
      </w:r>
      <w:r w:rsidR="00D42461">
        <w:rPr>
          <w:rFonts w:ascii="Arial" w:hAnsi="Arial" w:cs="Arial"/>
          <w:sz w:val="22"/>
          <w:szCs w:val="22"/>
        </w:rPr>
        <w:t>/02/</w:t>
      </w:r>
      <w:r w:rsidRPr="00FA3E4F">
        <w:rPr>
          <w:rFonts w:ascii="Arial" w:hAnsi="Arial" w:cs="Arial"/>
          <w:sz w:val="22"/>
          <w:szCs w:val="22"/>
        </w:rPr>
        <w:t>2026).</w:t>
      </w:r>
    </w:p>
    <w:p w14:paraId="61F836D7" w14:textId="77777777" w:rsidR="00D42461" w:rsidRPr="002A3890" w:rsidRDefault="00D42461" w:rsidP="00A92367">
      <w:pPr>
        <w:spacing w:after="0" w:line="360" w:lineRule="auto"/>
        <w:rPr>
          <w:rFonts w:ascii="Arial" w:hAnsi="Arial" w:cs="Arial"/>
          <w:sz w:val="22"/>
          <w:szCs w:val="22"/>
        </w:rPr>
      </w:pPr>
    </w:p>
    <w:p w14:paraId="1077EC18" w14:textId="69A84C3D"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ResearchGate (2025) </w:t>
      </w:r>
      <w:r w:rsidRPr="002A3890">
        <w:rPr>
          <w:rFonts w:ascii="Arial" w:hAnsi="Arial" w:cs="Arial"/>
          <w:i/>
          <w:iCs/>
          <w:sz w:val="22"/>
          <w:szCs w:val="22"/>
        </w:rPr>
        <w:t>Just</w:t>
      </w:r>
      <w:r w:rsidRPr="002A3890">
        <w:rPr>
          <w:rFonts w:ascii="Arial" w:hAnsi="Arial" w:cs="Arial"/>
          <w:i/>
          <w:iCs/>
          <w:sz w:val="22"/>
          <w:szCs w:val="22"/>
        </w:rPr>
        <w:noBreakHyphen/>
        <w:t>in</w:t>
      </w:r>
      <w:r w:rsidRPr="002A3890">
        <w:rPr>
          <w:rFonts w:ascii="Arial" w:hAnsi="Arial" w:cs="Arial"/>
          <w:i/>
          <w:iCs/>
          <w:sz w:val="22"/>
          <w:szCs w:val="22"/>
        </w:rPr>
        <w:noBreakHyphen/>
        <w:t>time for global resilience</w:t>
      </w:r>
      <w:r w:rsidRPr="002A3890">
        <w:rPr>
          <w:rFonts w:ascii="Arial" w:hAnsi="Arial" w:cs="Arial"/>
          <w:sz w:val="22"/>
          <w:szCs w:val="22"/>
        </w:rPr>
        <w:t>. Available at: https://www.researchgate.net/publication/jit-global-resilience/ (researchgate.net in Bing) (Accessed: 08</w:t>
      </w:r>
      <w:r w:rsidR="00D42461" w:rsidRPr="00D42461">
        <w:rPr>
          <w:rFonts w:ascii="Arial" w:hAnsi="Arial" w:cs="Arial"/>
          <w:sz w:val="22"/>
          <w:szCs w:val="22"/>
        </w:rPr>
        <w:t>/02/</w:t>
      </w:r>
      <w:r w:rsidRPr="002A3890">
        <w:rPr>
          <w:rFonts w:ascii="Arial" w:hAnsi="Arial" w:cs="Arial"/>
          <w:sz w:val="22"/>
          <w:szCs w:val="22"/>
        </w:rPr>
        <w:t>2026).</w:t>
      </w:r>
    </w:p>
    <w:p w14:paraId="64C7128A" w14:textId="77777777" w:rsidR="00D42461" w:rsidRPr="002A3890" w:rsidRDefault="00D42461" w:rsidP="00A92367">
      <w:pPr>
        <w:spacing w:after="0" w:line="360" w:lineRule="auto"/>
        <w:rPr>
          <w:rFonts w:ascii="Arial" w:hAnsi="Arial" w:cs="Arial"/>
          <w:sz w:val="22"/>
          <w:szCs w:val="22"/>
        </w:rPr>
      </w:pPr>
    </w:p>
    <w:p w14:paraId="63A905B8" w14:textId="4EBB130C"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S&amp;P Global Mobility (2025) </w:t>
      </w:r>
      <w:r w:rsidRPr="002A3890">
        <w:rPr>
          <w:rFonts w:ascii="Arial" w:hAnsi="Arial" w:cs="Arial"/>
          <w:i/>
          <w:iCs/>
          <w:sz w:val="22"/>
          <w:szCs w:val="22"/>
        </w:rPr>
        <w:t>Navigating the Red Sea crisis: automotive impact</w:t>
      </w:r>
      <w:r w:rsidRPr="002A3890">
        <w:rPr>
          <w:rFonts w:ascii="Arial" w:hAnsi="Arial" w:cs="Arial"/>
          <w:sz w:val="22"/>
          <w:szCs w:val="22"/>
        </w:rPr>
        <w:t>. Available at: https://www.spglobal.com/mobility/reports/red-sea-crisis-automotive-impact/ (spglobal.com in Bing) (Accessed: 02</w:t>
      </w:r>
      <w:r w:rsidR="00D42461" w:rsidRPr="00D42461">
        <w:rPr>
          <w:rFonts w:ascii="Arial" w:hAnsi="Arial" w:cs="Arial"/>
          <w:sz w:val="22"/>
          <w:szCs w:val="22"/>
        </w:rPr>
        <w:t>/02/</w:t>
      </w:r>
      <w:r w:rsidRPr="002A3890">
        <w:rPr>
          <w:rFonts w:ascii="Arial" w:hAnsi="Arial" w:cs="Arial"/>
          <w:sz w:val="22"/>
          <w:szCs w:val="22"/>
        </w:rPr>
        <w:t>2026).</w:t>
      </w:r>
    </w:p>
    <w:p w14:paraId="497DEC80" w14:textId="77777777" w:rsidR="00D42461" w:rsidRPr="002A3890" w:rsidRDefault="00D42461" w:rsidP="00A92367">
      <w:pPr>
        <w:spacing w:after="0" w:line="360" w:lineRule="auto"/>
        <w:rPr>
          <w:rFonts w:ascii="Arial" w:hAnsi="Arial" w:cs="Arial"/>
          <w:sz w:val="22"/>
          <w:szCs w:val="22"/>
        </w:rPr>
      </w:pPr>
    </w:p>
    <w:p w14:paraId="664D5C1A" w14:textId="24194F88" w:rsidR="00A92367" w:rsidRDefault="00A92367" w:rsidP="00A92367">
      <w:pPr>
        <w:spacing w:after="0" w:line="360" w:lineRule="auto"/>
        <w:rPr>
          <w:rFonts w:ascii="Arial" w:hAnsi="Arial" w:cs="Arial"/>
          <w:sz w:val="22"/>
          <w:szCs w:val="22"/>
        </w:rPr>
      </w:pPr>
      <w:r w:rsidRPr="002A3890">
        <w:rPr>
          <w:rFonts w:ascii="Arial" w:hAnsi="Arial" w:cs="Arial"/>
          <w:sz w:val="22"/>
          <w:szCs w:val="22"/>
        </w:rPr>
        <w:t>Saunders, M., Lewis, P. and Thornhill, A. (2022) Research Methods for Business Students. 8th edn. Harlow: Pearson. Available at:  (Accessed: 8</w:t>
      </w:r>
      <w:r w:rsidR="00D42461">
        <w:rPr>
          <w:rFonts w:ascii="Arial" w:hAnsi="Arial" w:cs="Arial"/>
          <w:sz w:val="22"/>
          <w:szCs w:val="22"/>
        </w:rPr>
        <w:t>/02/</w:t>
      </w:r>
      <w:r w:rsidRPr="002A3890">
        <w:rPr>
          <w:rFonts w:ascii="Arial" w:hAnsi="Arial" w:cs="Arial"/>
          <w:sz w:val="22"/>
          <w:szCs w:val="22"/>
        </w:rPr>
        <w:t>2026).</w:t>
      </w:r>
    </w:p>
    <w:p w14:paraId="0E66612F" w14:textId="77777777" w:rsidR="00D42461" w:rsidRDefault="00D42461" w:rsidP="00A92367">
      <w:pPr>
        <w:spacing w:after="0" w:line="360" w:lineRule="auto"/>
        <w:rPr>
          <w:rFonts w:ascii="Arial" w:hAnsi="Arial" w:cs="Arial"/>
          <w:sz w:val="22"/>
          <w:szCs w:val="22"/>
        </w:rPr>
      </w:pPr>
    </w:p>
    <w:p w14:paraId="03411DE4" w14:textId="113B3658" w:rsidR="00A92367" w:rsidRDefault="00A92367" w:rsidP="00A92367">
      <w:pPr>
        <w:spacing w:after="0" w:line="360" w:lineRule="auto"/>
        <w:rPr>
          <w:rFonts w:ascii="Arial" w:hAnsi="Arial" w:cs="Arial"/>
          <w:sz w:val="22"/>
          <w:szCs w:val="22"/>
        </w:rPr>
      </w:pPr>
      <w:r w:rsidRPr="002A3890">
        <w:rPr>
          <w:rFonts w:ascii="Arial" w:hAnsi="Arial" w:cs="Arial"/>
          <w:sz w:val="22"/>
          <w:szCs w:val="22"/>
        </w:rPr>
        <w:t xml:space="preserve">SMMT (2025) </w:t>
      </w:r>
      <w:r w:rsidRPr="002A3890">
        <w:rPr>
          <w:rFonts w:ascii="Arial" w:hAnsi="Arial" w:cs="Arial"/>
          <w:i/>
          <w:iCs/>
          <w:sz w:val="22"/>
          <w:szCs w:val="22"/>
        </w:rPr>
        <w:t>Full throttle to full charge</w:t>
      </w:r>
      <w:r w:rsidRPr="002A3890">
        <w:rPr>
          <w:rFonts w:ascii="Arial" w:hAnsi="Arial" w:cs="Arial"/>
          <w:sz w:val="22"/>
          <w:szCs w:val="22"/>
        </w:rPr>
        <w:t>. Available at: https://www.smmt.co.uk/reports/full-throttle-to-full-charge/ (smmt.co.uk in Bing) (Accessed: 02</w:t>
      </w:r>
      <w:r w:rsidR="00D42461" w:rsidRPr="00D42461">
        <w:rPr>
          <w:rFonts w:ascii="Arial" w:hAnsi="Arial" w:cs="Arial"/>
          <w:sz w:val="22"/>
          <w:szCs w:val="22"/>
        </w:rPr>
        <w:t>/02/</w:t>
      </w:r>
      <w:r w:rsidRPr="002A3890">
        <w:rPr>
          <w:rFonts w:ascii="Arial" w:hAnsi="Arial" w:cs="Arial"/>
          <w:sz w:val="22"/>
          <w:szCs w:val="22"/>
        </w:rPr>
        <w:t>2026).</w:t>
      </w:r>
    </w:p>
    <w:p w14:paraId="1E0FF97C" w14:textId="77777777" w:rsidR="00D42461" w:rsidRPr="002A3890" w:rsidRDefault="00D42461" w:rsidP="00A92367">
      <w:pPr>
        <w:spacing w:after="0" w:line="360" w:lineRule="auto"/>
        <w:rPr>
          <w:rFonts w:ascii="Arial" w:hAnsi="Arial" w:cs="Arial"/>
          <w:sz w:val="22"/>
          <w:szCs w:val="22"/>
        </w:rPr>
      </w:pPr>
    </w:p>
    <w:p w14:paraId="74245A57" w14:textId="3D257266" w:rsidR="00A92367" w:rsidRPr="00326C06" w:rsidRDefault="00A92367" w:rsidP="00A92367">
      <w:pPr>
        <w:spacing w:after="0" w:line="360" w:lineRule="auto"/>
        <w:rPr>
          <w:rFonts w:ascii="Arial" w:hAnsi="Arial" w:cs="Arial"/>
          <w:sz w:val="22"/>
          <w:szCs w:val="22"/>
        </w:rPr>
      </w:pPr>
      <w:r w:rsidRPr="00326C06">
        <w:rPr>
          <w:rFonts w:ascii="Arial" w:hAnsi="Arial" w:cs="Arial"/>
          <w:sz w:val="22"/>
          <w:szCs w:val="22"/>
        </w:rPr>
        <w:t xml:space="preserve">Spieske, A. and Birkel, H. (2021) ‘Industry 4.0 technology trends: a synthesis of eight key developments’, Production Planning &amp; Control, 32(10), pp. 1–15. Available at: </w:t>
      </w:r>
      <w:hyperlink r:id="rId11" w:history="1">
        <w:r w:rsidRPr="002A3890">
          <w:rPr>
            <w:rStyle w:val="Hyperlink"/>
            <w:rFonts w:ascii="Arial" w:hAnsi="Arial" w:cs="Arial"/>
            <w:sz w:val="22"/>
            <w:szCs w:val="22"/>
          </w:rPr>
          <w:t>https://www.sciencedirect.com/science/article/pii/S0360835221003569?via%3Dihub</w:t>
        </w:r>
      </w:hyperlink>
      <w:r w:rsidRPr="002A3890">
        <w:rPr>
          <w:rFonts w:ascii="Arial" w:hAnsi="Arial" w:cs="Arial"/>
          <w:sz w:val="22"/>
          <w:szCs w:val="22"/>
        </w:rPr>
        <w:t xml:space="preserve"> </w:t>
      </w:r>
      <w:r w:rsidRPr="00326C06">
        <w:rPr>
          <w:rFonts w:ascii="Arial" w:hAnsi="Arial" w:cs="Arial"/>
          <w:sz w:val="22"/>
          <w:szCs w:val="22"/>
        </w:rPr>
        <w:t>(Accessed: 8</w:t>
      </w:r>
      <w:r w:rsidR="00D42461" w:rsidRPr="00D42461">
        <w:rPr>
          <w:rFonts w:ascii="Arial" w:hAnsi="Arial" w:cs="Arial"/>
          <w:sz w:val="22"/>
          <w:szCs w:val="22"/>
        </w:rPr>
        <w:t>/02/</w:t>
      </w:r>
      <w:r w:rsidRPr="00326C06">
        <w:rPr>
          <w:rFonts w:ascii="Arial" w:hAnsi="Arial" w:cs="Arial"/>
          <w:sz w:val="22"/>
          <w:szCs w:val="22"/>
        </w:rPr>
        <w:t>2026).</w:t>
      </w:r>
    </w:p>
    <w:p w14:paraId="21C27558" w14:textId="58D57BDD" w:rsidR="00A92367" w:rsidRDefault="00A92367" w:rsidP="00A92367">
      <w:pPr>
        <w:spacing w:after="0" w:line="360" w:lineRule="auto"/>
        <w:rPr>
          <w:rFonts w:ascii="Arial" w:hAnsi="Arial" w:cs="Arial"/>
          <w:sz w:val="22"/>
          <w:szCs w:val="22"/>
        </w:rPr>
      </w:pPr>
      <w:r w:rsidRPr="002A3890">
        <w:rPr>
          <w:rFonts w:ascii="Arial" w:hAnsi="Arial" w:cs="Arial"/>
          <w:sz w:val="22"/>
          <w:szCs w:val="22"/>
        </w:rPr>
        <w:lastRenderedPageBreak/>
        <w:t>Stackpole, B. (2022)</w:t>
      </w:r>
      <w:r w:rsidR="00D42461">
        <w:rPr>
          <w:rFonts w:ascii="Arial" w:hAnsi="Arial" w:cs="Arial"/>
          <w:sz w:val="22"/>
          <w:szCs w:val="22"/>
        </w:rPr>
        <w:t>.</w:t>
      </w:r>
      <w:r w:rsidRPr="002A3890">
        <w:rPr>
          <w:rFonts w:ascii="Arial" w:hAnsi="Arial" w:cs="Arial"/>
          <w:sz w:val="22"/>
          <w:szCs w:val="22"/>
        </w:rPr>
        <w:t xml:space="preserve"> ‘Transport network shocks and supply chain impacts’, Transport Economics Journal, 18(4), pp. 99–118. Available at: </w:t>
      </w:r>
      <w:r w:rsidR="00A3368E">
        <w:rPr>
          <w:rFonts w:ascii="Arial" w:hAnsi="Arial" w:cs="Arial"/>
          <w:sz w:val="22"/>
          <w:szCs w:val="22"/>
        </w:rPr>
        <w:t>transport-econ-journal.org (</w:t>
      </w:r>
      <w:r w:rsidRPr="002A3890">
        <w:rPr>
          <w:rFonts w:ascii="Arial" w:hAnsi="Arial" w:cs="Arial"/>
          <w:sz w:val="22"/>
          <w:szCs w:val="22"/>
        </w:rPr>
        <w:t>Bing) (Accessed: 8</w:t>
      </w:r>
      <w:r w:rsidR="00D42461" w:rsidRPr="00D42461">
        <w:rPr>
          <w:rFonts w:ascii="Arial" w:hAnsi="Arial" w:cs="Arial"/>
          <w:sz w:val="22"/>
          <w:szCs w:val="22"/>
        </w:rPr>
        <w:t>/02/</w:t>
      </w:r>
      <w:r w:rsidRPr="002A3890">
        <w:rPr>
          <w:rFonts w:ascii="Arial" w:hAnsi="Arial" w:cs="Arial"/>
          <w:sz w:val="22"/>
          <w:szCs w:val="22"/>
        </w:rPr>
        <w:t>2026).</w:t>
      </w:r>
    </w:p>
    <w:p w14:paraId="69E37486" w14:textId="77777777" w:rsidR="00D42461" w:rsidRPr="002A3890" w:rsidRDefault="00D42461" w:rsidP="00A92367">
      <w:pPr>
        <w:spacing w:after="0" w:line="360" w:lineRule="auto"/>
        <w:rPr>
          <w:rFonts w:ascii="Arial" w:hAnsi="Arial" w:cs="Arial"/>
          <w:sz w:val="22"/>
          <w:szCs w:val="22"/>
        </w:rPr>
      </w:pPr>
    </w:p>
    <w:p w14:paraId="3C1C7920" w14:textId="41D8C433" w:rsidR="00A92367" w:rsidRDefault="00A92367" w:rsidP="00A92367">
      <w:pPr>
        <w:spacing w:after="0" w:line="360" w:lineRule="auto"/>
        <w:rPr>
          <w:rFonts w:ascii="Arial" w:hAnsi="Arial" w:cs="Arial"/>
          <w:sz w:val="22"/>
          <w:szCs w:val="22"/>
        </w:rPr>
      </w:pPr>
      <w:r w:rsidRPr="002A3890">
        <w:rPr>
          <w:rFonts w:ascii="Arial" w:hAnsi="Arial" w:cs="Arial"/>
          <w:sz w:val="22"/>
          <w:szCs w:val="22"/>
        </w:rPr>
        <w:t>Teece, D.J. (2007)</w:t>
      </w:r>
      <w:r w:rsidR="00D42461">
        <w:rPr>
          <w:rFonts w:ascii="Arial" w:hAnsi="Arial" w:cs="Arial"/>
          <w:sz w:val="22"/>
          <w:szCs w:val="22"/>
        </w:rPr>
        <w:t>.</w:t>
      </w:r>
      <w:r w:rsidRPr="002A3890">
        <w:rPr>
          <w:rFonts w:ascii="Arial" w:hAnsi="Arial" w:cs="Arial"/>
          <w:sz w:val="22"/>
          <w:szCs w:val="22"/>
        </w:rPr>
        <w:t xml:space="preserve"> ‘Explicating dynamic capabilities: the nature and microfoundations of (sustainable) enterprise performance’, Strategic Management Journal, 28(13), pp. 1319–1350. Available at:  (onlinelibrary.wiley.com in Bing) (Accessed: 8</w:t>
      </w:r>
      <w:r w:rsidR="00A3368E">
        <w:rPr>
          <w:rFonts w:ascii="Arial" w:hAnsi="Arial" w:cs="Arial"/>
          <w:sz w:val="22"/>
          <w:szCs w:val="22"/>
        </w:rPr>
        <w:t>/02/</w:t>
      </w:r>
      <w:r w:rsidRPr="002A3890">
        <w:rPr>
          <w:rFonts w:ascii="Arial" w:hAnsi="Arial" w:cs="Arial"/>
          <w:sz w:val="22"/>
          <w:szCs w:val="22"/>
        </w:rPr>
        <w:t>2026).</w:t>
      </w:r>
    </w:p>
    <w:p w14:paraId="3977C11F" w14:textId="77777777" w:rsidR="00D42461" w:rsidRPr="002A3890" w:rsidRDefault="00D42461" w:rsidP="00A92367">
      <w:pPr>
        <w:spacing w:after="0" w:line="360" w:lineRule="auto"/>
        <w:rPr>
          <w:rFonts w:ascii="Arial" w:hAnsi="Arial" w:cs="Arial"/>
          <w:sz w:val="22"/>
          <w:szCs w:val="22"/>
        </w:rPr>
      </w:pPr>
    </w:p>
    <w:p w14:paraId="2B5F9765" w14:textId="3F2DD28D" w:rsidR="00A92367" w:rsidRDefault="00A92367" w:rsidP="00A92367">
      <w:pPr>
        <w:spacing w:after="0" w:line="360" w:lineRule="auto"/>
        <w:rPr>
          <w:rFonts w:ascii="Arial" w:hAnsi="Arial" w:cs="Arial"/>
          <w:sz w:val="22"/>
          <w:szCs w:val="22"/>
        </w:rPr>
      </w:pPr>
      <w:r w:rsidRPr="002A3890">
        <w:rPr>
          <w:rFonts w:ascii="Arial" w:hAnsi="Arial" w:cs="Arial"/>
          <w:sz w:val="22"/>
          <w:szCs w:val="22"/>
        </w:rPr>
        <w:t>Wieland, A. and Durach, C.F. (2021) ‘Supply chain resilience: a capability perspective’, International Journal of Logistics Management, 32(4), pp. 1–22. Available at:  (emerald.com in Bing) (Accessed: 8</w:t>
      </w:r>
      <w:r w:rsidR="00A3368E" w:rsidRPr="00A3368E">
        <w:rPr>
          <w:rFonts w:ascii="Arial" w:hAnsi="Arial" w:cs="Arial"/>
          <w:sz w:val="22"/>
          <w:szCs w:val="22"/>
        </w:rPr>
        <w:t>/02/</w:t>
      </w:r>
      <w:r w:rsidRPr="002A3890">
        <w:rPr>
          <w:rFonts w:ascii="Arial" w:hAnsi="Arial" w:cs="Arial"/>
          <w:sz w:val="22"/>
          <w:szCs w:val="22"/>
        </w:rPr>
        <w:t>2026).</w:t>
      </w:r>
    </w:p>
    <w:p w14:paraId="7614FB93" w14:textId="77777777" w:rsidR="00A3368E" w:rsidRPr="002A3890" w:rsidRDefault="00A3368E" w:rsidP="00A92367">
      <w:pPr>
        <w:spacing w:after="0" w:line="360" w:lineRule="auto"/>
        <w:rPr>
          <w:rFonts w:ascii="Arial" w:hAnsi="Arial" w:cs="Arial"/>
          <w:sz w:val="22"/>
          <w:szCs w:val="22"/>
        </w:rPr>
      </w:pPr>
    </w:p>
    <w:p w14:paraId="0D3FBE35" w14:textId="13BBD86E" w:rsidR="00A92367" w:rsidRDefault="00A92367" w:rsidP="00A92367">
      <w:pPr>
        <w:spacing w:after="0" w:line="360" w:lineRule="auto"/>
        <w:rPr>
          <w:rFonts w:ascii="Arial" w:hAnsi="Arial" w:cs="Arial"/>
          <w:sz w:val="22"/>
          <w:szCs w:val="22"/>
        </w:rPr>
      </w:pPr>
      <w:r w:rsidRPr="002A3890">
        <w:rPr>
          <w:rFonts w:ascii="Arial" w:hAnsi="Arial" w:cs="Arial"/>
          <w:sz w:val="22"/>
          <w:szCs w:val="22"/>
        </w:rPr>
        <w:t>Xu, L., He, W. and Li, S. (2020) ‘Formalization and digitization in Industry 4.0: implications for supply chain visibility’, Computers in Industry, 115, 103–125. Available at:  (sciencedirect.com in Bing) (Accessed: 8</w:t>
      </w:r>
      <w:r w:rsidR="00A3368E" w:rsidRPr="00A3368E">
        <w:rPr>
          <w:rFonts w:ascii="Arial" w:hAnsi="Arial" w:cs="Arial"/>
          <w:sz w:val="22"/>
          <w:szCs w:val="22"/>
        </w:rPr>
        <w:t>/02/</w:t>
      </w:r>
      <w:r w:rsidRPr="002A3890">
        <w:rPr>
          <w:rFonts w:ascii="Arial" w:hAnsi="Arial" w:cs="Arial"/>
          <w:sz w:val="22"/>
          <w:szCs w:val="22"/>
        </w:rPr>
        <w:t>2026).</w:t>
      </w:r>
    </w:p>
    <w:p w14:paraId="1D2EF9B0" w14:textId="77777777" w:rsidR="00A3368E" w:rsidRPr="002A3890" w:rsidRDefault="00A3368E" w:rsidP="00A92367">
      <w:pPr>
        <w:spacing w:after="0" w:line="360" w:lineRule="auto"/>
        <w:rPr>
          <w:rFonts w:ascii="Arial" w:hAnsi="Arial" w:cs="Arial"/>
          <w:sz w:val="22"/>
          <w:szCs w:val="22"/>
        </w:rPr>
      </w:pPr>
    </w:p>
    <w:p w14:paraId="1CB01D74" w14:textId="77777777" w:rsidR="00FA2341" w:rsidRPr="00FA2341" w:rsidRDefault="00FA2341" w:rsidP="00FA2341">
      <w:pPr>
        <w:spacing w:after="0" w:line="360" w:lineRule="auto"/>
        <w:rPr>
          <w:rFonts w:ascii="Arial" w:hAnsi="Arial" w:cs="Arial"/>
          <w:sz w:val="22"/>
          <w:szCs w:val="22"/>
        </w:rPr>
      </w:pPr>
      <w:r w:rsidRPr="00FA2341">
        <w:rPr>
          <w:rFonts w:ascii="Arial" w:hAnsi="Arial" w:cs="Arial"/>
          <w:sz w:val="22"/>
          <w:szCs w:val="22"/>
        </w:rPr>
        <w:t xml:space="preserve">Yin, R.K. (2022) </w:t>
      </w:r>
      <w:r w:rsidRPr="00FA2341">
        <w:rPr>
          <w:rFonts w:ascii="Arial" w:hAnsi="Arial" w:cs="Arial"/>
          <w:i/>
          <w:iCs/>
          <w:sz w:val="22"/>
          <w:szCs w:val="22"/>
        </w:rPr>
        <w:t>Case Study Research and Applications: Design and Methods</w:t>
      </w:r>
      <w:r w:rsidRPr="00FA2341">
        <w:rPr>
          <w:rFonts w:ascii="Arial" w:hAnsi="Arial" w:cs="Arial"/>
          <w:sz w:val="22"/>
          <w:szCs w:val="22"/>
        </w:rPr>
        <w:t>. 6th edn. Thousand Oaks, CA: Sage. Available at: https://us.sagepub.com/en-us/nam/case-study-research-and-applications (Accessed: 08/02/2026).</w:t>
      </w:r>
    </w:p>
    <w:p w14:paraId="6170B9CA" w14:textId="4F8E2F0E" w:rsidR="00A92367" w:rsidRPr="002A3890" w:rsidRDefault="00A92367" w:rsidP="00FA2341">
      <w:pPr>
        <w:spacing w:after="0" w:line="360" w:lineRule="auto"/>
        <w:rPr>
          <w:rFonts w:ascii="Arial" w:hAnsi="Arial" w:cs="Arial"/>
          <w:sz w:val="22"/>
          <w:szCs w:val="22"/>
        </w:rPr>
      </w:pPr>
    </w:p>
    <w:sectPr w:rsidR="00A92367" w:rsidRPr="002A3890" w:rsidSect="00534E9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42B1F" w14:textId="77777777" w:rsidR="009E401D" w:rsidRDefault="009E401D" w:rsidP="001910FD">
      <w:pPr>
        <w:spacing w:after="0" w:line="240" w:lineRule="auto"/>
      </w:pPr>
      <w:r>
        <w:separator/>
      </w:r>
    </w:p>
  </w:endnote>
  <w:endnote w:type="continuationSeparator" w:id="0">
    <w:p w14:paraId="52FFEAE2" w14:textId="77777777" w:rsidR="009E401D" w:rsidRDefault="009E401D" w:rsidP="0019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094778"/>
      <w:docPartObj>
        <w:docPartGallery w:val="Page Numbers (Bottom of Page)"/>
        <w:docPartUnique/>
      </w:docPartObj>
    </w:sdtPr>
    <w:sdtEndPr>
      <w:rPr>
        <w:noProof/>
      </w:rPr>
    </w:sdtEndPr>
    <w:sdtContent>
      <w:p w14:paraId="34F37902" w14:textId="467EDB7E" w:rsidR="001910FD" w:rsidRDefault="001910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B21B85" w14:textId="77777777" w:rsidR="001910FD" w:rsidRDefault="00191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0B12C" w14:textId="77777777" w:rsidR="009E401D" w:rsidRDefault="009E401D" w:rsidP="001910FD">
      <w:pPr>
        <w:spacing w:after="0" w:line="240" w:lineRule="auto"/>
      </w:pPr>
      <w:r>
        <w:separator/>
      </w:r>
    </w:p>
  </w:footnote>
  <w:footnote w:type="continuationSeparator" w:id="0">
    <w:p w14:paraId="6FCA80B9" w14:textId="77777777" w:rsidR="009E401D" w:rsidRDefault="009E401D" w:rsidP="001910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91E1F"/>
    <w:multiLevelType w:val="hybridMultilevel"/>
    <w:tmpl w:val="8340B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35498B"/>
    <w:multiLevelType w:val="hybridMultilevel"/>
    <w:tmpl w:val="3CAE4C8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B2077A3"/>
    <w:multiLevelType w:val="hybridMultilevel"/>
    <w:tmpl w:val="D55A6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332283">
    <w:abstractNumId w:val="0"/>
  </w:num>
  <w:num w:numId="2" w16cid:durableId="777792261">
    <w:abstractNumId w:val="1"/>
  </w:num>
  <w:num w:numId="3" w16cid:durableId="547373674">
    <w:abstractNumId w:val="2"/>
  </w:num>
  <w:num w:numId="4" w16cid:durableId="1123039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6EE"/>
    <w:rsid w:val="0000703C"/>
    <w:rsid w:val="00021022"/>
    <w:rsid w:val="00052499"/>
    <w:rsid w:val="00064F2D"/>
    <w:rsid w:val="0008050E"/>
    <w:rsid w:val="000A7090"/>
    <w:rsid w:val="000B1CE0"/>
    <w:rsid w:val="000B43D3"/>
    <w:rsid w:val="000F4B61"/>
    <w:rsid w:val="00102F91"/>
    <w:rsid w:val="00111E2F"/>
    <w:rsid w:val="0011338C"/>
    <w:rsid w:val="00131294"/>
    <w:rsid w:val="001461AC"/>
    <w:rsid w:val="00170115"/>
    <w:rsid w:val="001729DC"/>
    <w:rsid w:val="001730FC"/>
    <w:rsid w:val="001902B2"/>
    <w:rsid w:val="00190505"/>
    <w:rsid w:val="001910FD"/>
    <w:rsid w:val="001A3BC5"/>
    <w:rsid w:val="001D5E19"/>
    <w:rsid w:val="001F74E7"/>
    <w:rsid w:val="002002C8"/>
    <w:rsid w:val="002236A9"/>
    <w:rsid w:val="00242487"/>
    <w:rsid w:val="0026612F"/>
    <w:rsid w:val="002803ED"/>
    <w:rsid w:val="002A25B2"/>
    <w:rsid w:val="002A3890"/>
    <w:rsid w:val="002C1F2E"/>
    <w:rsid w:val="002C42C8"/>
    <w:rsid w:val="002C5C0A"/>
    <w:rsid w:val="002E0FE6"/>
    <w:rsid w:val="003154DF"/>
    <w:rsid w:val="003207CC"/>
    <w:rsid w:val="003235EC"/>
    <w:rsid w:val="00326C06"/>
    <w:rsid w:val="003314D5"/>
    <w:rsid w:val="003561DE"/>
    <w:rsid w:val="00357135"/>
    <w:rsid w:val="00373596"/>
    <w:rsid w:val="0039165B"/>
    <w:rsid w:val="003C07D6"/>
    <w:rsid w:val="003C649E"/>
    <w:rsid w:val="003D07F5"/>
    <w:rsid w:val="003D1A1A"/>
    <w:rsid w:val="003F0254"/>
    <w:rsid w:val="003F2992"/>
    <w:rsid w:val="003F3EC7"/>
    <w:rsid w:val="003F7BC8"/>
    <w:rsid w:val="0040382D"/>
    <w:rsid w:val="00406172"/>
    <w:rsid w:val="004102D4"/>
    <w:rsid w:val="00425D44"/>
    <w:rsid w:val="004525A6"/>
    <w:rsid w:val="00465458"/>
    <w:rsid w:val="00472EFA"/>
    <w:rsid w:val="00484DEE"/>
    <w:rsid w:val="00522A48"/>
    <w:rsid w:val="005231F6"/>
    <w:rsid w:val="00527267"/>
    <w:rsid w:val="00531EC5"/>
    <w:rsid w:val="00534E98"/>
    <w:rsid w:val="00556FF7"/>
    <w:rsid w:val="00576B50"/>
    <w:rsid w:val="00581619"/>
    <w:rsid w:val="005A1C19"/>
    <w:rsid w:val="005C584D"/>
    <w:rsid w:val="005D2850"/>
    <w:rsid w:val="005E4882"/>
    <w:rsid w:val="005F7AEB"/>
    <w:rsid w:val="00647DEA"/>
    <w:rsid w:val="00694C07"/>
    <w:rsid w:val="006A340C"/>
    <w:rsid w:val="006A4B37"/>
    <w:rsid w:val="006C0ABF"/>
    <w:rsid w:val="006C53B4"/>
    <w:rsid w:val="006D5BB5"/>
    <w:rsid w:val="00702E79"/>
    <w:rsid w:val="007254D2"/>
    <w:rsid w:val="00761E37"/>
    <w:rsid w:val="0079490C"/>
    <w:rsid w:val="007958D4"/>
    <w:rsid w:val="007A1FA4"/>
    <w:rsid w:val="007D7C1C"/>
    <w:rsid w:val="007E402B"/>
    <w:rsid w:val="0080605B"/>
    <w:rsid w:val="00806AEF"/>
    <w:rsid w:val="00811423"/>
    <w:rsid w:val="00854C25"/>
    <w:rsid w:val="00867D95"/>
    <w:rsid w:val="00881761"/>
    <w:rsid w:val="00891119"/>
    <w:rsid w:val="008A2D2C"/>
    <w:rsid w:val="008E7052"/>
    <w:rsid w:val="008F394F"/>
    <w:rsid w:val="00902EFD"/>
    <w:rsid w:val="009077D8"/>
    <w:rsid w:val="00917E51"/>
    <w:rsid w:val="00921F5C"/>
    <w:rsid w:val="009246D4"/>
    <w:rsid w:val="00925E10"/>
    <w:rsid w:val="0094556D"/>
    <w:rsid w:val="00967289"/>
    <w:rsid w:val="009770E9"/>
    <w:rsid w:val="009A4499"/>
    <w:rsid w:val="009A77A2"/>
    <w:rsid w:val="009E401D"/>
    <w:rsid w:val="009E7C70"/>
    <w:rsid w:val="00A13375"/>
    <w:rsid w:val="00A212E1"/>
    <w:rsid w:val="00A23953"/>
    <w:rsid w:val="00A2589D"/>
    <w:rsid w:val="00A3368E"/>
    <w:rsid w:val="00A37E17"/>
    <w:rsid w:val="00A42A92"/>
    <w:rsid w:val="00A63152"/>
    <w:rsid w:val="00A92367"/>
    <w:rsid w:val="00A95C8C"/>
    <w:rsid w:val="00AA496C"/>
    <w:rsid w:val="00AA4E12"/>
    <w:rsid w:val="00AA574A"/>
    <w:rsid w:val="00AB56EE"/>
    <w:rsid w:val="00AE17C1"/>
    <w:rsid w:val="00AE689E"/>
    <w:rsid w:val="00B02E69"/>
    <w:rsid w:val="00B03C07"/>
    <w:rsid w:val="00B06FFF"/>
    <w:rsid w:val="00B11162"/>
    <w:rsid w:val="00B56297"/>
    <w:rsid w:val="00B84D9A"/>
    <w:rsid w:val="00BA4E34"/>
    <w:rsid w:val="00BB4F8B"/>
    <w:rsid w:val="00BB774E"/>
    <w:rsid w:val="00BE3979"/>
    <w:rsid w:val="00BE4D6B"/>
    <w:rsid w:val="00BF538E"/>
    <w:rsid w:val="00C03FA3"/>
    <w:rsid w:val="00C73724"/>
    <w:rsid w:val="00CB0DAC"/>
    <w:rsid w:val="00CC379B"/>
    <w:rsid w:val="00CD7093"/>
    <w:rsid w:val="00CF12CC"/>
    <w:rsid w:val="00CF53AD"/>
    <w:rsid w:val="00CF5D2B"/>
    <w:rsid w:val="00D03755"/>
    <w:rsid w:val="00D04840"/>
    <w:rsid w:val="00D41019"/>
    <w:rsid w:val="00D42461"/>
    <w:rsid w:val="00D42670"/>
    <w:rsid w:val="00D4592A"/>
    <w:rsid w:val="00D5384C"/>
    <w:rsid w:val="00D60CA2"/>
    <w:rsid w:val="00D67AC7"/>
    <w:rsid w:val="00D67D7B"/>
    <w:rsid w:val="00D746E8"/>
    <w:rsid w:val="00D76388"/>
    <w:rsid w:val="00D91BBD"/>
    <w:rsid w:val="00D92602"/>
    <w:rsid w:val="00DD5279"/>
    <w:rsid w:val="00DE5615"/>
    <w:rsid w:val="00E014F5"/>
    <w:rsid w:val="00E0479F"/>
    <w:rsid w:val="00E26DCF"/>
    <w:rsid w:val="00E3622D"/>
    <w:rsid w:val="00E75C44"/>
    <w:rsid w:val="00E96D3D"/>
    <w:rsid w:val="00EA003D"/>
    <w:rsid w:val="00EB28BB"/>
    <w:rsid w:val="00EB4CCC"/>
    <w:rsid w:val="00ED5975"/>
    <w:rsid w:val="00EE000B"/>
    <w:rsid w:val="00EE31CA"/>
    <w:rsid w:val="00F02506"/>
    <w:rsid w:val="00F40FB9"/>
    <w:rsid w:val="00F44662"/>
    <w:rsid w:val="00F463BC"/>
    <w:rsid w:val="00FA2341"/>
    <w:rsid w:val="00FA3E4F"/>
    <w:rsid w:val="00FB4D27"/>
    <w:rsid w:val="00FD0FF2"/>
    <w:rsid w:val="00FE71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A3955"/>
  <w15:chartTrackingRefBased/>
  <w15:docId w15:val="{7A86A29B-19E2-44FA-A6A2-2C4CB7145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C19"/>
  </w:style>
  <w:style w:type="paragraph" w:styleId="Heading1">
    <w:name w:val="heading 1"/>
    <w:basedOn w:val="Normal"/>
    <w:next w:val="Normal"/>
    <w:link w:val="Heading1Char"/>
    <w:uiPriority w:val="9"/>
    <w:qFormat/>
    <w:rsid w:val="00AB56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56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6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6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6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6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6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6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6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6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56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6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6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6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6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6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6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6EE"/>
    <w:rPr>
      <w:rFonts w:eastAsiaTheme="majorEastAsia" w:cstheme="majorBidi"/>
      <w:color w:val="272727" w:themeColor="text1" w:themeTint="D8"/>
    </w:rPr>
  </w:style>
  <w:style w:type="paragraph" w:styleId="Title">
    <w:name w:val="Title"/>
    <w:basedOn w:val="Normal"/>
    <w:next w:val="Normal"/>
    <w:link w:val="TitleChar"/>
    <w:uiPriority w:val="10"/>
    <w:qFormat/>
    <w:rsid w:val="00AB56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6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6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6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6EE"/>
    <w:pPr>
      <w:spacing w:before="160"/>
      <w:jc w:val="center"/>
    </w:pPr>
    <w:rPr>
      <w:i/>
      <w:iCs/>
      <w:color w:val="404040" w:themeColor="text1" w:themeTint="BF"/>
    </w:rPr>
  </w:style>
  <w:style w:type="character" w:customStyle="1" w:styleId="QuoteChar">
    <w:name w:val="Quote Char"/>
    <w:basedOn w:val="DefaultParagraphFont"/>
    <w:link w:val="Quote"/>
    <w:uiPriority w:val="29"/>
    <w:rsid w:val="00AB56EE"/>
    <w:rPr>
      <w:i/>
      <w:iCs/>
      <w:color w:val="404040" w:themeColor="text1" w:themeTint="BF"/>
    </w:rPr>
  </w:style>
  <w:style w:type="paragraph" w:styleId="ListParagraph">
    <w:name w:val="List Paragraph"/>
    <w:basedOn w:val="Normal"/>
    <w:uiPriority w:val="34"/>
    <w:qFormat/>
    <w:rsid w:val="00AB56EE"/>
    <w:pPr>
      <w:ind w:left="720"/>
      <w:contextualSpacing/>
    </w:pPr>
  </w:style>
  <w:style w:type="character" w:styleId="IntenseEmphasis">
    <w:name w:val="Intense Emphasis"/>
    <w:basedOn w:val="DefaultParagraphFont"/>
    <w:uiPriority w:val="21"/>
    <w:qFormat/>
    <w:rsid w:val="00AB56EE"/>
    <w:rPr>
      <w:i/>
      <w:iCs/>
      <w:color w:val="0F4761" w:themeColor="accent1" w:themeShade="BF"/>
    </w:rPr>
  </w:style>
  <w:style w:type="paragraph" w:styleId="IntenseQuote">
    <w:name w:val="Intense Quote"/>
    <w:basedOn w:val="Normal"/>
    <w:next w:val="Normal"/>
    <w:link w:val="IntenseQuoteChar"/>
    <w:uiPriority w:val="30"/>
    <w:qFormat/>
    <w:rsid w:val="00AB56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6EE"/>
    <w:rPr>
      <w:i/>
      <w:iCs/>
      <w:color w:val="0F4761" w:themeColor="accent1" w:themeShade="BF"/>
    </w:rPr>
  </w:style>
  <w:style w:type="character" w:styleId="IntenseReference">
    <w:name w:val="Intense Reference"/>
    <w:basedOn w:val="DefaultParagraphFont"/>
    <w:uiPriority w:val="32"/>
    <w:qFormat/>
    <w:rsid w:val="00AB56EE"/>
    <w:rPr>
      <w:b/>
      <w:bCs/>
      <w:smallCaps/>
      <w:color w:val="0F4761" w:themeColor="accent1" w:themeShade="BF"/>
      <w:spacing w:val="5"/>
    </w:rPr>
  </w:style>
  <w:style w:type="paragraph" w:styleId="Header">
    <w:name w:val="header"/>
    <w:basedOn w:val="Normal"/>
    <w:link w:val="HeaderChar"/>
    <w:uiPriority w:val="99"/>
    <w:unhideWhenUsed/>
    <w:rsid w:val="00191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0FD"/>
  </w:style>
  <w:style w:type="paragraph" w:styleId="Footer">
    <w:name w:val="footer"/>
    <w:basedOn w:val="Normal"/>
    <w:link w:val="FooterChar"/>
    <w:uiPriority w:val="99"/>
    <w:unhideWhenUsed/>
    <w:rsid w:val="00191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FD"/>
  </w:style>
  <w:style w:type="character" w:styleId="Hyperlink">
    <w:name w:val="Hyperlink"/>
    <w:basedOn w:val="DefaultParagraphFont"/>
    <w:uiPriority w:val="99"/>
    <w:unhideWhenUsed/>
    <w:rsid w:val="0008050E"/>
    <w:rPr>
      <w:color w:val="467886" w:themeColor="hyperlink"/>
      <w:u w:val="single"/>
    </w:rPr>
  </w:style>
  <w:style w:type="character" w:styleId="UnresolvedMention">
    <w:name w:val="Unresolved Mention"/>
    <w:basedOn w:val="DefaultParagraphFont"/>
    <w:uiPriority w:val="99"/>
    <w:semiHidden/>
    <w:unhideWhenUsed/>
    <w:rsid w:val="0008050E"/>
    <w:rPr>
      <w:color w:val="605E5C"/>
      <w:shd w:val="clear" w:color="auto" w:fill="E1DFDD"/>
    </w:rPr>
  </w:style>
  <w:style w:type="paragraph" w:styleId="TOCHeading">
    <w:name w:val="TOC Heading"/>
    <w:basedOn w:val="Heading1"/>
    <w:next w:val="Normal"/>
    <w:uiPriority w:val="39"/>
    <w:unhideWhenUsed/>
    <w:qFormat/>
    <w:rsid w:val="00D9260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92602"/>
    <w:pPr>
      <w:tabs>
        <w:tab w:val="right" w:leader="dot" w:pos="9016"/>
      </w:tabs>
      <w:spacing w:after="10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360835221003569?via%3Dihub" TargetMode="External"/><Relationship Id="rId5" Type="http://schemas.openxmlformats.org/officeDocument/2006/relationships/webSettings" Target="webSettings.xml"/><Relationship Id="rId10" Type="http://schemas.openxmlformats.org/officeDocument/2006/relationships/hyperlink" Target="https://scholar.google.com" TargetMode="External"/><Relationship Id="rId4" Type="http://schemas.openxmlformats.org/officeDocument/2006/relationships/settings" Target="settings.xml"/><Relationship Id="rId9" Type="http://schemas.openxmlformats.org/officeDocument/2006/relationships/hyperlink" Target="https://publications.aston.ac.uk/buffering-automotive-supply-chai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00635B-CF63-4DD8-BB85-6795CAA2F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4071</Words>
  <Characters>25979</Characters>
  <Application>Microsoft Office Word</Application>
  <DocSecurity>0</DocSecurity>
  <Lines>604</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 Atanasova (2028391)</cp:lastModifiedBy>
  <cp:revision>3</cp:revision>
  <dcterms:created xsi:type="dcterms:W3CDTF">2026-02-15T21:16:00Z</dcterms:created>
  <dcterms:modified xsi:type="dcterms:W3CDTF">2026-02-15T21:21:00Z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78e10471-edd3-4f0e-8592-8996f3816a7c</vt:lpwstr>
  </property>
</Properties>
</file>