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C09F" w14:textId="49FA86B9" w:rsidR="002A6197" w:rsidRDefault="00D02D2D" w:rsidP="00BB7D8C">
      <w:pPr>
        <w:jc w:val="center"/>
        <w:rPr>
          <w:sz w:val="52"/>
          <w:szCs w:val="52"/>
        </w:rPr>
      </w:pPr>
      <w:r>
        <w:rPr>
          <w:noProof/>
          <w:sz w:val="52"/>
          <w:szCs w:val="52"/>
        </w:rPr>
        <w:drawing>
          <wp:inline distT="0" distB="0" distL="0" distR="0" wp14:anchorId="2B0F38CE" wp14:editId="29CE6523">
            <wp:extent cx="3231572" cy="912532"/>
            <wp:effectExtent l="0" t="0" r="0" b="1905"/>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alphaModFix amt="85000"/>
                      <a:extLst>
                        <a:ext uri="{28A0092B-C50C-407E-A947-70E740481C1C}">
                          <a14:useLocalDpi xmlns:a14="http://schemas.microsoft.com/office/drawing/2010/main" val="0"/>
                        </a:ext>
                      </a:extLst>
                    </a:blip>
                    <a:stretch>
                      <a:fillRect/>
                    </a:stretch>
                  </pic:blipFill>
                  <pic:spPr>
                    <a:xfrm>
                      <a:off x="0" y="0"/>
                      <a:ext cx="3381875" cy="954975"/>
                    </a:xfrm>
                    <a:prstGeom prst="rect">
                      <a:avLst/>
                    </a:prstGeom>
                  </pic:spPr>
                </pic:pic>
              </a:graphicData>
            </a:graphic>
          </wp:inline>
        </w:drawing>
      </w:r>
    </w:p>
    <w:p w14:paraId="754B8A2F" w14:textId="77777777" w:rsidR="002A6197" w:rsidRDefault="002A6197" w:rsidP="00BB7D8C">
      <w:pPr>
        <w:rPr>
          <w:sz w:val="52"/>
          <w:szCs w:val="52"/>
        </w:rPr>
      </w:pPr>
    </w:p>
    <w:p w14:paraId="284921B0" w14:textId="77777777" w:rsidR="00E64A2F" w:rsidRDefault="00E64A2F" w:rsidP="00BB7D8C">
      <w:pPr>
        <w:jc w:val="center"/>
        <w:rPr>
          <w:rFonts w:ascii="Avenir Next LT Pro Demi" w:hAnsi="Avenir Next LT Pro Demi"/>
          <w:sz w:val="44"/>
          <w:szCs w:val="44"/>
        </w:rPr>
      </w:pPr>
    </w:p>
    <w:p w14:paraId="07B3F876" w14:textId="77777777" w:rsidR="00E64A2F" w:rsidRDefault="00E64A2F" w:rsidP="00BB7D8C">
      <w:pPr>
        <w:jc w:val="center"/>
        <w:rPr>
          <w:rFonts w:ascii="Avenir Next LT Pro Demi" w:hAnsi="Avenir Next LT Pro Demi"/>
          <w:sz w:val="44"/>
          <w:szCs w:val="44"/>
        </w:rPr>
      </w:pPr>
    </w:p>
    <w:p w14:paraId="6CF6A277" w14:textId="77777777" w:rsidR="00E64A2F" w:rsidRPr="00E64A2F" w:rsidRDefault="00E64A2F" w:rsidP="00BB7D8C">
      <w:pPr>
        <w:jc w:val="center"/>
        <w:rPr>
          <w:rFonts w:ascii="Avenir Next LT Pro Demi" w:hAnsi="Avenir Next LT Pro Demi"/>
          <w:color w:val="000000" w:themeColor="text1"/>
          <w:sz w:val="44"/>
          <w:szCs w:val="44"/>
        </w:rPr>
      </w:pPr>
    </w:p>
    <w:p w14:paraId="68EAF1F3" w14:textId="77777777" w:rsidR="00F93DDE" w:rsidRDefault="00F93DDE" w:rsidP="00BB7D8C">
      <w:pPr>
        <w:jc w:val="center"/>
        <w:rPr>
          <w:rFonts w:ascii="Avenir Next LT Pro Demi" w:hAnsi="Avenir Next LT Pro Demi"/>
          <w:color w:val="000000" w:themeColor="text1"/>
          <w:sz w:val="40"/>
          <w:szCs w:val="40"/>
        </w:rPr>
      </w:pPr>
    </w:p>
    <w:p w14:paraId="6D5CA604" w14:textId="2105A5EE" w:rsidR="00A07084" w:rsidRPr="00D04DD2" w:rsidRDefault="00D04DD2" w:rsidP="00BB7D8C">
      <w:pPr>
        <w:jc w:val="center"/>
        <w:rPr>
          <w:color w:val="2F5496" w:themeColor="accent1" w:themeShade="BF"/>
          <w:sz w:val="60"/>
          <w:szCs w:val="60"/>
        </w:rPr>
      </w:pPr>
      <w:r w:rsidRPr="00D04DD2">
        <w:rPr>
          <w:rFonts w:ascii="Avenir Next LT Pro Demi" w:hAnsi="Avenir Next LT Pro Demi"/>
          <w:color w:val="000000" w:themeColor="text1"/>
          <w:sz w:val="40"/>
          <w:szCs w:val="40"/>
        </w:rPr>
        <w:t>STRATEGIC GROWTH VODAFONE UK</w:t>
      </w:r>
    </w:p>
    <w:p w14:paraId="4D1F996E" w14:textId="614C5F12" w:rsidR="00A9697D" w:rsidRPr="00D04DD2" w:rsidRDefault="00D04DD2" w:rsidP="00BB7D8C">
      <w:pPr>
        <w:jc w:val="center"/>
        <w:rPr>
          <w:bCs/>
          <w:sz w:val="26"/>
          <w:szCs w:val="26"/>
        </w:rPr>
      </w:pPr>
      <w:r w:rsidRPr="00D04DD2">
        <w:rPr>
          <w:bCs/>
          <w:sz w:val="26"/>
          <w:szCs w:val="26"/>
        </w:rPr>
        <w:t xml:space="preserve">Advising The Board </w:t>
      </w:r>
      <w:r>
        <w:rPr>
          <w:bCs/>
          <w:sz w:val="26"/>
          <w:szCs w:val="26"/>
        </w:rPr>
        <w:t>o</w:t>
      </w:r>
      <w:r w:rsidRPr="00D04DD2">
        <w:rPr>
          <w:bCs/>
          <w:sz w:val="26"/>
          <w:szCs w:val="26"/>
        </w:rPr>
        <w:t xml:space="preserve">n Growth Strategy </w:t>
      </w:r>
      <w:r>
        <w:rPr>
          <w:bCs/>
          <w:sz w:val="26"/>
          <w:szCs w:val="26"/>
        </w:rPr>
        <w:t>i</w:t>
      </w:r>
      <w:r w:rsidRPr="00D04DD2">
        <w:rPr>
          <w:bCs/>
          <w:sz w:val="26"/>
          <w:szCs w:val="26"/>
        </w:rPr>
        <w:t xml:space="preserve">n </w:t>
      </w:r>
      <w:r>
        <w:rPr>
          <w:bCs/>
          <w:sz w:val="26"/>
          <w:szCs w:val="26"/>
        </w:rPr>
        <w:t>a</w:t>
      </w:r>
      <w:r w:rsidRPr="00D04DD2">
        <w:rPr>
          <w:bCs/>
          <w:sz w:val="26"/>
          <w:szCs w:val="26"/>
        </w:rPr>
        <w:t xml:space="preserve"> Period </w:t>
      </w:r>
      <w:r>
        <w:rPr>
          <w:bCs/>
          <w:sz w:val="26"/>
          <w:szCs w:val="26"/>
        </w:rPr>
        <w:t>o</w:t>
      </w:r>
      <w:r w:rsidRPr="00D04DD2">
        <w:rPr>
          <w:bCs/>
          <w:sz w:val="26"/>
          <w:szCs w:val="26"/>
        </w:rPr>
        <w:t>f Strategic Transformation</w:t>
      </w:r>
    </w:p>
    <w:p w14:paraId="655CE865" w14:textId="77777777" w:rsidR="00A07084" w:rsidRPr="00D04DD2" w:rsidRDefault="00A07084" w:rsidP="00BB7D8C">
      <w:pPr>
        <w:jc w:val="center"/>
        <w:rPr>
          <w:color w:val="2F5496" w:themeColor="accent1" w:themeShade="BF"/>
          <w:sz w:val="72"/>
          <w:szCs w:val="72"/>
        </w:rPr>
      </w:pPr>
    </w:p>
    <w:p w14:paraId="33A1FE41" w14:textId="77777777" w:rsidR="00C00860" w:rsidRPr="00D04DD2" w:rsidRDefault="00C00860" w:rsidP="00BB7D8C">
      <w:pPr>
        <w:rPr>
          <w:sz w:val="52"/>
          <w:szCs w:val="52"/>
        </w:rPr>
      </w:pPr>
    </w:p>
    <w:p w14:paraId="78D69508" w14:textId="77777777" w:rsidR="00F93DDE" w:rsidRPr="00D04DD2" w:rsidRDefault="00F93DDE" w:rsidP="00BB7D8C">
      <w:pPr>
        <w:rPr>
          <w:sz w:val="52"/>
          <w:szCs w:val="52"/>
        </w:rPr>
      </w:pPr>
    </w:p>
    <w:p w14:paraId="7FF0FD61" w14:textId="77777777" w:rsidR="00255882" w:rsidRPr="00D04DD2" w:rsidRDefault="00255882" w:rsidP="00BB7D8C"/>
    <w:p w14:paraId="0E3E4B5E" w14:textId="0BA53598" w:rsidR="009114C5" w:rsidRPr="00D7576D" w:rsidRDefault="009114C5" w:rsidP="00BB7D8C">
      <w:pPr>
        <w:spacing w:line="360" w:lineRule="auto"/>
        <w:jc w:val="center"/>
        <w:rPr>
          <w:rFonts w:ascii="Arial" w:hAnsi="Arial" w:cs="Arial"/>
          <w:color w:val="262626" w:themeColor="text1" w:themeTint="D9"/>
        </w:rPr>
      </w:pPr>
      <w:r w:rsidRPr="00D7576D">
        <w:rPr>
          <w:rFonts w:ascii="Arial" w:hAnsi="Arial" w:cs="Arial"/>
          <w:b/>
          <w:bCs/>
          <w:color w:val="262626" w:themeColor="text1" w:themeTint="D9"/>
        </w:rPr>
        <w:t>Student Name:</w:t>
      </w:r>
      <w:r w:rsidRPr="00D7576D">
        <w:rPr>
          <w:rFonts w:ascii="Arial" w:hAnsi="Arial" w:cs="Arial"/>
          <w:color w:val="262626" w:themeColor="text1" w:themeTint="D9"/>
        </w:rPr>
        <w:t xml:space="preserve"> Katiuscia Rodrigues Casagrande</w:t>
      </w:r>
    </w:p>
    <w:p w14:paraId="06DE0735" w14:textId="00E6619F" w:rsidR="009114C5" w:rsidRPr="00C00860" w:rsidRDefault="009114C5" w:rsidP="00BB7D8C">
      <w:pPr>
        <w:spacing w:line="360" w:lineRule="auto"/>
        <w:jc w:val="center"/>
        <w:rPr>
          <w:rFonts w:ascii="Arial" w:hAnsi="Arial" w:cs="Arial"/>
          <w:color w:val="262626" w:themeColor="text1" w:themeTint="D9"/>
        </w:rPr>
      </w:pPr>
      <w:r w:rsidRPr="00C00860">
        <w:rPr>
          <w:rFonts w:ascii="Arial" w:hAnsi="Arial" w:cs="Arial"/>
          <w:b/>
          <w:bCs/>
          <w:color w:val="262626" w:themeColor="text1" w:themeTint="D9"/>
        </w:rPr>
        <w:t>Student ID:</w:t>
      </w:r>
      <w:r w:rsidRPr="00C00860">
        <w:rPr>
          <w:rFonts w:ascii="Arial" w:hAnsi="Arial" w:cs="Arial"/>
          <w:color w:val="262626" w:themeColor="text1" w:themeTint="D9"/>
        </w:rPr>
        <w:t xml:space="preserve"> 2331413</w:t>
      </w:r>
    </w:p>
    <w:p w14:paraId="0EC72D43" w14:textId="5F0C388A" w:rsidR="009114C5" w:rsidRPr="00C00860" w:rsidRDefault="009114C5" w:rsidP="00BB7D8C">
      <w:pPr>
        <w:spacing w:line="360" w:lineRule="auto"/>
        <w:jc w:val="center"/>
        <w:rPr>
          <w:rFonts w:ascii="Arial" w:hAnsi="Arial" w:cs="Arial"/>
          <w:color w:val="262626" w:themeColor="text1" w:themeTint="D9"/>
        </w:rPr>
      </w:pPr>
      <w:r w:rsidRPr="00C00860">
        <w:rPr>
          <w:rFonts w:ascii="Arial" w:hAnsi="Arial" w:cs="Arial"/>
          <w:b/>
          <w:bCs/>
          <w:color w:val="262626" w:themeColor="text1" w:themeTint="D9"/>
        </w:rPr>
        <w:t>Module Code:</w:t>
      </w:r>
      <w:r w:rsidRPr="00C00860">
        <w:rPr>
          <w:rFonts w:ascii="Arial" w:hAnsi="Arial" w:cs="Arial"/>
          <w:color w:val="262626" w:themeColor="text1" w:themeTint="D9"/>
        </w:rPr>
        <w:t xml:space="preserve"> LCLM</w:t>
      </w:r>
      <w:r w:rsidR="00D04DD2">
        <w:rPr>
          <w:rFonts w:ascii="Arial" w:hAnsi="Arial" w:cs="Arial"/>
          <w:color w:val="262626" w:themeColor="text1" w:themeTint="D9"/>
        </w:rPr>
        <w:t>6001</w:t>
      </w:r>
    </w:p>
    <w:p w14:paraId="0A200EE0" w14:textId="0E3691A9" w:rsidR="009114C5" w:rsidRPr="00C00860" w:rsidRDefault="009114C5" w:rsidP="00BB7D8C">
      <w:pPr>
        <w:spacing w:line="360" w:lineRule="auto"/>
        <w:jc w:val="center"/>
        <w:rPr>
          <w:rFonts w:ascii="Arial" w:hAnsi="Arial" w:cs="Arial"/>
          <w:color w:val="262626" w:themeColor="text1" w:themeTint="D9"/>
        </w:rPr>
      </w:pPr>
      <w:r w:rsidRPr="00C00860">
        <w:rPr>
          <w:rFonts w:ascii="Arial" w:hAnsi="Arial" w:cs="Arial"/>
          <w:b/>
          <w:bCs/>
          <w:color w:val="262626" w:themeColor="text1" w:themeTint="D9"/>
        </w:rPr>
        <w:t>Module Name:</w:t>
      </w:r>
      <w:r w:rsidRPr="00C00860">
        <w:rPr>
          <w:rFonts w:ascii="Arial" w:hAnsi="Arial" w:cs="Arial"/>
          <w:color w:val="262626" w:themeColor="text1" w:themeTint="D9"/>
        </w:rPr>
        <w:t xml:space="preserve"> </w:t>
      </w:r>
      <w:r w:rsidR="00D04DD2">
        <w:rPr>
          <w:rFonts w:ascii="Arial" w:hAnsi="Arial" w:cs="Arial"/>
          <w:color w:val="262626" w:themeColor="text1" w:themeTint="D9"/>
        </w:rPr>
        <w:t>Strategic Management for Business</w:t>
      </w:r>
    </w:p>
    <w:p w14:paraId="55702840" w14:textId="430BE1D8" w:rsidR="00E4306E" w:rsidRPr="00D04DD2" w:rsidRDefault="009114C5" w:rsidP="00BB7D8C">
      <w:pPr>
        <w:spacing w:line="360" w:lineRule="auto"/>
        <w:jc w:val="center"/>
        <w:rPr>
          <w:rFonts w:ascii="Arial" w:hAnsi="Arial" w:cs="Arial"/>
          <w:color w:val="262626" w:themeColor="text1" w:themeTint="D9"/>
          <w:lang w:val="pt-BR"/>
        </w:rPr>
      </w:pPr>
      <w:proofErr w:type="spellStart"/>
      <w:r w:rsidRPr="00D04DD2">
        <w:rPr>
          <w:rFonts w:ascii="Arial" w:hAnsi="Arial" w:cs="Arial"/>
          <w:b/>
          <w:bCs/>
          <w:color w:val="262626" w:themeColor="text1" w:themeTint="D9"/>
          <w:lang w:val="pt-BR"/>
        </w:rPr>
        <w:t>Lecturer</w:t>
      </w:r>
      <w:proofErr w:type="spellEnd"/>
      <w:r w:rsidRPr="00D04DD2">
        <w:rPr>
          <w:rFonts w:ascii="Arial" w:hAnsi="Arial" w:cs="Arial"/>
          <w:b/>
          <w:bCs/>
          <w:color w:val="262626" w:themeColor="text1" w:themeTint="D9"/>
          <w:lang w:val="pt-BR"/>
        </w:rPr>
        <w:t>:</w:t>
      </w:r>
      <w:r w:rsidRPr="00D04DD2">
        <w:rPr>
          <w:rFonts w:ascii="Arial" w:hAnsi="Arial" w:cs="Arial"/>
          <w:color w:val="262626" w:themeColor="text1" w:themeTint="D9"/>
          <w:lang w:val="pt-BR"/>
        </w:rPr>
        <w:t xml:space="preserve"> </w:t>
      </w:r>
      <w:proofErr w:type="spellStart"/>
      <w:r w:rsidR="00D04DD2" w:rsidRPr="00D04DD2">
        <w:rPr>
          <w:rFonts w:ascii="Arial" w:hAnsi="Arial" w:cs="Arial"/>
          <w:color w:val="262626" w:themeColor="text1" w:themeTint="D9"/>
          <w:lang w:val="pt-BR"/>
        </w:rPr>
        <w:t>Dr</w:t>
      </w:r>
      <w:proofErr w:type="spellEnd"/>
      <w:r w:rsidR="00D04DD2" w:rsidRPr="00D04DD2">
        <w:rPr>
          <w:rFonts w:ascii="Arial" w:hAnsi="Arial" w:cs="Arial"/>
          <w:color w:val="262626" w:themeColor="text1" w:themeTint="D9"/>
          <w:lang w:val="pt-BR"/>
        </w:rPr>
        <w:t xml:space="preserve"> </w:t>
      </w:r>
      <w:proofErr w:type="spellStart"/>
      <w:r w:rsidR="00D04DD2" w:rsidRPr="00D04DD2">
        <w:rPr>
          <w:rFonts w:ascii="Arial" w:hAnsi="Arial" w:cs="Arial"/>
          <w:color w:val="262626" w:themeColor="text1" w:themeTint="D9"/>
          <w:lang w:val="pt-BR"/>
        </w:rPr>
        <w:t>Faizu</w:t>
      </w:r>
      <w:proofErr w:type="spellEnd"/>
      <w:r w:rsidR="00D04DD2" w:rsidRPr="00D04DD2">
        <w:rPr>
          <w:rFonts w:ascii="Arial" w:hAnsi="Arial" w:cs="Arial"/>
          <w:color w:val="262626" w:themeColor="text1" w:themeTint="D9"/>
          <w:lang w:val="pt-BR"/>
        </w:rPr>
        <w:t xml:space="preserve"> Edu</w:t>
      </w:r>
    </w:p>
    <w:p w14:paraId="01A03884" w14:textId="77777777" w:rsidR="00E4306E" w:rsidRPr="00D04DD2" w:rsidRDefault="00E4306E" w:rsidP="00BB7D8C">
      <w:pPr>
        <w:rPr>
          <w:lang w:val="pt-BR"/>
        </w:rPr>
      </w:pPr>
    </w:p>
    <w:p w14:paraId="1DC651DD" w14:textId="77777777" w:rsidR="00E4306E" w:rsidRPr="00D04DD2" w:rsidRDefault="00E4306E" w:rsidP="00BB7D8C">
      <w:pPr>
        <w:rPr>
          <w:lang w:val="pt-BR"/>
        </w:rPr>
      </w:pPr>
    </w:p>
    <w:p w14:paraId="04992B03" w14:textId="77777777" w:rsidR="00E4306E" w:rsidRPr="00D04DD2" w:rsidRDefault="00E4306E" w:rsidP="00BB7D8C">
      <w:pPr>
        <w:rPr>
          <w:lang w:val="pt-BR"/>
        </w:rPr>
      </w:pPr>
    </w:p>
    <w:p w14:paraId="470CAD6C" w14:textId="77777777" w:rsidR="00C00860" w:rsidRPr="00D04DD2" w:rsidRDefault="00C00860" w:rsidP="00BB7D8C">
      <w:pPr>
        <w:rPr>
          <w:lang w:val="pt-BR"/>
        </w:rPr>
      </w:pPr>
    </w:p>
    <w:p w14:paraId="7E05E8E5" w14:textId="77777777" w:rsidR="00C00860" w:rsidRPr="00D04DD2" w:rsidRDefault="00C00860" w:rsidP="00BB7D8C">
      <w:pPr>
        <w:rPr>
          <w:lang w:val="pt-BR"/>
        </w:rPr>
      </w:pPr>
    </w:p>
    <w:p w14:paraId="683D8970" w14:textId="77777777" w:rsidR="00C00860" w:rsidRPr="00D04DD2" w:rsidRDefault="00C00860" w:rsidP="00BB7D8C">
      <w:pPr>
        <w:rPr>
          <w:lang w:val="pt-BR"/>
        </w:rPr>
      </w:pPr>
    </w:p>
    <w:p w14:paraId="67F97D5B" w14:textId="77777777" w:rsidR="00C00860" w:rsidRPr="00D04DD2" w:rsidRDefault="00C00860" w:rsidP="00BB7D8C">
      <w:pPr>
        <w:rPr>
          <w:lang w:val="pt-BR"/>
        </w:rPr>
      </w:pPr>
    </w:p>
    <w:p w14:paraId="7C875603" w14:textId="77777777" w:rsidR="00C00860" w:rsidRPr="00D04DD2" w:rsidRDefault="00C00860" w:rsidP="00BB7D8C">
      <w:pPr>
        <w:rPr>
          <w:lang w:val="pt-BR"/>
        </w:rPr>
      </w:pPr>
    </w:p>
    <w:p w14:paraId="484921F1" w14:textId="77777777" w:rsidR="00C00860" w:rsidRPr="00D04DD2" w:rsidRDefault="00C00860" w:rsidP="00BB7D8C">
      <w:pPr>
        <w:rPr>
          <w:lang w:val="pt-BR"/>
        </w:rPr>
      </w:pPr>
    </w:p>
    <w:p w14:paraId="1EFE2A80" w14:textId="77777777" w:rsidR="00C00860" w:rsidRPr="00D04DD2" w:rsidRDefault="00C00860" w:rsidP="00BB7D8C">
      <w:pPr>
        <w:rPr>
          <w:lang w:val="pt-BR"/>
        </w:rPr>
      </w:pPr>
    </w:p>
    <w:p w14:paraId="06194D51" w14:textId="77777777" w:rsidR="00C00860" w:rsidRPr="00D04DD2" w:rsidRDefault="00C00860" w:rsidP="00BB7D8C">
      <w:pPr>
        <w:rPr>
          <w:lang w:val="pt-BR"/>
        </w:rPr>
      </w:pPr>
    </w:p>
    <w:p w14:paraId="2DCA3B7C" w14:textId="5C3F547D" w:rsidR="00255882" w:rsidRPr="00D04DD2" w:rsidRDefault="00B5375D" w:rsidP="00BB7D8C">
      <w:pPr>
        <w:rPr>
          <w:color w:val="2F5496" w:themeColor="accent1" w:themeShade="BF"/>
          <w:lang w:val="pt-BR"/>
        </w:rPr>
      </w:pPr>
      <w:r w:rsidRPr="00D04DD2">
        <w:rPr>
          <w:lang w:val="pt-BR"/>
        </w:rPr>
        <w:t xml:space="preserve"> </w:t>
      </w:r>
    </w:p>
    <w:p w14:paraId="534D33DC" w14:textId="3F11C41B" w:rsidR="00B5375D" w:rsidRPr="00D04DD2" w:rsidRDefault="00D04DD2" w:rsidP="00BB7D8C">
      <w:pPr>
        <w:jc w:val="center"/>
        <w:rPr>
          <w:color w:val="2F5496" w:themeColor="accent1" w:themeShade="BF"/>
          <w:lang w:val="pt-BR"/>
        </w:rPr>
      </w:pPr>
      <w:r w:rsidRPr="00D04DD2">
        <w:rPr>
          <w:color w:val="2F5496" w:themeColor="accent1" w:themeShade="BF"/>
          <w:lang w:val="pt-BR"/>
        </w:rPr>
        <w:t>18</w:t>
      </w:r>
      <w:r w:rsidR="00E64A2F" w:rsidRPr="00D04DD2">
        <w:rPr>
          <w:color w:val="2F5496" w:themeColor="accent1" w:themeShade="BF"/>
          <w:lang w:val="pt-BR"/>
        </w:rPr>
        <w:t xml:space="preserve"> </w:t>
      </w:r>
      <w:proofErr w:type="gramStart"/>
      <w:r w:rsidRPr="00D04DD2">
        <w:rPr>
          <w:color w:val="2F5496" w:themeColor="accent1" w:themeShade="BF"/>
          <w:lang w:val="pt-BR"/>
        </w:rPr>
        <w:t>Julho</w:t>
      </w:r>
      <w:proofErr w:type="gramEnd"/>
      <w:r w:rsidRPr="00D04DD2">
        <w:rPr>
          <w:color w:val="2F5496" w:themeColor="accent1" w:themeShade="BF"/>
          <w:lang w:val="pt-BR"/>
        </w:rPr>
        <w:t xml:space="preserve"> </w:t>
      </w:r>
      <w:r w:rsidR="00E64A2F" w:rsidRPr="00D04DD2">
        <w:rPr>
          <w:color w:val="2F5496" w:themeColor="accent1" w:themeShade="BF"/>
          <w:lang w:val="pt-BR"/>
        </w:rPr>
        <w:t>202</w:t>
      </w:r>
      <w:r w:rsidR="00A07084" w:rsidRPr="00D04DD2">
        <w:rPr>
          <w:color w:val="2F5496" w:themeColor="accent1" w:themeShade="BF"/>
          <w:lang w:val="pt-BR"/>
        </w:rPr>
        <w:t>6</w:t>
      </w:r>
    </w:p>
    <w:p w14:paraId="0F80C9A6" w14:textId="77777777" w:rsidR="00F8154D" w:rsidRPr="00D04DD2" w:rsidRDefault="00F8154D" w:rsidP="00BB7D8C">
      <w:pPr>
        <w:rPr>
          <w:color w:val="2F5496" w:themeColor="accent1" w:themeShade="BF"/>
          <w:lang w:val="pt-BR"/>
        </w:rPr>
      </w:pPr>
    </w:p>
    <w:p w14:paraId="0594DB2A" w14:textId="77777777" w:rsidR="00736CEA" w:rsidRPr="00D04DD2" w:rsidRDefault="00736CEA" w:rsidP="00BB7D8C">
      <w:pPr>
        <w:rPr>
          <w:color w:val="2F5496" w:themeColor="accent1" w:themeShade="BF"/>
          <w:lang w:val="pt-BR"/>
        </w:rPr>
      </w:pPr>
    </w:p>
    <w:sdt>
      <w:sdtPr>
        <w:rPr>
          <w:rFonts w:eastAsiaTheme="minorEastAsia" w:cstheme="minorBidi"/>
          <w:b w:val="0"/>
          <w:color w:val="auto"/>
          <w:sz w:val="22"/>
          <w:szCs w:val="22"/>
          <w:lang w:val="en-GB" w:eastAsia="zh-CN"/>
        </w:rPr>
        <w:id w:val="716858446"/>
        <w:docPartObj>
          <w:docPartGallery w:val="Table of Contents"/>
          <w:docPartUnique/>
        </w:docPartObj>
      </w:sdtPr>
      <w:sdtEndPr>
        <w:rPr>
          <w:rFonts w:eastAsia="Times New Roman" w:cs="Times New Roman"/>
          <w:bCs/>
          <w:noProof/>
          <w:sz w:val="24"/>
          <w:szCs w:val="24"/>
          <w:lang w:eastAsia="en-GB"/>
        </w:rPr>
      </w:sdtEndPr>
      <w:sdtContent>
        <w:p w14:paraId="4315353B" w14:textId="3F46ACBA" w:rsidR="00E4306E" w:rsidRDefault="00E4306E" w:rsidP="00BB7D8C">
          <w:pPr>
            <w:pStyle w:val="CabealhodoSumrio"/>
          </w:pPr>
          <w:r>
            <w:t>Table of Contents</w:t>
          </w:r>
        </w:p>
        <w:p w14:paraId="7016E4C9" w14:textId="6731CD5A" w:rsidR="00CD0047" w:rsidRDefault="00E4306E">
          <w:pPr>
            <w:pStyle w:val="Sumrio1"/>
            <w:tabs>
              <w:tab w:val="right" w:leader="dot" w:pos="9016"/>
            </w:tabs>
            <w:rPr>
              <w:rFonts w:eastAsiaTheme="minorEastAsia" w:cstheme="minorBidi"/>
              <w:b w:val="0"/>
              <w:bCs w:val="0"/>
              <w:i w:val="0"/>
              <w:iCs w:val="0"/>
              <w:noProof/>
              <w:kern w:val="2"/>
              <w:lang w:val="pt-GB" w:eastAsia="pt-BR"/>
              <w14:ligatures w14:val="standardContextual"/>
            </w:rPr>
          </w:pPr>
          <w:r>
            <w:rPr>
              <w:b w:val="0"/>
              <w:bCs w:val="0"/>
            </w:rPr>
            <w:fldChar w:fldCharType="begin"/>
          </w:r>
          <w:r>
            <w:instrText xml:space="preserve"> TOC \o "1-3" \h \z \u </w:instrText>
          </w:r>
          <w:r>
            <w:rPr>
              <w:b w:val="0"/>
              <w:bCs w:val="0"/>
            </w:rPr>
            <w:fldChar w:fldCharType="separate"/>
          </w:r>
          <w:hyperlink w:anchor="_Toc237175164" w:history="1">
            <w:r w:rsidR="00CD0047" w:rsidRPr="00DE1022">
              <w:rPr>
                <w:rStyle w:val="Hyperlink"/>
                <w:rFonts w:ascii="Arial" w:hAnsi="Arial" w:cs="Arial"/>
                <w:noProof/>
              </w:rPr>
              <w:t>1. EXECUTIVE SUMMARY</w:t>
            </w:r>
            <w:r w:rsidR="00CD0047">
              <w:rPr>
                <w:noProof/>
                <w:webHidden/>
              </w:rPr>
              <w:tab/>
            </w:r>
            <w:r w:rsidR="00CD0047">
              <w:rPr>
                <w:noProof/>
                <w:webHidden/>
              </w:rPr>
              <w:fldChar w:fldCharType="begin"/>
            </w:r>
            <w:r w:rsidR="00CD0047">
              <w:rPr>
                <w:noProof/>
                <w:webHidden/>
              </w:rPr>
              <w:instrText xml:space="preserve"> PAGEREF _Toc237175164 \h </w:instrText>
            </w:r>
            <w:r w:rsidR="00CD0047">
              <w:rPr>
                <w:noProof/>
                <w:webHidden/>
              </w:rPr>
            </w:r>
            <w:r w:rsidR="00CD0047">
              <w:rPr>
                <w:noProof/>
                <w:webHidden/>
              </w:rPr>
              <w:fldChar w:fldCharType="separate"/>
            </w:r>
            <w:r w:rsidR="00CD0047">
              <w:rPr>
                <w:noProof/>
                <w:webHidden/>
              </w:rPr>
              <w:t>3</w:t>
            </w:r>
            <w:r w:rsidR="00CD0047">
              <w:rPr>
                <w:noProof/>
                <w:webHidden/>
              </w:rPr>
              <w:fldChar w:fldCharType="end"/>
            </w:r>
          </w:hyperlink>
        </w:p>
        <w:p w14:paraId="3953E4B0" w14:textId="646DF26A" w:rsidR="00CD0047" w:rsidRDefault="00CD0047">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37175165" w:history="1">
            <w:r w:rsidRPr="00DE1022">
              <w:rPr>
                <w:rStyle w:val="Hyperlink"/>
                <w:rFonts w:ascii="Arial" w:hAnsi="Arial" w:cs="Arial"/>
                <w:noProof/>
              </w:rPr>
              <w:t>2. INTRODUCTION TO VODAFONE</w:t>
            </w:r>
            <w:r>
              <w:rPr>
                <w:noProof/>
                <w:webHidden/>
              </w:rPr>
              <w:tab/>
            </w:r>
            <w:r>
              <w:rPr>
                <w:noProof/>
                <w:webHidden/>
              </w:rPr>
              <w:fldChar w:fldCharType="begin"/>
            </w:r>
            <w:r>
              <w:rPr>
                <w:noProof/>
                <w:webHidden/>
              </w:rPr>
              <w:instrText xml:space="preserve"> PAGEREF _Toc237175165 \h </w:instrText>
            </w:r>
            <w:r>
              <w:rPr>
                <w:noProof/>
                <w:webHidden/>
              </w:rPr>
            </w:r>
            <w:r>
              <w:rPr>
                <w:noProof/>
                <w:webHidden/>
              </w:rPr>
              <w:fldChar w:fldCharType="separate"/>
            </w:r>
            <w:r>
              <w:rPr>
                <w:noProof/>
                <w:webHidden/>
              </w:rPr>
              <w:t>4</w:t>
            </w:r>
            <w:r>
              <w:rPr>
                <w:noProof/>
                <w:webHidden/>
              </w:rPr>
              <w:fldChar w:fldCharType="end"/>
            </w:r>
          </w:hyperlink>
        </w:p>
        <w:p w14:paraId="6278FC8B" w14:textId="23CB2DFF" w:rsidR="00CD0047" w:rsidRDefault="00CD0047">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37175166" w:history="1">
            <w:r w:rsidRPr="00DE1022">
              <w:rPr>
                <w:rStyle w:val="Hyperlink"/>
                <w:rFonts w:ascii="Arial" w:hAnsi="Arial" w:cs="Arial"/>
                <w:noProof/>
              </w:rPr>
              <w:t>3. EVALUATION OF CURRENT MARKET SITUATION</w:t>
            </w:r>
            <w:r>
              <w:rPr>
                <w:noProof/>
                <w:webHidden/>
              </w:rPr>
              <w:tab/>
            </w:r>
            <w:r>
              <w:rPr>
                <w:noProof/>
                <w:webHidden/>
              </w:rPr>
              <w:fldChar w:fldCharType="begin"/>
            </w:r>
            <w:r>
              <w:rPr>
                <w:noProof/>
                <w:webHidden/>
              </w:rPr>
              <w:instrText xml:space="preserve"> PAGEREF _Toc237175166 \h </w:instrText>
            </w:r>
            <w:r>
              <w:rPr>
                <w:noProof/>
                <w:webHidden/>
              </w:rPr>
            </w:r>
            <w:r>
              <w:rPr>
                <w:noProof/>
                <w:webHidden/>
              </w:rPr>
              <w:fldChar w:fldCharType="separate"/>
            </w:r>
            <w:r>
              <w:rPr>
                <w:noProof/>
                <w:webHidden/>
              </w:rPr>
              <w:t>5</w:t>
            </w:r>
            <w:r>
              <w:rPr>
                <w:noProof/>
                <w:webHidden/>
              </w:rPr>
              <w:fldChar w:fldCharType="end"/>
            </w:r>
          </w:hyperlink>
        </w:p>
        <w:p w14:paraId="567D3AB5" w14:textId="53A053C8" w:rsidR="00CD0047" w:rsidRDefault="00CD0047">
          <w:pPr>
            <w:pStyle w:val="Sumrio2"/>
            <w:tabs>
              <w:tab w:val="right" w:leader="dot" w:pos="9016"/>
            </w:tabs>
            <w:rPr>
              <w:rFonts w:eastAsiaTheme="minorEastAsia" w:cstheme="minorBidi"/>
              <w:b w:val="0"/>
              <w:bCs w:val="0"/>
              <w:noProof/>
              <w:kern w:val="2"/>
              <w:lang w:val="pt-GB" w:eastAsia="pt-BR"/>
              <w14:ligatures w14:val="standardContextual"/>
            </w:rPr>
          </w:pPr>
          <w:hyperlink w:anchor="_Toc237175167" w:history="1">
            <w:r w:rsidRPr="00DE1022">
              <w:rPr>
                <w:rStyle w:val="Hyperlink"/>
                <w:noProof/>
              </w:rPr>
              <w:t>3.1 SWOT Analysis</w:t>
            </w:r>
            <w:r>
              <w:rPr>
                <w:noProof/>
                <w:webHidden/>
              </w:rPr>
              <w:tab/>
            </w:r>
            <w:r>
              <w:rPr>
                <w:noProof/>
                <w:webHidden/>
              </w:rPr>
              <w:fldChar w:fldCharType="begin"/>
            </w:r>
            <w:r>
              <w:rPr>
                <w:noProof/>
                <w:webHidden/>
              </w:rPr>
              <w:instrText xml:space="preserve"> PAGEREF _Toc237175167 \h </w:instrText>
            </w:r>
            <w:r>
              <w:rPr>
                <w:noProof/>
                <w:webHidden/>
              </w:rPr>
            </w:r>
            <w:r>
              <w:rPr>
                <w:noProof/>
                <w:webHidden/>
              </w:rPr>
              <w:fldChar w:fldCharType="separate"/>
            </w:r>
            <w:r>
              <w:rPr>
                <w:noProof/>
                <w:webHidden/>
              </w:rPr>
              <w:t>5</w:t>
            </w:r>
            <w:r>
              <w:rPr>
                <w:noProof/>
                <w:webHidden/>
              </w:rPr>
              <w:fldChar w:fldCharType="end"/>
            </w:r>
          </w:hyperlink>
        </w:p>
        <w:p w14:paraId="1D422645" w14:textId="238F1C2B" w:rsidR="00CD0047" w:rsidRDefault="00CD0047">
          <w:pPr>
            <w:pStyle w:val="Sumrio2"/>
            <w:tabs>
              <w:tab w:val="right" w:leader="dot" w:pos="9016"/>
            </w:tabs>
            <w:rPr>
              <w:rFonts w:eastAsiaTheme="minorEastAsia" w:cstheme="minorBidi"/>
              <w:b w:val="0"/>
              <w:bCs w:val="0"/>
              <w:noProof/>
              <w:kern w:val="2"/>
              <w:lang w:val="pt-GB" w:eastAsia="pt-BR"/>
              <w14:ligatures w14:val="standardContextual"/>
            </w:rPr>
          </w:pPr>
          <w:hyperlink w:anchor="_Toc237175168" w:history="1">
            <w:r w:rsidRPr="00DE1022">
              <w:rPr>
                <w:rStyle w:val="Hyperlink"/>
                <w:noProof/>
              </w:rPr>
              <w:t>3.2 Pestel Analysis</w:t>
            </w:r>
            <w:r>
              <w:rPr>
                <w:noProof/>
                <w:webHidden/>
              </w:rPr>
              <w:tab/>
            </w:r>
            <w:r>
              <w:rPr>
                <w:noProof/>
                <w:webHidden/>
              </w:rPr>
              <w:fldChar w:fldCharType="begin"/>
            </w:r>
            <w:r>
              <w:rPr>
                <w:noProof/>
                <w:webHidden/>
              </w:rPr>
              <w:instrText xml:space="preserve"> PAGEREF _Toc237175168 \h </w:instrText>
            </w:r>
            <w:r>
              <w:rPr>
                <w:noProof/>
                <w:webHidden/>
              </w:rPr>
            </w:r>
            <w:r>
              <w:rPr>
                <w:noProof/>
                <w:webHidden/>
              </w:rPr>
              <w:fldChar w:fldCharType="separate"/>
            </w:r>
            <w:r>
              <w:rPr>
                <w:noProof/>
                <w:webHidden/>
              </w:rPr>
              <w:t>6</w:t>
            </w:r>
            <w:r>
              <w:rPr>
                <w:noProof/>
                <w:webHidden/>
              </w:rPr>
              <w:fldChar w:fldCharType="end"/>
            </w:r>
          </w:hyperlink>
        </w:p>
        <w:p w14:paraId="0DC2E9DB" w14:textId="68A0DF59" w:rsidR="00CD0047" w:rsidRDefault="00CD0047">
          <w:pPr>
            <w:pStyle w:val="Sumrio2"/>
            <w:tabs>
              <w:tab w:val="right" w:leader="dot" w:pos="9016"/>
            </w:tabs>
            <w:rPr>
              <w:rFonts w:eastAsiaTheme="minorEastAsia" w:cstheme="minorBidi"/>
              <w:b w:val="0"/>
              <w:bCs w:val="0"/>
              <w:noProof/>
              <w:kern w:val="2"/>
              <w:lang w:val="pt-GB" w:eastAsia="pt-BR"/>
              <w14:ligatures w14:val="standardContextual"/>
            </w:rPr>
          </w:pPr>
          <w:hyperlink w:anchor="_Toc237175169" w:history="1">
            <w:r w:rsidRPr="00DE1022">
              <w:rPr>
                <w:rStyle w:val="Hyperlink"/>
                <w:noProof/>
              </w:rPr>
              <w:t>3.3 Porter’s Five Forces</w:t>
            </w:r>
            <w:r>
              <w:rPr>
                <w:noProof/>
                <w:webHidden/>
              </w:rPr>
              <w:tab/>
            </w:r>
            <w:r>
              <w:rPr>
                <w:noProof/>
                <w:webHidden/>
              </w:rPr>
              <w:fldChar w:fldCharType="begin"/>
            </w:r>
            <w:r>
              <w:rPr>
                <w:noProof/>
                <w:webHidden/>
              </w:rPr>
              <w:instrText xml:space="preserve"> PAGEREF _Toc237175169 \h </w:instrText>
            </w:r>
            <w:r>
              <w:rPr>
                <w:noProof/>
                <w:webHidden/>
              </w:rPr>
            </w:r>
            <w:r>
              <w:rPr>
                <w:noProof/>
                <w:webHidden/>
              </w:rPr>
              <w:fldChar w:fldCharType="separate"/>
            </w:r>
            <w:r>
              <w:rPr>
                <w:noProof/>
                <w:webHidden/>
              </w:rPr>
              <w:t>7</w:t>
            </w:r>
            <w:r>
              <w:rPr>
                <w:noProof/>
                <w:webHidden/>
              </w:rPr>
              <w:fldChar w:fldCharType="end"/>
            </w:r>
          </w:hyperlink>
        </w:p>
        <w:p w14:paraId="0992204C" w14:textId="31CA0DAF" w:rsidR="00CD0047" w:rsidRDefault="00CD0047">
          <w:pPr>
            <w:pStyle w:val="Sumrio2"/>
            <w:tabs>
              <w:tab w:val="right" w:leader="dot" w:pos="9016"/>
            </w:tabs>
            <w:rPr>
              <w:rFonts w:eastAsiaTheme="minorEastAsia" w:cstheme="minorBidi"/>
              <w:b w:val="0"/>
              <w:bCs w:val="0"/>
              <w:noProof/>
              <w:kern w:val="2"/>
              <w:lang w:val="pt-GB" w:eastAsia="pt-BR"/>
              <w14:ligatures w14:val="standardContextual"/>
            </w:rPr>
          </w:pPr>
          <w:hyperlink w:anchor="_Toc237175170" w:history="1">
            <w:r w:rsidRPr="00DE1022">
              <w:rPr>
                <w:rStyle w:val="Hyperlink"/>
                <w:noProof/>
              </w:rPr>
              <w:t>3.4 Synthesis</w:t>
            </w:r>
            <w:r>
              <w:rPr>
                <w:noProof/>
                <w:webHidden/>
              </w:rPr>
              <w:tab/>
            </w:r>
            <w:r>
              <w:rPr>
                <w:noProof/>
                <w:webHidden/>
              </w:rPr>
              <w:fldChar w:fldCharType="begin"/>
            </w:r>
            <w:r>
              <w:rPr>
                <w:noProof/>
                <w:webHidden/>
              </w:rPr>
              <w:instrText xml:space="preserve"> PAGEREF _Toc237175170 \h </w:instrText>
            </w:r>
            <w:r>
              <w:rPr>
                <w:noProof/>
                <w:webHidden/>
              </w:rPr>
            </w:r>
            <w:r>
              <w:rPr>
                <w:noProof/>
                <w:webHidden/>
              </w:rPr>
              <w:fldChar w:fldCharType="separate"/>
            </w:r>
            <w:r>
              <w:rPr>
                <w:noProof/>
                <w:webHidden/>
              </w:rPr>
              <w:t>8</w:t>
            </w:r>
            <w:r>
              <w:rPr>
                <w:noProof/>
                <w:webHidden/>
              </w:rPr>
              <w:fldChar w:fldCharType="end"/>
            </w:r>
          </w:hyperlink>
        </w:p>
        <w:p w14:paraId="45EDBDC1" w14:textId="4AE3BCBA" w:rsidR="00CD0047" w:rsidRDefault="00CD0047">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37175171" w:history="1">
            <w:r w:rsidRPr="00DE1022">
              <w:rPr>
                <w:rStyle w:val="Hyperlink"/>
                <w:rFonts w:ascii="Arial" w:hAnsi="Arial" w:cs="Arial"/>
                <w:noProof/>
              </w:rPr>
              <w:t>4. STRATEGIC GROWTH OPTIONS AND PROPOSED STRATEGY</w:t>
            </w:r>
            <w:r>
              <w:rPr>
                <w:noProof/>
                <w:webHidden/>
              </w:rPr>
              <w:tab/>
            </w:r>
            <w:r>
              <w:rPr>
                <w:noProof/>
                <w:webHidden/>
              </w:rPr>
              <w:fldChar w:fldCharType="begin"/>
            </w:r>
            <w:r>
              <w:rPr>
                <w:noProof/>
                <w:webHidden/>
              </w:rPr>
              <w:instrText xml:space="preserve"> PAGEREF _Toc237175171 \h </w:instrText>
            </w:r>
            <w:r>
              <w:rPr>
                <w:noProof/>
                <w:webHidden/>
              </w:rPr>
            </w:r>
            <w:r>
              <w:rPr>
                <w:noProof/>
                <w:webHidden/>
              </w:rPr>
              <w:fldChar w:fldCharType="separate"/>
            </w:r>
            <w:r>
              <w:rPr>
                <w:noProof/>
                <w:webHidden/>
              </w:rPr>
              <w:t>8</w:t>
            </w:r>
            <w:r>
              <w:rPr>
                <w:noProof/>
                <w:webHidden/>
              </w:rPr>
              <w:fldChar w:fldCharType="end"/>
            </w:r>
          </w:hyperlink>
        </w:p>
        <w:p w14:paraId="4C956D27" w14:textId="59507D7B" w:rsidR="00CD0047" w:rsidRDefault="00CD0047">
          <w:pPr>
            <w:pStyle w:val="Sumrio2"/>
            <w:tabs>
              <w:tab w:val="right" w:leader="dot" w:pos="9016"/>
            </w:tabs>
            <w:rPr>
              <w:rFonts w:eastAsiaTheme="minorEastAsia" w:cstheme="minorBidi"/>
              <w:b w:val="0"/>
              <w:bCs w:val="0"/>
              <w:noProof/>
              <w:kern w:val="2"/>
              <w:lang w:val="pt-GB" w:eastAsia="pt-BR"/>
              <w14:ligatures w14:val="standardContextual"/>
            </w:rPr>
          </w:pPr>
          <w:hyperlink w:anchor="_Toc237175172" w:history="1">
            <w:r w:rsidRPr="00DE1022">
              <w:rPr>
                <w:rStyle w:val="Hyperlink"/>
                <w:noProof/>
              </w:rPr>
              <w:t>4.1 Growth Options: Ansoff Matrix</w:t>
            </w:r>
            <w:r>
              <w:rPr>
                <w:noProof/>
                <w:webHidden/>
              </w:rPr>
              <w:tab/>
            </w:r>
            <w:r>
              <w:rPr>
                <w:noProof/>
                <w:webHidden/>
              </w:rPr>
              <w:fldChar w:fldCharType="begin"/>
            </w:r>
            <w:r>
              <w:rPr>
                <w:noProof/>
                <w:webHidden/>
              </w:rPr>
              <w:instrText xml:space="preserve"> PAGEREF _Toc237175172 \h </w:instrText>
            </w:r>
            <w:r>
              <w:rPr>
                <w:noProof/>
                <w:webHidden/>
              </w:rPr>
            </w:r>
            <w:r>
              <w:rPr>
                <w:noProof/>
                <w:webHidden/>
              </w:rPr>
              <w:fldChar w:fldCharType="separate"/>
            </w:r>
            <w:r>
              <w:rPr>
                <w:noProof/>
                <w:webHidden/>
              </w:rPr>
              <w:t>8</w:t>
            </w:r>
            <w:r>
              <w:rPr>
                <w:noProof/>
                <w:webHidden/>
              </w:rPr>
              <w:fldChar w:fldCharType="end"/>
            </w:r>
          </w:hyperlink>
        </w:p>
        <w:p w14:paraId="1B895B6B" w14:textId="44A90CE4" w:rsidR="00CD0047" w:rsidRDefault="00CD0047">
          <w:pPr>
            <w:pStyle w:val="Sumrio2"/>
            <w:tabs>
              <w:tab w:val="right" w:leader="dot" w:pos="9016"/>
            </w:tabs>
            <w:rPr>
              <w:rFonts w:eastAsiaTheme="minorEastAsia" w:cstheme="minorBidi"/>
              <w:b w:val="0"/>
              <w:bCs w:val="0"/>
              <w:noProof/>
              <w:kern w:val="2"/>
              <w:lang w:val="pt-GB" w:eastAsia="pt-BR"/>
              <w14:ligatures w14:val="standardContextual"/>
            </w:rPr>
          </w:pPr>
          <w:hyperlink w:anchor="_Toc237175173" w:history="1">
            <w:r w:rsidRPr="00DE1022">
              <w:rPr>
                <w:rStyle w:val="Hyperlink"/>
                <w:noProof/>
              </w:rPr>
              <w:t>4.2 Recommended strategy</w:t>
            </w:r>
            <w:r>
              <w:rPr>
                <w:noProof/>
                <w:webHidden/>
              </w:rPr>
              <w:tab/>
            </w:r>
            <w:r>
              <w:rPr>
                <w:noProof/>
                <w:webHidden/>
              </w:rPr>
              <w:fldChar w:fldCharType="begin"/>
            </w:r>
            <w:r>
              <w:rPr>
                <w:noProof/>
                <w:webHidden/>
              </w:rPr>
              <w:instrText xml:space="preserve"> PAGEREF _Toc237175173 \h </w:instrText>
            </w:r>
            <w:r>
              <w:rPr>
                <w:noProof/>
                <w:webHidden/>
              </w:rPr>
            </w:r>
            <w:r>
              <w:rPr>
                <w:noProof/>
                <w:webHidden/>
              </w:rPr>
              <w:fldChar w:fldCharType="separate"/>
            </w:r>
            <w:r>
              <w:rPr>
                <w:noProof/>
                <w:webHidden/>
              </w:rPr>
              <w:t>9</w:t>
            </w:r>
            <w:r>
              <w:rPr>
                <w:noProof/>
                <w:webHidden/>
              </w:rPr>
              <w:fldChar w:fldCharType="end"/>
            </w:r>
          </w:hyperlink>
        </w:p>
        <w:p w14:paraId="7F84E113" w14:textId="2AD3C397" w:rsidR="00CD0047" w:rsidRDefault="00CD0047">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37175174" w:history="1">
            <w:r w:rsidRPr="00DE1022">
              <w:rPr>
                <w:rStyle w:val="Hyperlink"/>
                <w:rFonts w:ascii="Arial" w:hAnsi="Arial" w:cs="Arial"/>
                <w:noProof/>
              </w:rPr>
              <w:t>5. STRATEGY EVALUATION</w:t>
            </w:r>
            <w:r>
              <w:rPr>
                <w:noProof/>
                <w:webHidden/>
              </w:rPr>
              <w:tab/>
            </w:r>
            <w:r>
              <w:rPr>
                <w:noProof/>
                <w:webHidden/>
              </w:rPr>
              <w:fldChar w:fldCharType="begin"/>
            </w:r>
            <w:r>
              <w:rPr>
                <w:noProof/>
                <w:webHidden/>
              </w:rPr>
              <w:instrText xml:space="preserve"> PAGEREF _Toc237175174 \h </w:instrText>
            </w:r>
            <w:r>
              <w:rPr>
                <w:noProof/>
                <w:webHidden/>
              </w:rPr>
            </w:r>
            <w:r>
              <w:rPr>
                <w:noProof/>
                <w:webHidden/>
              </w:rPr>
              <w:fldChar w:fldCharType="separate"/>
            </w:r>
            <w:r>
              <w:rPr>
                <w:noProof/>
                <w:webHidden/>
              </w:rPr>
              <w:t>10</w:t>
            </w:r>
            <w:r>
              <w:rPr>
                <w:noProof/>
                <w:webHidden/>
              </w:rPr>
              <w:fldChar w:fldCharType="end"/>
            </w:r>
          </w:hyperlink>
        </w:p>
        <w:p w14:paraId="27BB8180" w14:textId="5ACC55D8" w:rsidR="00CD0047" w:rsidRDefault="00CD0047">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37175175" w:history="1">
            <w:r w:rsidRPr="00DE1022">
              <w:rPr>
                <w:rStyle w:val="Hyperlink"/>
                <w:rFonts w:ascii="Arial" w:hAnsi="Arial" w:cs="Arial"/>
                <w:noProof/>
              </w:rPr>
              <w:t>6. STAKEHOLDER ANALYSIS</w:t>
            </w:r>
            <w:r>
              <w:rPr>
                <w:noProof/>
                <w:webHidden/>
              </w:rPr>
              <w:tab/>
            </w:r>
            <w:r>
              <w:rPr>
                <w:noProof/>
                <w:webHidden/>
              </w:rPr>
              <w:fldChar w:fldCharType="begin"/>
            </w:r>
            <w:r>
              <w:rPr>
                <w:noProof/>
                <w:webHidden/>
              </w:rPr>
              <w:instrText xml:space="preserve"> PAGEREF _Toc237175175 \h </w:instrText>
            </w:r>
            <w:r>
              <w:rPr>
                <w:noProof/>
                <w:webHidden/>
              </w:rPr>
            </w:r>
            <w:r>
              <w:rPr>
                <w:noProof/>
                <w:webHidden/>
              </w:rPr>
              <w:fldChar w:fldCharType="separate"/>
            </w:r>
            <w:r>
              <w:rPr>
                <w:noProof/>
                <w:webHidden/>
              </w:rPr>
              <w:t>12</w:t>
            </w:r>
            <w:r>
              <w:rPr>
                <w:noProof/>
                <w:webHidden/>
              </w:rPr>
              <w:fldChar w:fldCharType="end"/>
            </w:r>
          </w:hyperlink>
        </w:p>
        <w:p w14:paraId="5F63DF0B" w14:textId="6A7B5507" w:rsidR="00CD0047" w:rsidRDefault="00CD0047">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37175176" w:history="1">
            <w:r w:rsidRPr="00DE1022">
              <w:rPr>
                <w:rStyle w:val="Hyperlink"/>
                <w:rFonts w:ascii="Arial" w:hAnsi="Arial" w:cs="Arial"/>
                <w:noProof/>
              </w:rPr>
              <w:t>7. IMPLEMENTATION AND MONITORING</w:t>
            </w:r>
            <w:r>
              <w:rPr>
                <w:noProof/>
                <w:webHidden/>
              </w:rPr>
              <w:tab/>
            </w:r>
            <w:r>
              <w:rPr>
                <w:noProof/>
                <w:webHidden/>
              </w:rPr>
              <w:fldChar w:fldCharType="begin"/>
            </w:r>
            <w:r>
              <w:rPr>
                <w:noProof/>
                <w:webHidden/>
              </w:rPr>
              <w:instrText xml:space="preserve"> PAGEREF _Toc237175176 \h </w:instrText>
            </w:r>
            <w:r>
              <w:rPr>
                <w:noProof/>
                <w:webHidden/>
              </w:rPr>
            </w:r>
            <w:r>
              <w:rPr>
                <w:noProof/>
                <w:webHidden/>
              </w:rPr>
              <w:fldChar w:fldCharType="separate"/>
            </w:r>
            <w:r>
              <w:rPr>
                <w:noProof/>
                <w:webHidden/>
              </w:rPr>
              <w:t>13</w:t>
            </w:r>
            <w:r>
              <w:rPr>
                <w:noProof/>
                <w:webHidden/>
              </w:rPr>
              <w:fldChar w:fldCharType="end"/>
            </w:r>
          </w:hyperlink>
        </w:p>
        <w:p w14:paraId="15709725" w14:textId="0F10F3DC" w:rsidR="00CD0047" w:rsidRDefault="00CD0047">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37175177" w:history="1">
            <w:r w:rsidRPr="00DE1022">
              <w:rPr>
                <w:rStyle w:val="Hyperlink"/>
                <w:rFonts w:ascii="Arial" w:hAnsi="Arial" w:cs="Arial"/>
                <w:noProof/>
              </w:rPr>
              <w:t>8. CONCLUSION</w:t>
            </w:r>
            <w:r>
              <w:rPr>
                <w:noProof/>
                <w:webHidden/>
              </w:rPr>
              <w:tab/>
            </w:r>
            <w:r>
              <w:rPr>
                <w:noProof/>
                <w:webHidden/>
              </w:rPr>
              <w:fldChar w:fldCharType="begin"/>
            </w:r>
            <w:r>
              <w:rPr>
                <w:noProof/>
                <w:webHidden/>
              </w:rPr>
              <w:instrText xml:space="preserve"> PAGEREF _Toc237175177 \h </w:instrText>
            </w:r>
            <w:r>
              <w:rPr>
                <w:noProof/>
                <w:webHidden/>
              </w:rPr>
            </w:r>
            <w:r>
              <w:rPr>
                <w:noProof/>
                <w:webHidden/>
              </w:rPr>
              <w:fldChar w:fldCharType="separate"/>
            </w:r>
            <w:r>
              <w:rPr>
                <w:noProof/>
                <w:webHidden/>
              </w:rPr>
              <w:t>14</w:t>
            </w:r>
            <w:r>
              <w:rPr>
                <w:noProof/>
                <w:webHidden/>
              </w:rPr>
              <w:fldChar w:fldCharType="end"/>
            </w:r>
          </w:hyperlink>
        </w:p>
        <w:p w14:paraId="1B631A5F" w14:textId="333FACFD" w:rsidR="00CD0047" w:rsidRDefault="00CD0047">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37175178" w:history="1">
            <w:r w:rsidRPr="00DE1022">
              <w:rPr>
                <w:rStyle w:val="Hyperlink"/>
                <w:rFonts w:ascii="Arial" w:hAnsi="Arial" w:cs="Arial"/>
                <w:noProof/>
              </w:rPr>
              <w:t>9. REFERENCES</w:t>
            </w:r>
            <w:r>
              <w:rPr>
                <w:noProof/>
                <w:webHidden/>
              </w:rPr>
              <w:tab/>
            </w:r>
            <w:r>
              <w:rPr>
                <w:noProof/>
                <w:webHidden/>
              </w:rPr>
              <w:fldChar w:fldCharType="begin"/>
            </w:r>
            <w:r>
              <w:rPr>
                <w:noProof/>
                <w:webHidden/>
              </w:rPr>
              <w:instrText xml:space="preserve"> PAGEREF _Toc237175178 \h </w:instrText>
            </w:r>
            <w:r>
              <w:rPr>
                <w:noProof/>
                <w:webHidden/>
              </w:rPr>
            </w:r>
            <w:r>
              <w:rPr>
                <w:noProof/>
                <w:webHidden/>
              </w:rPr>
              <w:fldChar w:fldCharType="separate"/>
            </w:r>
            <w:r>
              <w:rPr>
                <w:noProof/>
                <w:webHidden/>
              </w:rPr>
              <w:t>14</w:t>
            </w:r>
            <w:r>
              <w:rPr>
                <w:noProof/>
                <w:webHidden/>
              </w:rPr>
              <w:fldChar w:fldCharType="end"/>
            </w:r>
          </w:hyperlink>
        </w:p>
        <w:p w14:paraId="1FA7F4E6" w14:textId="43F75D44" w:rsidR="00E4306E" w:rsidRDefault="00E4306E" w:rsidP="00BB7D8C">
          <w:r>
            <w:rPr>
              <w:b/>
              <w:bCs/>
              <w:noProof/>
            </w:rPr>
            <w:fldChar w:fldCharType="end"/>
          </w:r>
        </w:p>
      </w:sdtContent>
    </w:sdt>
    <w:p w14:paraId="4C100071" w14:textId="77777777" w:rsidR="00B5375D" w:rsidRDefault="00B5375D" w:rsidP="00BB7D8C"/>
    <w:p w14:paraId="78E69AAA" w14:textId="77777777" w:rsidR="00E4306E" w:rsidRDefault="00E4306E" w:rsidP="00BB7D8C"/>
    <w:p w14:paraId="3F2DA1C6" w14:textId="77777777" w:rsidR="00E4306E" w:rsidRDefault="00E4306E" w:rsidP="00BB7D8C"/>
    <w:p w14:paraId="3028527A" w14:textId="77777777" w:rsidR="00E4306E" w:rsidRDefault="00E4306E" w:rsidP="00BB7D8C"/>
    <w:p w14:paraId="544DAD56" w14:textId="77777777" w:rsidR="00E4306E" w:rsidRDefault="00E4306E" w:rsidP="00BB7D8C"/>
    <w:p w14:paraId="6378066D" w14:textId="77777777" w:rsidR="00E4306E" w:rsidRDefault="00E4306E" w:rsidP="00BB7D8C"/>
    <w:p w14:paraId="6F9B1FBA" w14:textId="77777777" w:rsidR="00264473" w:rsidRDefault="00264473" w:rsidP="00BB7D8C"/>
    <w:p w14:paraId="506D2774" w14:textId="77777777" w:rsidR="00264473" w:rsidRDefault="00264473" w:rsidP="00BB7D8C"/>
    <w:p w14:paraId="4803CA9F" w14:textId="77777777" w:rsidR="00264473" w:rsidRDefault="00264473" w:rsidP="00BB7D8C"/>
    <w:p w14:paraId="75578317" w14:textId="77777777" w:rsidR="00264473" w:rsidRDefault="00264473" w:rsidP="00BB7D8C"/>
    <w:p w14:paraId="4B100D7E" w14:textId="77777777" w:rsidR="008E105D" w:rsidRDefault="008E105D" w:rsidP="00BB7D8C"/>
    <w:p w14:paraId="2A60BD06" w14:textId="77777777" w:rsidR="008E105D" w:rsidRDefault="008E105D" w:rsidP="00BB7D8C"/>
    <w:p w14:paraId="2C23EC59" w14:textId="77777777" w:rsidR="008E105D" w:rsidRDefault="008E105D" w:rsidP="00BB7D8C"/>
    <w:p w14:paraId="7D029953" w14:textId="77777777" w:rsidR="00E4306E" w:rsidRDefault="00E4306E" w:rsidP="00BB7D8C"/>
    <w:p w14:paraId="736760AF" w14:textId="77777777" w:rsidR="00E4306E" w:rsidRDefault="00E4306E" w:rsidP="00BB7D8C"/>
    <w:p w14:paraId="7CE3FD84" w14:textId="77777777" w:rsidR="00CB5D9E" w:rsidRDefault="00CB5D9E" w:rsidP="00BB7D8C"/>
    <w:p w14:paraId="76148D1B" w14:textId="77777777" w:rsidR="00CB5D9E" w:rsidRDefault="00CB5D9E" w:rsidP="00BB7D8C"/>
    <w:p w14:paraId="0E6A6872" w14:textId="77777777" w:rsidR="00CB5D9E" w:rsidRDefault="00CB5D9E" w:rsidP="00BB7D8C"/>
    <w:p w14:paraId="57EE8A1D" w14:textId="77777777" w:rsidR="00A2495C" w:rsidRDefault="00A2495C" w:rsidP="00BB7D8C"/>
    <w:p w14:paraId="22B65A84" w14:textId="77777777" w:rsidR="00A2495C" w:rsidRDefault="00A2495C" w:rsidP="00BB7D8C"/>
    <w:p w14:paraId="529F060B" w14:textId="77777777" w:rsidR="00A2495C" w:rsidRDefault="00A2495C" w:rsidP="00BB7D8C"/>
    <w:p w14:paraId="561C01D8" w14:textId="77777777" w:rsidR="00A2495C" w:rsidRDefault="00A2495C" w:rsidP="00BB7D8C"/>
    <w:p w14:paraId="3B6FA844" w14:textId="77777777" w:rsidR="00A2495C" w:rsidRDefault="00A2495C" w:rsidP="00BB7D8C"/>
    <w:p w14:paraId="4CBE120D" w14:textId="77777777" w:rsidR="00A2495C" w:rsidRDefault="00A2495C" w:rsidP="00BB7D8C"/>
    <w:p w14:paraId="14302D05" w14:textId="45FF4656" w:rsidR="00552DFA" w:rsidRDefault="00A9697D" w:rsidP="00BB7D8C">
      <w:pPr>
        <w:pStyle w:val="Ttulo1"/>
        <w:rPr>
          <w:rFonts w:ascii="Arial" w:hAnsi="Arial" w:cs="Arial"/>
          <w:sz w:val="36"/>
          <w:szCs w:val="36"/>
        </w:rPr>
      </w:pPr>
      <w:bookmarkStart w:id="0" w:name="_Toc194157720"/>
      <w:bookmarkStart w:id="1" w:name="_Toc194660792"/>
      <w:bookmarkStart w:id="2" w:name="_Toc237175164"/>
      <w:r>
        <w:rPr>
          <w:rFonts w:ascii="Arial" w:hAnsi="Arial" w:cs="Arial"/>
          <w:sz w:val="36"/>
          <w:szCs w:val="36"/>
        </w:rPr>
        <w:lastRenderedPageBreak/>
        <w:t xml:space="preserve">1. </w:t>
      </w:r>
      <w:bookmarkEnd w:id="0"/>
      <w:bookmarkEnd w:id="1"/>
      <w:r w:rsidR="00D04DD2">
        <w:rPr>
          <w:rFonts w:ascii="Arial" w:hAnsi="Arial" w:cs="Arial"/>
          <w:sz w:val="36"/>
          <w:szCs w:val="36"/>
        </w:rPr>
        <w:t>EXECUTIVE SUMMARY</w:t>
      </w:r>
      <w:bookmarkEnd w:id="2"/>
      <w:r w:rsidR="00D04DD2" w:rsidRPr="008E105D">
        <w:rPr>
          <w:rFonts w:ascii="Arial" w:hAnsi="Arial" w:cs="Arial"/>
          <w:sz w:val="36"/>
          <w:szCs w:val="36"/>
        </w:rPr>
        <w:t xml:space="preserve"> </w:t>
      </w:r>
    </w:p>
    <w:p w14:paraId="27D6A276" w14:textId="77777777" w:rsidR="00300575" w:rsidRDefault="00300575" w:rsidP="002B0E9E">
      <w:pPr>
        <w:autoSpaceDE w:val="0"/>
        <w:autoSpaceDN w:val="0"/>
        <w:adjustRightInd w:val="0"/>
        <w:spacing w:line="360" w:lineRule="auto"/>
        <w:jc w:val="both"/>
        <w:rPr>
          <w:rFonts w:ascii="Arial" w:hAnsi="Arial" w:cs="Arial"/>
        </w:rPr>
      </w:pPr>
    </w:p>
    <w:p w14:paraId="2D7E26DD" w14:textId="7E9B5346" w:rsidR="002B0E9E" w:rsidRDefault="002B0E9E" w:rsidP="002B0E9E">
      <w:pPr>
        <w:autoSpaceDE w:val="0"/>
        <w:autoSpaceDN w:val="0"/>
        <w:adjustRightInd w:val="0"/>
        <w:spacing w:line="360" w:lineRule="auto"/>
        <w:jc w:val="both"/>
        <w:rPr>
          <w:rFonts w:ascii="Arial" w:hAnsi="Arial" w:cs="Arial"/>
        </w:rPr>
      </w:pPr>
      <w:r w:rsidRPr="002B0E9E">
        <w:rPr>
          <w:rFonts w:ascii="Arial" w:hAnsi="Arial" w:cs="Arial"/>
        </w:rPr>
        <w:t xml:space="preserve">Vodafone UK is at a pivotal moment. The completion of the £16.5 billion merger with Three UK on 31 May 2025 (Vodafone Group Plc, 2025a), and Vodafone's subsequent move to full 100% ownership of </w:t>
      </w:r>
      <w:proofErr w:type="spellStart"/>
      <w:r w:rsidRPr="002B0E9E">
        <w:rPr>
          <w:rFonts w:ascii="Arial" w:hAnsi="Arial" w:cs="Arial"/>
        </w:rPr>
        <w:t>VodafoneThree</w:t>
      </w:r>
      <w:proofErr w:type="spellEnd"/>
      <w:r w:rsidRPr="002B0E9E">
        <w:rPr>
          <w:rFonts w:ascii="Arial" w:hAnsi="Arial" w:cs="Arial"/>
        </w:rPr>
        <w:t xml:space="preserve"> on 30 July 2026 following the £4.3 billion buyout of CK Hutchison's 49% stake (Vodafone Group Plc, 2026a), have transformed Vodafone from a challenger to the UK's largest mobile operator, serving approximately 27-29 million customers (IG International, 2025; </w:t>
      </w:r>
      <w:proofErr w:type="spellStart"/>
      <w:r w:rsidRPr="002B0E9E">
        <w:rPr>
          <w:rFonts w:ascii="Arial" w:hAnsi="Arial" w:cs="Arial"/>
        </w:rPr>
        <w:t>VodafoneThree</w:t>
      </w:r>
      <w:proofErr w:type="spellEnd"/>
      <w:r w:rsidRPr="002B0E9E">
        <w:rPr>
          <w:rFonts w:ascii="Arial" w:hAnsi="Arial" w:cs="Arial"/>
        </w:rPr>
        <w:t>, 2026). This report evaluates Vodafone's current market position and recommends a growth strategy that builds on this newly created scale.</w:t>
      </w:r>
    </w:p>
    <w:p w14:paraId="065DF0CE" w14:textId="77777777" w:rsidR="002B0E9E" w:rsidRPr="002B0E9E" w:rsidRDefault="002B0E9E" w:rsidP="002B0E9E">
      <w:pPr>
        <w:autoSpaceDE w:val="0"/>
        <w:autoSpaceDN w:val="0"/>
        <w:adjustRightInd w:val="0"/>
        <w:spacing w:line="360" w:lineRule="auto"/>
        <w:jc w:val="both"/>
        <w:rPr>
          <w:rFonts w:ascii="Arial" w:hAnsi="Arial" w:cs="Arial"/>
        </w:rPr>
      </w:pPr>
    </w:p>
    <w:p w14:paraId="5BA5C3F3" w14:textId="200E4DAD" w:rsidR="002B0E9E" w:rsidRPr="002B0E9E" w:rsidRDefault="002B0E9E" w:rsidP="002B0E9E">
      <w:pPr>
        <w:autoSpaceDE w:val="0"/>
        <w:autoSpaceDN w:val="0"/>
        <w:adjustRightInd w:val="0"/>
        <w:spacing w:line="360" w:lineRule="auto"/>
        <w:jc w:val="both"/>
        <w:rPr>
          <w:rFonts w:ascii="Arial" w:hAnsi="Arial" w:cs="Arial"/>
        </w:rPr>
      </w:pPr>
      <w:r w:rsidRPr="002B0E9E">
        <w:rPr>
          <w:rFonts w:ascii="Arial" w:hAnsi="Arial" w:cs="Arial"/>
        </w:rPr>
        <w:t>The market evaluation applies SWOT, PESTEL and Porter's Five Forces frameworks and finds that Vodafone's principal strengths are its enlarged spectrum and network footprint, its £11 billion decade-long infrastructure commitment, and its growing digital and financial services business (Vodafone Group Plc, 2025b). Its principal weaknesses are lingering brand perception issues, integration risk from the merger, and historically weaker 5G migration among its customer base relative to rivals (</w:t>
      </w:r>
      <w:proofErr w:type="spellStart"/>
      <w:r w:rsidRPr="002B0E9E">
        <w:rPr>
          <w:rFonts w:ascii="Arial" w:hAnsi="Arial" w:cs="Arial"/>
        </w:rPr>
        <w:t>MyAmplifiers</w:t>
      </w:r>
      <w:proofErr w:type="spellEnd"/>
      <w:r w:rsidRPr="002B0E9E">
        <w:rPr>
          <w:rFonts w:ascii="Arial" w:hAnsi="Arial" w:cs="Arial"/>
        </w:rPr>
        <w:t>, 2026). The external environment is shaped by intense three-way infrastructure competition (</w:t>
      </w:r>
      <w:proofErr w:type="spellStart"/>
      <w:r w:rsidRPr="002B0E9E">
        <w:rPr>
          <w:rFonts w:ascii="Arial" w:hAnsi="Arial" w:cs="Arial"/>
        </w:rPr>
        <w:t>VodafoneThree</w:t>
      </w:r>
      <w:proofErr w:type="spellEnd"/>
      <w:r w:rsidRPr="002B0E9E">
        <w:rPr>
          <w:rFonts w:ascii="Arial" w:hAnsi="Arial" w:cs="Arial"/>
        </w:rPr>
        <w:t>, EE/BT, Virgin Media O2), tightening Ofcom regulation, and rising customer expectations around digital and sustainable services (Mordor Intelligence, 2026).</w:t>
      </w:r>
    </w:p>
    <w:p w14:paraId="015B2F0D" w14:textId="77777777" w:rsidR="002B0E9E" w:rsidRPr="002B0E9E" w:rsidRDefault="002B0E9E" w:rsidP="002B0E9E">
      <w:pPr>
        <w:autoSpaceDE w:val="0"/>
        <w:autoSpaceDN w:val="0"/>
        <w:adjustRightInd w:val="0"/>
        <w:spacing w:line="360" w:lineRule="auto"/>
        <w:jc w:val="both"/>
        <w:rPr>
          <w:rFonts w:ascii="Arial" w:hAnsi="Arial" w:cs="Arial"/>
        </w:rPr>
      </w:pPr>
    </w:p>
    <w:p w14:paraId="2228BD2C" w14:textId="485794C7" w:rsidR="002B0E9E" w:rsidRDefault="002B0E9E" w:rsidP="002B0E9E">
      <w:pPr>
        <w:autoSpaceDE w:val="0"/>
        <w:autoSpaceDN w:val="0"/>
        <w:adjustRightInd w:val="0"/>
        <w:spacing w:line="360" w:lineRule="auto"/>
        <w:jc w:val="both"/>
        <w:rPr>
          <w:rFonts w:ascii="Arial" w:hAnsi="Arial" w:cs="Arial"/>
        </w:rPr>
      </w:pPr>
      <w:r w:rsidRPr="002B0E9E">
        <w:rPr>
          <w:rFonts w:ascii="Arial" w:hAnsi="Arial" w:cs="Arial"/>
        </w:rPr>
        <w:t>This report recommends a Market Penetration and Related Diversification strategy</w:t>
      </w:r>
      <w:r w:rsidR="00FA20C9">
        <w:rPr>
          <w:rFonts w:ascii="Arial" w:hAnsi="Arial" w:cs="Arial"/>
        </w:rPr>
        <w:t xml:space="preserve">, </w:t>
      </w:r>
      <w:r w:rsidRPr="002B0E9E">
        <w:rPr>
          <w:rFonts w:ascii="Arial" w:hAnsi="Arial" w:cs="Arial"/>
        </w:rPr>
        <w:t xml:space="preserve">underpinned by a Focused Differentiation generic strategy. This involves using the enlarged </w:t>
      </w:r>
      <w:proofErr w:type="spellStart"/>
      <w:r w:rsidRPr="002B0E9E">
        <w:rPr>
          <w:rFonts w:ascii="Arial" w:hAnsi="Arial" w:cs="Arial"/>
        </w:rPr>
        <w:t>VodafoneThree</w:t>
      </w:r>
      <w:proofErr w:type="spellEnd"/>
      <w:r w:rsidRPr="002B0E9E">
        <w:rPr>
          <w:rFonts w:ascii="Arial" w:hAnsi="Arial" w:cs="Arial"/>
        </w:rPr>
        <w:t xml:space="preserve"> network to deepen consumer and business market share in core UK connectivity, while accelerating growth in adjacent digital services</w:t>
      </w:r>
      <w:r w:rsidR="00FA20C9">
        <w:rPr>
          <w:rFonts w:ascii="Arial" w:hAnsi="Arial" w:cs="Arial"/>
        </w:rPr>
        <w:t xml:space="preserve"> (</w:t>
      </w:r>
      <w:r w:rsidRPr="002B0E9E">
        <w:rPr>
          <w:rFonts w:ascii="Arial" w:hAnsi="Arial" w:cs="Arial"/>
        </w:rPr>
        <w:t>IoT, fixed-mobile convergence, cyber security and financial services</w:t>
      </w:r>
      <w:r w:rsidR="00FA20C9">
        <w:rPr>
          <w:rFonts w:ascii="Arial" w:hAnsi="Arial" w:cs="Arial"/>
        </w:rPr>
        <w:t>)</w:t>
      </w:r>
      <w:r w:rsidRPr="002B0E9E">
        <w:rPr>
          <w:rFonts w:ascii="Arial" w:hAnsi="Arial" w:cs="Arial"/>
        </w:rPr>
        <w:t xml:space="preserve"> where Vodafone already has proven, above-market growth (Vodafone Group Plc, 2025b).</w:t>
      </w:r>
    </w:p>
    <w:p w14:paraId="4EBB32DE" w14:textId="77777777" w:rsidR="00300575" w:rsidRPr="002B0E9E" w:rsidRDefault="00300575" w:rsidP="002B0E9E">
      <w:pPr>
        <w:autoSpaceDE w:val="0"/>
        <w:autoSpaceDN w:val="0"/>
        <w:adjustRightInd w:val="0"/>
        <w:spacing w:line="360" w:lineRule="auto"/>
        <w:jc w:val="both"/>
        <w:rPr>
          <w:rFonts w:ascii="Arial" w:hAnsi="Arial" w:cs="Arial"/>
        </w:rPr>
      </w:pPr>
    </w:p>
    <w:p w14:paraId="0FEE0459" w14:textId="015CDF38" w:rsidR="002B0E9E" w:rsidRDefault="002B0E9E" w:rsidP="002B0E9E">
      <w:pPr>
        <w:autoSpaceDE w:val="0"/>
        <w:autoSpaceDN w:val="0"/>
        <w:adjustRightInd w:val="0"/>
        <w:spacing w:line="360" w:lineRule="auto"/>
        <w:jc w:val="both"/>
        <w:rPr>
          <w:rFonts w:ascii="Arial" w:hAnsi="Arial" w:cs="Arial"/>
        </w:rPr>
      </w:pPr>
      <w:r w:rsidRPr="002B0E9E">
        <w:rPr>
          <w:rFonts w:ascii="Arial" w:hAnsi="Arial" w:cs="Arial"/>
        </w:rPr>
        <w:t>Strategic evaluation using the Suitability, Feasibility and Acceptability (SFA) framework confirms the strategy is well aligned to Vodafone's resources following full ownership consolidation, financially feasible given committed capex and free cash flow generation (Vodafone Group Plc, 2026b), and acceptable to shareholders and regulators, subject to careful management of integration and pricing risk.</w:t>
      </w:r>
    </w:p>
    <w:p w14:paraId="5A201907" w14:textId="77777777" w:rsidR="002B0E9E" w:rsidRPr="002B0E9E" w:rsidRDefault="002B0E9E" w:rsidP="002B0E9E">
      <w:pPr>
        <w:autoSpaceDE w:val="0"/>
        <w:autoSpaceDN w:val="0"/>
        <w:adjustRightInd w:val="0"/>
        <w:spacing w:line="360" w:lineRule="auto"/>
        <w:jc w:val="both"/>
        <w:rPr>
          <w:rFonts w:ascii="Arial" w:hAnsi="Arial" w:cs="Arial"/>
        </w:rPr>
      </w:pPr>
    </w:p>
    <w:p w14:paraId="392994A0" w14:textId="13C0FA49" w:rsidR="002B0E9E" w:rsidRPr="002B0E9E" w:rsidRDefault="00FA20C9" w:rsidP="002B0E9E">
      <w:pPr>
        <w:autoSpaceDE w:val="0"/>
        <w:autoSpaceDN w:val="0"/>
        <w:adjustRightInd w:val="0"/>
        <w:spacing w:line="360" w:lineRule="auto"/>
        <w:jc w:val="both"/>
        <w:rPr>
          <w:rFonts w:ascii="Arial" w:hAnsi="Arial" w:cs="Arial"/>
        </w:rPr>
      </w:pPr>
      <w:r>
        <w:rPr>
          <w:rFonts w:ascii="Arial" w:hAnsi="Arial" w:cs="Arial"/>
        </w:rPr>
        <w:t xml:space="preserve">This report </w:t>
      </w:r>
      <w:r w:rsidRPr="00FA20C9">
        <w:rPr>
          <w:rFonts w:ascii="Arial" w:hAnsi="Arial" w:cs="Arial"/>
        </w:rPr>
        <w:t>also</w:t>
      </w:r>
      <w:r w:rsidR="002B0E9E" w:rsidRPr="00FA20C9">
        <w:rPr>
          <w:rFonts w:ascii="Arial" w:hAnsi="Arial" w:cs="Arial"/>
        </w:rPr>
        <w:t xml:space="preserve"> assesses stakeholder impact using Mendelow's Power/Interest Matrix</w:t>
      </w:r>
      <w:r w:rsidRPr="00FA20C9">
        <w:rPr>
          <w:rFonts w:ascii="Arial" w:hAnsi="Arial" w:cs="Arial"/>
        </w:rPr>
        <w:t>,</w:t>
      </w:r>
      <w:r w:rsidR="002B0E9E" w:rsidRPr="00FA20C9">
        <w:rPr>
          <w:rFonts w:ascii="Arial" w:hAnsi="Arial" w:cs="Arial"/>
        </w:rPr>
        <w:t xml:space="preserve"> drawing on Freeman's stakeholder</w:t>
      </w:r>
      <w:r w:rsidR="002B0E9E" w:rsidRPr="002B0E9E">
        <w:rPr>
          <w:rFonts w:ascii="Arial" w:hAnsi="Arial" w:cs="Arial"/>
        </w:rPr>
        <w:t xml:space="preserve"> theory to identify regulators, employees, and enterprise customers as priority groups requiring active engagement during integration. </w:t>
      </w:r>
      <w:r>
        <w:rPr>
          <w:rFonts w:ascii="Arial" w:hAnsi="Arial" w:cs="Arial"/>
        </w:rPr>
        <w:t>Then this analysis</w:t>
      </w:r>
      <w:r w:rsidR="002B0E9E" w:rsidRPr="002B0E9E">
        <w:rPr>
          <w:rFonts w:ascii="Arial" w:hAnsi="Arial" w:cs="Arial"/>
        </w:rPr>
        <w:t xml:space="preserve"> sets out a phased implementation plan with clear KPIs across network, commercial and financial dimensions. The report concludes that full ownership of </w:t>
      </w:r>
      <w:proofErr w:type="spellStart"/>
      <w:r w:rsidR="002B0E9E" w:rsidRPr="002B0E9E">
        <w:rPr>
          <w:rFonts w:ascii="Arial" w:hAnsi="Arial" w:cs="Arial"/>
        </w:rPr>
        <w:t>VodafoneThree</w:t>
      </w:r>
      <w:proofErr w:type="spellEnd"/>
      <w:r w:rsidR="002B0E9E" w:rsidRPr="002B0E9E">
        <w:rPr>
          <w:rFonts w:ascii="Arial" w:hAnsi="Arial" w:cs="Arial"/>
        </w:rPr>
        <w:t>, combined with disciplined execution of the recommended strategy, positions Vodafone to convert its newly won scale into sustainable, profitable growth over the next three to five years.</w:t>
      </w:r>
    </w:p>
    <w:p w14:paraId="3D46A180" w14:textId="77777777" w:rsidR="005B779F" w:rsidRDefault="005B779F" w:rsidP="00BB7D8C">
      <w:pPr>
        <w:spacing w:line="360" w:lineRule="auto"/>
        <w:jc w:val="both"/>
        <w:rPr>
          <w:rFonts w:ascii="Arial" w:hAnsi="Arial" w:cs="Arial"/>
        </w:rPr>
      </w:pPr>
    </w:p>
    <w:p w14:paraId="7AF9D175" w14:textId="089D267C" w:rsidR="002B6447" w:rsidRPr="00A9697D" w:rsidRDefault="00A9697D" w:rsidP="00BB7D8C">
      <w:pPr>
        <w:pStyle w:val="Ttulo1"/>
        <w:jc w:val="both"/>
        <w:rPr>
          <w:rFonts w:ascii="Arial" w:hAnsi="Arial" w:cs="Arial"/>
          <w:sz w:val="36"/>
          <w:szCs w:val="36"/>
        </w:rPr>
      </w:pPr>
      <w:bookmarkStart w:id="3" w:name="_Toc237175165"/>
      <w:r w:rsidRPr="00A9697D">
        <w:rPr>
          <w:rFonts w:ascii="Arial" w:hAnsi="Arial" w:cs="Arial"/>
          <w:sz w:val="36"/>
          <w:szCs w:val="36"/>
        </w:rPr>
        <w:t xml:space="preserve">2. </w:t>
      </w:r>
      <w:r w:rsidR="00D04DD2">
        <w:rPr>
          <w:rFonts w:ascii="Arial" w:hAnsi="Arial" w:cs="Arial"/>
          <w:sz w:val="36"/>
          <w:szCs w:val="36"/>
        </w:rPr>
        <w:t>INTRODUCTION TO VODAFONE</w:t>
      </w:r>
      <w:bookmarkEnd w:id="3"/>
    </w:p>
    <w:p w14:paraId="20FFE1E3" w14:textId="28373AB6" w:rsidR="00A9697D" w:rsidRDefault="00A9697D" w:rsidP="00BB7D8C">
      <w:pPr>
        <w:rPr>
          <w:rFonts w:ascii="Arial" w:hAnsi="Arial" w:cs="Arial"/>
        </w:rPr>
      </w:pPr>
    </w:p>
    <w:p w14:paraId="15CB6B3E" w14:textId="77777777" w:rsidR="00300575" w:rsidRDefault="00300575" w:rsidP="002B0E9E">
      <w:pPr>
        <w:autoSpaceDE w:val="0"/>
        <w:autoSpaceDN w:val="0"/>
        <w:adjustRightInd w:val="0"/>
        <w:spacing w:line="360" w:lineRule="auto"/>
        <w:jc w:val="both"/>
        <w:rPr>
          <w:rFonts w:ascii="Arial" w:hAnsi="Arial" w:cs="Arial"/>
        </w:rPr>
      </w:pPr>
      <w:bookmarkStart w:id="4" w:name="_Toc194157741"/>
      <w:bookmarkStart w:id="5" w:name="_Toc194660811"/>
    </w:p>
    <w:p w14:paraId="61F7C189" w14:textId="70235045" w:rsidR="002B0E9E" w:rsidRDefault="002B0E9E" w:rsidP="002B0E9E">
      <w:pPr>
        <w:autoSpaceDE w:val="0"/>
        <w:autoSpaceDN w:val="0"/>
        <w:adjustRightInd w:val="0"/>
        <w:spacing w:line="360" w:lineRule="auto"/>
        <w:jc w:val="both"/>
        <w:rPr>
          <w:rFonts w:ascii="Arial" w:hAnsi="Arial" w:cs="Arial"/>
        </w:rPr>
      </w:pPr>
      <w:r w:rsidRPr="002B0E9E">
        <w:rPr>
          <w:rFonts w:ascii="Arial" w:hAnsi="Arial" w:cs="Arial"/>
        </w:rPr>
        <w:t>Vodafone Group Plc is a British multinational telecommunications company headquartered in Newbury, England, and listed on the London Stock Exchange and Nasdaq. Originally founded in 1984 as a subsidiary of Racal Electronics, Vodafone grew through decades of international expansion into one of the world's largest telecommunications groups, with operations concentrated today across Europe and Africa following a strategic simplification of its global portfolio, including the divestment of its Spanish and Italian operations in FY25 (Investing.com, 2025).</w:t>
      </w:r>
    </w:p>
    <w:p w14:paraId="3A6850BD" w14:textId="77777777" w:rsidR="002B0E9E" w:rsidRPr="002B0E9E" w:rsidRDefault="002B0E9E" w:rsidP="002B0E9E">
      <w:pPr>
        <w:autoSpaceDE w:val="0"/>
        <w:autoSpaceDN w:val="0"/>
        <w:adjustRightInd w:val="0"/>
        <w:spacing w:line="360" w:lineRule="auto"/>
        <w:jc w:val="both"/>
        <w:rPr>
          <w:rFonts w:ascii="Arial" w:hAnsi="Arial" w:cs="Arial"/>
        </w:rPr>
      </w:pPr>
    </w:p>
    <w:p w14:paraId="331977B8" w14:textId="670FF487" w:rsidR="002B0E9E" w:rsidRDefault="002B0E9E" w:rsidP="002B0E9E">
      <w:pPr>
        <w:autoSpaceDE w:val="0"/>
        <w:autoSpaceDN w:val="0"/>
        <w:adjustRightInd w:val="0"/>
        <w:spacing w:line="360" w:lineRule="auto"/>
        <w:jc w:val="both"/>
        <w:rPr>
          <w:rFonts w:ascii="Arial" w:hAnsi="Arial" w:cs="Arial"/>
        </w:rPr>
      </w:pPr>
      <w:r w:rsidRPr="002B0E9E">
        <w:rPr>
          <w:rFonts w:ascii="Arial" w:hAnsi="Arial" w:cs="Arial"/>
        </w:rPr>
        <w:t>Vodafone's stated corporate purpose is "We connect for a better future", supported by a vision of becoming a leading technology communications company across Europe and Africa that enables inclusive connectivity and a sustainable digital society (</w:t>
      </w:r>
      <w:proofErr w:type="spellStart"/>
      <w:r w:rsidRPr="002B0E9E">
        <w:rPr>
          <w:rFonts w:ascii="Arial" w:hAnsi="Arial" w:cs="Arial"/>
        </w:rPr>
        <w:t>MatrixBCG</w:t>
      </w:r>
      <w:proofErr w:type="spellEnd"/>
      <w:r w:rsidRPr="002B0E9E">
        <w:rPr>
          <w:rFonts w:ascii="Arial" w:hAnsi="Arial" w:cs="Arial"/>
        </w:rPr>
        <w:t>, 2026). Under the leadership of Group Chief Executive Margherita Della Valle, the company has pursued a transformation programme built on three pillars: Customers, Simplicity and Growth. This has involved reshaping the European portfolio, resetting the capital structure, and expanding beyond core connectivity into digital services, IoT and financial services such as M-Pesa in Africa (Vodafone Group Plc, 2025b).</w:t>
      </w:r>
    </w:p>
    <w:p w14:paraId="21277D8B" w14:textId="77777777" w:rsidR="009130C0" w:rsidRPr="002B0E9E" w:rsidRDefault="009130C0" w:rsidP="002B0E9E">
      <w:pPr>
        <w:autoSpaceDE w:val="0"/>
        <w:autoSpaceDN w:val="0"/>
        <w:adjustRightInd w:val="0"/>
        <w:spacing w:line="360" w:lineRule="auto"/>
        <w:jc w:val="both"/>
        <w:rPr>
          <w:rFonts w:ascii="Arial" w:hAnsi="Arial" w:cs="Arial"/>
        </w:rPr>
      </w:pPr>
    </w:p>
    <w:p w14:paraId="23CDD728" w14:textId="431A8564" w:rsidR="00265F60" w:rsidRDefault="002B0E9E" w:rsidP="002B0E9E">
      <w:pPr>
        <w:spacing w:line="360" w:lineRule="auto"/>
        <w:jc w:val="both"/>
        <w:rPr>
          <w:rFonts w:ascii="Arial" w:hAnsi="Arial" w:cs="Arial"/>
        </w:rPr>
      </w:pPr>
      <w:r w:rsidRPr="002B0E9E">
        <w:rPr>
          <w:rFonts w:ascii="Arial" w:hAnsi="Arial" w:cs="Arial"/>
        </w:rPr>
        <w:t>Vodafone's core values are captured in what it calls the "Spirit of Vodafone", emphasising trust, inclusion, innovation and customer obsession (</w:t>
      </w:r>
      <w:proofErr w:type="spellStart"/>
      <w:r w:rsidRPr="002B0E9E">
        <w:rPr>
          <w:rFonts w:ascii="Arial" w:hAnsi="Arial" w:cs="Arial"/>
        </w:rPr>
        <w:t>MatrixBCG</w:t>
      </w:r>
      <w:proofErr w:type="spellEnd"/>
      <w:r w:rsidRPr="002B0E9E">
        <w:rPr>
          <w:rFonts w:ascii="Arial" w:hAnsi="Arial" w:cs="Arial"/>
        </w:rPr>
        <w:t xml:space="preserve">, 2026). </w:t>
      </w:r>
      <w:r w:rsidRPr="002B0E9E">
        <w:rPr>
          <w:rFonts w:ascii="Arial" w:hAnsi="Arial" w:cs="Arial"/>
        </w:rPr>
        <w:lastRenderedPageBreak/>
        <w:t xml:space="preserve">In the UK specifically, Vodafone has historically operated as one of four mobile network operators, but its identity has been redefined by the 2025 merger with Three UK to form </w:t>
      </w:r>
      <w:proofErr w:type="spellStart"/>
      <w:r w:rsidRPr="002B0E9E">
        <w:rPr>
          <w:rFonts w:ascii="Arial" w:hAnsi="Arial" w:cs="Arial"/>
        </w:rPr>
        <w:t>VodafoneThree</w:t>
      </w:r>
      <w:proofErr w:type="spellEnd"/>
      <w:r w:rsidRPr="002B0E9E">
        <w:rPr>
          <w:rFonts w:ascii="Arial" w:hAnsi="Arial" w:cs="Arial"/>
        </w:rPr>
        <w:t>, and by Vodafone's subsequent move in July 2026 to full ownership of that combined business (Vodafone Group Plc, 2026a). This has repositioned Vodafone UK from a mid-scale competitor into the country's largest mobile operator and one of its fastest-growing full-fibre broadband providers, with an explicit long-term ambition to build "the UK's best network" (</w:t>
      </w:r>
      <w:proofErr w:type="spellStart"/>
      <w:r w:rsidRPr="002B0E9E">
        <w:rPr>
          <w:rFonts w:ascii="Arial" w:hAnsi="Arial" w:cs="Arial"/>
        </w:rPr>
        <w:t>VodafoneThree</w:t>
      </w:r>
      <w:proofErr w:type="spellEnd"/>
      <w:r w:rsidRPr="002B0E9E">
        <w:rPr>
          <w:rFonts w:ascii="Arial" w:hAnsi="Arial" w:cs="Arial"/>
        </w:rPr>
        <w:t>, 2026).</w:t>
      </w:r>
    </w:p>
    <w:p w14:paraId="2AFA55CE" w14:textId="77777777" w:rsidR="002B0E9E" w:rsidRPr="002B0E9E" w:rsidRDefault="002B0E9E" w:rsidP="002B0E9E">
      <w:pPr>
        <w:spacing w:line="360" w:lineRule="auto"/>
        <w:jc w:val="both"/>
        <w:rPr>
          <w:rFonts w:ascii="Arial" w:hAnsi="Arial" w:cs="Arial"/>
        </w:rPr>
      </w:pPr>
    </w:p>
    <w:p w14:paraId="0140D582" w14:textId="6AFD0FB6" w:rsidR="00796ED3" w:rsidRPr="00A9697D" w:rsidRDefault="00796ED3" w:rsidP="00BB7D8C">
      <w:pPr>
        <w:pStyle w:val="Ttulo1"/>
        <w:rPr>
          <w:rFonts w:ascii="Arial" w:hAnsi="Arial" w:cs="Arial"/>
          <w:sz w:val="36"/>
          <w:szCs w:val="36"/>
        </w:rPr>
      </w:pPr>
      <w:bookmarkStart w:id="6" w:name="_Toc237175166"/>
      <w:r>
        <w:rPr>
          <w:rFonts w:ascii="Arial" w:hAnsi="Arial" w:cs="Arial"/>
          <w:sz w:val="36"/>
          <w:szCs w:val="36"/>
        </w:rPr>
        <w:t>3.</w:t>
      </w:r>
      <w:r w:rsidRPr="00A9697D">
        <w:rPr>
          <w:rFonts w:ascii="Arial" w:hAnsi="Arial" w:cs="Arial"/>
          <w:sz w:val="36"/>
          <w:szCs w:val="36"/>
        </w:rPr>
        <w:t xml:space="preserve"> </w:t>
      </w:r>
      <w:r w:rsidR="00D04DD2">
        <w:rPr>
          <w:rFonts w:ascii="Arial" w:hAnsi="Arial" w:cs="Arial"/>
          <w:sz w:val="36"/>
          <w:szCs w:val="36"/>
        </w:rPr>
        <w:t>EVALUATION OF CURRENT MARKET SITUATION</w:t>
      </w:r>
      <w:bookmarkEnd w:id="6"/>
      <w:r w:rsidR="009D3174">
        <w:rPr>
          <w:rFonts w:ascii="Arial" w:hAnsi="Arial" w:cs="Arial"/>
          <w:sz w:val="36"/>
          <w:szCs w:val="36"/>
        </w:rPr>
        <w:t xml:space="preserve"> </w:t>
      </w:r>
    </w:p>
    <w:p w14:paraId="328106D8" w14:textId="10F9251E" w:rsidR="00796ED3" w:rsidRDefault="00796ED3" w:rsidP="00BB7D8C">
      <w:pPr>
        <w:pStyle w:val="Ttulo1"/>
        <w:spacing w:line="276" w:lineRule="auto"/>
        <w:rPr>
          <w:rFonts w:eastAsia="Times New Roman" w:cs="Times New Roman"/>
          <w:b w:val="0"/>
          <w:color w:val="auto"/>
          <w:sz w:val="24"/>
          <w:szCs w:val="24"/>
        </w:rPr>
      </w:pPr>
    </w:p>
    <w:p w14:paraId="180F24F9" w14:textId="2CDB095D" w:rsidR="00BB7D8C" w:rsidRPr="002B0E9E" w:rsidRDefault="002B0E9E" w:rsidP="00BB7D8C">
      <w:pPr>
        <w:spacing w:line="360" w:lineRule="auto"/>
        <w:jc w:val="both"/>
        <w:rPr>
          <w:rFonts w:ascii="Arial" w:hAnsi="Arial" w:cs="Arial"/>
        </w:rPr>
      </w:pPr>
      <w:r w:rsidRPr="002B0E9E">
        <w:rPr>
          <w:rFonts w:ascii="Arial" w:hAnsi="Arial" w:cs="Arial"/>
        </w:rPr>
        <w:t xml:space="preserve">Vodafone UK's market situation has been reshaped fundamentally by consolidation. Following the completion of the Vodafone-Three merger in May 2025 (Vodafone Group Plc, 2025a), and Vodafone's move to full ownership of </w:t>
      </w:r>
      <w:proofErr w:type="spellStart"/>
      <w:r w:rsidRPr="002B0E9E">
        <w:rPr>
          <w:rFonts w:ascii="Arial" w:hAnsi="Arial" w:cs="Arial"/>
        </w:rPr>
        <w:t>VodafoneThree</w:t>
      </w:r>
      <w:proofErr w:type="spellEnd"/>
      <w:r w:rsidRPr="002B0E9E">
        <w:rPr>
          <w:rFonts w:ascii="Arial" w:hAnsi="Arial" w:cs="Arial"/>
        </w:rPr>
        <w:t xml:space="preserve"> in July 2026 (Vodafone Group Plc, 2026a), the UK mobile market has settled into three infrastructure-owning operators - </w:t>
      </w:r>
      <w:proofErr w:type="spellStart"/>
      <w:r w:rsidRPr="002B0E9E">
        <w:rPr>
          <w:rFonts w:ascii="Arial" w:hAnsi="Arial" w:cs="Arial"/>
        </w:rPr>
        <w:t>VodafoneThree</w:t>
      </w:r>
      <w:proofErr w:type="spellEnd"/>
      <w:r w:rsidRPr="002B0E9E">
        <w:rPr>
          <w:rFonts w:ascii="Arial" w:hAnsi="Arial" w:cs="Arial"/>
        </w:rPr>
        <w:t>, EE (BT Group) and Virgin Media O2 - each pursuing scale, network quality and converged fixed-mobile propositions as the basis of competition (Mordor Intelligence, 2026). This section evaluates that environment using SWOT (Panagiotou, 2003), PESTEL (Johnson et al., 2020) and Porter's Five Forces</w:t>
      </w:r>
      <w:r w:rsidR="00D7576D">
        <w:rPr>
          <w:rFonts w:ascii="Arial" w:hAnsi="Arial" w:cs="Arial"/>
        </w:rPr>
        <w:t>.</w:t>
      </w:r>
    </w:p>
    <w:p w14:paraId="6F9A1631" w14:textId="77777777" w:rsidR="00BB7D8C" w:rsidRDefault="00BB7D8C" w:rsidP="00BB7D8C">
      <w:pPr>
        <w:spacing w:line="360" w:lineRule="auto"/>
        <w:jc w:val="both"/>
        <w:rPr>
          <w:rFonts w:ascii="Arial" w:hAnsi="Arial" w:cs="Arial"/>
          <w:color w:val="000000"/>
        </w:rPr>
      </w:pPr>
    </w:p>
    <w:p w14:paraId="6F9B6093" w14:textId="658DBEEF" w:rsidR="006B7D3D" w:rsidRDefault="006B7D3D" w:rsidP="00BB7D8C">
      <w:pPr>
        <w:pStyle w:val="Ttulo2"/>
      </w:pPr>
      <w:bookmarkStart w:id="7" w:name="_Toc237175167"/>
      <w:r w:rsidRPr="00796ED3">
        <w:t xml:space="preserve">3.1 </w:t>
      </w:r>
      <w:r w:rsidR="00D04DD2">
        <w:t>SWOT Analysis</w:t>
      </w:r>
      <w:bookmarkEnd w:id="7"/>
      <w:r>
        <w:t xml:space="preserve"> </w:t>
      </w:r>
    </w:p>
    <w:p w14:paraId="0483C5D4" w14:textId="77777777" w:rsidR="006B7D3D" w:rsidRDefault="006B7D3D" w:rsidP="00BB7D8C">
      <w:pPr>
        <w:spacing w:line="360" w:lineRule="auto"/>
        <w:jc w:val="both"/>
        <w:rPr>
          <w:rFonts w:ascii="Arial" w:hAnsi="Arial" w:cs="Arial"/>
          <w:color w:val="000000"/>
        </w:rPr>
      </w:pPr>
    </w:p>
    <w:p w14:paraId="62A0FFC1" w14:textId="6A02F140" w:rsidR="00B45937" w:rsidRDefault="001C269C" w:rsidP="00B45937">
      <w:pPr>
        <w:spacing w:line="360" w:lineRule="auto"/>
        <w:jc w:val="both"/>
        <w:rPr>
          <w:rFonts w:ascii="Arial" w:hAnsi="Arial" w:cs="Arial"/>
        </w:rPr>
      </w:pPr>
      <w:r w:rsidRPr="001C269C">
        <w:rPr>
          <w:rFonts w:ascii="Arial" w:hAnsi="Arial" w:cs="Arial"/>
        </w:rPr>
        <w:t xml:space="preserve">The SWOT framework, widely used to structure an organisation's internal capabilities against its external environment is applied below to reflect Vodafone UK's position immediately following full consolidation of </w:t>
      </w:r>
      <w:proofErr w:type="spellStart"/>
      <w:r w:rsidRPr="001C269C">
        <w:rPr>
          <w:rFonts w:ascii="Arial" w:hAnsi="Arial" w:cs="Arial"/>
        </w:rPr>
        <w:t>VodafoneThree</w:t>
      </w:r>
      <w:proofErr w:type="spellEnd"/>
      <w:r w:rsidRPr="001C269C">
        <w:rPr>
          <w:rFonts w:ascii="Arial" w:hAnsi="Arial" w:cs="Arial"/>
        </w:rPr>
        <w:t>.</w:t>
      </w:r>
    </w:p>
    <w:p w14:paraId="120961A1" w14:textId="77777777" w:rsidR="00B45937" w:rsidRPr="00B45937" w:rsidRDefault="00B45937" w:rsidP="00B45937">
      <w:pPr>
        <w:spacing w:line="360" w:lineRule="auto"/>
        <w:jc w:val="both"/>
        <w:rPr>
          <w:rFonts w:ascii="Arial" w:hAnsi="Arial" w:cs="Arial"/>
        </w:rPr>
      </w:pPr>
    </w:p>
    <w:tbl>
      <w:tblPr>
        <w:tblW w:w="84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226"/>
        <w:gridCol w:w="4226"/>
      </w:tblGrid>
      <w:tr w:rsidR="00B45937" w:rsidRPr="00300575" w14:paraId="72C87A33" w14:textId="77777777" w:rsidTr="007110E7">
        <w:trPr>
          <w:trHeight w:val="419"/>
          <w:tblHeader/>
          <w:jc w:val="center"/>
        </w:trPr>
        <w:tc>
          <w:tcPr>
            <w:tcW w:w="4226" w:type="dxa"/>
            <w:shd w:val="clear" w:color="auto" w:fill="1B0459"/>
            <w:tcMar>
              <w:top w:w="80" w:type="dxa"/>
              <w:left w:w="100" w:type="dxa"/>
              <w:bottom w:w="80" w:type="dxa"/>
              <w:right w:w="100" w:type="dxa"/>
            </w:tcMar>
            <w:vAlign w:val="center"/>
          </w:tcPr>
          <w:p w14:paraId="558067C1" w14:textId="77777777" w:rsidR="00B45937" w:rsidRPr="00300575" w:rsidRDefault="00B45937" w:rsidP="00D1554C">
            <w:pPr>
              <w:rPr>
                <w:rFonts w:ascii="Arial" w:hAnsi="Arial" w:cs="Arial"/>
                <w:sz w:val="20"/>
                <w:szCs w:val="20"/>
              </w:rPr>
            </w:pPr>
            <w:r w:rsidRPr="00300575">
              <w:rPr>
                <w:rFonts w:ascii="Arial" w:hAnsi="Arial" w:cs="Arial"/>
                <w:b/>
                <w:bCs/>
                <w:color w:val="FFFFFF"/>
                <w:sz w:val="20"/>
                <w:szCs w:val="20"/>
              </w:rPr>
              <w:t>Strengths</w:t>
            </w:r>
          </w:p>
        </w:tc>
        <w:tc>
          <w:tcPr>
            <w:tcW w:w="4226" w:type="dxa"/>
            <w:shd w:val="clear" w:color="auto" w:fill="1B0459"/>
            <w:tcMar>
              <w:top w:w="80" w:type="dxa"/>
              <w:left w:w="100" w:type="dxa"/>
              <w:bottom w:w="80" w:type="dxa"/>
              <w:right w:w="100" w:type="dxa"/>
            </w:tcMar>
            <w:vAlign w:val="center"/>
          </w:tcPr>
          <w:p w14:paraId="3A192C62" w14:textId="77777777" w:rsidR="00B45937" w:rsidRPr="00300575" w:rsidRDefault="00B45937" w:rsidP="00D1554C">
            <w:pPr>
              <w:rPr>
                <w:rFonts w:ascii="Arial" w:hAnsi="Arial" w:cs="Arial"/>
                <w:sz w:val="20"/>
                <w:szCs w:val="20"/>
              </w:rPr>
            </w:pPr>
            <w:r w:rsidRPr="00300575">
              <w:rPr>
                <w:rFonts w:ascii="Arial" w:hAnsi="Arial" w:cs="Arial"/>
                <w:b/>
                <w:bCs/>
                <w:color w:val="FFFFFF"/>
                <w:sz w:val="20"/>
                <w:szCs w:val="20"/>
              </w:rPr>
              <w:t>Weaknesses</w:t>
            </w:r>
          </w:p>
        </w:tc>
      </w:tr>
      <w:tr w:rsidR="00B45937" w:rsidRPr="00300575" w14:paraId="15C42065" w14:textId="77777777" w:rsidTr="007110E7">
        <w:trPr>
          <w:trHeight w:val="1206"/>
          <w:jc w:val="center"/>
        </w:trPr>
        <w:tc>
          <w:tcPr>
            <w:tcW w:w="4226" w:type="dxa"/>
            <w:shd w:val="clear" w:color="auto" w:fill="auto"/>
            <w:tcMar>
              <w:top w:w="80" w:type="dxa"/>
              <w:left w:w="100" w:type="dxa"/>
              <w:bottom w:w="80" w:type="dxa"/>
              <w:right w:w="100" w:type="dxa"/>
            </w:tcMar>
            <w:vAlign w:val="center"/>
          </w:tcPr>
          <w:p w14:paraId="1004E520" w14:textId="77777777" w:rsidR="00B45937" w:rsidRPr="00300575" w:rsidRDefault="00B45937" w:rsidP="00D1554C">
            <w:pPr>
              <w:rPr>
                <w:rFonts w:ascii="Arial" w:hAnsi="Arial" w:cs="Arial"/>
                <w:sz w:val="20"/>
                <w:szCs w:val="20"/>
              </w:rPr>
            </w:pPr>
            <w:r w:rsidRPr="00300575">
              <w:rPr>
                <w:rFonts w:ascii="Arial" w:hAnsi="Arial" w:cs="Arial"/>
                <w:color w:val="000000"/>
                <w:sz w:val="20"/>
                <w:szCs w:val="20"/>
              </w:rPr>
              <w:t xml:space="preserve">Largest UK mobile operator (~27-29m customers) following the Three merger and full </w:t>
            </w:r>
            <w:proofErr w:type="spellStart"/>
            <w:r w:rsidRPr="00300575">
              <w:rPr>
                <w:rFonts w:ascii="Arial" w:hAnsi="Arial" w:cs="Arial"/>
                <w:color w:val="000000"/>
                <w:sz w:val="20"/>
                <w:szCs w:val="20"/>
              </w:rPr>
              <w:t>VodafoneThree</w:t>
            </w:r>
            <w:proofErr w:type="spellEnd"/>
            <w:r w:rsidRPr="00300575">
              <w:rPr>
                <w:rFonts w:ascii="Arial" w:hAnsi="Arial" w:cs="Arial"/>
                <w:color w:val="000000"/>
                <w:sz w:val="20"/>
                <w:szCs w:val="20"/>
              </w:rPr>
              <w:t xml:space="preserve"> ownership (RCR Wireless News, 2025; Vodafone Group Plc, 2026a)</w:t>
            </w:r>
          </w:p>
        </w:tc>
        <w:tc>
          <w:tcPr>
            <w:tcW w:w="4226" w:type="dxa"/>
            <w:shd w:val="clear" w:color="auto" w:fill="auto"/>
            <w:tcMar>
              <w:top w:w="80" w:type="dxa"/>
              <w:left w:w="100" w:type="dxa"/>
              <w:bottom w:w="80" w:type="dxa"/>
              <w:right w:w="100" w:type="dxa"/>
            </w:tcMar>
            <w:vAlign w:val="center"/>
          </w:tcPr>
          <w:p w14:paraId="26D6B400" w14:textId="77777777" w:rsidR="00B45937" w:rsidRPr="00300575" w:rsidRDefault="00B45937" w:rsidP="00D1554C">
            <w:pPr>
              <w:rPr>
                <w:rFonts w:ascii="Arial" w:hAnsi="Arial" w:cs="Arial"/>
                <w:sz w:val="20"/>
                <w:szCs w:val="20"/>
              </w:rPr>
            </w:pPr>
            <w:r w:rsidRPr="00300575">
              <w:rPr>
                <w:rFonts w:ascii="Arial" w:hAnsi="Arial" w:cs="Arial"/>
                <w:color w:val="000000"/>
                <w:sz w:val="20"/>
                <w:szCs w:val="20"/>
              </w:rPr>
              <w:t>Integration risk: merging two networks, IT systems and cultures carries execution and cost risk (Verdict, 2026)</w:t>
            </w:r>
          </w:p>
        </w:tc>
      </w:tr>
      <w:tr w:rsidR="00B45937" w:rsidRPr="00300575" w14:paraId="0F60491E" w14:textId="77777777" w:rsidTr="007110E7">
        <w:trPr>
          <w:trHeight w:val="951"/>
          <w:jc w:val="center"/>
        </w:trPr>
        <w:tc>
          <w:tcPr>
            <w:tcW w:w="4226" w:type="dxa"/>
            <w:shd w:val="clear" w:color="auto" w:fill="auto"/>
            <w:tcMar>
              <w:top w:w="80" w:type="dxa"/>
              <w:left w:w="100" w:type="dxa"/>
              <w:bottom w:w="80" w:type="dxa"/>
              <w:right w:w="100" w:type="dxa"/>
            </w:tcMar>
            <w:vAlign w:val="center"/>
          </w:tcPr>
          <w:p w14:paraId="201B859B" w14:textId="77777777" w:rsidR="00B45937" w:rsidRPr="00300575" w:rsidRDefault="00B45937" w:rsidP="00D1554C">
            <w:pPr>
              <w:rPr>
                <w:rFonts w:ascii="Arial" w:hAnsi="Arial" w:cs="Arial"/>
                <w:sz w:val="20"/>
                <w:szCs w:val="20"/>
              </w:rPr>
            </w:pPr>
            <w:r w:rsidRPr="00300575">
              <w:rPr>
                <w:rFonts w:ascii="Arial" w:hAnsi="Arial" w:cs="Arial"/>
                <w:color w:val="000000"/>
                <w:sz w:val="20"/>
                <w:szCs w:val="20"/>
              </w:rPr>
              <w:lastRenderedPageBreak/>
              <w:t>£11bn committed decade-long network investment; UK's largest gigabit and mobile footprint (Vodafone Group Plc, 2025a)</w:t>
            </w:r>
          </w:p>
        </w:tc>
        <w:tc>
          <w:tcPr>
            <w:tcW w:w="4226" w:type="dxa"/>
            <w:shd w:val="clear" w:color="auto" w:fill="auto"/>
            <w:tcMar>
              <w:top w:w="80" w:type="dxa"/>
              <w:left w:w="100" w:type="dxa"/>
              <w:bottom w:w="80" w:type="dxa"/>
              <w:right w:w="100" w:type="dxa"/>
            </w:tcMar>
            <w:vAlign w:val="center"/>
          </w:tcPr>
          <w:p w14:paraId="5AE146A7" w14:textId="77777777" w:rsidR="00B45937" w:rsidRPr="00300575" w:rsidRDefault="00B45937" w:rsidP="00D1554C">
            <w:pPr>
              <w:rPr>
                <w:rFonts w:ascii="Arial" w:hAnsi="Arial" w:cs="Arial"/>
                <w:sz w:val="20"/>
                <w:szCs w:val="20"/>
              </w:rPr>
            </w:pPr>
            <w:r w:rsidRPr="00300575">
              <w:rPr>
                <w:rFonts w:ascii="Arial" w:hAnsi="Arial" w:cs="Arial"/>
                <w:color w:val="000000"/>
                <w:sz w:val="20"/>
                <w:szCs w:val="20"/>
              </w:rPr>
              <w:t>Historically low proportion of Vodafone's UK base migrated to 5G, c.24% (</w:t>
            </w:r>
            <w:proofErr w:type="spellStart"/>
            <w:r w:rsidRPr="00300575">
              <w:rPr>
                <w:rFonts w:ascii="Arial" w:hAnsi="Arial" w:cs="Arial"/>
                <w:color w:val="000000"/>
                <w:sz w:val="20"/>
                <w:szCs w:val="20"/>
              </w:rPr>
              <w:t>MyAmplifiers</w:t>
            </w:r>
            <w:proofErr w:type="spellEnd"/>
            <w:r w:rsidRPr="00300575">
              <w:rPr>
                <w:rFonts w:ascii="Arial" w:hAnsi="Arial" w:cs="Arial"/>
                <w:color w:val="000000"/>
                <w:sz w:val="20"/>
                <w:szCs w:val="20"/>
              </w:rPr>
              <w:t xml:space="preserve">, </w:t>
            </w:r>
            <w:proofErr w:type="spellStart"/>
            <w:r w:rsidRPr="00300575">
              <w:rPr>
                <w:rFonts w:ascii="Arial" w:hAnsi="Arial" w:cs="Arial"/>
                <w:color w:val="000000"/>
                <w:sz w:val="20"/>
                <w:szCs w:val="20"/>
              </w:rPr>
              <w:t>2026)</w:t>
            </w:r>
          </w:p>
        </w:tc>
      </w:tr>
      <w:tr w:rsidR="00B45937" w:rsidRPr="00300575" w14:paraId="4013C59E" w14:textId="77777777" w:rsidTr="007110E7">
        <w:trPr>
          <w:trHeight w:val="951"/>
          <w:jc w:val="center"/>
        </w:trPr>
        <w:tc>
          <w:tcPr>
            <w:tcW w:w="4226" w:type="dxa"/>
            <w:shd w:val="clear" w:color="auto" w:fill="auto"/>
            <w:tcMar>
              <w:top w:w="80" w:type="dxa"/>
              <w:left w:w="100" w:type="dxa"/>
              <w:bottom w:w="80" w:type="dxa"/>
              <w:right w:w="100" w:type="dxa"/>
            </w:tcMar>
            <w:vAlign w:val="center"/>
          </w:tcPr>
          <w:p w14:paraId="7BE1AC35" w14:textId="77777777" w:rsidR="00B45937" w:rsidRPr="00300575" w:rsidRDefault="00B45937" w:rsidP="00D1554C">
            <w:pPr>
              <w:rPr>
                <w:rFonts w:ascii="Arial" w:hAnsi="Arial" w:cs="Arial"/>
                <w:sz w:val="20"/>
                <w:szCs w:val="20"/>
              </w:rPr>
            </w:pPr>
            <w:r w:rsidRPr="00300575">
              <w:rPr>
                <w:rFonts w:ascii="Arial" w:hAnsi="Arial" w:cs="Arial"/>
                <w:color w:val="000000"/>
                <w:sz w:val="20"/>
                <w:szCs w:val="20"/>
              </w:rPr>
              <w:t>Diver</w:t>
            </w:r>
            <w:proofErr w:type="spellEnd"/>
            <w:r w:rsidRPr="00300575">
              <w:rPr>
                <w:rFonts w:ascii="Arial" w:hAnsi="Arial" w:cs="Arial"/>
                <w:color w:val="000000"/>
                <w:sz w:val="20"/>
                <w:szCs w:val="20"/>
              </w:rPr>
              <w:t>sified, fast-growing digital and financial services arm; B2B digital services +26.1% over two years (Vodafone Group Plc, 2025b)</w:t>
            </w:r>
          </w:p>
        </w:tc>
        <w:tc>
          <w:tcPr>
            <w:tcW w:w="4226" w:type="dxa"/>
            <w:shd w:val="clear" w:color="auto" w:fill="auto"/>
            <w:tcMar>
              <w:top w:w="80" w:type="dxa"/>
              <w:left w:w="100" w:type="dxa"/>
              <w:bottom w:w="80" w:type="dxa"/>
              <w:right w:w="100" w:type="dxa"/>
            </w:tcMar>
            <w:vAlign w:val="center"/>
          </w:tcPr>
          <w:p w14:paraId="1B9862D2" w14:textId="77777777" w:rsidR="00B45937" w:rsidRPr="00300575" w:rsidRDefault="00B45937" w:rsidP="00D1554C">
            <w:pPr>
              <w:rPr>
                <w:rFonts w:ascii="Arial" w:hAnsi="Arial" w:cs="Arial"/>
                <w:sz w:val="20"/>
                <w:szCs w:val="20"/>
              </w:rPr>
            </w:pPr>
            <w:r w:rsidRPr="00300575">
              <w:rPr>
                <w:rFonts w:ascii="Arial" w:hAnsi="Arial" w:cs="Arial"/>
                <w:color w:val="000000"/>
                <w:sz w:val="20"/>
                <w:szCs w:val="20"/>
              </w:rPr>
              <w:t>Brand perception legacy of past customer-service criticism in the UK consumer market (Comms Business, 2025)</w:t>
            </w:r>
          </w:p>
        </w:tc>
      </w:tr>
      <w:tr w:rsidR="00B45937" w:rsidRPr="00300575" w14:paraId="33049806" w14:textId="77777777" w:rsidTr="007110E7">
        <w:trPr>
          <w:trHeight w:val="951"/>
          <w:jc w:val="center"/>
        </w:trPr>
        <w:tc>
          <w:tcPr>
            <w:tcW w:w="4226" w:type="dxa"/>
            <w:shd w:val="clear" w:color="auto" w:fill="auto"/>
            <w:tcMar>
              <w:top w:w="80" w:type="dxa"/>
              <w:left w:w="100" w:type="dxa"/>
              <w:bottom w:w="80" w:type="dxa"/>
              <w:right w:w="100" w:type="dxa"/>
            </w:tcMar>
            <w:vAlign w:val="center"/>
          </w:tcPr>
          <w:p w14:paraId="51910222" w14:textId="77777777" w:rsidR="00B45937" w:rsidRPr="00300575" w:rsidRDefault="00B45937" w:rsidP="00D1554C">
            <w:pPr>
              <w:rPr>
                <w:rFonts w:ascii="Arial" w:hAnsi="Arial" w:cs="Arial"/>
                <w:sz w:val="20"/>
                <w:szCs w:val="20"/>
              </w:rPr>
            </w:pPr>
            <w:r w:rsidRPr="00300575">
              <w:rPr>
                <w:rFonts w:ascii="Arial" w:hAnsi="Arial" w:cs="Arial"/>
                <w:color w:val="000000"/>
                <w:sz w:val="20"/>
                <w:szCs w:val="20"/>
              </w:rPr>
              <w:t>Strong Vodafone Business momentum, +4.0% organic service revenue in FY25 (Vodafone Group Plc, 2025b)</w:t>
            </w:r>
          </w:p>
        </w:tc>
        <w:tc>
          <w:tcPr>
            <w:tcW w:w="4226" w:type="dxa"/>
            <w:shd w:val="clear" w:color="auto" w:fill="auto"/>
            <w:tcMar>
              <w:top w:w="80" w:type="dxa"/>
              <w:left w:w="100" w:type="dxa"/>
              <w:bottom w:w="80" w:type="dxa"/>
              <w:right w:w="100" w:type="dxa"/>
            </w:tcMar>
            <w:vAlign w:val="center"/>
          </w:tcPr>
          <w:p w14:paraId="430BB3FC" w14:textId="77777777" w:rsidR="00B45937" w:rsidRPr="00300575" w:rsidRDefault="00B45937" w:rsidP="00D1554C">
            <w:pPr>
              <w:rPr>
                <w:rFonts w:ascii="Arial" w:hAnsi="Arial" w:cs="Arial"/>
                <w:sz w:val="20"/>
                <w:szCs w:val="20"/>
              </w:rPr>
            </w:pPr>
            <w:r w:rsidRPr="00300575">
              <w:rPr>
                <w:rFonts w:ascii="Arial" w:hAnsi="Arial" w:cs="Arial"/>
                <w:color w:val="000000"/>
                <w:sz w:val="20"/>
                <w:szCs w:val="20"/>
              </w:rPr>
              <w:t>Higher net debt following the £4.3bn CKHGT buyout, increasing Group leverage (</w:t>
            </w:r>
            <w:proofErr w:type="spellStart"/>
            <w:r w:rsidRPr="00300575">
              <w:rPr>
                <w:rFonts w:ascii="Arial" w:hAnsi="Arial" w:cs="Arial"/>
                <w:color w:val="000000"/>
                <w:sz w:val="20"/>
                <w:szCs w:val="20"/>
              </w:rPr>
              <w:t>TelecomTV</w:t>
            </w:r>
            <w:proofErr w:type="spellEnd"/>
            <w:r w:rsidRPr="00300575">
              <w:rPr>
                <w:rFonts w:ascii="Arial" w:hAnsi="Arial" w:cs="Arial"/>
                <w:color w:val="000000"/>
                <w:sz w:val="20"/>
                <w:szCs w:val="20"/>
              </w:rPr>
              <w:t>, 2026)</w:t>
            </w:r>
          </w:p>
        </w:tc>
      </w:tr>
      <w:tr w:rsidR="00B45937" w:rsidRPr="00300575" w14:paraId="771B1813" w14:textId="77777777" w:rsidTr="007110E7">
        <w:trPr>
          <w:trHeight w:val="419"/>
          <w:jc w:val="center"/>
        </w:trPr>
        <w:tc>
          <w:tcPr>
            <w:tcW w:w="4226" w:type="dxa"/>
            <w:tcBorders>
              <w:top w:val="single" w:sz="4" w:space="0" w:color="auto"/>
              <w:left w:val="single" w:sz="4" w:space="0" w:color="auto"/>
              <w:bottom w:val="single" w:sz="4" w:space="0" w:color="auto"/>
              <w:right w:val="single" w:sz="4" w:space="0" w:color="auto"/>
            </w:tcBorders>
            <w:shd w:val="clear" w:color="auto" w:fill="002060"/>
            <w:tcMar>
              <w:top w:w="80" w:type="dxa"/>
              <w:left w:w="100" w:type="dxa"/>
              <w:bottom w:w="80" w:type="dxa"/>
              <w:right w:w="100" w:type="dxa"/>
            </w:tcMar>
            <w:vAlign w:val="center"/>
          </w:tcPr>
          <w:p w14:paraId="5248F0FA" w14:textId="77777777" w:rsidR="00B45937" w:rsidRPr="00300575" w:rsidRDefault="00B45937" w:rsidP="00D1554C">
            <w:pPr>
              <w:rPr>
                <w:rFonts w:ascii="Arial" w:hAnsi="Arial" w:cs="Arial"/>
                <w:b/>
                <w:bCs/>
                <w:color w:val="FFFFFF"/>
                <w:sz w:val="20"/>
                <w:szCs w:val="20"/>
              </w:rPr>
            </w:pPr>
            <w:r w:rsidRPr="00300575">
              <w:rPr>
                <w:rFonts w:ascii="Arial" w:hAnsi="Arial" w:cs="Arial"/>
                <w:b/>
                <w:bCs/>
                <w:color w:val="FFFFFF"/>
                <w:sz w:val="20"/>
                <w:szCs w:val="20"/>
              </w:rPr>
              <w:t>Opportunities</w:t>
            </w:r>
          </w:p>
        </w:tc>
        <w:tc>
          <w:tcPr>
            <w:tcW w:w="4226" w:type="dxa"/>
            <w:tcBorders>
              <w:top w:val="single" w:sz="4" w:space="0" w:color="auto"/>
              <w:left w:val="single" w:sz="4" w:space="0" w:color="auto"/>
              <w:bottom w:val="single" w:sz="4" w:space="0" w:color="auto"/>
              <w:right w:val="single" w:sz="4" w:space="0" w:color="auto"/>
            </w:tcBorders>
            <w:shd w:val="clear" w:color="auto" w:fill="002060"/>
            <w:tcMar>
              <w:top w:w="80" w:type="dxa"/>
              <w:left w:w="100" w:type="dxa"/>
              <w:bottom w:w="80" w:type="dxa"/>
              <w:right w:w="100" w:type="dxa"/>
            </w:tcMar>
            <w:vAlign w:val="center"/>
          </w:tcPr>
          <w:p w14:paraId="535175A5" w14:textId="77777777" w:rsidR="00B45937" w:rsidRPr="00300575" w:rsidRDefault="00B45937" w:rsidP="00D1554C">
            <w:pPr>
              <w:rPr>
                <w:rFonts w:ascii="Arial" w:hAnsi="Arial" w:cs="Arial"/>
                <w:b/>
                <w:bCs/>
                <w:color w:val="FFFFFF"/>
                <w:sz w:val="20"/>
                <w:szCs w:val="20"/>
              </w:rPr>
            </w:pPr>
            <w:r w:rsidRPr="00300575">
              <w:rPr>
                <w:rFonts w:ascii="Arial" w:hAnsi="Arial" w:cs="Arial"/>
                <w:b/>
                <w:bCs/>
                <w:color w:val="FFFFFF"/>
                <w:sz w:val="20"/>
                <w:szCs w:val="20"/>
              </w:rPr>
              <w:t>Threats</w:t>
            </w:r>
          </w:p>
        </w:tc>
      </w:tr>
      <w:tr w:rsidR="00300575" w:rsidRPr="00300575" w14:paraId="63E6AC6D" w14:textId="77777777" w:rsidTr="007110E7">
        <w:trPr>
          <w:trHeight w:val="951"/>
          <w:jc w:val="center"/>
        </w:trPr>
        <w:tc>
          <w:tcPr>
            <w:tcW w:w="4226"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tcPr>
          <w:p w14:paraId="657788A3" w14:textId="77777777" w:rsidR="00B45937" w:rsidRPr="00300575" w:rsidRDefault="00B45937" w:rsidP="00D1554C">
            <w:pPr>
              <w:rPr>
                <w:rFonts w:ascii="Arial" w:hAnsi="Arial" w:cs="Arial"/>
                <w:color w:val="000000"/>
                <w:sz w:val="20"/>
                <w:szCs w:val="20"/>
              </w:rPr>
            </w:pPr>
            <w:r w:rsidRPr="00300575">
              <w:rPr>
                <w:rFonts w:ascii="Arial" w:hAnsi="Arial" w:cs="Arial"/>
                <w:color w:val="000000"/>
                <w:sz w:val="20"/>
                <w:szCs w:val="20"/>
              </w:rPr>
              <w:t xml:space="preserve">Full ownership of </w:t>
            </w:r>
            <w:proofErr w:type="spellStart"/>
            <w:r w:rsidRPr="00300575">
              <w:rPr>
                <w:rFonts w:ascii="Arial" w:hAnsi="Arial" w:cs="Arial"/>
                <w:color w:val="000000"/>
                <w:sz w:val="20"/>
                <w:szCs w:val="20"/>
              </w:rPr>
              <w:t>VodafoneThree</w:t>
            </w:r>
            <w:proofErr w:type="spellEnd"/>
            <w:r w:rsidRPr="00300575">
              <w:rPr>
                <w:rFonts w:ascii="Arial" w:hAnsi="Arial" w:cs="Arial"/>
                <w:color w:val="000000"/>
                <w:sz w:val="20"/>
                <w:szCs w:val="20"/>
              </w:rPr>
              <w:t xml:space="preserve"> enables faster decision-making and capture of £700m annual synergies by FY30 (Vodafone Group Plc, 2026a)</w:t>
            </w:r>
          </w:p>
        </w:tc>
        <w:tc>
          <w:tcPr>
            <w:tcW w:w="4226"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tcPr>
          <w:p w14:paraId="35C1B918" w14:textId="77777777" w:rsidR="00B45937" w:rsidRPr="00300575" w:rsidRDefault="00B45937" w:rsidP="00D1554C">
            <w:pPr>
              <w:rPr>
                <w:rFonts w:ascii="Arial" w:hAnsi="Arial" w:cs="Arial"/>
                <w:color w:val="000000"/>
                <w:sz w:val="20"/>
                <w:szCs w:val="20"/>
              </w:rPr>
            </w:pPr>
            <w:r w:rsidRPr="00300575">
              <w:rPr>
                <w:rFonts w:ascii="Arial" w:hAnsi="Arial" w:cs="Arial"/>
                <w:color w:val="000000"/>
                <w:sz w:val="20"/>
                <w:szCs w:val="20"/>
              </w:rPr>
              <w:t>Intense three-way infrastructure competition from BT/EE and Virgin Media O2 (Mordor Intelligence, 2026)</w:t>
            </w:r>
          </w:p>
        </w:tc>
      </w:tr>
      <w:tr w:rsidR="00B45937" w:rsidRPr="00300575" w14:paraId="21D39693" w14:textId="77777777" w:rsidTr="007110E7">
        <w:trPr>
          <w:trHeight w:val="951"/>
          <w:jc w:val="center"/>
        </w:trPr>
        <w:tc>
          <w:tcPr>
            <w:tcW w:w="4226"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tcPr>
          <w:p w14:paraId="2371C238" w14:textId="77777777" w:rsidR="00B45937" w:rsidRPr="00300575" w:rsidRDefault="00B45937" w:rsidP="00D1554C">
            <w:pPr>
              <w:rPr>
                <w:rFonts w:ascii="Arial" w:hAnsi="Arial" w:cs="Arial"/>
                <w:color w:val="000000"/>
                <w:sz w:val="20"/>
                <w:szCs w:val="20"/>
              </w:rPr>
            </w:pPr>
            <w:r w:rsidRPr="00300575">
              <w:rPr>
                <w:rFonts w:ascii="Arial" w:hAnsi="Arial" w:cs="Arial"/>
                <w:color w:val="000000"/>
                <w:sz w:val="20"/>
                <w:szCs w:val="20"/>
              </w:rPr>
              <w:t xml:space="preserve">5G Standalone roll-out and satellite mobile trials open new enterprise and IoT revenue streams (Sphere </w:t>
            </w:r>
            <w:proofErr w:type="spellStart"/>
            <w:r w:rsidRPr="00300575">
              <w:rPr>
                <w:rFonts w:ascii="Arial" w:hAnsi="Arial" w:cs="Arial"/>
                <w:color w:val="000000"/>
                <w:sz w:val="20"/>
                <w:szCs w:val="20"/>
              </w:rPr>
              <w:t>eMagazine</w:t>
            </w:r>
            <w:proofErr w:type="spellEnd"/>
            <w:r w:rsidRPr="00300575">
              <w:rPr>
                <w:rFonts w:ascii="Arial" w:hAnsi="Arial" w:cs="Arial"/>
                <w:color w:val="000000"/>
                <w:sz w:val="20"/>
                <w:szCs w:val="20"/>
              </w:rPr>
              <w:t>, 2025)</w:t>
            </w:r>
          </w:p>
        </w:tc>
        <w:tc>
          <w:tcPr>
            <w:tcW w:w="4226"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tcPr>
          <w:p w14:paraId="5E34920B" w14:textId="77777777" w:rsidR="00B45937" w:rsidRPr="00300575" w:rsidRDefault="00B45937" w:rsidP="00D1554C">
            <w:pPr>
              <w:rPr>
                <w:rFonts w:ascii="Arial" w:hAnsi="Arial" w:cs="Arial"/>
                <w:color w:val="000000"/>
                <w:sz w:val="20"/>
                <w:szCs w:val="20"/>
              </w:rPr>
            </w:pPr>
            <w:r w:rsidRPr="00300575">
              <w:rPr>
                <w:rFonts w:ascii="Arial" w:hAnsi="Arial" w:cs="Arial"/>
                <w:color w:val="000000"/>
                <w:sz w:val="20"/>
                <w:szCs w:val="20"/>
              </w:rPr>
              <w:t>Continued Ofcom regulatory scrutiny, including the National Security and Investment Act review of the CKHGT buyout (</w:t>
            </w:r>
            <w:proofErr w:type="spellStart"/>
            <w:r w:rsidRPr="00300575">
              <w:rPr>
                <w:rFonts w:ascii="Arial" w:hAnsi="Arial" w:cs="Arial"/>
                <w:color w:val="000000"/>
                <w:sz w:val="20"/>
                <w:szCs w:val="20"/>
              </w:rPr>
              <w:t>VodafoneThree</w:t>
            </w:r>
            <w:proofErr w:type="spellEnd"/>
            <w:r w:rsidRPr="00300575">
              <w:rPr>
                <w:rFonts w:ascii="Arial" w:hAnsi="Arial" w:cs="Arial"/>
                <w:color w:val="000000"/>
                <w:sz w:val="20"/>
                <w:szCs w:val="20"/>
              </w:rPr>
              <w:t>, 2026)</w:t>
            </w:r>
          </w:p>
        </w:tc>
      </w:tr>
      <w:tr w:rsidR="00300575" w:rsidRPr="00300575" w14:paraId="170D5F41" w14:textId="77777777" w:rsidTr="007110E7">
        <w:trPr>
          <w:trHeight w:val="932"/>
          <w:jc w:val="center"/>
        </w:trPr>
        <w:tc>
          <w:tcPr>
            <w:tcW w:w="4226"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tcPr>
          <w:p w14:paraId="4D44526E" w14:textId="77777777" w:rsidR="00B45937" w:rsidRPr="00300575" w:rsidRDefault="00B45937" w:rsidP="00D1554C">
            <w:pPr>
              <w:rPr>
                <w:rFonts w:ascii="Arial" w:hAnsi="Arial" w:cs="Arial"/>
                <w:color w:val="000000"/>
                <w:sz w:val="20"/>
                <w:szCs w:val="20"/>
              </w:rPr>
            </w:pPr>
            <w:r w:rsidRPr="00300575">
              <w:rPr>
                <w:rFonts w:ascii="Arial" w:hAnsi="Arial" w:cs="Arial"/>
                <w:color w:val="000000"/>
                <w:sz w:val="20"/>
                <w:szCs w:val="20"/>
              </w:rPr>
              <w:t>Fixed-mobile convergence and full-fibre broadband growth, 227,000 net adds in FY25 (Comms Business, 2025)</w:t>
            </w:r>
          </w:p>
        </w:tc>
        <w:tc>
          <w:tcPr>
            <w:tcW w:w="4226"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tcPr>
          <w:p w14:paraId="511B154F" w14:textId="77777777" w:rsidR="00B45937" w:rsidRPr="00300575" w:rsidRDefault="00B45937" w:rsidP="00D1554C">
            <w:pPr>
              <w:rPr>
                <w:rFonts w:ascii="Arial" w:hAnsi="Arial" w:cs="Arial"/>
                <w:color w:val="000000"/>
                <w:sz w:val="20"/>
                <w:szCs w:val="20"/>
              </w:rPr>
            </w:pPr>
            <w:r w:rsidRPr="00300575">
              <w:rPr>
                <w:rFonts w:ascii="Arial" w:hAnsi="Arial" w:cs="Arial"/>
                <w:color w:val="000000"/>
                <w:sz w:val="20"/>
                <w:szCs w:val="20"/>
              </w:rPr>
              <w:t>Price-sensitive UK consumer market and MVNO competition compressing ARPU (Mordor Intelligence, 2026)</w:t>
            </w:r>
          </w:p>
        </w:tc>
      </w:tr>
      <w:tr w:rsidR="00B45937" w:rsidRPr="00300575" w14:paraId="396EF867" w14:textId="77777777" w:rsidTr="007110E7">
        <w:trPr>
          <w:trHeight w:val="951"/>
          <w:jc w:val="center"/>
        </w:trPr>
        <w:tc>
          <w:tcPr>
            <w:tcW w:w="4226"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tcPr>
          <w:p w14:paraId="770BF523" w14:textId="77777777" w:rsidR="00B45937" w:rsidRPr="00300575" w:rsidRDefault="00B45937" w:rsidP="00D1554C">
            <w:pPr>
              <w:rPr>
                <w:rFonts w:ascii="Arial" w:hAnsi="Arial" w:cs="Arial"/>
                <w:color w:val="000000"/>
                <w:sz w:val="20"/>
                <w:szCs w:val="20"/>
              </w:rPr>
            </w:pPr>
            <w:r w:rsidRPr="00300575">
              <w:rPr>
                <w:rFonts w:ascii="Arial" w:hAnsi="Arial" w:cs="Arial"/>
                <w:color w:val="000000"/>
                <w:sz w:val="20"/>
                <w:szCs w:val="20"/>
              </w:rPr>
              <w:t>Cross-sell of financial services, cyber security and AI-enabled digital products to the enlarged customer base (Vodafone Group Plc, 2025b)</w:t>
            </w:r>
          </w:p>
        </w:tc>
        <w:tc>
          <w:tcPr>
            <w:tcW w:w="4226"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tcPr>
          <w:p w14:paraId="20C82638" w14:textId="77777777" w:rsidR="00B45937" w:rsidRPr="00300575" w:rsidRDefault="00B45937" w:rsidP="00D1554C">
            <w:pPr>
              <w:rPr>
                <w:rFonts w:ascii="Arial" w:hAnsi="Arial" w:cs="Arial"/>
                <w:color w:val="000000"/>
                <w:sz w:val="20"/>
                <w:szCs w:val="20"/>
              </w:rPr>
            </w:pPr>
            <w:r w:rsidRPr="00300575">
              <w:rPr>
                <w:rFonts w:ascii="Arial" w:hAnsi="Arial" w:cs="Arial"/>
                <w:color w:val="000000"/>
                <w:sz w:val="20"/>
                <w:szCs w:val="20"/>
              </w:rPr>
              <w:t>Macroeconomic pressure on consumer spending and inflation-linked cost increases affecting affordability</w:t>
            </w:r>
          </w:p>
        </w:tc>
      </w:tr>
    </w:tbl>
    <w:p w14:paraId="713C5AE3" w14:textId="310F8876" w:rsidR="00B45937" w:rsidRPr="00300575" w:rsidRDefault="007110E7" w:rsidP="00B45937">
      <w:pPr>
        <w:spacing w:before="60" w:after="220"/>
        <w:rPr>
          <w:rFonts w:ascii="Arial" w:hAnsi="Arial" w:cs="Arial"/>
          <w:sz w:val="20"/>
          <w:szCs w:val="20"/>
        </w:rPr>
      </w:pPr>
      <w:r>
        <w:rPr>
          <w:rFonts w:ascii="Arial" w:hAnsi="Arial" w:cs="Arial"/>
          <w:i/>
          <w:iCs/>
          <w:color w:val="595959"/>
          <w:sz w:val="20"/>
          <w:szCs w:val="20"/>
        </w:rPr>
        <w:t xml:space="preserve">    </w:t>
      </w:r>
      <w:r w:rsidR="00B45937" w:rsidRPr="00300575">
        <w:rPr>
          <w:rFonts w:ascii="Arial" w:hAnsi="Arial" w:cs="Arial"/>
          <w:i/>
          <w:iCs/>
          <w:color w:val="595959"/>
          <w:sz w:val="20"/>
          <w:szCs w:val="20"/>
        </w:rPr>
        <w:t xml:space="preserve">Table 1: SWOT analysis of Vodafone UK / </w:t>
      </w:r>
      <w:proofErr w:type="spellStart"/>
      <w:r w:rsidR="00B45937" w:rsidRPr="00300575">
        <w:rPr>
          <w:rFonts w:ascii="Arial" w:hAnsi="Arial" w:cs="Arial"/>
          <w:i/>
          <w:iCs/>
          <w:color w:val="595959"/>
          <w:sz w:val="20"/>
          <w:szCs w:val="20"/>
        </w:rPr>
        <w:t>VodafoneThree</w:t>
      </w:r>
      <w:proofErr w:type="spellEnd"/>
      <w:r w:rsidR="00B45937" w:rsidRPr="00300575">
        <w:rPr>
          <w:rFonts w:ascii="Arial" w:hAnsi="Arial" w:cs="Arial"/>
          <w:i/>
          <w:iCs/>
          <w:color w:val="595959"/>
          <w:sz w:val="20"/>
          <w:szCs w:val="20"/>
        </w:rPr>
        <w:t>, July 2026.</w:t>
      </w:r>
    </w:p>
    <w:p w14:paraId="26CDC766" w14:textId="77777777" w:rsidR="00B45937" w:rsidRDefault="00B45937" w:rsidP="00BB7D8C">
      <w:pPr>
        <w:spacing w:line="360" w:lineRule="auto"/>
        <w:jc w:val="both"/>
        <w:rPr>
          <w:rFonts w:ascii="Arial" w:hAnsi="Arial" w:cs="Arial"/>
          <w:color w:val="000000"/>
        </w:rPr>
      </w:pPr>
    </w:p>
    <w:p w14:paraId="2506158A" w14:textId="72FE3D66" w:rsidR="006B7D3D" w:rsidRDefault="006B7D3D" w:rsidP="00BB7D8C">
      <w:pPr>
        <w:pStyle w:val="Ttulo2"/>
      </w:pPr>
      <w:bookmarkStart w:id="8" w:name="_Toc237175168"/>
      <w:r w:rsidRPr="00A2495C">
        <w:t>3.</w:t>
      </w:r>
      <w:r w:rsidR="00265F60">
        <w:t>2</w:t>
      </w:r>
      <w:r w:rsidRPr="00A2495C">
        <w:t xml:space="preserve"> </w:t>
      </w:r>
      <w:r w:rsidR="00F705E3">
        <w:t>Pestel Analysis</w:t>
      </w:r>
      <w:bookmarkEnd w:id="8"/>
    </w:p>
    <w:p w14:paraId="1B226401" w14:textId="77777777" w:rsidR="00F705E3" w:rsidRPr="001C269C" w:rsidRDefault="00F705E3" w:rsidP="001C269C">
      <w:pPr>
        <w:spacing w:line="360" w:lineRule="auto"/>
        <w:jc w:val="both"/>
        <w:rPr>
          <w:rFonts w:ascii="Arial" w:hAnsi="Arial" w:cs="Arial"/>
        </w:rPr>
      </w:pPr>
    </w:p>
    <w:p w14:paraId="5AA022E5" w14:textId="37DDECE3" w:rsidR="00701CD7" w:rsidRDefault="001C269C" w:rsidP="00300575">
      <w:pPr>
        <w:spacing w:line="360" w:lineRule="auto"/>
        <w:jc w:val="both"/>
        <w:rPr>
          <w:rFonts w:ascii="Arial" w:hAnsi="Arial" w:cs="Arial"/>
        </w:rPr>
      </w:pPr>
      <w:r w:rsidRPr="001C269C">
        <w:rPr>
          <w:rFonts w:ascii="Arial" w:hAnsi="Arial" w:cs="Arial"/>
        </w:rPr>
        <w:t>A PESTEL analysis, an extension of environmental scanning approaches originally developed to help managers systematically assess macro-environmental forces (Johnson et al., 2020), identifies the political, economic, social, technological, environmental and legal forces shaping Vodafone's UK strategy.</w:t>
      </w:r>
    </w:p>
    <w:p w14:paraId="21C67A62" w14:textId="77777777" w:rsidR="0036728D" w:rsidRPr="00300575" w:rsidRDefault="0036728D" w:rsidP="00300575">
      <w:pPr>
        <w:spacing w:line="360" w:lineRule="auto"/>
        <w:jc w:val="both"/>
        <w:rPr>
          <w:rFonts w:ascii="Arial" w:hAnsi="Arial" w:cs="Arial"/>
        </w:rPr>
      </w:pPr>
    </w:p>
    <w:tbl>
      <w:tblPr>
        <w:tblW w:w="8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00"/>
        <w:gridCol w:w="6400"/>
      </w:tblGrid>
      <w:tr w:rsidR="00B45937" w:rsidRPr="0036728D" w14:paraId="6AC10C73" w14:textId="77777777" w:rsidTr="007110E7">
        <w:trPr>
          <w:tblHeader/>
          <w:jc w:val="center"/>
        </w:trPr>
        <w:tc>
          <w:tcPr>
            <w:tcW w:w="2000" w:type="dxa"/>
            <w:shd w:val="clear" w:color="auto" w:fill="1B0459"/>
            <w:tcMar>
              <w:top w:w="80" w:type="dxa"/>
              <w:left w:w="100" w:type="dxa"/>
              <w:bottom w:w="80" w:type="dxa"/>
              <w:right w:w="100" w:type="dxa"/>
            </w:tcMar>
            <w:vAlign w:val="center"/>
          </w:tcPr>
          <w:p w14:paraId="3B251252" w14:textId="77777777" w:rsidR="00B45937" w:rsidRPr="0036728D" w:rsidRDefault="00B45937" w:rsidP="00D1554C">
            <w:pPr>
              <w:rPr>
                <w:rFonts w:ascii="Arial" w:hAnsi="Arial" w:cs="Arial"/>
                <w:sz w:val="20"/>
                <w:szCs w:val="20"/>
              </w:rPr>
            </w:pPr>
            <w:r w:rsidRPr="0036728D">
              <w:rPr>
                <w:rFonts w:ascii="Arial" w:hAnsi="Arial" w:cs="Arial"/>
                <w:b/>
                <w:bCs/>
                <w:color w:val="FFFFFF"/>
                <w:sz w:val="20"/>
                <w:szCs w:val="20"/>
              </w:rPr>
              <w:t>Factor</w:t>
            </w:r>
          </w:p>
        </w:tc>
        <w:tc>
          <w:tcPr>
            <w:tcW w:w="6400" w:type="dxa"/>
            <w:shd w:val="clear" w:color="auto" w:fill="1B0459"/>
            <w:tcMar>
              <w:top w:w="80" w:type="dxa"/>
              <w:left w:w="100" w:type="dxa"/>
              <w:bottom w:w="80" w:type="dxa"/>
              <w:right w:w="100" w:type="dxa"/>
            </w:tcMar>
            <w:vAlign w:val="center"/>
          </w:tcPr>
          <w:p w14:paraId="183CACE2" w14:textId="77777777" w:rsidR="00B45937" w:rsidRPr="0036728D" w:rsidRDefault="00B45937" w:rsidP="00D1554C">
            <w:pPr>
              <w:rPr>
                <w:rFonts w:ascii="Arial" w:hAnsi="Arial" w:cs="Arial"/>
                <w:sz w:val="20"/>
                <w:szCs w:val="20"/>
              </w:rPr>
            </w:pPr>
            <w:r w:rsidRPr="0036728D">
              <w:rPr>
                <w:rFonts w:ascii="Arial" w:hAnsi="Arial" w:cs="Arial"/>
                <w:b/>
                <w:bCs/>
                <w:color w:val="FFFFFF"/>
                <w:sz w:val="20"/>
                <w:szCs w:val="20"/>
              </w:rPr>
              <w:t>Implication for Vodafone UK</w:t>
            </w:r>
          </w:p>
        </w:tc>
      </w:tr>
      <w:tr w:rsidR="00B45937" w:rsidRPr="0036728D" w14:paraId="2E116C73" w14:textId="77777777" w:rsidTr="007110E7">
        <w:trPr>
          <w:jc w:val="center"/>
        </w:trPr>
        <w:tc>
          <w:tcPr>
            <w:tcW w:w="2000" w:type="dxa"/>
            <w:shd w:val="clear" w:color="auto" w:fill="auto"/>
            <w:tcMar>
              <w:top w:w="80" w:type="dxa"/>
              <w:left w:w="100" w:type="dxa"/>
              <w:bottom w:w="80" w:type="dxa"/>
              <w:right w:w="100" w:type="dxa"/>
            </w:tcMar>
            <w:vAlign w:val="center"/>
          </w:tcPr>
          <w:p w14:paraId="0B079A62"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Political</w:t>
            </w:r>
          </w:p>
        </w:tc>
        <w:tc>
          <w:tcPr>
            <w:tcW w:w="6400" w:type="dxa"/>
            <w:shd w:val="clear" w:color="auto" w:fill="auto"/>
            <w:tcMar>
              <w:top w:w="80" w:type="dxa"/>
              <w:left w:w="100" w:type="dxa"/>
              <w:bottom w:w="80" w:type="dxa"/>
              <w:right w:w="100" w:type="dxa"/>
            </w:tcMar>
            <w:vAlign w:val="center"/>
          </w:tcPr>
          <w:p w14:paraId="3DBA45B8"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 xml:space="preserve">UK Government support for digital infrastructure and 5G rollout; CMA approval (2025) and National Security and Investment Act review </w:t>
            </w:r>
            <w:r w:rsidRPr="0036728D">
              <w:rPr>
                <w:rFonts w:ascii="Arial" w:hAnsi="Arial" w:cs="Arial"/>
                <w:color w:val="000000"/>
                <w:sz w:val="20"/>
                <w:szCs w:val="20"/>
              </w:rPr>
              <w:lastRenderedPageBreak/>
              <w:t>(2026) of telecoms consolidation directly shape Vodafone's ability to integrate and expand (Vodafone Group Plc, 2026a).</w:t>
            </w:r>
          </w:p>
        </w:tc>
      </w:tr>
      <w:tr w:rsidR="00B45937" w:rsidRPr="0036728D" w14:paraId="3B625975" w14:textId="77777777" w:rsidTr="007110E7">
        <w:trPr>
          <w:jc w:val="center"/>
        </w:trPr>
        <w:tc>
          <w:tcPr>
            <w:tcW w:w="2000" w:type="dxa"/>
            <w:shd w:val="clear" w:color="auto" w:fill="auto"/>
            <w:tcMar>
              <w:top w:w="80" w:type="dxa"/>
              <w:left w:w="100" w:type="dxa"/>
              <w:bottom w:w="80" w:type="dxa"/>
              <w:right w:w="100" w:type="dxa"/>
            </w:tcMar>
            <w:vAlign w:val="center"/>
          </w:tcPr>
          <w:p w14:paraId="6D7A51FD"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lastRenderedPageBreak/>
              <w:t>Economic</w:t>
            </w:r>
          </w:p>
        </w:tc>
        <w:tc>
          <w:tcPr>
            <w:tcW w:w="6400" w:type="dxa"/>
            <w:shd w:val="clear" w:color="auto" w:fill="auto"/>
            <w:tcMar>
              <w:top w:w="80" w:type="dxa"/>
              <w:left w:w="100" w:type="dxa"/>
              <w:bottom w:w="80" w:type="dxa"/>
              <w:right w:w="100" w:type="dxa"/>
            </w:tcMar>
            <w:vAlign w:val="center"/>
          </w:tcPr>
          <w:p w14:paraId="08A84B6D"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UK inflation and cost-of-living pressure affect consumer spend on mobile/broadband contracts; sterling movements affect Group reporting given Vodafone's euro-denominated accounts (Investing.com, 2025).</w:t>
            </w:r>
          </w:p>
        </w:tc>
      </w:tr>
      <w:tr w:rsidR="00B45937" w:rsidRPr="0036728D" w14:paraId="10392B04" w14:textId="77777777" w:rsidTr="007110E7">
        <w:trPr>
          <w:jc w:val="center"/>
        </w:trPr>
        <w:tc>
          <w:tcPr>
            <w:tcW w:w="2000" w:type="dxa"/>
            <w:shd w:val="clear" w:color="auto" w:fill="auto"/>
            <w:tcMar>
              <w:top w:w="80" w:type="dxa"/>
              <w:left w:w="100" w:type="dxa"/>
              <w:bottom w:w="80" w:type="dxa"/>
              <w:right w:w="100" w:type="dxa"/>
            </w:tcMar>
            <w:vAlign w:val="center"/>
          </w:tcPr>
          <w:p w14:paraId="470EB492"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Social</w:t>
            </w:r>
          </w:p>
        </w:tc>
        <w:tc>
          <w:tcPr>
            <w:tcW w:w="6400" w:type="dxa"/>
            <w:shd w:val="clear" w:color="auto" w:fill="auto"/>
            <w:tcMar>
              <w:top w:w="80" w:type="dxa"/>
              <w:left w:w="100" w:type="dxa"/>
              <w:bottom w:w="80" w:type="dxa"/>
              <w:right w:w="100" w:type="dxa"/>
            </w:tcMar>
            <w:vAlign w:val="center"/>
          </w:tcPr>
          <w:p w14:paraId="1A32216E"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Rising expectations for seamless connectivity, digital inclusion and sustainability; growing demand for convergent home-and-mobile bundles and remote/flexible working driving data consumption (</w:t>
            </w:r>
            <w:proofErr w:type="spellStart"/>
            <w:r w:rsidRPr="0036728D">
              <w:rPr>
                <w:rFonts w:ascii="Arial" w:hAnsi="Arial" w:cs="Arial"/>
                <w:color w:val="000000"/>
                <w:sz w:val="20"/>
                <w:szCs w:val="20"/>
              </w:rPr>
              <w:t>MatrixBCG</w:t>
            </w:r>
            <w:proofErr w:type="spellEnd"/>
            <w:r w:rsidRPr="0036728D">
              <w:rPr>
                <w:rFonts w:ascii="Arial" w:hAnsi="Arial" w:cs="Arial"/>
                <w:color w:val="000000"/>
                <w:sz w:val="20"/>
                <w:szCs w:val="20"/>
              </w:rPr>
              <w:t>, 2026).</w:t>
            </w:r>
          </w:p>
        </w:tc>
      </w:tr>
      <w:tr w:rsidR="00B45937" w:rsidRPr="0036728D" w14:paraId="73A8A5EF" w14:textId="77777777" w:rsidTr="007110E7">
        <w:trPr>
          <w:jc w:val="center"/>
        </w:trPr>
        <w:tc>
          <w:tcPr>
            <w:tcW w:w="2000" w:type="dxa"/>
            <w:shd w:val="clear" w:color="auto" w:fill="auto"/>
            <w:tcMar>
              <w:top w:w="80" w:type="dxa"/>
              <w:left w:w="100" w:type="dxa"/>
              <w:bottom w:w="80" w:type="dxa"/>
              <w:right w:w="100" w:type="dxa"/>
            </w:tcMar>
            <w:vAlign w:val="center"/>
          </w:tcPr>
          <w:p w14:paraId="7C33F8D0"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Technological</w:t>
            </w:r>
          </w:p>
        </w:tc>
        <w:tc>
          <w:tcPr>
            <w:tcW w:w="6400" w:type="dxa"/>
            <w:shd w:val="clear" w:color="auto" w:fill="auto"/>
            <w:tcMar>
              <w:top w:w="80" w:type="dxa"/>
              <w:left w:w="100" w:type="dxa"/>
              <w:bottom w:w="80" w:type="dxa"/>
              <w:right w:w="100" w:type="dxa"/>
            </w:tcMar>
            <w:vAlign w:val="center"/>
          </w:tcPr>
          <w:p w14:paraId="70DD44E3"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Rapid transition to 5G Standalone, Open RAN, AI-enabled network management, IoT and early-stage satellite-to-mobile connectivity are reshaping competitive differentiation (</w:t>
            </w:r>
            <w:proofErr w:type="spellStart"/>
            <w:r w:rsidRPr="0036728D">
              <w:rPr>
                <w:rFonts w:ascii="Arial" w:hAnsi="Arial" w:cs="Arial"/>
                <w:color w:val="000000"/>
                <w:sz w:val="20"/>
                <w:szCs w:val="20"/>
              </w:rPr>
              <w:t>Opensignal</w:t>
            </w:r>
            <w:proofErr w:type="spellEnd"/>
            <w:r w:rsidRPr="0036728D">
              <w:rPr>
                <w:rFonts w:ascii="Arial" w:hAnsi="Arial" w:cs="Arial"/>
                <w:color w:val="000000"/>
                <w:sz w:val="20"/>
                <w:szCs w:val="20"/>
              </w:rPr>
              <w:t>, 2026).</w:t>
            </w:r>
          </w:p>
        </w:tc>
      </w:tr>
      <w:tr w:rsidR="00B45937" w:rsidRPr="0036728D" w14:paraId="57726602" w14:textId="77777777" w:rsidTr="007110E7">
        <w:trPr>
          <w:jc w:val="center"/>
        </w:trPr>
        <w:tc>
          <w:tcPr>
            <w:tcW w:w="2000" w:type="dxa"/>
            <w:shd w:val="clear" w:color="auto" w:fill="auto"/>
            <w:tcMar>
              <w:top w:w="80" w:type="dxa"/>
              <w:left w:w="100" w:type="dxa"/>
              <w:bottom w:w="80" w:type="dxa"/>
              <w:right w:w="100" w:type="dxa"/>
            </w:tcMar>
            <w:vAlign w:val="center"/>
          </w:tcPr>
          <w:p w14:paraId="27F2AA33"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Environmental</w:t>
            </w:r>
          </w:p>
        </w:tc>
        <w:tc>
          <w:tcPr>
            <w:tcW w:w="6400" w:type="dxa"/>
            <w:shd w:val="clear" w:color="auto" w:fill="auto"/>
            <w:tcMar>
              <w:top w:w="80" w:type="dxa"/>
              <w:left w:w="100" w:type="dxa"/>
              <w:bottom w:w="80" w:type="dxa"/>
              <w:right w:w="100" w:type="dxa"/>
            </w:tcMar>
            <w:vAlign w:val="center"/>
          </w:tcPr>
          <w:p w14:paraId="2378416B"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ESG expectations from investors and regulators around energy-efficient networks, net-zero commitments and responsible handset lifecycle management (Mordor Intelligence, 2026).</w:t>
            </w:r>
          </w:p>
        </w:tc>
      </w:tr>
      <w:tr w:rsidR="00B45937" w:rsidRPr="0036728D" w14:paraId="5EF2749B" w14:textId="77777777" w:rsidTr="007110E7">
        <w:trPr>
          <w:jc w:val="center"/>
        </w:trPr>
        <w:tc>
          <w:tcPr>
            <w:tcW w:w="2000" w:type="dxa"/>
            <w:shd w:val="clear" w:color="auto" w:fill="auto"/>
            <w:tcMar>
              <w:top w:w="80" w:type="dxa"/>
              <w:left w:w="100" w:type="dxa"/>
              <w:bottom w:w="80" w:type="dxa"/>
              <w:right w:w="100" w:type="dxa"/>
            </w:tcMar>
            <w:vAlign w:val="center"/>
          </w:tcPr>
          <w:p w14:paraId="5AC04726"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Legal</w:t>
            </w:r>
          </w:p>
        </w:tc>
        <w:tc>
          <w:tcPr>
            <w:tcW w:w="6400" w:type="dxa"/>
            <w:shd w:val="clear" w:color="auto" w:fill="auto"/>
            <w:tcMar>
              <w:top w:w="80" w:type="dxa"/>
              <w:left w:w="100" w:type="dxa"/>
              <w:bottom w:w="80" w:type="dxa"/>
              <w:right w:w="100" w:type="dxa"/>
            </w:tcMar>
            <w:vAlign w:val="center"/>
          </w:tcPr>
          <w:p w14:paraId="1D765047"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Ofcom regulation of spectrum, pricing and net neutrality; data protection (UK GDPR); merger and competition law, including remedies attached to the Three UK merger and the CKHGT ownership transaction (Vodafone Group Plc, 2025a; 2026a).</w:t>
            </w:r>
          </w:p>
        </w:tc>
      </w:tr>
    </w:tbl>
    <w:p w14:paraId="16703CB9" w14:textId="79DC0B2A" w:rsidR="00B45937" w:rsidRPr="0036728D" w:rsidRDefault="007110E7" w:rsidP="00B45937">
      <w:pPr>
        <w:spacing w:before="60" w:after="220"/>
        <w:rPr>
          <w:rFonts w:ascii="Arial" w:hAnsi="Arial" w:cs="Arial"/>
          <w:sz w:val="20"/>
          <w:szCs w:val="20"/>
        </w:rPr>
      </w:pPr>
      <w:r>
        <w:rPr>
          <w:rFonts w:ascii="Arial" w:hAnsi="Arial" w:cs="Arial"/>
          <w:i/>
          <w:iCs/>
          <w:color w:val="595959"/>
          <w:sz w:val="20"/>
          <w:szCs w:val="20"/>
        </w:rPr>
        <w:t xml:space="preserve">     </w:t>
      </w:r>
      <w:r w:rsidR="00B45937" w:rsidRPr="0036728D">
        <w:rPr>
          <w:rFonts w:ascii="Arial" w:hAnsi="Arial" w:cs="Arial"/>
          <w:i/>
          <w:iCs/>
          <w:color w:val="595959"/>
          <w:sz w:val="20"/>
          <w:szCs w:val="20"/>
        </w:rPr>
        <w:t>Table 2: PESTEL analysis of the UK telecommunications environment.</w:t>
      </w:r>
    </w:p>
    <w:p w14:paraId="70A2D458" w14:textId="77777777" w:rsidR="001C269C" w:rsidRDefault="001C269C" w:rsidP="00F705E3">
      <w:pPr>
        <w:pStyle w:val="Ttulo2"/>
      </w:pPr>
    </w:p>
    <w:p w14:paraId="25E23745" w14:textId="36DA52AF" w:rsidR="00F705E3" w:rsidRDefault="00F705E3" w:rsidP="00F705E3">
      <w:pPr>
        <w:pStyle w:val="Ttulo2"/>
      </w:pPr>
      <w:bookmarkStart w:id="9" w:name="_Toc237175169"/>
      <w:r w:rsidRPr="00A2495C">
        <w:t>3.</w:t>
      </w:r>
      <w:r>
        <w:t>3 Porter’s Five Forces</w:t>
      </w:r>
      <w:bookmarkEnd w:id="9"/>
    </w:p>
    <w:p w14:paraId="7C3F02D1" w14:textId="77777777" w:rsidR="00F705E3" w:rsidRDefault="00F705E3" w:rsidP="00F705E3">
      <w:pPr>
        <w:spacing w:line="360" w:lineRule="auto"/>
        <w:jc w:val="both"/>
        <w:rPr>
          <w:rFonts w:ascii="Arial" w:hAnsi="Arial" w:cs="Arial"/>
          <w:color w:val="000000"/>
        </w:rPr>
      </w:pPr>
    </w:p>
    <w:p w14:paraId="09BA43CC" w14:textId="0195035D" w:rsidR="00B45937" w:rsidRPr="00300575" w:rsidRDefault="001C269C" w:rsidP="00300575">
      <w:pPr>
        <w:spacing w:line="360" w:lineRule="auto"/>
        <w:jc w:val="both"/>
        <w:rPr>
          <w:rFonts w:ascii="Arial" w:hAnsi="Arial" w:cs="Arial"/>
        </w:rPr>
      </w:pPr>
      <w:r w:rsidRPr="001C269C">
        <w:rPr>
          <w:rFonts w:ascii="Arial" w:hAnsi="Arial" w:cs="Arial"/>
        </w:rPr>
        <w:t>Porter's Five Forces framework is applied to assess the intensity of competition in the UK mobile and converged-communications industry post-consolidation.</w:t>
      </w:r>
    </w:p>
    <w:tbl>
      <w:tblPr>
        <w:tblW w:w="8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00"/>
        <w:gridCol w:w="1400"/>
        <w:gridCol w:w="5000"/>
      </w:tblGrid>
      <w:tr w:rsidR="00B45937" w:rsidRPr="0036728D" w14:paraId="5AC43279" w14:textId="77777777" w:rsidTr="007110E7">
        <w:trPr>
          <w:tblHeader/>
          <w:jc w:val="center"/>
        </w:trPr>
        <w:tc>
          <w:tcPr>
            <w:tcW w:w="2000" w:type="dxa"/>
            <w:shd w:val="clear" w:color="auto" w:fill="1B0459"/>
            <w:tcMar>
              <w:top w:w="80" w:type="dxa"/>
              <w:left w:w="100" w:type="dxa"/>
              <w:bottom w:w="80" w:type="dxa"/>
              <w:right w:w="100" w:type="dxa"/>
            </w:tcMar>
            <w:vAlign w:val="center"/>
          </w:tcPr>
          <w:p w14:paraId="49C7AB59" w14:textId="77777777" w:rsidR="00B45937" w:rsidRPr="0036728D" w:rsidRDefault="00B45937" w:rsidP="00D1554C">
            <w:pPr>
              <w:rPr>
                <w:rFonts w:ascii="Arial" w:hAnsi="Arial" w:cs="Arial"/>
                <w:sz w:val="20"/>
                <w:szCs w:val="20"/>
              </w:rPr>
            </w:pPr>
            <w:r w:rsidRPr="0036728D">
              <w:rPr>
                <w:rFonts w:ascii="Arial" w:hAnsi="Arial" w:cs="Arial"/>
                <w:b/>
                <w:bCs/>
                <w:color w:val="FFFFFF"/>
                <w:sz w:val="20"/>
                <w:szCs w:val="20"/>
              </w:rPr>
              <w:t>Force</w:t>
            </w:r>
          </w:p>
        </w:tc>
        <w:tc>
          <w:tcPr>
            <w:tcW w:w="1400" w:type="dxa"/>
            <w:shd w:val="clear" w:color="auto" w:fill="1B0459"/>
            <w:tcMar>
              <w:top w:w="80" w:type="dxa"/>
              <w:left w:w="100" w:type="dxa"/>
              <w:bottom w:w="80" w:type="dxa"/>
              <w:right w:w="100" w:type="dxa"/>
            </w:tcMar>
            <w:vAlign w:val="center"/>
          </w:tcPr>
          <w:p w14:paraId="0C053EB1" w14:textId="77777777" w:rsidR="00B45937" w:rsidRPr="0036728D" w:rsidRDefault="00B45937" w:rsidP="00D1554C">
            <w:pPr>
              <w:rPr>
                <w:rFonts w:ascii="Arial" w:hAnsi="Arial" w:cs="Arial"/>
                <w:sz w:val="20"/>
                <w:szCs w:val="20"/>
              </w:rPr>
            </w:pPr>
            <w:r w:rsidRPr="0036728D">
              <w:rPr>
                <w:rFonts w:ascii="Arial" w:hAnsi="Arial" w:cs="Arial"/>
                <w:b/>
                <w:bCs/>
                <w:color w:val="FFFFFF"/>
                <w:sz w:val="20"/>
                <w:szCs w:val="20"/>
              </w:rPr>
              <w:t>Intensity</w:t>
            </w:r>
          </w:p>
        </w:tc>
        <w:tc>
          <w:tcPr>
            <w:tcW w:w="5000" w:type="dxa"/>
            <w:shd w:val="clear" w:color="auto" w:fill="1B0459"/>
            <w:tcMar>
              <w:top w:w="80" w:type="dxa"/>
              <w:left w:w="100" w:type="dxa"/>
              <w:bottom w:w="80" w:type="dxa"/>
              <w:right w:w="100" w:type="dxa"/>
            </w:tcMar>
            <w:vAlign w:val="center"/>
          </w:tcPr>
          <w:p w14:paraId="4042B91C" w14:textId="77777777" w:rsidR="00B45937" w:rsidRPr="0036728D" w:rsidRDefault="00B45937" w:rsidP="00D1554C">
            <w:pPr>
              <w:rPr>
                <w:rFonts w:ascii="Arial" w:hAnsi="Arial" w:cs="Arial"/>
                <w:sz w:val="20"/>
                <w:szCs w:val="20"/>
              </w:rPr>
            </w:pPr>
            <w:r w:rsidRPr="0036728D">
              <w:rPr>
                <w:rFonts w:ascii="Arial" w:hAnsi="Arial" w:cs="Arial"/>
                <w:b/>
                <w:bCs/>
                <w:color w:val="FFFFFF"/>
                <w:sz w:val="20"/>
                <w:szCs w:val="20"/>
              </w:rPr>
              <w:t>Analysis</w:t>
            </w:r>
          </w:p>
        </w:tc>
      </w:tr>
      <w:tr w:rsidR="00B45937" w:rsidRPr="0036728D" w14:paraId="14B26191" w14:textId="77777777" w:rsidTr="007110E7">
        <w:trPr>
          <w:jc w:val="center"/>
        </w:trPr>
        <w:tc>
          <w:tcPr>
            <w:tcW w:w="2000" w:type="dxa"/>
            <w:shd w:val="clear" w:color="auto" w:fill="auto"/>
            <w:tcMar>
              <w:top w:w="80" w:type="dxa"/>
              <w:left w:w="100" w:type="dxa"/>
              <w:bottom w:w="80" w:type="dxa"/>
              <w:right w:w="100" w:type="dxa"/>
            </w:tcMar>
            <w:vAlign w:val="center"/>
          </w:tcPr>
          <w:p w14:paraId="33D13ADA"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Threat of new entrants</w:t>
            </w:r>
          </w:p>
        </w:tc>
        <w:tc>
          <w:tcPr>
            <w:tcW w:w="1400" w:type="dxa"/>
            <w:shd w:val="clear" w:color="auto" w:fill="auto"/>
            <w:tcMar>
              <w:top w:w="80" w:type="dxa"/>
              <w:left w:w="100" w:type="dxa"/>
              <w:bottom w:w="80" w:type="dxa"/>
              <w:right w:w="100" w:type="dxa"/>
            </w:tcMar>
            <w:vAlign w:val="center"/>
          </w:tcPr>
          <w:p w14:paraId="7CCB9070"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Low</w:t>
            </w:r>
          </w:p>
        </w:tc>
        <w:tc>
          <w:tcPr>
            <w:tcW w:w="5000" w:type="dxa"/>
            <w:shd w:val="clear" w:color="auto" w:fill="auto"/>
            <w:tcMar>
              <w:top w:w="80" w:type="dxa"/>
              <w:left w:w="100" w:type="dxa"/>
              <w:bottom w:w="80" w:type="dxa"/>
              <w:right w:w="100" w:type="dxa"/>
            </w:tcMar>
            <w:vAlign w:val="center"/>
          </w:tcPr>
          <w:p w14:paraId="28711153" w14:textId="1AED6550" w:rsidR="00B45937" w:rsidRPr="0036728D" w:rsidRDefault="00B45937" w:rsidP="00D1554C">
            <w:pPr>
              <w:rPr>
                <w:rFonts w:ascii="Arial" w:hAnsi="Arial" w:cs="Arial"/>
                <w:sz w:val="20"/>
                <w:szCs w:val="20"/>
              </w:rPr>
            </w:pPr>
            <w:r w:rsidRPr="0036728D">
              <w:rPr>
                <w:rFonts w:ascii="Arial" w:hAnsi="Arial" w:cs="Arial"/>
                <w:color w:val="000000"/>
                <w:sz w:val="20"/>
                <w:szCs w:val="20"/>
              </w:rPr>
              <w:t>Extremely high capital requirements for network infrastructure and scarce spectrum limit new physical entrants; MVNOs can enter more easily but do not threaten the infrastructure layer (Mordor Intelligence, 2026).</w:t>
            </w:r>
          </w:p>
        </w:tc>
      </w:tr>
      <w:tr w:rsidR="00B45937" w:rsidRPr="0036728D" w14:paraId="1AF70A89" w14:textId="77777777" w:rsidTr="007110E7">
        <w:trPr>
          <w:jc w:val="center"/>
        </w:trPr>
        <w:tc>
          <w:tcPr>
            <w:tcW w:w="2000" w:type="dxa"/>
            <w:shd w:val="clear" w:color="auto" w:fill="auto"/>
            <w:tcMar>
              <w:top w:w="80" w:type="dxa"/>
              <w:left w:w="100" w:type="dxa"/>
              <w:bottom w:w="80" w:type="dxa"/>
              <w:right w:w="100" w:type="dxa"/>
            </w:tcMar>
            <w:vAlign w:val="center"/>
          </w:tcPr>
          <w:p w14:paraId="1A55A4EF"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Bargaining power of buyers</w:t>
            </w:r>
          </w:p>
        </w:tc>
        <w:tc>
          <w:tcPr>
            <w:tcW w:w="1400" w:type="dxa"/>
            <w:shd w:val="clear" w:color="auto" w:fill="auto"/>
            <w:tcMar>
              <w:top w:w="80" w:type="dxa"/>
              <w:left w:w="100" w:type="dxa"/>
              <w:bottom w:w="80" w:type="dxa"/>
              <w:right w:w="100" w:type="dxa"/>
            </w:tcMar>
            <w:vAlign w:val="center"/>
          </w:tcPr>
          <w:p w14:paraId="62A53392"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Medium-High</w:t>
            </w:r>
          </w:p>
        </w:tc>
        <w:tc>
          <w:tcPr>
            <w:tcW w:w="5000" w:type="dxa"/>
            <w:shd w:val="clear" w:color="auto" w:fill="auto"/>
            <w:tcMar>
              <w:top w:w="80" w:type="dxa"/>
              <w:left w:w="100" w:type="dxa"/>
              <w:bottom w:w="80" w:type="dxa"/>
              <w:right w:w="100" w:type="dxa"/>
            </w:tcMar>
            <w:vAlign w:val="center"/>
          </w:tcPr>
          <w:p w14:paraId="76B86491"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UK consumers can switch relatively easily under Ofcom-mandated switching rules and are price-sensitive; large enterprise/public-sector customers can negotiate on scale (Rothaermel, 2021).</w:t>
            </w:r>
          </w:p>
        </w:tc>
      </w:tr>
      <w:tr w:rsidR="00B45937" w:rsidRPr="0036728D" w14:paraId="727F8030" w14:textId="77777777" w:rsidTr="007110E7">
        <w:trPr>
          <w:jc w:val="center"/>
        </w:trPr>
        <w:tc>
          <w:tcPr>
            <w:tcW w:w="2000" w:type="dxa"/>
            <w:shd w:val="clear" w:color="auto" w:fill="auto"/>
            <w:tcMar>
              <w:top w:w="80" w:type="dxa"/>
              <w:left w:w="100" w:type="dxa"/>
              <w:bottom w:w="80" w:type="dxa"/>
              <w:right w:w="100" w:type="dxa"/>
            </w:tcMar>
            <w:vAlign w:val="center"/>
          </w:tcPr>
          <w:p w14:paraId="125BE6FD"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Bargaining power of suppliers</w:t>
            </w:r>
          </w:p>
        </w:tc>
        <w:tc>
          <w:tcPr>
            <w:tcW w:w="1400" w:type="dxa"/>
            <w:shd w:val="clear" w:color="auto" w:fill="auto"/>
            <w:tcMar>
              <w:top w:w="80" w:type="dxa"/>
              <w:left w:w="100" w:type="dxa"/>
              <w:bottom w:w="80" w:type="dxa"/>
              <w:right w:w="100" w:type="dxa"/>
            </w:tcMar>
            <w:vAlign w:val="center"/>
          </w:tcPr>
          <w:p w14:paraId="6AB93ABE"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Medium</w:t>
            </w:r>
          </w:p>
        </w:tc>
        <w:tc>
          <w:tcPr>
            <w:tcW w:w="5000" w:type="dxa"/>
            <w:shd w:val="clear" w:color="auto" w:fill="auto"/>
            <w:tcMar>
              <w:top w:w="80" w:type="dxa"/>
              <w:left w:w="100" w:type="dxa"/>
              <w:bottom w:w="80" w:type="dxa"/>
              <w:right w:w="100" w:type="dxa"/>
            </w:tcMar>
            <w:vAlign w:val="center"/>
          </w:tcPr>
          <w:p w14:paraId="5F0F8C20" w14:textId="6EADA2EB" w:rsidR="00B45937" w:rsidRPr="0036728D" w:rsidRDefault="00B45937" w:rsidP="00D1554C">
            <w:pPr>
              <w:rPr>
                <w:rFonts w:ascii="Arial" w:hAnsi="Arial" w:cs="Arial"/>
                <w:sz w:val="20"/>
                <w:szCs w:val="20"/>
              </w:rPr>
            </w:pPr>
            <w:r w:rsidRPr="0036728D">
              <w:rPr>
                <w:rFonts w:ascii="Arial" w:hAnsi="Arial" w:cs="Arial"/>
                <w:color w:val="000000"/>
                <w:sz w:val="20"/>
                <w:szCs w:val="20"/>
              </w:rPr>
              <w:t>A concentrated group of network equipment vendors and handset manufacturers hold some pricing power, partly offset by Vodafone's growing scale post-merger.</w:t>
            </w:r>
          </w:p>
        </w:tc>
      </w:tr>
      <w:tr w:rsidR="00B45937" w:rsidRPr="0036728D" w14:paraId="777BFE77" w14:textId="77777777" w:rsidTr="007110E7">
        <w:trPr>
          <w:jc w:val="center"/>
        </w:trPr>
        <w:tc>
          <w:tcPr>
            <w:tcW w:w="2000" w:type="dxa"/>
            <w:shd w:val="clear" w:color="auto" w:fill="auto"/>
            <w:tcMar>
              <w:top w:w="80" w:type="dxa"/>
              <w:left w:w="100" w:type="dxa"/>
              <w:bottom w:w="80" w:type="dxa"/>
              <w:right w:w="100" w:type="dxa"/>
            </w:tcMar>
            <w:vAlign w:val="center"/>
          </w:tcPr>
          <w:p w14:paraId="2065A61A"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Threat of substitutes</w:t>
            </w:r>
          </w:p>
        </w:tc>
        <w:tc>
          <w:tcPr>
            <w:tcW w:w="1400" w:type="dxa"/>
            <w:shd w:val="clear" w:color="auto" w:fill="auto"/>
            <w:tcMar>
              <w:top w:w="80" w:type="dxa"/>
              <w:left w:w="100" w:type="dxa"/>
              <w:bottom w:w="80" w:type="dxa"/>
              <w:right w:w="100" w:type="dxa"/>
            </w:tcMar>
            <w:vAlign w:val="center"/>
          </w:tcPr>
          <w:p w14:paraId="76A2063D"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Medium</w:t>
            </w:r>
          </w:p>
        </w:tc>
        <w:tc>
          <w:tcPr>
            <w:tcW w:w="5000" w:type="dxa"/>
            <w:shd w:val="clear" w:color="auto" w:fill="auto"/>
            <w:tcMar>
              <w:top w:w="80" w:type="dxa"/>
              <w:left w:w="100" w:type="dxa"/>
              <w:bottom w:w="80" w:type="dxa"/>
              <w:right w:w="100" w:type="dxa"/>
            </w:tcMar>
            <w:vAlign w:val="center"/>
          </w:tcPr>
          <w:p w14:paraId="40D64759"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 xml:space="preserve">Wi-Fi calling, OTT messaging/VoIP and </w:t>
            </w:r>
            <w:proofErr w:type="gramStart"/>
            <w:r w:rsidRPr="0036728D">
              <w:rPr>
                <w:rFonts w:ascii="Arial" w:hAnsi="Arial" w:cs="Arial"/>
                <w:color w:val="000000"/>
                <w:sz w:val="20"/>
                <w:szCs w:val="20"/>
              </w:rPr>
              <w:t>fixed-line</w:t>
            </w:r>
            <w:proofErr w:type="gramEnd"/>
            <w:r w:rsidRPr="0036728D">
              <w:rPr>
                <w:rFonts w:ascii="Arial" w:hAnsi="Arial" w:cs="Arial"/>
                <w:color w:val="000000"/>
                <w:sz w:val="20"/>
                <w:szCs w:val="20"/>
              </w:rPr>
              <w:t>/satellite alternatives substitute for traditional voice and data revenue, though data demand growth partly offsets this (Rothaermel, 2021).</w:t>
            </w:r>
          </w:p>
        </w:tc>
      </w:tr>
      <w:tr w:rsidR="00B45937" w:rsidRPr="0036728D" w14:paraId="4DC2F5BA" w14:textId="77777777" w:rsidTr="007110E7">
        <w:trPr>
          <w:jc w:val="center"/>
        </w:trPr>
        <w:tc>
          <w:tcPr>
            <w:tcW w:w="2000" w:type="dxa"/>
            <w:shd w:val="clear" w:color="auto" w:fill="auto"/>
            <w:tcMar>
              <w:top w:w="80" w:type="dxa"/>
              <w:left w:w="100" w:type="dxa"/>
              <w:bottom w:w="80" w:type="dxa"/>
              <w:right w:w="100" w:type="dxa"/>
            </w:tcMar>
            <w:vAlign w:val="center"/>
          </w:tcPr>
          <w:p w14:paraId="6ADE12F7"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lastRenderedPageBreak/>
              <w:t>Competitive rivalry</w:t>
            </w:r>
          </w:p>
        </w:tc>
        <w:tc>
          <w:tcPr>
            <w:tcW w:w="1400" w:type="dxa"/>
            <w:shd w:val="clear" w:color="auto" w:fill="auto"/>
            <w:tcMar>
              <w:top w:w="80" w:type="dxa"/>
              <w:left w:w="100" w:type="dxa"/>
              <w:bottom w:w="80" w:type="dxa"/>
              <w:right w:w="100" w:type="dxa"/>
            </w:tcMar>
            <w:vAlign w:val="center"/>
          </w:tcPr>
          <w:p w14:paraId="648A719C"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High</w:t>
            </w:r>
          </w:p>
        </w:tc>
        <w:tc>
          <w:tcPr>
            <w:tcW w:w="5000" w:type="dxa"/>
            <w:shd w:val="clear" w:color="auto" w:fill="auto"/>
            <w:tcMar>
              <w:top w:w="80" w:type="dxa"/>
              <w:left w:w="100" w:type="dxa"/>
              <w:bottom w:w="80" w:type="dxa"/>
              <w:right w:w="100" w:type="dxa"/>
            </w:tcMar>
            <w:vAlign w:val="center"/>
          </w:tcPr>
          <w:p w14:paraId="2E354C75"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Only three infrastructure-owning rivals now compete head-to-head, each investing heavily in 5G SA, convergence and pricing, sustaining intense rivalry despite market consolidation (</w:t>
            </w:r>
            <w:proofErr w:type="spellStart"/>
            <w:r w:rsidRPr="0036728D">
              <w:rPr>
                <w:rFonts w:ascii="Arial" w:hAnsi="Arial" w:cs="Arial"/>
                <w:color w:val="000000"/>
                <w:sz w:val="20"/>
                <w:szCs w:val="20"/>
              </w:rPr>
              <w:t>Opensignal</w:t>
            </w:r>
            <w:proofErr w:type="spellEnd"/>
            <w:r w:rsidRPr="0036728D">
              <w:rPr>
                <w:rFonts w:ascii="Arial" w:hAnsi="Arial" w:cs="Arial"/>
                <w:color w:val="000000"/>
                <w:sz w:val="20"/>
                <w:szCs w:val="20"/>
              </w:rPr>
              <w:t>, 2026).</w:t>
            </w:r>
          </w:p>
        </w:tc>
      </w:tr>
    </w:tbl>
    <w:p w14:paraId="25F1F204" w14:textId="7262CF0B" w:rsidR="00F705E3" w:rsidRPr="0036728D" w:rsidRDefault="007110E7" w:rsidP="00300575">
      <w:pPr>
        <w:spacing w:before="60" w:after="220"/>
        <w:rPr>
          <w:rFonts w:ascii="Arial" w:hAnsi="Arial" w:cs="Arial"/>
          <w:sz w:val="20"/>
          <w:szCs w:val="20"/>
        </w:rPr>
      </w:pPr>
      <w:r>
        <w:rPr>
          <w:rFonts w:ascii="Arial" w:hAnsi="Arial" w:cs="Arial"/>
          <w:i/>
          <w:iCs/>
          <w:color w:val="595959"/>
          <w:sz w:val="20"/>
          <w:szCs w:val="20"/>
        </w:rPr>
        <w:t xml:space="preserve">     </w:t>
      </w:r>
      <w:r w:rsidR="00B45937" w:rsidRPr="0036728D">
        <w:rPr>
          <w:rFonts w:ascii="Arial" w:hAnsi="Arial" w:cs="Arial"/>
          <w:i/>
          <w:iCs/>
          <w:color w:val="595959"/>
          <w:sz w:val="20"/>
          <w:szCs w:val="20"/>
        </w:rPr>
        <w:t>Table 3: Porter's Five Forces analysis of the UK mobile/converged telecoms industry.</w:t>
      </w:r>
    </w:p>
    <w:p w14:paraId="193D5F30" w14:textId="77777777" w:rsidR="0036728D" w:rsidRDefault="0036728D" w:rsidP="00F705E3">
      <w:pPr>
        <w:pStyle w:val="Ttulo2"/>
      </w:pPr>
    </w:p>
    <w:p w14:paraId="00F5ADCE" w14:textId="5651BFF1" w:rsidR="00F705E3" w:rsidRDefault="00F705E3" w:rsidP="00F705E3">
      <w:pPr>
        <w:pStyle w:val="Ttulo2"/>
      </w:pPr>
      <w:bookmarkStart w:id="10" w:name="_Toc237175170"/>
      <w:r w:rsidRPr="00A2495C">
        <w:t>3.</w:t>
      </w:r>
      <w:r>
        <w:t>4 Synthesis</w:t>
      </w:r>
      <w:bookmarkEnd w:id="10"/>
    </w:p>
    <w:p w14:paraId="3D1B2AD2" w14:textId="77777777" w:rsidR="00F705E3" w:rsidRDefault="00F705E3" w:rsidP="00F705E3"/>
    <w:p w14:paraId="6CD2E5FA" w14:textId="77777777" w:rsidR="00F705E3" w:rsidRDefault="00F705E3" w:rsidP="00F705E3"/>
    <w:p w14:paraId="775AFAE1" w14:textId="446556F2" w:rsidR="00F705E3" w:rsidRPr="001C269C" w:rsidRDefault="001C269C" w:rsidP="001C269C">
      <w:pPr>
        <w:spacing w:line="360" w:lineRule="auto"/>
        <w:jc w:val="both"/>
        <w:rPr>
          <w:rFonts w:ascii="Arial" w:hAnsi="Arial" w:cs="Arial"/>
        </w:rPr>
      </w:pPr>
      <w:r w:rsidRPr="001C269C">
        <w:rPr>
          <w:rFonts w:ascii="Arial" w:hAnsi="Arial" w:cs="Arial"/>
        </w:rPr>
        <w:t>Taken together, these frameworks indicate that Vodafone UK has substantially strengthened its structural position through consolidation: it now benefits from reduced direct rivalry, materially greater scale, and a long-dated, well-funded infrastructure investment programme (Vodafone Group Plc, 2025a; 2026a). However, this scale has not removed competitive intensity - EE continues to lead on network-quality perception and Virgin Media O2 has secured additional spectrum from Vodafone UK itself, strengthening its own position and illustrating that consolidation benefits are not exclusive to Vodafone (</w:t>
      </w:r>
      <w:proofErr w:type="spellStart"/>
      <w:r w:rsidRPr="001C269C">
        <w:rPr>
          <w:rFonts w:ascii="Arial" w:hAnsi="Arial" w:cs="Arial"/>
        </w:rPr>
        <w:t>Opensignal</w:t>
      </w:r>
      <w:proofErr w:type="spellEnd"/>
      <w:r w:rsidRPr="001C269C">
        <w:rPr>
          <w:rFonts w:ascii="Arial" w:hAnsi="Arial" w:cs="Arial"/>
        </w:rPr>
        <w:t>, 2026). The company's central strategic task, consistent with Porter's (1980) view that sustainable advantage requires a clear competitive position, is therefore to convert its newly acquired scale into demonstrably superior customer experience, network performance and digital-service growth before rivals close the gap.</w:t>
      </w:r>
    </w:p>
    <w:p w14:paraId="63DC5860" w14:textId="77777777" w:rsidR="00F705E3" w:rsidRPr="001C269C" w:rsidRDefault="00F705E3" w:rsidP="001C269C">
      <w:pPr>
        <w:spacing w:line="360" w:lineRule="auto"/>
        <w:jc w:val="both"/>
        <w:rPr>
          <w:rFonts w:ascii="Arial" w:hAnsi="Arial" w:cs="Arial"/>
        </w:rPr>
      </w:pPr>
    </w:p>
    <w:p w14:paraId="660EC390" w14:textId="7504ADF4" w:rsidR="00C279D1" w:rsidRDefault="00265F60" w:rsidP="00BB7D8C">
      <w:pPr>
        <w:pStyle w:val="Ttulo1"/>
        <w:rPr>
          <w:rFonts w:ascii="Arial" w:hAnsi="Arial" w:cs="Arial"/>
          <w:sz w:val="36"/>
          <w:szCs w:val="36"/>
        </w:rPr>
      </w:pPr>
      <w:bookmarkStart w:id="11" w:name="_Toc237175171"/>
      <w:r>
        <w:rPr>
          <w:rFonts w:ascii="Arial" w:hAnsi="Arial" w:cs="Arial"/>
          <w:sz w:val="36"/>
          <w:szCs w:val="36"/>
        </w:rPr>
        <w:t>4</w:t>
      </w:r>
      <w:r w:rsidR="00796ED3" w:rsidRPr="00796ED3">
        <w:rPr>
          <w:rFonts w:ascii="Arial" w:hAnsi="Arial" w:cs="Arial"/>
          <w:sz w:val="36"/>
          <w:szCs w:val="36"/>
        </w:rPr>
        <w:t xml:space="preserve">. </w:t>
      </w:r>
      <w:r w:rsidR="00F705E3">
        <w:rPr>
          <w:rFonts w:ascii="Arial" w:hAnsi="Arial" w:cs="Arial"/>
          <w:sz w:val="36"/>
          <w:szCs w:val="36"/>
        </w:rPr>
        <w:t>STRATEGIC GROWTH OPTIONS AND PROPOSED STRATEGY</w:t>
      </w:r>
      <w:bookmarkEnd w:id="11"/>
      <w:r w:rsidR="006B7D3D">
        <w:rPr>
          <w:rFonts w:ascii="Arial" w:hAnsi="Arial" w:cs="Arial"/>
          <w:sz w:val="36"/>
          <w:szCs w:val="36"/>
        </w:rPr>
        <w:t xml:space="preserve"> </w:t>
      </w:r>
      <w:r w:rsidR="00C279D1">
        <w:rPr>
          <w:rFonts w:ascii="Arial" w:hAnsi="Arial" w:cs="Arial"/>
          <w:sz w:val="36"/>
          <w:szCs w:val="36"/>
        </w:rPr>
        <w:t xml:space="preserve"> </w:t>
      </w:r>
      <w:r w:rsidR="006B7D3D">
        <w:rPr>
          <w:rFonts w:ascii="Arial" w:hAnsi="Arial" w:cs="Arial"/>
          <w:sz w:val="36"/>
          <w:szCs w:val="36"/>
        </w:rPr>
        <w:tab/>
      </w:r>
    </w:p>
    <w:p w14:paraId="6CA0DC3D" w14:textId="77777777" w:rsidR="00300575" w:rsidRDefault="00300575" w:rsidP="00BB7D8C">
      <w:pPr>
        <w:spacing w:line="360" w:lineRule="auto"/>
        <w:jc w:val="both"/>
        <w:rPr>
          <w:rFonts w:ascii="-webkit-standard" w:hAnsi="-webkit-standard"/>
          <w:color w:val="000000"/>
          <w:sz w:val="27"/>
          <w:szCs w:val="27"/>
        </w:rPr>
      </w:pPr>
    </w:p>
    <w:p w14:paraId="2544650A" w14:textId="67C0C1C5" w:rsidR="00F705E3" w:rsidRDefault="00F705E3" w:rsidP="00F705E3">
      <w:pPr>
        <w:pStyle w:val="Ttulo2"/>
      </w:pPr>
      <w:bookmarkStart w:id="12" w:name="_Toc237175172"/>
      <w:r>
        <w:t>4</w:t>
      </w:r>
      <w:r w:rsidRPr="00A2495C">
        <w:t>.</w:t>
      </w:r>
      <w:r>
        <w:t>1 Growth Options: Ansoff Matrix</w:t>
      </w:r>
      <w:bookmarkEnd w:id="12"/>
    </w:p>
    <w:p w14:paraId="0C26BD24" w14:textId="77777777" w:rsidR="00F705E3" w:rsidRDefault="00F705E3" w:rsidP="00F705E3"/>
    <w:p w14:paraId="1BF31F18" w14:textId="77777777" w:rsidR="00300575" w:rsidRDefault="00300575" w:rsidP="001C269C">
      <w:pPr>
        <w:spacing w:line="360" w:lineRule="auto"/>
        <w:jc w:val="both"/>
        <w:rPr>
          <w:rFonts w:ascii="Arial" w:hAnsi="Arial" w:cs="Arial"/>
          <w:color w:val="000000"/>
        </w:rPr>
      </w:pPr>
    </w:p>
    <w:p w14:paraId="0C2E2756" w14:textId="4CAEB53E" w:rsidR="001C269C" w:rsidRPr="001C269C" w:rsidRDefault="001C269C" w:rsidP="001C269C">
      <w:pPr>
        <w:spacing w:line="360" w:lineRule="auto"/>
        <w:jc w:val="both"/>
        <w:rPr>
          <w:rFonts w:ascii="Arial" w:hAnsi="Arial" w:cs="Arial"/>
          <w:color w:val="000000"/>
        </w:rPr>
      </w:pPr>
      <w:r w:rsidRPr="001C269C">
        <w:rPr>
          <w:rFonts w:ascii="Arial" w:hAnsi="Arial" w:cs="Arial"/>
          <w:color w:val="000000"/>
        </w:rPr>
        <w:t>The Ansoff Matrix is used to structure Vodafone's available growth paths across existing and new products and markets.</w:t>
      </w:r>
    </w:p>
    <w:p w14:paraId="467A7ECB" w14:textId="77777777" w:rsidR="00F705E3" w:rsidRDefault="00F705E3" w:rsidP="00F705E3"/>
    <w:tbl>
      <w:tblPr>
        <w:tblW w:w="8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800"/>
        <w:gridCol w:w="4000"/>
        <w:gridCol w:w="2600"/>
      </w:tblGrid>
      <w:tr w:rsidR="00B45937" w:rsidRPr="0036728D" w14:paraId="26D5FC4A" w14:textId="77777777" w:rsidTr="007110E7">
        <w:trPr>
          <w:tblHeader/>
          <w:jc w:val="center"/>
        </w:trPr>
        <w:tc>
          <w:tcPr>
            <w:tcW w:w="1800" w:type="dxa"/>
            <w:shd w:val="clear" w:color="auto" w:fill="1B0459"/>
            <w:tcMar>
              <w:top w:w="80" w:type="dxa"/>
              <w:left w:w="100" w:type="dxa"/>
              <w:bottom w:w="80" w:type="dxa"/>
              <w:right w:w="100" w:type="dxa"/>
            </w:tcMar>
            <w:vAlign w:val="center"/>
          </w:tcPr>
          <w:p w14:paraId="0279C850" w14:textId="77777777" w:rsidR="00B45937" w:rsidRPr="0036728D" w:rsidRDefault="00B45937" w:rsidP="00D1554C">
            <w:pPr>
              <w:rPr>
                <w:rFonts w:ascii="Arial" w:hAnsi="Arial" w:cs="Arial"/>
                <w:sz w:val="20"/>
                <w:szCs w:val="20"/>
              </w:rPr>
            </w:pPr>
            <w:r w:rsidRPr="0036728D">
              <w:rPr>
                <w:rFonts w:ascii="Arial" w:hAnsi="Arial" w:cs="Arial"/>
                <w:b/>
                <w:bCs/>
                <w:color w:val="FFFFFF"/>
                <w:sz w:val="20"/>
                <w:szCs w:val="20"/>
              </w:rPr>
              <w:t>Ansoff Option</w:t>
            </w:r>
          </w:p>
        </w:tc>
        <w:tc>
          <w:tcPr>
            <w:tcW w:w="4000" w:type="dxa"/>
            <w:shd w:val="clear" w:color="auto" w:fill="1B0459"/>
            <w:tcMar>
              <w:top w:w="80" w:type="dxa"/>
              <w:left w:w="100" w:type="dxa"/>
              <w:bottom w:w="80" w:type="dxa"/>
              <w:right w:w="100" w:type="dxa"/>
            </w:tcMar>
            <w:vAlign w:val="center"/>
          </w:tcPr>
          <w:p w14:paraId="150651A6" w14:textId="77777777" w:rsidR="00B45937" w:rsidRPr="0036728D" w:rsidRDefault="00B45937" w:rsidP="00D1554C">
            <w:pPr>
              <w:rPr>
                <w:rFonts w:ascii="Arial" w:hAnsi="Arial" w:cs="Arial"/>
                <w:sz w:val="20"/>
                <w:szCs w:val="20"/>
              </w:rPr>
            </w:pPr>
            <w:r w:rsidRPr="0036728D">
              <w:rPr>
                <w:rFonts w:ascii="Arial" w:hAnsi="Arial" w:cs="Arial"/>
                <w:b/>
                <w:bCs/>
                <w:color w:val="FFFFFF"/>
                <w:sz w:val="20"/>
                <w:szCs w:val="20"/>
              </w:rPr>
              <w:t>Description</w:t>
            </w:r>
          </w:p>
        </w:tc>
        <w:tc>
          <w:tcPr>
            <w:tcW w:w="2600" w:type="dxa"/>
            <w:shd w:val="clear" w:color="auto" w:fill="1B0459"/>
            <w:tcMar>
              <w:top w:w="80" w:type="dxa"/>
              <w:left w:w="100" w:type="dxa"/>
              <w:bottom w:w="80" w:type="dxa"/>
              <w:right w:w="100" w:type="dxa"/>
            </w:tcMar>
            <w:vAlign w:val="center"/>
          </w:tcPr>
          <w:p w14:paraId="2E7703B5" w14:textId="77777777" w:rsidR="00B45937" w:rsidRPr="0036728D" w:rsidRDefault="00B45937" w:rsidP="00D1554C">
            <w:pPr>
              <w:rPr>
                <w:rFonts w:ascii="Arial" w:hAnsi="Arial" w:cs="Arial"/>
                <w:sz w:val="20"/>
                <w:szCs w:val="20"/>
              </w:rPr>
            </w:pPr>
            <w:r w:rsidRPr="0036728D">
              <w:rPr>
                <w:rFonts w:ascii="Arial" w:hAnsi="Arial" w:cs="Arial"/>
                <w:b/>
                <w:bCs/>
                <w:color w:val="FFFFFF"/>
                <w:sz w:val="20"/>
                <w:szCs w:val="20"/>
              </w:rPr>
              <w:t>Fit for Vodafone UK</w:t>
            </w:r>
          </w:p>
        </w:tc>
      </w:tr>
      <w:tr w:rsidR="00B45937" w:rsidRPr="0036728D" w14:paraId="108105DF" w14:textId="77777777" w:rsidTr="007110E7">
        <w:trPr>
          <w:jc w:val="center"/>
        </w:trPr>
        <w:tc>
          <w:tcPr>
            <w:tcW w:w="1800" w:type="dxa"/>
            <w:shd w:val="clear" w:color="auto" w:fill="auto"/>
            <w:tcMar>
              <w:top w:w="80" w:type="dxa"/>
              <w:left w:w="100" w:type="dxa"/>
              <w:bottom w:w="80" w:type="dxa"/>
              <w:right w:w="100" w:type="dxa"/>
            </w:tcMar>
            <w:vAlign w:val="center"/>
          </w:tcPr>
          <w:p w14:paraId="7A3C6BEF"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Market Penetration</w:t>
            </w:r>
          </w:p>
        </w:tc>
        <w:tc>
          <w:tcPr>
            <w:tcW w:w="4000" w:type="dxa"/>
            <w:shd w:val="clear" w:color="auto" w:fill="auto"/>
            <w:tcMar>
              <w:top w:w="80" w:type="dxa"/>
              <w:left w:w="100" w:type="dxa"/>
              <w:bottom w:w="80" w:type="dxa"/>
              <w:right w:w="100" w:type="dxa"/>
            </w:tcMar>
            <w:vAlign w:val="center"/>
          </w:tcPr>
          <w:p w14:paraId="7B05B3D8"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 xml:space="preserve">Grow share of existing UK mobile, broadband and enterprise customers using the enlarged </w:t>
            </w:r>
            <w:proofErr w:type="spellStart"/>
            <w:r w:rsidRPr="0036728D">
              <w:rPr>
                <w:rFonts w:ascii="Arial" w:hAnsi="Arial" w:cs="Arial"/>
                <w:color w:val="000000"/>
                <w:sz w:val="20"/>
                <w:szCs w:val="20"/>
              </w:rPr>
              <w:t>VodafoneThree</w:t>
            </w:r>
            <w:proofErr w:type="spellEnd"/>
            <w:r w:rsidRPr="0036728D">
              <w:rPr>
                <w:rFonts w:ascii="Arial" w:hAnsi="Arial" w:cs="Arial"/>
                <w:color w:val="000000"/>
                <w:sz w:val="20"/>
                <w:szCs w:val="20"/>
              </w:rPr>
              <w:t xml:space="preserve"> network and converged bundles.</w:t>
            </w:r>
          </w:p>
        </w:tc>
        <w:tc>
          <w:tcPr>
            <w:tcW w:w="2600" w:type="dxa"/>
            <w:shd w:val="clear" w:color="auto" w:fill="auto"/>
            <w:tcMar>
              <w:top w:w="80" w:type="dxa"/>
              <w:left w:w="100" w:type="dxa"/>
              <w:bottom w:w="80" w:type="dxa"/>
              <w:right w:w="100" w:type="dxa"/>
            </w:tcMar>
            <w:vAlign w:val="center"/>
          </w:tcPr>
          <w:p w14:paraId="24D1679F"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 xml:space="preserve">High - directly leverages merger synergies and existing brand/network </w:t>
            </w:r>
            <w:r w:rsidRPr="0036728D">
              <w:rPr>
                <w:rFonts w:ascii="Arial" w:hAnsi="Arial" w:cs="Arial"/>
                <w:color w:val="000000"/>
                <w:sz w:val="20"/>
                <w:szCs w:val="20"/>
              </w:rPr>
              <w:lastRenderedPageBreak/>
              <w:t>assets; lowest execution risk.</w:t>
            </w:r>
          </w:p>
        </w:tc>
      </w:tr>
      <w:tr w:rsidR="00B45937" w:rsidRPr="0036728D" w14:paraId="61CD082C" w14:textId="77777777" w:rsidTr="007110E7">
        <w:trPr>
          <w:jc w:val="center"/>
        </w:trPr>
        <w:tc>
          <w:tcPr>
            <w:tcW w:w="1800" w:type="dxa"/>
            <w:shd w:val="clear" w:color="auto" w:fill="auto"/>
            <w:tcMar>
              <w:top w:w="80" w:type="dxa"/>
              <w:left w:w="100" w:type="dxa"/>
              <w:bottom w:w="80" w:type="dxa"/>
              <w:right w:w="100" w:type="dxa"/>
            </w:tcMar>
            <w:vAlign w:val="center"/>
          </w:tcPr>
          <w:p w14:paraId="40CAFDF3"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lastRenderedPageBreak/>
              <w:t>Market Development</w:t>
            </w:r>
          </w:p>
        </w:tc>
        <w:tc>
          <w:tcPr>
            <w:tcW w:w="4000" w:type="dxa"/>
            <w:shd w:val="clear" w:color="auto" w:fill="auto"/>
            <w:tcMar>
              <w:top w:w="80" w:type="dxa"/>
              <w:left w:w="100" w:type="dxa"/>
              <w:bottom w:w="80" w:type="dxa"/>
              <w:right w:w="100" w:type="dxa"/>
            </w:tcMar>
            <w:vAlign w:val="center"/>
          </w:tcPr>
          <w:p w14:paraId="467D271F"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Expand Vodafone Business and IoT propositions into new customer segments not yet using Vodafone.</w:t>
            </w:r>
          </w:p>
        </w:tc>
        <w:tc>
          <w:tcPr>
            <w:tcW w:w="2600" w:type="dxa"/>
            <w:shd w:val="clear" w:color="auto" w:fill="auto"/>
            <w:tcMar>
              <w:top w:w="80" w:type="dxa"/>
              <w:left w:w="100" w:type="dxa"/>
              <w:bottom w:w="80" w:type="dxa"/>
              <w:right w:w="100" w:type="dxa"/>
            </w:tcMar>
            <w:vAlign w:val="center"/>
          </w:tcPr>
          <w:p w14:paraId="4A52B3EB"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Medium - requires new sales channels but builds on existing digital-services capability.</w:t>
            </w:r>
          </w:p>
        </w:tc>
      </w:tr>
      <w:tr w:rsidR="00B45937" w:rsidRPr="0036728D" w14:paraId="24CEC3D2" w14:textId="77777777" w:rsidTr="007110E7">
        <w:trPr>
          <w:jc w:val="center"/>
        </w:trPr>
        <w:tc>
          <w:tcPr>
            <w:tcW w:w="1800" w:type="dxa"/>
            <w:shd w:val="clear" w:color="auto" w:fill="auto"/>
            <w:tcMar>
              <w:top w:w="80" w:type="dxa"/>
              <w:left w:w="100" w:type="dxa"/>
              <w:bottom w:w="80" w:type="dxa"/>
              <w:right w:w="100" w:type="dxa"/>
            </w:tcMar>
            <w:vAlign w:val="center"/>
          </w:tcPr>
          <w:p w14:paraId="11BF7CF8"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Product Development</w:t>
            </w:r>
          </w:p>
        </w:tc>
        <w:tc>
          <w:tcPr>
            <w:tcW w:w="4000" w:type="dxa"/>
            <w:shd w:val="clear" w:color="auto" w:fill="auto"/>
            <w:tcMar>
              <w:top w:w="80" w:type="dxa"/>
              <w:left w:w="100" w:type="dxa"/>
              <w:bottom w:w="80" w:type="dxa"/>
              <w:right w:w="100" w:type="dxa"/>
            </w:tcMar>
            <w:vAlign w:val="center"/>
          </w:tcPr>
          <w:p w14:paraId="7A29E8AB"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Launch new digital, AI-enabled and satellite-connectivity services to existing customers.</w:t>
            </w:r>
          </w:p>
        </w:tc>
        <w:tc>
          <w:tcPr>
            <w:tcW w:w="2600" w:type="dxa"/>
            <w:shd w:val="clear" w:color="auto" w:fill="auto"/>
            <w:tcMar>
              <w:top w:w="80" w:type="dxa"/>
              <w:left w:w="100" w:type="dxa"/>
              <w:bottom w:w="80" w:type="dxa"/>
              <w:right w:w="100" w:type="dxa"/>
            </w:tcMar>
            <w:vAlign w:val="center"/>
          </w:tcPr>
          <w:p w14:paraId="34CFD944"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High - aligns with Vodafone's proven Business and digital-services growth and £11bn network investment.</w:t>
            </w:r>
          </w:p>
        </w:tc>
      </w:tr>
      <w:tr w:rsidR="00B45937" w:rsidRPr="0036728D" w14:paraId="139275A7" w14:textId="77777777" w:rsidTr="007110E7">
        <w:trPr>
          <w:jc w:val="center"/>
        </w:trPr>
        <w:tc>
          <w:tcPr>
            <w:tcW w:w="1800" w:type="dxa"/>
            <w:shd w:val="clear" w:color="auto" w:fill="auto"/>
            <w:tcMar>
              <w:top w:w="80" w:type="dxa"/>
              <w:left w:w="100" w:type="dxa"/>
              <w:bottom w:w="80" w:type="dxa"/>
              <w:right w:w="100" w:type="dxa"/>
            </w:tcMar>
            <w:vAlign w:val="center"/>
          </w:tcPr>
          <w:p w14:paraId="2B3B1905"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Diversification</w:t>
            </w:r>
          </w:p>
        </w:tc>
        <w:tc>
          <w:tcPr>
            <w:tcW w:w="4000" w:type="dxa"/>
            <w:shd w:val="clear" w:color="auto" w:fill="auto"/>
            <w:tcMar>
              <w:top w:w="80" w:type="dxa"/>
              <w:left w:w="100" w:type="dxa"/>
              <w:bottom w:w="80" w:type="dxa"/>
              <w:right w:w="100" w:type="dxa"/>
            </w:tcMar>
            <w:vAlign w:val="center"/>
          </w:tcPr>
          <w:p w14:paraId="153BA478"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Enter unrelated markets outside connectivity/digital services.</w:t>
            </w:r>
          </w:p>
        </w:tc>
        <w:tc>
          <w:tcPr>
            <w:tcW w:w="2600" w:type="dxa"/>
            <w:shd w:val="clear" w:color="auto" w:fill="auto"/>
            <w:tcMar>
              <w:top w:w="80" w:type="dxa"/>
              <w:left w:w="100" w:type="dxa"/>
              <w:bottom w:w="80" w:type="dxa"/>
              <w:right w:w="100" w:type="dxa"/>
            </w:tcMar>
            <w:vAlign w:val="center"/>
          </w:tcPr>
          <w:p w14:paraId="2C21464B"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Low - high risk, limited synergy with core capabilities, not recommended as a near-term priority.</w:t>
            </w:r>
          </w:p>
        </w:tc>
      </w:tr>
    </w:tbl>
    <w:p w14:paraId="25A42DA4" w14:textId="70BE8581" w:rsidR="00F705E3" w:rsidRPr="0036728D" w:rsidRDefault="007110E7" w:rsidP="00B45937">
      <w:pPr>
        <w:spacing w:before="60" w:after="220"/>
        <w:rPr>
          <w:rFonts w:ascii="Arial" w:hAnsi="Arial" w:cs="Arial"/>
          <w:sz w:val="20"/>
          <w:szCs w:val="20"/>
        </w:rPr>
      </w:pPr>
      <w:r>
        <w:rPr>
          <w:rFonts w:ascii="Arial" w:hAnsi="Arial" w:cs="Arial"/>
          <w:i/>
          <w:iCs/>
          <w:color w:val="595959"/>
          <w:sz w:val="20"/>
          <w:szCs w:val="20"/>
        </w:rPr>
        <w:t xml:space="preserve">     </w:t>
      </w:r>
      <w:r w:rsidR="00B45937" w:rsidRPr="0036728D">
        <w:rPr>
          <w:rFonts w:ascii="Arial" w:hAnsi="Arial" w:cs="Arial"/>
          <w:i/>
          <w:iCs/>
          <w:color w:val="595959"/>
          <w:sz w:val="20"/>
          <w:szCs w:val="20"/>
        </w:rPr>
        <w:t>Table 4: Ansoff Matrix applied to Vodafone UK growth options.</w:t>
      </w:r>
    </w:p>
    <w:p w14:paraId="5BCA4B21" w14:textId="77777777" w:rsidR="00F705E3" w:rsidRDefault="00F705E3" w:rsidP="00F705E3"/>
    <w:p w14:paraId="3AC8E51F" w14:textId="47B2C574" w:rsidR="00F705E3" w:rsidRDefault="00F705E3" w:rsidP="00F705E3">
      <w:pPr>
        <w:pStyle w:val="Ttulo2"/>
      </w:pPr>
      <w:bookmarkStart w:id="13" w:name="_Toc237175173"/>
      <w:r>
        <w:t>4</w:t>
      </w:r>
      <w:r w:rsidRPr="00A2495C">
        <w:t>.</w:t>
      </w:r>
      <w:r>
        <w:t>2 Recommended strategy</w:t>
      </w:r>
      <w:bookmarkEnd w:id="13"/>
      <w:r>
        <w:t xml:space="preserve"> </w:t>
      </w:r>
    </w:p>
    <w:p w14:paraId="2F00EB2D" w14:textId="77777777" w:rsidR="00F705E3" w:rsidRPr="001C269C" w:rsidRDefault="00F705E3" w:rsidP="001C269C">
      <w:pPr>
        <w:spacing w:line="360" w:lineRule="auto"/>
        <w:jc w:val="both"/>
        <w:rPr>
          <w:rFonts w:ascii="Arial" w:hAnsi="Arial" w:cs="Arial"/>
          <w:color w:val="000000"/>
        </w:rPr>
      </w:pPr>
    </w:p>
    <w:p w14:paraId="7A7F0E64" w14:textId="75FFE4C5" w:rsidR="001C269C" w:rsidRDefault="001C269C" w:rsidP="001C269C">
      <w:pPr>
        <w:autoSpaceDE w:val="0"/>
        <w:autoSpaceDN w:val="0"/>
        <w:adjustRightInd w:val="0"/>
        <w:spacing w:line="360" w:lineRule="auto"/>
        <w:jc w:val="both"/>
        <w:rPr>
          <w:rFonts w:ascii="Arial" w:hAnsi="Arial" w:cs="Arial"/>
          <w:color w:val="000000"/>
        </w:rPr>
      </w:pPr>
      <w:r w:rsidRPr="001C269C">
        <w:rPr>
          <w:rFonts w:ascii="Arial" w:hAnsi="Arial" w:cs="Arial"/>
          <w:color w:val="000000"/>
        </w:rPr>
        <w:t>A combined Market Penetration and related Product/Market Development strategy</w:t>
      </w:r>
      <w:r w:rsidR="00D7576D">
        <w:rPr>
          <w:rFonts w:ascii="Arial" w:hAnsi="Arial" w:cs="Arial"/>
          <w:color w:val="000000"/>
        </w:rPr>
        <w:t xml:space="preserve">, </w:t>
      </w:r>
      <w:r w:rsidRPr="001C269C">
        <w:rPr>
          <w:rFonts w:ascii="Arial" w:hAnsi="Arial" w:cs="Arial"/>
          <w:color w:val="000000"/>
        </w:rPr>
        <w:t>delivered through a Focused Differentiation generic strategy</w:t>
      </w:r>
      <w:r w:rsidR="00D7576D">
        <w:rPr>
          <w:rFonts w:ascii="Arial" w:hAnsi="Arial" w:cs="Arial"/>
          <w:color w:val="000000"/>
        </w:rPr>
        <w:t xml:space="preserve">, </w:t>
      </w:r>
      <w:r w:rsidRPr="001C269C">
        <w:rPr>
          <w:rFonts w:ascii="Arial" w:hAnsi="Arial" w:cs="Arial"/>
          <w:color w:val="000000"/>
        </w:rPr>
        <w:t>built on three pillars.</w:t>
      </w:r>
    </w:p>
    <w:p w14:paraId="23E5EFE0" w14:textId="77777777" w:rsidR="001C269C" w:rsidRPr="001C269C" w:rsidRDefault="001C269C" w:rsidP="001C269C">
      <w:pPr>
        <w:autoSpaceDE w:val="0"/>
        <w:autoSpaceDN w:val="0"/>
        <w:adjustRightInd w:val="0"/>
        <w:spacing w:line="360" w:lineRule="auto"/>
        <w:jc w:val="both"/>
        <w:rPr>
          <w:rFonts w:ascii="Arial" w:hAnsi="Arial" w:cs="Arial"/>
          <w:color w:val="000000"/>
        </w:rPr>
      </w:pPr>
    </w:p>
    <w:p w14:paraId="77580CAF" w14:textId="20C14C9A" w:rsidR="001C269C" w:rsidRPr="001C269C" w:rsidRDefault="001C269C" w:rsidP="001C269C">
      <w:pPr>
        <w:pStyle w:val="PargrafodaLista"/>
        <w:numPr>
          <w:ilvl w:val="0"/>
          <w:numId w:val="3"/>
        </w:numPr>
        <w:autoSpaceDE w:val="0"/>
        <w:autoSpaceDN w:val="0"/>
        <w:adjustRightInd w:val="0"/>
        <w:spacing w:line="360" w:lineRule="auto"/>
        <w:jc w:val="both"/>
        <w:rPr>
          <w:rFonts w:ascii="Arial" w:hAnsi="Arial" w:cs="Arial"/>
          <w:color w:val="000000"/>
        </w:rPr>
      </w:pPr>
      <w:r w:rsidRPr="001C269C">
        <w:rPr>
          <w:rFonts w:ascii="Arial" w:hAnsi="Arial" w:cs="Arial"/>
          <w:color w:val="000000"/>
        </w:rPr>
        <w:t xml:space="preserve">Consolidate and monetise network leadership: use full ownership of </w:t>
      </w:r>
      <w:proofErr w:type="spellStart"/>
      <w:r w:rsidRPr="001C269C">
        <w:rPr>
          <w:rFonts w:ascii="Arial" w:hAnsi="Arial" w:cs="Arial"/>
          <w:color w:val="000000"/>
        </w:rPr>
        <w:t>VodafoneThree</w:t>
      </w:r>
      <w:proofErr w:type="spellEnd"/>
      <w:r w:rsidRPr="001C269C">
        <w:rPr>
          <w:rFonts w:ascii="Arial" w:hAnsi="Arial" w:cs="Arial"/>
          <w:color w:val="000000"/>
        </w:rPr>
        <w:t>, and the associated £11 billion investment plan and £700 million annual synergy target by FY30, to deliver measurably superior 5G Standalone coverage and speed, converting network quality into customer acquisition and retention in the core UK consumer and business mobile market (Vodafone Group Plc, 2026a) (Market Penetration).</w:t>
      </w:r>
    </w:p>
    <w:p w14:paraId="07EB873F" w14:textId="453358DC" w:rsidR="001C269C" w:rsidRPr="001C269C" w:rsidRDefault="001C269C" w:rsidP="001C269C">
      <w:pPr>
        <w:pStyle w:val="PargrafodaLista"/>
        <w:numPr>
          <w:ilvl w:val="0"/>
          <w:numId w:val="3"/>
        </w:numPr>
        <w:autoSpaceDE w:val="0"/>
        <w:autoSpaceDN w:val="0"/>
        <w:adjustRightInd w:val="0"/>
        <w:spacing w:line="360" w:lineRule="auto"/>
        <w:jc w:val="both"/>
        <w:rPr>
          <w:rFonts w:ascii="Arial" w:hAnsi="Arial" w:cs="Arial"/>
          <w:color w:val="000000"/>
        </w:rPr>
      </w:pPr>
      <w:r w:rsidRPr="001C269C">
        <w:rPr>
          <w:rFonts w:ascii="Arial" w:hAnsi="Arial" w:cs="Arial"/>
          <w:color w:val="000000"/>
        </w:rPr>
        <w:t>Accelerate convergence: grow the fixed-broadband and bundled fixed-mobile customer base, building on FY25/FY26 momentum in gigabit broadband net additions (Comms Business, 2025), to increase customer lifetime value and reduce churn (Market Penetration/Development).</w:t>
      </w:r>
    </w:p>
    <w:p w14:paraId="393048A5" w14:textId="5340D801" w:rsidR="001C269C" w:rsidRPr="0036728D" w:rsidRDefault="001C269C" w:rsidP="0036728D">
      <w:pPr>
        <w:pStyle w:val="PargrafodaLista"/>
        <w:numPr>
          <w:ilvl w:val="0"/>
          <w:numId w:val="3"/>
        </w:numPr>
        <w:autoSpaceDE w:val="0"/>
        <w:autoSpaceDN w:val="0"/>
        <w:adjustRightInd w:val="0"/>
        <w:spacing w:line="360" w:lineRule="auto"/>
        <w:jc w:val="both"/>
        <w:rPr>
          <w:rFonts w:ascii="Arial" w:hAnsi="Arial" w:cs="Arial"/>
          <w:color w:val="000000"/>
        </w:rPr>
      </w:pPr>
      <w:r w:rsidRPr="001C269C">
        <w:rPr>
          <w:rFonts w:ascii="Arial" w:hAnsi="Arial" w:cs="Arial"/>
          <w:color w:val="000000"/>
        </w:rPr>
        <w:t xml:space="preserve">Scale digital, IoT and financial services: extend Vodafone Business's double-digit digital-services growth and IoT capability into new enterprise and public-sector </w:t>
      </w:r>
      <w:proofErr w:type="gramStart"/>
      <w:r w:rsidRPr="001C269C">
        <w:rPr>
          <w:rFonts w:ascii="Arial" w:hAnsi="Arial" w:cs="Arial"/>
          <w:color w:val="000000"/>
        </w:rPr>
        <w:t>segments, and</w:t>
      </w:r>
      <w:proofErr w:type="gramEnd"/>
      <w:r w:rsidRPr="001C269C">
        <w:rPr>
          <w:rFonts w:ascii="Arial" w:hAnsi="Arial" w:cs="Arial"/>
          <w:color w:val="000000"/>
        </w:rPr>
        <w:t xml:space="preserve"> expand consumer-facing financial and security services (Vodafone Group Plc, 2025b) (Product/Market Development).</w:t>
      </w:r>
    </w:p>
    <w:p w14:paraId="0C80B235" w14:textId="487CE07E" w:rsidR="001C269C" w:rsidRDefault="001C269C" w:rsidP="001C269C">
      <w:pPr>
        <w:autoSpaceDE w:val="0"/>
        <w:autoSpaceDN w:val="0"/>
        <w:adjustRightInd w:val="0"/>
        <w:spacing w:line="360" w:lineRule="auto"/>
        <w:jc w:val="both"/>
        <w:rPr>
          <w:rFonts w:ascii="Arial" w:hAnsi="Arial" w:cs="Arial"/>
          <w:color w:val="000000"/>
        </w:rPr>
      </w:pPr>
      <w:r w:rsidRPr="001C269C">
        <w:rPr>
          <w:rFonts w:ascii="Arial" w:hAnsi="Arial" w:cs="Arial"/>
          <w:color w:val="000000"/>
        </w:rPr>
        <w:lastRenderedPageBreak/>
        <w:t xml:space="preserve">This strategy is preferred over broad diversification because it exploits capabilities and assets Vodafone already possesses in greater strength than at any point in its UK history - network scale, spectrum, an integrated brand, and a demonstrated track record of digital-services growth - rather </w:t>
      </w:r>
      <w:r w:rsidRPr="00D7576D">
        <w:rPr>
          <w:rFonts w:ascii="Arial" w:hAnsi="Arial" w:cs="Arial"/>
          <w:color w:val="000000"/>
        </w:rPr>
        <w:t>than requiring the company to build unrelated capabilities from scratch, consistent with Ansoff's</w:t>
      </w:r>
      <w:r w:rsidR="00D7576D">
        <w:rPr>
          <w:rFonts w:ascii="Arial" w:hAnsi="Arial" w:cs="Arial"/>
          <w:color w:val="000000"/>
        </w:rPr>
        <w:t xml:space="preserve"> </w:t>
      </w:r>
      <w:r w:rsidRPr="001C269C">
        <w:rPr>
          <w:rFonts w:ascii="Arial" w:hAnsi="Arial" w:cs="Arial"/>
          <w:color w:val="000000"/>
        </w:rPr>
        <w:t>observation that related growth paths carry materially lower risk than unrelated diversification. It is also consistent with Group strategic priorities of Customers, Simplicity and Growth (Vodafone Group Plc, 2025b), and with the stated purpose of connecting people and businesses for a better future (</w:t>
      </w:r>
      <w:proofErr w:type="spellStart"/>
      <w:r w:rsidRPr="001C269C">
        <w:rPr>
          <w:rFonts w:ascii="Arial" w:hAnsi="Arial" w:cs="Arial"/>
          <w:color w:val="000000"/>
        </w:rPr>
        <w:t>MatrixBCG</w:t>
      </w:r>
      <w:proofErr w:type="spellEnd"/>
      <w:r w:rsidRPr="001C269C">
        <w:rPr>
          <w:rFonts w:ascii="Arial" w:hAnsi="Arial" w:cs="Arial"/>
          <w:color w:val="000000"/>
        </w:rPr>
        <w:t>, 2026).</w:t>
      </w:r>
    </w:p>
    <w:p w14:paraId="4CF658E2" w14:textId="77777777" w:rsidR="001C269C" w:rsidRPr="001C269C" w:rsidRDefault="001C269C" w:rsidP="001C269C">
      <w:pPr>
        <w:autoSpaceDE w:val="0"/>
        <w:autoSpaceDN w:val="0"/>
        <w:adjustRightInd w:val="0"/>
        <w:spacing w:line="360" w:lineRule="auto"/>
        <w:jc w:val="both"/>
        <w:rPr>
          <w:rFonts w:ascii="Arial" w:hAnsi="Arial" w:cs="Arial"/>
          <w:color w:val="000000"/>
        </w:rPr>
      </w:pPr>
    </w:p>
    <w:p w14:paraId="432507AE" w14:textId="34745651" w:rsidR="00F705E3" w:rsidRPr="001C269C" w:rsidRDefault="001C269C" w:rsidP="001C269C">
      <w:pPr>
        <w:spacing w:line="360" w:lineRule="auto"/>
        <w:jc w:val="both"/>
        <w:rPr>
          <w:rFonts w:ascii="Arial" w:hAnsi="Arial" w:cs="Arial"/>
          <w:color w:val="000000"/>
        </w:rPr>
      </w:pPr>
      <w:r w:rsidRPr="001C269C">
        <w:rPr>
          <w:rFonts w:ascii="Arial" w:hAnsi="Arial" w:cs="Arial"/>
          <w:color w:val="000000"/>
        </w:rPr>
        <w:t>Using Porter's Generic Strategies framework</w:t>
      </w:r>
      <w:r w:rsidR="00D7576D">
        <w:rPr>
          <w:rFonts w:ascii="Arial" w:hAnsi="Arial" w:cs="Arial"/>
          <w:color w:val="000000"/>
        </w:rPr>
        <w:t xml:space="preserve">, </w:t>
      </w:r>
      <w:r w:rsidRPr="001C269C">
        <w:rPr>
          <w:rFonts w:ascii="Arial" w:hAnsi="Arial" w:cs="Arial"/>
          <w:color w:val="000000"/>
        </w:rPr>
        <w:t xml:space="preserve">a focused differentiation approach is proposed rather than a cost-leadership approach: Vodafone competes on superior network quality, converged service breadth and digital innovation rather than on being the lowest-cost operator, reflecting the reality that UK budget segments are already well served by MVNOs such as giffgaff, VOXI and ID Mobile, including Vodafone's own SMARTY brand, which can continue to serve price-sensitive segments without diluting the core </w:t>
      </w:r>
      <w:proofErr w:type="spellStart"/>
      <w:r w:rsidRPr="001C269C">
        <w:rPr>
          <w:rFonts w:ascii="Arial" w:hAnsi="Arial" w:cs="Arial"/>
          <w:color w:val="000000"/>
        </w:rPr>
        <w:t>VodafoneThree</w:t>
      </w:r>
      <w:proofErr w:type="spellEnd"/>
      <w:r w:rsidRPr="001C269C">
        <w:rPr>
          <w:rFonts w:ascii="Arial" w:hAnsi="Arial" w:cs="Arial"/>
          <w:color w:val="000000"/>
        </w:rPr>
        <w:t xml:space="preserve"> brand positioning (</w:t>
      </w:r>
      <w:proofErr w:type="spellStart"/>
      <w:r w:rsidRPr="001C269C">
        <w:rPr>
          <w:rFonts w:ascii="Arial" w:hAnsi="Arial" w:cs="Arial"/>
          <w:color w:val="000000"/>
        </w:rPr>
        <w:t>MyAmplifiers</w:t>
      </w:r>
      <w:proofErr w:type="spellEnd"/>
      <w:r w:rsidRPr="001C269C">
        <w:rPr>
          <w:rFonts w:ascii="Arial" w:hAnsi="Arial" w:cs="Arial"/>
          <w:color w:val="000000"/>
        </w:rPr>
        <w:t>, 2026).</w:t>
      </w:r>
    </w:p>
    <w:p w14:paraId="13970734" w14:textId="77777777" w:rsidR="001C269C" w:rsidRDefault="001C269C" w:rsidP="00F705E3"/>
    <w:p w14:paraId="1FFA8975" w14:textId="77777777" w:rsidR="00F705E3" w:rsidRDefault="00F705E3" w:rsidP="00F705E3">
      <w:pPr>
        <w:pStyle w:val="Ttulo1"/>
        <w:rPr>
          <w:rFonts w:ascii="Arial" w:hAnsi="Arial" w:cs="Arial"/>
          <w:sz w:val="36"/>
          <w:szCs w:val="36"/>
        </w:rPr>
      </w:pPr>
      <w:bookmarkStart w:id="14" w:name="_Toc237175174"/>
      <w:r>
        <w:rPr>
          <w:rFonts w:ascii="Arial" w:hAnsi="Arial" w:cs="Arial"/>
          <w:sz w:val="36"/>
          <w:szCs w:val="36"/>
        </w:rPr>
        <w:t>5</w:t>
      </w:r>
      <w:r w:rsidRPr="00796ED3">
        <w:rPr>
          <w:rFonts w:ascii="Arial" w:hAnsi="Arial" w:cs="Arial"/>
          <w:sz w:val="36"/>
          <w:szCs w:val="36"/>
        </w:rPr>
        <w:t xml:space="preserve">. </w:t>
      </w:r>
      <w:r>
        <w:rPr>
          <w:rFonts w:ascii="Arial" w:hAnsi="Arial" w:cs="Arial"/>
          <w:sz w:val="36"/>
          <w:szCs w:val="36"/>
        </w:rPr>
        <w:t>STRATEGY EVALUATION</w:t>
      </w:r>
      <w:bookmarkEnd w:id="14"/>
    </w:p>
    <w:p w14:paraId="3BC7C414" w14:textId="77777777" w:rsidR="00F705E3" w:rsidRPr="001C269C" w:rsidRDefault="00F705E3" w:rsidP="001C269C">
      <w:pPr>
        <w:pStyle w:val="Ttulo1"/>
        <w:spacing w:line="360" w:lineRule="auto"/>
        <w:jc w:val="both"/>
        <w:rPr>
          <w:rFonts w:ascii="Arial" w:eastAsia="Times New Roman" w:hAnsi="Arial" w:cs="Arial"/>
          <w:b w:val="0"/>
          <w:color w:val="000000"/>
          <w:sz w:val="24"/>
          <w:szCs w:val="24"/>
        </w:rPr>
      </w:pPr>
    </w:p>
    <w:p w14:paraId="261214C7" w14:textId="77777777" w:rsidR="001C269C" w:rsidRPr="001C269C" w:rsidRDefault="001C269C" w:rsidP="001C269C">
      <w:pPr>
        <w:autoSpaceDE w:val="0"/>
        <w:autoSpaceDN w:val="0"/>
        <w:adjustRightInd w:val="0"/>
        <w:spacing w:line="360" w:lineRule="auto"/>
        <w:jc w:val="both"/>
        <w:rPr>
          <w:rFonts w:ascii="Arial" w:hAnsi="Arial" w:cs="Arial"/>
          <w:color w:val="000000"/>
        </w:rPr>
      </w:pPr>
      <w:r w:rsidRPr="001C269C">
        <w:rPr>
          <w:rFonts w:ascii="Arial" w:hAnsi="Arial" w:cs="Arial"/>
          <w:color w:val="000000"/>
        </w:rPr>
        <w:t>The proposed strategy is evaluated using the Suitability, Feasibility and Acceptability (SFA) framework (Johnson et al., 2020), a standard tool for testing whether a recommended strategy is fit for adoption by the Board.</w:t>
      </w:r>
    </w:p>
    <w:p w14:paraId="0E1867A1" w14:textId="77777777" w:rsidR="00B45937" w:rsidRDefault="00B45937" w:rsidP="00B45937">
      <w:pPr>
        <w:spacing w:after="160" w:line="276" w:lineRule="auto"/>
        <w:jc w:val="both"/>
      </w:pPr>
    </w:p>
    <w:tbl>
      <w:tblPr>
        <w:tblW w:w="8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00"/>
        <w:gridCol w:w="1300"/>
        <w:gridCol w:w="5500"/>
      </w:tblGrid>
      <w:tr w:rsidR="00B45937" w:rsidRPr="0036728D" w14:paraId="51145A21" w14:textId="77777777" w:rsidTr="007110E7">
        <w:trPr>
          <w:tblHeader/>
          <w:jc w:val="center"/>
        </w:trPr>
        <w:tc>
          <w:tcPr>
            <w:tcW w:w="1600" w:type="dxa"/>
            <w:shd w:val="clear" w:color="auto" w:fill="1B0459"/>
            <w:tcMar>
              <w:top w:w="80" w:type="dxa"/>
              <w:left w:w="100" w:type="dxa"/>
              <w:bottom w:w="80" w:type="dxa"/>
              <w:right w:w="100" w:type="dxa"/>
            </w:tcMar>
            <w:vAlign w:val="center"/>
          </w:tcPr>
          <w:p w14:paraId="594C318D" w14:textId="77777777" w:rsidR="00B45937" w:rsidRPr="0036728D" w:rsidRDefault="00B45937" w:rsidP="00D1554C">
            <w:pPr>
              <w:rPr>
                <w:rFonts w:ascii="Arial" w:hAnsi="Arial" w:cs="Arial"/>
                <w:sz w:val="20"/>
                <w:szCs w:val="20"/>
              </w:rPr>
            </w:pPr>
            <w:r w:rsidRPr="0036728D">
              <w:rPr>
                <w:rFonts w:ascii="Arial" w:hAnsi="Arial" w:cs="Arial"/>
                <w:b/>
                <w:bCs/>
                <w:color w:val="FFFFFF"/>
                <w:sz w:val="20"/>
                <w:szCs w:val="20"/>
              </w:rPr>
              <w:t>Criterion</w:t>
            </w:r>
          </w:p>
        </w:tc>
        <w:tc>
          <w:tcPr>
            <w:tcW w:w="1300" w:type="dxa"/>
            <w:shd w:val="clear" w:color="auto" w:fill="1B0459"/>
            <w:tcMar>
              <w:top w:w="80" w:type="dxa"/>
              <w:left w:w="100" w:type="dxa"/>
              <w:bottom w:w="80" w:type="dxa"/>
              <w:right w:w="100" w:type="dxa"/>
            </w:tcMar>
            <w:vAlign w:val="center"/>
          </w:tcPr>
          <w:p w14:paraId="5B15D28D" w14:textId="77777777" w:rsidR="00B45937" w:rsidRPr="0036728D" w:rsidRDefault="00B45937" w:rsidP="00D1554C">
            <w:pPr>
              <w:rPr>
                <w:rFonts w:ascii="Arial" w:hAnsi="Arial" w:cs="Arial"/>
                <w:sz w:val="20"/>
                <w:szCs w:val="20"/>
              </w:rPr>
            </w:pPr>
            <w:r w:rsidRPr="0036728D">
              <w:rPr>
                <w:rFonts w:ascii="Arial" w:hAnsi="Arial" w:cs="Arial"/>
                <w:b/>
                <w:bCs/>
                <w:color w:val="FFFFFF"/>
                <w:sz w:val="20"/>
                <w:szCs w:val="20"/>
              </w:rPr>
              <w:t>Rating</w:t>
            </w:r>
          </w:p>
        </w:tc>
        <w:tc>
          <w:tcPr>
            <w:tcW w:w="5500" w:type="dxa"/>
            <w:shd w:val="clear" w:color="auto" w:fill="1B0459"/>
            <w:tcMar>
              <w:top w:w="80" w:type="dxa"/>
              <w:left w:w="100" w:type="dxa"/>
              <w:bottom w:w="80" w:type="dxa"/>
              <w:right w:w="100" w:type="dxa"/>
            </w:tcMar>
            <w:vAlign w:val="center"/>
          </w:tcPr>
          <w:p w14:paraId="6F3B4D60" w14:textId="77777777" w:rsidR="00B45937" w:rsidRPr="0036728D" w:rsidRDefault="00B45937" w:rsidP="00D1554C">
            <w:pPr>
              <w:rPr>
                <w:rFonts w:ascii="Arial" w:hAnsi="Arial" w:cs="Arial"/>
                <w:sz w:val="20"/>
                <w:szCs w:val="20"/>
              </w:rPr>
            </w:pPr>
            <w:r w:rsidRPr="0036728D">
              <w:rPr>
                <w:rFonts w:ascii="Arial" w:hAnsi="Arial" w:cs="Arial"/>
                <w:b/>
                <w:bCs/>
                <w:color w:val="FFFFFF"/>
                <w:sz w:val="20"/>
                <w:szCs w:val="20"/>
              </w:rPr>
              <w:t>Justification</w:t>
            </w:r>
          </w:p>
        </w:tc>
      </w:tr>
      <w:tr w:rsidR="00B45937" w:rsidRPr="0036728D" w14:paraId="4675F7A2" w14:textId="77777777" w:rsidTr="007110E7">
        <w:trPr>
          <w:jc w:val="center"/>
        </w:trPr>
        <w:tc>
          <w:tcPr>
            <w:tcW w:w="1600" w:type="dxa"/>
            <w:shd w:val="clear" w:color="auto" w:fill="FFFFFF"/>
            <w:tcMar>
              <w:top w:w="80" w:type="dxa"/>
              <w:left w:w="100" w:type="dxa"/>
              <w:bottom w:w="80" w:type="dxa"/>
              <w:right w:w="100" w:type="dxa"/>
            </w:tcMar>
            <w:vAlign w:val="center"/>
          </w:tcPr>
          <w:p w14:paraId="14D28061"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Suitability</w:t>
            </w:r>
          </w:p>
        </w:tc>
        <w:tc>
          <w:tcPr>
            <w:tcW w:w="1300" w:type="dxa"/>
            <w:shd w:val="clear" w:color="auto" w:fill="FFFFFF"/>
            <w:tcMar>
              <w:top w:w="80" w:type="dxa"/>
              <w:left w:w="100" w:type="dxa"/>
              <w:bottom w:w="80" w:type="dxa"/>
              <w:right w:w="100" w:type="dxa"/>
            </w:tcMar>
            <w:vAlign w:val="center"/>
          </w:tcPr>
          <w:p w14:paraId="6A93BB4A"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High</w:t>
            </w:r>
          </w:p>
        </w:tc>
        <w:tc>
          <w:tcPr>
            <w:tcW w:w="5500" w:type="dxa"/>
            <w:shd w:val="clear" w:color="auto" w:fill="FFFFFF"/>
            <w:tcMar>
              <w:top w:w="80" w:type="dxa"/>
              <w:left w:w="100" w:type="dxa"/>
              <w:bottom w:w="80" w:type="dxa"/>
              <w:right w:w="100" w:type="dxa"/>
            </w:tcMar>
            <w:vAlign w:val="center"/>
          </w:tcPr>
          <w:p w14:paraId="4084EC9C"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The strategy directly addresses the SWOT/PESTEL findings: it exploits Vodafone's enlarged network and digital-services strengths, addresses the weakness of incomplete 5G migration by driving network-led penetration, and responds to the threat of intense three-way rivalry by differentiating on quality and convergence rather than price (Johnson et al., 2020).</w:t>
            </w:r>
          </w:p>
        </w:tc>
      </w:tr>
      <w:tr w:rsidR="00B45937" w:rsidRPr="0036728D" w14:paraId="5A1DE32E" w14:textId="77777777" w:rsidTr="007110E7">
        <w:trPr>
          <w:jc w:val="center"/>
        </w:trPr>
        <w:tc>
          <w:tcPr>
            <w:tcW w:w="1600" w:type="dxa"/>
            <w:shd w:val="clear" w:color="auto" w:fill="auto"/>
            <w:tcMar>
              <w:top w:w="80" w:type="dxa"/>
              <w:left w:w="100" w:type="dxa"/>
              <w:bottom w:w="80" w:type="dxa"/>
              <w:right w:w="100" w:type="dxa"/>
            </w:tcMar>
            <w:vAlign w:val="center"/>
          </w:tcPr>
          <w:p w14:paraId="36A9EF53"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Feasibility</w:t>
            </w:r>
          </w:p>
        </w:tc>
        <w:tc>
          <w:tcPr>
            <w:tcW w:w="1300" w:type="dxa"/>
            <w:shd w:val="clear" w:color="auto" w:fill="auto"/>
            <w:tcMar>
              <w:top w:w="80" w:type="dxa"/>
              <w:left w:w="100" w:type="dxa"/>
              <w:bottom w:w="80" w:type="dxa"/>
              <w:right w:w="100" w:type="dxa"/>
            </w:tcMar>
            <w:vAlign w:val="center"/>
          </w:tcPr>
          <w:p w14:paraId="304F0517"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Medium-High</w:t>
            </w:r>
          </w:p>
        </w:tc>
        <w:tc>
          <w:tcPr>
            <w:tcW w:w="5500" w:type="dxa"/>
            <w:shd w:val="clear" w:color="auto" w:fill="auto"/>
            <w:tcMar>
              <w:top w:w="80" w:type="dxa"/>
              <w:left w:w="100" w:type="dxa"/>
              <w:bottom w:w="80" w:type="dxa"/>
              <w:right w:w="100" w:type="dxa"/>
            </w:tcMar>
            <w:vAlign w:val="center"/>
          </w:tcPr>
          <w:p w14:paraId="62831733"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 xml:space="preserve">Vodafone has committed capital (£11bn over ten years, £1.3bn in year one), demonstrated free cash flow generation (Vodafone Group Plc, 2026b) and full operational control following the July 2026 buyout, removing prior joint-venture decision-making friction. </w:t>
            </w:r>
            <w:r w:rsidRPr="0036728D">
              <w:rPr>
                <w:rFonts w:ascii="Arial" w:hAnsi="Arial" w:cs="Arial"/>
                <w:color w:val="000000"/>
                <w:sz w:val="20"/>
                <w:szCs w:val="20"/>
              </w:rPr>
              <w:lastRenderedPageBreak/>
              <w:t>Execution risk remains around network integration timelines and realising the targeted £700m annual synergies by FY30 (Vodafone Group Plc, 2026a).</w:t>
            </w:r>
          </w:p>
        </w:tc>
      </w:tr>
      <w:tr w:rsidR="00B45937" w:rsidRPr="0036728D" w14:paraId="4435CBC7" w14:textId="77777777" w:rsidTr="007110E7">
        <w:trPr>
          <w:jc w:val="center"/>
        </w:trPr>
        <w:tc>
          <w:tcPr>
            <w:tcW w:w="1600" w:type="dxa"/>
            <w:shd w:val="clear" w:color="auto" w:fill="FFFFFF"/>
            <w:tcMar>
              <w:top w:w="80" w:type="dxa"/>
              <w:left w:w="100" w:type="dxa"/>
              <w:bottom w:w="80" w:type="dxa"/>
              <w:right w:w="100" w:type="dxa"/>
            </w:tcMar>
            <w:vAlign w:val="center"/>
          </w:tcPr>
          <w:p w14:paraId="47A14BE1"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lastRenderedPageBreak/>
              <w:t>Acceptability</w:t>
            </w:r>
          </w:p>
        </w:tc>
        <w:tc>
          <w:tcPr>
            <w:tcW w:w="1300" w:type="dxa"/>
            <w:shd w:val="clear" w:color="auto" w:fill="FFFFFF"/>
            <w:tcMar>
              <w:top w:w="80" w:type="dxa"/>
              <w:left w:w="100" w:type="dxa"/>
              <w:bottom w:w="80" w:type="dxa"/>
              <w:right w:w="100" w:type="dxa"/>
            </w:tcMar>
            <w:vAlign w:val="center"/>
          </w:tcPr>
          <w:p w14:paraId="11E8CD5C"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Medium-High</w:t>
            </w:r>
          </w:p>
        </w:tc>
        <w:tc>
          <w:tcPr>
            <w:tcW w:w="5500" w:type="dxa"/>
            <w:shd w:val="clear" w:color="auto" w:fill="FFFFFF"/>
            <w:tcMar>
              <w:top w:w="80" w:type="dxa"/>
              <w:left w:w="100" w:type="dxa"/>
              <w:bottom w:w="80" w:type="dxa"/>
              <w:right w:w="100" w:type="dxa"/>
            </w:tcMar>
            <w:vAlign w:val="center"/>
          </w:tcPr>
          <w:p w14:paraId="2B1AF500" w14:textId="4B41EB35" w:rsidR="00B45937" w:rsidRPr="0036728D" w:rsidRDefault="00B45937" w:rsidP="00D1554C">
            <w:pPr>
              <w:rPr>
                <w:rFonts w:ascii="Arial" w:hAnsi="Arial" w:cs="Arial"/>
                <w:sz w:val="20"/>
                <w:szCs w:val="20"/>
              </w:rPr>
            </w:pPr>
            <w:r w:rsidRPr="0036728D">
              <w:rPr>
                <w:rFonts w:ascii="Arial" w:hAnsi="Arial" w:cs="Arial"/>
                <w:color w:val="000000"/>
                <w:sz w:val="20"/>
                <w:szCs w:val="20"/>
              </w:rPr>
              <w:t>Shareholders should welcome a strategy that leverages an asset they have already funded rather than requiring new unrelated investment; returns are expected to be free-cash-flow accretive from FY29 onward (Vodafone Group Plc, 2025a). Acceptability to regulators and the public depends on Vodafone visibly delivering the coverage, pricing and investment commitments made during merger approval, and on managing headcount and integration impacts responsibly.</w:t>
            </w:r>
          </w:p>
        </w:tc>
      </w:tr>
    </w:tbl>
    <w:p w14:paraId="5ED775C5" w14:textId="0373E4B9" w:rsidR="00B45937" w:rsidRPr="0036728D" w:rsidRDefault="007110E7" w:rsidP="00B45937">
      <w:pPr>
        <w:spacing w:before="60" w:after="220"/>
        <w:rPr>
          <w:rFonts w:ascii="Arial" w:hAnsi="Arial" w:cs="Arial"/>
          <w:sz w:val="20"/>
          <w:szCs w:val="20"/>
        </w:rPr>
      </w:pPr>
      <w:r>
        <w:rPr>
          <w:rFonts w:ascii="Arial" w:hAnsi="Arial" w:cs="Arial"/>
          <w:i/>
          <w:iCs/>
          <w:color w:val="595959"/>
          <w:sz w:val="20"/>
          <w:szCs w:val="20"/>
        </w:rPr>
        <w:t xml:space="preserve">     </w:t>
      </w:r>
      <w:r w:rsidR="00B45937" w:rsidRPr="0036728D">
        <w:rPr>
          <w:rFonts w:ascii="Arial" w:hAnsi="Arial" w:cs="Arial"/>
          <w:i/>
          <w:iCs/>
          <w:color w:val="595959"/>
          <w:sz w:val="20"/>
          <w:szCs w:val="20"/>
        </w:rPr>
        <w:t>Table 5: SFA evaluation of the recommended strategy.</w:t>
      </w:r>
    </w:p>
    <w:p w14:paraId="6B58A50A" w14:textId="77777777" w:rsidR="00B45937" w:rsidRDefault="00B45937" w:rsidP="00D1671E"/>
    <w:p w14:paraId="59621848" w14:textId="77777777" w:rsidR="00552F80" w:rsidRPr="00552F80" w:rsidRDefault="00552F80" w:rsidP="00552F80">
      <w:pPr>
        <w:autoSpaceDE w:val="0"/>
        <w:autoSpaceDN w:val="0"/>
        <w:adjustRightInd w:val="0"/>
        <w:jc w:val="both"/>
        <w:rPr>
          <w:rFonts w:ascii="Arial" w:hAnsi="Arial" w:cs="Arial"/>
          <w:color w:val="000000"/>
        </w:rPr>
      </w:pPr>
    </w:p>
    <w:p w14:paraId="6B880227" w14:textId="77777777" w:rsidR="00552F80" w:rsidRDefault="00552F80" w:rsidP="00552F80">
      <w:pPr>
        <w:autoSpaceDE w:val="0"/>
        <w:autoSpaceDN w:val="0"/>
        <w:adjustRightInd w:val="0"/>
        <w:spacing w:line="360" w:lineRule="auto"/>
        <w:jc w:val="both"/>
        <w:rPr>
          <w:rFonts w:ascii="Arial" w:hAnsi="Arial" w:cs="Arial"/>
          <w:color w:val="000000"/>
        </w:rPr>
      </w:pPr>
      <w:r w:rsidRPr="00552F80">
        <w:rPr>
          <w:rFonts w:ascii="Arial" w:hAnsi="Arial" w:cs="Arial"/>
          <w:color w:val="000000"/>
        </w:rPr>
        <w:t>Overall, the SFA analysis supports adoption of the recommended strategy. The clearest risk lies in feasibility: successful network integration and the realisation of £700 million in annual synergies by FY30 depend on operational execution that is still in progress, and full ownership - while removing joint-venture friction - also concentrates integration risk and increased net debt entirely on Vodafone's balance sheet (</w:t>
      </w:r>
      <w:proofErr w:type="spellStart"/>
      <w:r w:rsidRPr="00552F80">
        <w:rPr>
          <w:rFonts w:ascii="Arial" w:hAnsi="Arial" w:cs="Arial"/>
          <w:color w:val="000000"/>
        </w:rPr>
        <w:t>TelecomTV</w:t>
      </w:r>
      <w:proofErr w:type="spellEnd"/>
      <w:r w:rsidRPr="00552F80">
        <w:rPr>
          <w:rFonts w:ascii="Arial" w:hAnsi="Arial" w:cs="Arial"/>
          <w:color w:val="000000"/>
        </w:rPr>
        <w:t>, 2026). It is assumed for this report, in the absence of more granular disclosure, that Vodafone can fund the ongoing £11 billion network investment from existing free cash flow generation and disciplined capital allocation, consistent with statements accompanying the FY26 results and the CKHGT buyout, both of which were funded from existing cash resources rather than new debt issuance (Vodafone Group Plc, 2026a; 2026b).</w:t>
      </w:r>
    </w:p>
    <w:p w14:paraId="51BA443E" w14:textId="77777777" w:rsidR="00552F80" w:rsidRPr="00552F80" w:rsidRDefault="00552F80" w:rsidP="00552F80">
      <w:pPr>
        <w:autoSpaceDE w:val="0"/>
        <w:autoSpaceDN w:val="0"/>
        <w:adjustRightInd w:val="0"/>
        <w:spacing w:line="360" w:lineRule="auto"/>
        <w:jc w:val="both"/>
        <w:rPr>
          <w:rFonts w:ascii="Arial" w:hAnsi="Arial" w:cs="Arial"/>
          <w:color w:val="000000"/>
        </w:rPr>
      </w:pPr>
    </w:p>
    <w:p w14:paraId="5BC780B0" w14:textId="77777777" w:rsidR="00552F80" w:rsidRPr="00552F80" w:rsidRDefault="00552F80" w:rsidP="00552F80">
      <w:pPr>
        <w:autoSpaceDE w:val="0"/>
        <w:autoSpaceDN w:val="0"/>
        <w:adjustRightInd w:val="0"/>
        <w:spacing w:line="360" w:lineRule="auto"/>
        <w:jc w:val="both"/>
        <w:rPr>
          <w:rFonts w:ascii="Arial" w:hAnsi="Arial" w:cs="Arial"/>
          <w:color w:val="000000"/>
        </w:rPr>
      </w:pPr>
      <w:r w:rsidRPr="00552F80">
        <w:rPr>
          <w:rFonts w:ascii="Arial" w:hAnsi="Arial" w:cs="Arial"/>
          <w:color w:val="000000"/>
        </w:rPr>
        <w:t>A further assumption made is that Ofcom and the UK Government continue to support consolidation-driven investment, as evidenced by CMA approval of the original merger and the National Security and Investment Act review process for the buyout, rather than imposing material new structural remedies, since a materially different regulatory outcome would alter the feasibility and acceptability ratings above (Verdict, 2026).</w:t>
      </w:r>
    </w:p>
    <w:p w14:paraId="7736919D" w14:textId="77777777" w:rsidR="00552F80" w:rsidRDefault="00552F80" w:rsidP="00D1671E"/>
    <w:p w14:paraId="45C70B2E" w14:textId="77777777" w:rsidR="0036728D" w:rsidRDefault="0036728D" w:rsidP="00D1671E"/>
    <w:p w14:paraId="4EAF7580" w14:textId="77777777" w:rsidR="0036728D" w:rsidRDefault="0036728D" w:rsidP="00D1671E"/>
    <w:p w14:paraId="20D22BEF" w14:textId="77777777" w:rsidR="00D7576D" w:rsidRDefault="00D7576D" w:rsidP="00D1671E"/>
    <w:p w14:paraId="50308B82" w14:textId="77777777" w:rsidR="0036728D" w:rsidRPr="00D1671E" w:rsidRDefault="0036728D" w:rsidP="00D1671E"/>
    <w:p w14:paraId="5EBD7C68" w14:textId="6F28B26A" w:rsidR="00F705E3" w:rsidRDefault="00F705E3" w:rsidP="00F705E3">
      <w:pPr>
        <w:pStyle w:val="Ttulo1"/>
        <w:rPr>
          <w:rFonts w:ascii="Arial" w:hAnsi="Arial" w:cs="Arial"/>
          <w:sz w:val="36"/>
          <w:szCs w:val="36"/>
        </w:rPr>
      </w:pPr>
      <w:bookmarkStart w:id="15" w:name="_Toc237175175"/>
      <w:r>
        <w:rPr>
          <w:rFonts w:ascii="Arial" w:hAnsi="Arial" w:cs="Arial"/>
          <w:sz w:val="36"/>
          <w:szCs w:val="36"/>
        </w:rPr>
        <w:lastRenderedPageBreak/>
        <w:t>6</w:t>
      </w:r>
      <w:r w:rsidRPr="00796ED3">
        <w:rPr>
          <w:rFonts w:ascii="Arial" w:hAnsi="Arial" w:cs="Arial"/>
          <w:sz w:val="36"/>
          <w:szCs w:val="36"/>
        </w:rPr>
        <w:t xml:space="preserve">. </w:t>
      </w:r>
      <w:r>
        <w:rPr>
          <w:rFonts w:ascii="Arial" w:hAnsi="Arial" w:cs="Arial"/>
          <w:sz w:val="36"/>
          <w:szCs w:val="36"/>
        </w:rPr>
        <w:t>STAKEHOLDER ANALYSIS</w:t>
      </w:r>
      <w:bookmarkEnd w:id="15"/>
      <w:r>
        <w:rPr>
          <w:rFonts w:ascii="Arial" w:hAnsi="Arial" w:cs="Arial"/>
          <w:sz w:val="36"/>
          <w:szCs w:val="36"/>
        </w:rPr>
        <w:t xml:space="preserve"> </w:t>
      </w:r>
    </w:p>
    <w:p w14:paraId="22B14026" w14:textId="77777777" w:rsidR="00552F80" w:rsidRDefault="00552F80" w:rsidP="00552F80">
      <w:pPr>
        <w:autoSpaceDE w:val="0"/>
        <w:autoSpaceDN w:val="0"/>
        <w:adjustRightInd w:val="0"/>
        <w:jc w:val="both"/>
        <w:rPr>
          <w:rFonts w:ascii="AppleSystemUIFont" w:eastAsiaTheme="minorEastAsia" w:hAnsi="AppleSystemUIFont" w:cs="AppleSystemUIFont"/>
          <w:sz w:val="26"/>
          <w:szCs w:val="26"/>
          <w:lang w:eastAsia="zh-CN"/>
        </w:rPr>
      </w:pPr>
    </w:p>
    <w:p w14:paraId="2A3321FE" w14:textId="6FD83330" w:rsidR="00552F80" w:rsidRDefault="00552F80" w:rsidP="00552F80">
      <w:pPr>
        <w:autoSpaceDE w:val="0"/>
        <w:autoSpaceDN w:val="0"/>
        <w:adjustRightInd w:val="0"/>
        <w:spacing w:line="360" w:lineRule="auto"/>
        <w:jc w:val="both"/>
        <w:rPr>
          <w:rFonts w:ascii="Arial" w:hAnsi="Arial" w:cs="Arial"/>
          <w:color w:val="000000"/>
        </w:rPr>
      </w:pPr>
      <w:r w:rsidRPr="00552F80">
        <w:rPr>
          <w:rFonts w:ascii="Arial" w:hAnsi="Arial" w:cs="Arial"/>
          <w:color w:val="000000"/>
        </w:rPr>
        <w:t>Consistent with stakeholder theory, which holds that organisations are accountable to a broad range of groups beyond shareholders alone</w:t>
      </w:r>
      <w:r w:rsidR="00D7576D">
        <w:rPr>
          <w:rFonts w:ascii="Arial" w:hAnsi="Arial" w:cs="Arial"/>
          <w:color w:val="000000"/>
        </w:rPr>
        <w:t>,</w:t>
      </w:r>
      <w:r w:rsidRPr="00552F80">
        <w:rPr>
          <w:rFonts w:ascii="Arial" w:hAnsi="Arial" w:cs="Arial"/>
          <w:color w:val="000000"/>
        </w:rPr>
        <w:t xml:space="preserve"> the recommended strategy affects employees, regulators, customers and communities, and their varying power and interest are mapped using Mendelow's Power/Interest Matrix</w:t>
      </w:r>
      <w:r w:rsidR="00D7576D">
        <w:rPr>
          <w:rFonts w:ascii="Arial" w:hAnsi="Arial" w:cs="Arial"/>
          <w:color w:val="000000"/>
        </w:rPr>
        <w:t>.</w:t>
      </w:r>
    </w:p>
    <w:p w14:paraId="3A1D570C" w14:textId="77777777" w:rsidR="00B45937" w:rsidRPr="0036728D" w:rsidRDefault="00B45937" w:rsidP="00B45937">
      <w:pPr>
        <w:spacing w:after="160" w:line="276" w:lineRule="auto"/>
        <w:jc w:val="both"/>
        <w:rPr>
          <w:rFonts w:ascii="Arial" w:hAnsi="Arial" w:cs="Arial"/>
          <w:sz w:val="20"/>
          <w:szCs w:val="20"/>
        </w:rPr>
      </w:pPr>
    </w:p>
    <w:tbl>
      <w:tblPr>
        <w:tblW w:w="8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00"/>
        <w:gridCol w:w="5200"/>
      </w:tblGrid>
      <w:tr w:rsidR="00B45937" w:rsidRPr="0036728D" w14:paraId="1DA17C2C" w14:textId="77777777" w:rsidTr="007110E7">
        <w:trPr>
          <w:tblHeader/>
          <w:jc w:val="center"/>
        </w:trPr>
        <w:tc>
          <w:tcPr>
            <w:tcW w:w="3200" w:type="dxa"/>
            <w:shd w:val="clear" w:color="auto" w:fill="1B0459"/>
            <w:tcMar>
              <w:top w:w="80" w:type="dxa"/>
              <w:left w:w="100" w:type="dxa"/>
              <w:bottom w:w="80" w:type="dxa"/>
              <w:right w:w="100" w:type="dxa"/>
            </w:tcMar>
            <w:vAlign w:val="center"/>
          </w:tcPr>
          <w:p w14:paraId="12A14732" w14:textId="77777777" w:rsidR="00B45937" w:rsidRPr="0036728D" w:rsidRDefault="00B45937" w:rsidP="00D1554C">
            <w:pPr>
              <w:rPr>
                <w:rFonts w:ascii="Arial" w:hAnsi="Arial" w:cs="Arial"/>
                <w:sz w:val="20"/>
                <w:szCs w:val="20"/>
              </w:rPr>
            </w:pPr>
            <w:r w:rsidRPr="0036728D">
              <w:rPr>
                <w:rFonts w:ascii="Arial" w:hAnsi="Arial" w:cs="Arial"/>
                <w:b/>
                <w:bCs/>
                <w:color w:val="FFFFFF"/>
                <w:sz w:val="20"/>
                <w:szCs w:val="20"/>
              </w:rPr>
              <w:t>Quadrant</w:t>
            </w:r>
          </w:p>
        </w:tc>
        <w:tc>
          <w:tcPr>
            <w:tcW w:w="5200" w:type="dxa"/>
            <w:shd w:val="clear" w:color="auto" w:fill="1B0459"/>
            <w:tcMar>
              <w:top w:w="80" w:type="dxa"/>
              <w:left w:w="100" w:type="dxa"/>
              <w:bottom w:w="80" w:type="dxa"/>
              <w:right w:w="100" w:type="dxa"/>
            </w:tcMar>
            <w:vAlign w:val="center"/>
          </w:tcPr>
          <w:p w14:paraId="503508DA" w14:textId="77777777" w:rsidR="00B45937" w:rsidRPr="0036728D" w:rsidRDefault="00B45937" w:rsidP="00D1554C">
            <w:pPr>
              <w:rPr>
                <w:rFonts w:ascii="Arial" w:hAnsi="Arial" w:cs="Arial"/>
                <w:sz w:val="20"/>
                <w:szCs w:val="20"/>
              </w:rPr>
            </w:pPr>
            <w:r w:rsidRPr="0036728D">
              <w:rPr>
                <w:rFonts w:ascii="Arial" w:hAnsi="Arial" w:cs="Arial"/>
                <w:b/>
                <w:bCs/>
                <w:color w:val="FFFFFF"/>
                <w:sz w:val="20"/>
                <w:szCs w:val="20"/>
              </w:rPr>
              <w:t>Stakeholders</w:t>
            </w:r>
          </w:p>
        </w:tc>
      </w:tr>
      <w:tr w:rsidR="00B45937" w:rsidRPr="0036728D" w14:paraId="6C25ADBB" w14:textId="77777777" w:rsidTr="007110E7">
        <w:trPr>
          <w:jc w:val="center"/>
        </w:trPr>
        <w:tc>
          <w:tcPr>
            <w:tcW w:w="3200" w:type="dxa"/>
            <w:shd w:val="clear" w:color="auto" w:fill="FFFFFF"/>
            <w:tcMar>
              <w:top w:w="80" w:type="dxa"/>
              <w:left w:w="100" w:type="dxa"/>
              <w:bottom w:w="80" w:type="dxa"/>
              <w:right w:w="100" w:type="dxa"/>
            </w:tcMar>
            <w:vAlign w:val="center"/>
          </w:tcPr>
          <w:p w14:paraId="572569D1"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High power / High interest (Manage Closely)</w:t>
            </w:r>
          </w:p>
        </w:tc>
        <w:tc>
          <w:tcPr>
            <w:tcW w:w="5200" w:type="dxa"/>
            <w:shd w:val="clear" w:color="auto" w:fill="FFFFFF"/>
            <w:tcMar>
              <w:top w:w="80" w:type="dxa"/>
              <w:left w:w="100" w:type="dxa"/>
              <w:bottom w:w="80" w:type="dxa"/>
              <w:right w:w="100" w:type="dxa"/>
            </w:tcMar>
            <w:vAlign w:val="center"/>
          </w:tcPr>
          <w:p w14:paraId="51595BDA"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Ofcom &amp; UK Government; Vodafone Group Board and shareholders; Employees directly affected by integration</w:t>
            </w:r>
          </w:p>
        </w:tc>
      </w:tr>
      <w:tr w:rsidR="00B45937" w:rsidRPr="0036728D" w14:paraId="293D7D46" w14:textId="77777777" w:rsidTr="007110E7">
        <w:trPr>
          <w:jc w:val="center"/>
        </w:trPr>
        <w:tc>
          <w:tcPr>
            <w:tcW w:w="3200" w:type="dxa"/>
            <w:shd w:val="clear" w:color="auto" w:fill="auto"/>
            <w:tcMar>
              <w:top w:w="80" w:type="dxa"/>
              <w:left w:w="100" w:type="dxa"/>
              <w:bottom w:w="80" w:type="dxa"/>
              <w:right w:w="100" w:type="dxa"/>
            </w:tcMar>
            <w:vAlign w:val="center"/>
          </w:tcPr>
          <w:p w14:paraId="7C86E294"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High power / Low interest (Keep Satisfied)</w:t>
            </w:r>
          </w:p>
        </w:tc>
        <w:tc>
          <w:tcPr>
            <w:tcW w:w="5200" w:type="dxa"/>
            <w:shd w:val="clear" w:color="auto" w:fill="auto"/>
            <w:tcMar>
              <w:top w:w="80" w:type="dxa"/>
              <w:left w:w="100" w:type="dxa"/>
              <w:bottom w:w="80" w:type="dxa"/>
              <w:right w:w="100" w:type="dxa"/>
            </w:tcMar>
            <w:vAlign w:val="center"/>
          </w:tcPr>
          <w:p w14:paraId="5DAF4D83"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Institutional investors and credit rating agencies; Network equipment suppliers</w:t>
            </w:r>
          </w:p>
        </w:tc>
      </w:tr>
      <w:tr w:rsidR="00B45937" w:rsidRPr="0036728D" w14:paraId="4B2D69AD" w14:textId="77777777" w:rsidTr="007110E7">
        <w:trPr>
          <w:jc w:val="center"/>
        </w:trPr>
        <w:tc>
          <w:tcPr>
            <w:tcW w:w="3200" w:type="dxa"/>
            <w:shd w:val="clear" w:color="auto" w:fill="auto"/>
            <w:tcMar>
              <w:top w:w="80" w:type="dxa"/>
              <w:left w:w="100" w:type="dxa"/>
              <w:bottom w:w="80" w:type="dxa"/>
              <w:right w:w="100" w:type="dxa"/>
            </w:tcMar>
            <w:vAlign w:val="center"/>
          </w:tcPr>
          <w:p w14:paraId="36FBA260"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Low power / High interest (Keep Informed)</w:t>
            </w:r>
          </w:p>
        </w:tc>
        <w:tc>
          <w:tcPr>
            <w:tcW w:w="5200" w:type="dxa"/>
            <w:shd w:val="clear" w:color="auto" w:fill="auto"/>
            <w:tcMar>
              <w:top w:w="80" w:type="dxa"/>
              <w:left w:w="100" w:type="dxa"/>
              <w:bottom w:w="80" w:type="dxa"/>
              <w:right w:w="100" w:type="dxa"/>
            </w:tcMar>
            <w:vAlign w:val="center"/>
          </w:tcPr>
          <w:p w14:paraId="6E90FC56"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Retail and business customers; Trade unions and works councils; Local communities near new infrastructure</w:t>
            </w:r>
          </w:p>
        </w:tc>
      </w:tr>
      <w:tr w:rsidR="00B45937" w:rsidRPr="0036728D" w14:paraId="02235938" w14:textId="77777777" w:rsidTr="007110E7">
        <w:trPr>
          <w:jc w:val="center"/>
        </w:trPr>
        <w:tc>
          <w:tcPr>
            <w:tcW w:w="3200" w:type="dxa"/>
            <w:shd w:val="clear" w:color="auto" w:fill="auto"/>
            <w:tcMar>
              <w:top w:w="80" w:type="dxa"/>
              <w:left w:w="100" w:type="dxa"/>
              <w:bottom w:w="80" w:type="dxa"/>
              <w:right w:w="100" w:type="dxa"/>
            </w:tcMar>
            <w:vAlign w:val="center"/>
          </w:tcPr>
          <w:p w14:paraId="283BE40C"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Low power / Low interest (Monitor)</w:t>
            </w:r>
          </w:p>
        </w:tc>
        <w:tc>
          <w:tcPr>
            <w:tcW w:w="5200" w:type="dxa"/>
            <w:shd w:val="clear" w:color="auto" w:fill="auto"/>
            <w:tcMar>
              <w:top w:w="80" w:type="dxa"/>
              <w:left w:w="100" w:type="dxa"/>
              <w:bottom w:w="80" w:type="dxa"/>
              <w:right w:w="100" w:type="dxa"/>
            </w:tcMar>
            <w:vAlign w:val="center"/>
          </w:tcPr>
          <w:p w14:paraId="1CA85DCE"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 xml:space="preserve">General </w:t>
            </w:r>
            <w:proofErr w:type="gramStart"/>
            <w:r w:rsidRPr="0036728D">
              <w:rPr>
                <w:rFonts w:ascii="Arial" w:hAnsi="Arial" w:cs="Arial"/>
                <w:color w:val="000000"/>
                <w:sz w:val="20"/>
                <w:szCs w:val="20"/>
              </w:rPr>
              <w:t>public;</w:t>
            </w:r>
            <w:proofErr w:type="gramEnd"/>
            <w:r w:rsidRPr="0036728D">
              <w:rPr>
                <w:rFonts w:ascii="Arial" w:hAnsi="Arial" w:cs="Arial"/>
                <w:color w:val="000000"/>
                <w:sz w:val="20"/>
                <w:szCs w:val="20"/>
              </w:rPr>
              <w:t xml:space="preserve"> Smaller MVNO partners not directly affected by network integration</w:t>
            </w:r>
          </w:p>
        </w:tc>
      </w:tr>
    </w:tbl>
    <w:p w14:paraId="4D1B4B06" w14:textId="2ACA1EBA" w:rsidR="00B45937" w:rsidRPr="0036728D" w:rsidRDefault="007110E7" w:rsidP="00B45937">
      <w:pPr>
        <w:spacing w:before="60" w:after="220"/>
        <w:rPr>
          <w:rFonts w:ascii="Arial" w:hAnsi="Arial" w:cs="Arial"/>
          <w:sz w:val="20"/>
          <w:szCs w:val="20"/>
        </w:rPr>
      </w:pPr>
      <w:r>
        <w:rPr>
          <w:rFonts w:ascii="Arial" w:hAnsi="Arial" w:cs="Arial"/>
          <w:i/>
          <w:iCs/>
          <w:color w:val="595959"/>
          <w:sz w:val="20"/>
          <w:szCs w:val="20"/>
        </w:rPr>
        <w:t xml:space="preserve">    </w:t>
      </w:r>
      <w:r w:rsidR="00B45937" w:rsidRPr="0036728D">
        <w:rPr>
          <w:rFonts w:ascii="Arial" w:hAnsi="Arial" w:cs="Arial"/>
          <w:i/>
          <w:iCs/>
          <w:color w:val="595959"/>
          <w:sz w:val="20"/>
          <w:szCs w:val="20"/>
        </w:rPr>
        <w:t>Table 6: Mendelow's Power/Interest Matrix applied to the Vodafone growth strategy.</w:t>
      </w:r>
    </w:p>
    <w:p w14:paraId="06F0113C" w14:textId="77777777" w:rsidR="0036728D" w:rsidRDefault="0036728D" w:rsidP="00552F80">
      <w:pPr>
        <w:autoSpaceDE w:val="0"/>
        <w:autoSpaceDN w:val="0"/>
        <w:adjustRightInd w:val="0"/>
        <w:spacing w:line="360" w:lineRule="auto"/>
        <w:jc w:val="both"/>
        <w:rPr>
          <w:rFonts w:ascii="Arial" w:hAnsi="Arial" w:cs="Arial"/>
          <w:color w:val="000000"/>
        </w:rPr>
      </w:pPr>
    </w:p>
    <w:p w14:paraId="5AC84A6B" w14:textId="6998DACF" w:rsidR="00D1671E" w:rsidRPr="0036728D" w:rsidRDefault="00552F80" w:rsidP="0036728D">
      <w:pPr>
        <w:autoSpaceDE w:val="0"/>
        <w:autoSpaceDN w:val="0"/>
        <w:adjustRightInd w:val="0"/>
        <w:spacing w:line="360" w:lineRule="auto"/>
        <w:jc w:val="both"/>
        <w:rPr>
          <w:rFonts w:ascii="Arial" w:hAnsi="Arial" w:cs="Arial"/>
          <w:color w:val="000000"/>
        </w:rPr>
      </w:pPr>
      <w:r w:rsidRPr="00552F80">
        <w:rPr>
          <w:rFonts w:ascii="Arial" w:hAnsi="Arial" w:cs="Arial"/>
          <w:color w:val="000000"/>
        </w:rPr>
        <w:t xml:space="preserve">Employees face the most direct operational impact, as network and back-office integration following full </w:t>
      </w:r>
      <w:proofErr w:type="spellStart"/>
      <w:r w:rsidRPr="00552F80">
        <w:rPr>
          <w:rFonts w:ascii="Arial" w:hAnsi="Arial" w:cs="Arial"/>
          <w:color w:val="000000"/>
        </w:rPr>
        <w:t>VodafoneThree</w:t>
      </w:r>
      <w:proofErr w:type="spellEnd"/>
      <w:r w:rsidRPr="00552F80">
        <w:rPr>
          <w:rFonts w:ascii="Arial" w:hAnsi="Arial" w:cs="Arial"/>
          <w:color w:val="000000"/>
        </w:rPr>
        <w:t xml:space="preserve"> ownership may involve role changes or reductions; the Group's stated productivity programme should be paired with transparent communication and reskilling support to maintain trust and the "Spirit of Vodafone" values (Vodafone Group Plc, 2026b). Regulators, including Ofcom and the body assessing the transaction under the National Security and Investment Act, hold high power over the pace and conditions of integration and should be engaged proactively through transparent reporting on coverage and investment commitments (</w:t>
      </w:r>
      <w:proofErr w:type="spellStart"/>
      <w:r w:rsidRPr="00552F80">
        <w:rPr>
          <w:rFonts w:ascii="Arial" w:hAnsi="Arial" w:cs="Arial"/>
          <w:color w:val="000000"/>
        </w:rPr>
        <w:t>VodafoneThree</w:t>
      </w:r>
      <w:proofErr w:type="spellEnd"/>
      <w:r w:rsidRPr="00552F80">
        <w:rPr>
          <w:rFonts w:ascii="Arial" w:hAnsi="Arial" w:cs="Arial"/>
          <w:color w:val="000000"/>
        </w:rPr>
        <w:t>, 2026). Customers, while individually low-power, are high-interest in aggregate and should be kept informed through cle</w:t>
      </w:r>
      <w:r w:rsidRPr="00D7576D">
        <w:rPr>
          <w:rFonts w:ascii="Arial" w:hAnsi="Arial" w:cs="Arial"/>
          <w:color w:val="000000"/>
        </w:rPr>
        <w:t xml:space="preserve">ar communication on network improvements and pricing, consistent with Mendelow's </w:t>
      </w:r>
      <w:r w:rsidRPr="00552F80">
        <w:rPr>
          <w:rFonts w:ascii="Arial" w:hAnsi="Arial" w:cs="Arial"/>
          <w:color w:val="000000"/>
        </w:rPr>
        <w:t xml:space="preserve">prescription to "keep informed" this quadrant, </w:t>
      </w:r>
      <w:proofErr w:type="gramStart"/>
      <w:r w:rsidRPr="00552F80">
        <w:rPr>
          <w:rFonts w:ascii="Arial" w:hAnsi="Arial" w:cs="Arial"/>
          <w:color w:val="000000"/>
        </w:rPr>
        <w:t>in order to</w:t>
      </w:r>
      <w:proofErr w:type="gramEnd"/>
      <w:r w:rsidRPr="00552F80">
        <w:rPr>
          <w:rFonts w:ascii="Arial" w:hAnsi="Arial" w:cs="Arial"/>
          <w:color w:val="000000"/>
        </w:rPr>
        <w:t xml:space="preserve"> convert consolidation into visible service gains rather than perceived reduced choice. A brief engagement plan should include quarterly investor and regulator updates, a dedicated employee integration communication programme, and public reporting against the £11 billion investment and coverage milestones to maintain customer and community trust.</w:t>
      </w:r>
    </w:p>
    <w:p w14:paraId="3CD6481C" w14:textId="714CCBF8" w:rsidR="00F705E3" w:rsidRPr="00552F80" w:rsidRDefault="00F705E3" w:rsidP="00F705E3">
      <w:pPr>
        <w:pStyle w:val="Ttulo1"/>
        <w:rPr>
          <w:rFonts w:ascii="Arial" w:hAnsi="Arial" w:cs="Arial"/>
          <w:sz w:val="36"/>
          <w:szCs w:val="36"/>
        </w:rPr>
      </w:pPr>
      <w:bookmarkStart w:id="16" w:name="_Toc237175176"/>
      <w:r>
        <w:rPr>
          <w:rFonts w:ascii="Arial" w:hAnsi="Arial" w:cs="Arial"/>
          <w:sz w:val="36"/>
          <w:szCs w:val="36"/>
        </w:rPr>
        <w:lastRenderedPageBreak/>
        <w:t>7</w:t>
      </w:r>
      <w:r w:rsidRPr="00796ED3">
        <w:rPr>
          <w:rFonts w:ascii="Arial" w:hAnsi="Arial" w:cs="Arial"/>
          <w:sz w:val="36"/>
          <w:szCs w:val="36"/>
        </w:rPr>
        <w:t xml:space="preserve">. </w:t>
      </w:r>
      <w:r>
        <w:rPr>
          <w:rFonts w:ascii="Arial" w:hAnsi="Arial" w:cs="Arial"/>
          <w:sz w:val="36"/>
          <w:szCs w:val="36"/>
        </w:rPr>
        <w:t>IMPLEMENTATION AND MONITORING</w:t>
      </w:r>
      <w:bookmarkEnd w:id="16"/>
      <w:r>
        <w:rPr>
          <w:rFonts w:ascii="Arial" w:hAnsi="Arial" w:cs="Arial"/>
          <w:sz w:val="36"/>
          <w:szCs w:val="36"/>
        </w:rPr>
        <w:t xml:space="preserve"> </w:t>
      </w:r>
    </w:p>
    <w:p w14:paraId="264AD5D3" w14:textId="77777777" w:rsidR="00F705E3" w:rsidRDefault="00F705E3" w:rsidP="00F705E3">
      <w:pPr>
        <w:spacing w:line="360" w:lineRule="auto"/>
        <w:jc w:val="both"/>
        <w:rPr>
          <w:rFonts w:ascii="Arial" w:hAnsi="Arial" w:cs="Arial"/>
          <w:color w:val="000000"/>
        </w:rPr>
      </w:pPr>
    </w:p>
    <w:p w14:paraId="67479C00" w14:textId="77777777" w:rsidR="00552F80" w:rsidRDefault="00552F80" w:rsidP="00552F80">
      <w:pPr>
        <w:autoSpaceDE w:val="0"/>
        <w:autoSpaceDN w:val="0"/>
        <w:adjustRightInd w:val="0"/>
        <w:spacing w:line="360" w:lineRule="auto"/>
        <w:jc w:val="both"/>
        <w:rPr>
          <w:rFonts w:ascii="Arial" w:hAnsi="Arial" w:cs="Arial"/>
          <w:color w:val="000000"/>
        </w:rPr>
      </w:pPr>
      <w:r w:rsidRPr="00552F80">
        <w:rPr>
          <w:rFonts w:ascii="Arial" w:hAnsi="Arial" w:cs="Arial"/>
          <w:color w:val="000000"/>
        </w:rPr>
        <w:t xml:space="preserve">Implementation should be phased over the next three years, reflecting the scale of the integration task now that Vodafone holds full ownership and control of </w:t>
      </w:r>
      <w:proofErr w:type="spellStart"/>
      <w:r w:rsidRPr="00552F80">
        <w:rPr>
          <w:rFonts w:ascii="Arial" w:hAnsi="Arial" w:cs="Arial"/>
          <w:color w:val="000000"/>
        </w:rPr>
        <w:t>VodafoneThree</w:t>
      </w:r>
      <w:proofErr w:type="spellEnd"/>
      <w:r w:rsidRPr="00552F80">
        <w:rPr>
          <w:rFonts w:ascii="Arial" w:hAnsi="Arial" w:cs="Arial"/>
          <w:color w:val="000000"/>
        </w:rPr>
        <w:t xml:space="preserve"> (Vodafone Group Plc, 2026a).</w:t>
      </w:r>
    </w:p>
    <w:p w14:paraId="7A3A48A1" w14:textId="77777777" w:rsidR="00552F80" w:rsidRPr="00552F80" w:rsidRDefault="00552F80" w:rsidP="00552F80">
      <w:pPr>
        <w:autoSpaceDE w:val="0"/>
        <w:autoSpaceDN w:val="0"/>
        <w:adjustRightInd w:val="0"/>
        <w:spacing w:line="360" w:lineRule="auto"/>
        <w:jc w:val="both"/>
        <w:rPr>
          <w:rFonts w:ascii="Arial" w:hAnsi="Arial" w:cs="Arial"/>
          <w:color w:val="000000"/>
        </w:rPr>
      </w:pPr>
    </w:p>
    <w:p w14:paraId="71722F11" w14:textId="0F9C99A3" w:rsidR="00552F80" w:rsidRDefault="00552F80" w:rsidP="00552F80">
      <w:pPr>
        <w:autoSpaceDE w:val="0"/>
        <w:autoSpaceDN w:val="0"/>
        <w:adjustRightInd w:val="0"/>
        <w:spacing w:line="360" w:lineRule="auto"/>
        <w:jc w:val="both"/>
        <w:rPr>
          <w:rFonts w:ascii="Arial" w:hAnsi="Arial" w:cs="Arial"/>
          <w:color w:val="000000"/>
        </w:rPr>
      </w:pPr>
      <w:r w:rsidRPr="00552F80">
        <w:rPr>
          <w:rFonts w:ascii="Arial" w:hAnsi="Arial" w:cs="Arial"/>
          <w:color w:val="000000"/>
        </w:rPr>
        <w:t xml:space="preserve">Phase 1 (0-12 months): Complete technical and operational integration of Vodafone UK and Three UK systems; align accounting and governance now that </w:t>
      </w:r>
      <w:proofErr w:type="spellStart"/>
      <w:r w:rsidRPr="00552F80">
        <w:rPr>
          <w:rFonts w:ascii="Arial" w:hAnsi="Arial" w:cs="Arial"/>
          <w:color w:val="000000"/>
        </w:rPr>
        <w:t>VodafoneThree</w:t>
      </w:r>
      <w:proofErr w:type="spellEnd"/>
      <w:r w:rsidRPr="00552F80">
        <w:rPr>
          <w:rFonts w:ascii="Arial" w:hAnsi="Arial" w:cs="Arial"/>
          <w:color w:val="000000"/>
        </w:rPr>
        <w:t xml:space="preserve"> is wholly owned; launch a structured employee and customer communication programme.</w:t>
      </w:r>
      <w:r w:rsidR="00300575">
        <w:rPr>
          <w:rFonts w:ascii="Arial" w:hAnsi="Arial" w:cs="Arial"/>
          <w:color w:val="000000"/>
        </w:rPr>
        <w:t xml:space="preserve"> </w:t>
      </w:r>
      <w:r w:rsidRPr="00552F80">
        <w:rPr>
          <w:rFonts w:ascii="Arial" w:hAnsi="Arial" w:cs="Arial"/>
          <w:color w:val="000000"/>
        </w:rPr>
        <w:t>Phase 2 (12-24 months): Scale 5G Standalone coverage and converged bundles; accelerate cross-sell of digital, IoT and financial-services products into the enlarged customer base; begin realising early cost synergies.</w:t>
      </w:r>
      <w:r w:rsidR="00300575">
        <w:rPr>
          <w:rFonts w:ascii="Arial" w:hAnsi="Arial" w:cs="Arial"/>
          <w:color w:val="000000"/>
        </w:rPr>
        <w:t xml:space="preserve"> </w:t>
      </w:r>
      <w:r w:rsidRPr="00552F80">
        <w:rPr>
          <w:rFonts w:ascii="Arial" w:hAnsi="Arial" w:cs="Arial"/>
          <w:color w:val="000000"/>
        </w:rPr>
        <w:t>Phase 3 (24-36+ months): Reach majority run-rate synergy delivery toward the £700m FY30 target (Vodafone Group Plc, 2026a); evaluate further market-development opportunities once core integration is complete.</w:t>
      </w:r>
    </w:p>
    <w:p w14:paraId="75456478" w14:textId="77777777" w:rsidR="00552F80" w:rsidRPr="00552F80" w:rsidRDefault="00552F80" w:rsidP="00552F80">
      <w:pPr>
        <w:autoSpaceDE w:val="0"/>
        <w:autoSpaceDN w:val="0"/>
        <w:adjustRightInd w:val="0"/>
        <w:spacing w:line="360" w:lineRule="auto"/>
        <w:jc w:val="both"/>
        <w:rPr>
          <w:rFonts w:ascii="Arial" w:hAnsi="Arial" w:cs="Arial"/>
          <w:color w:val="000000"/>
        </w:rPr>
      </w:pPr>
    </w:p>
    <w:p w14:paraId="44848993" w14:textId="77777777" w:rsidR="00552F80" w:rsidRPr="00552F80" w:rsidRDefault="00552F80" w:rsidP="00552F80">
      <w:pPr>
        <w:autoSpaceDE w:val="0"/>
        <w:autoSpaceDN w:val="0"/>
        <w:adjustRightInd w:val="0"/>
        <w:spacing w:line="360" w:lineRule="auto"/>
        <w:jc w:val="both"/>
        <w:rPr>
          <w:rFonts w:ascii="Arial" w:hAnsi="Arial" w:cs="Arial"/>
          <w:color w:val="000000"/>
        </w:rPr>
      </w:pPr>
      <w:r w:rsidRPr="00552F80">
        <w:rPr>
          <w:rFonts w:ascii="Arial" w:hAnsi="Arial" w:cs="Arial"/>
          <w:color w:val="000000"/>
        </w:rPr>
        <w:t>The table below sets out core objectives, actions and KPIs the Board can use to monitor progress.</w:t>
      </w:r>
    </w:p>
    <w:p w14:paraId="6C5DC3EB" w14:textId="77777777" w:rsidR="00B45937" w:rsidRDefault="00B45937" w:rsidP="00B45937">
      <w:pPr>
        <w:spacing w:after="160" w:line="276" w:lineRule="auto"/>
        <w:jc w:val="both"/>
      </w:pPr>
    </w:p>
    <w:tbl>
      <w:tblPr>
        <w:tblW w:w="8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00"/>
        <w:gridCol w:w="3600"/>
        <w:gridCol w:w="3200"/>
      </w:tblGrid>
      <w:tr w:rsidR="00B45937" w:rsidRPr="0036728D" w14:paraId="467A8428" w14:textId="77777777" w:rsidTr="007110E7">
        <w:trPr>
          <w:tblHeader/>
          <w:jc w:val="center"/>
        </w:trPr>
        <w:tc>
          <w:tcPr>
            <w:tcW w:w="2000" w:type="dxa"/>
            <w:shd w:val="clear" w:color="auto" w:fill="1B0459"/>
            <w:tcMar>
              <w:top w:w="80" w:type="dxa"/>
              <w:left w:w="100" w:type="dxa"/>
              <w:bottom w:w="80" w:type="dxa"/>
              <w:right w:w="100" w:type="dxa"/>
            </w:tcMar>
            <w:vAlign w:val="center"/>
          </w:tcPr>
          <w:p w14:paraId="64320B80" w14:textId="77777777" w:rsidR="00B45937" w:rsidRPr="0036728D" w:rsidRDefault="00B45937" w:rsidP="00D1554C">
            <w:pPr>
              <w:rPr>
                <w:rFonts w:ascii="Arial" w:hAnsi="Arial" w:cs="Arial"/>
                <w:sz w:val="20"/>
                <w:szCs w:val="20"/>
              </w:rPr>
            </w:pPr>
            <w:r w:rsidRPr="0036728D">
              <w:rPr>
                <w:rFonts w:ascii="Arial" w:hAnsi="Arial" w:cs="Arial"/>
                <w:b/>
                <w:bCs/>
                <w:color w:val="FFFFFF"/>
                <w:sz w:val="20"/>
                <w:szCs w:val="20"/>
              </w:rPr>
              <w:t>Objective</w:t>
            </w:r>
          </w:p>
        </w:tc>
        <w:tc>
          <w:tcPr>
            <w:tcW w:w="3600" w:type="dxa"/>
            <w:shd w:val="clear" w:color="auto" w:fill="1B0459"/>
            <w:tcMar>
              <w:top w:w="80" w:type="dxa"/>
              <w:left w:w="100" w:type="dxa"/>
              <w:bottom w:w="80" w:type="dxa"/>
              <w:right w:w="100" w:type="dxa"/>
            </w:tcMar>
            <w:vAlign w:val="center"/>
          </w:tcPr>
          <w:p w14:paraId="6EF01460" w14:textId="77777777" w:rsidR="00B45937" w:rsidRPr="0036728D" w:rsidRDefault="00B45937" w:rsidP="00D1554C">
            <w:pPr>
              <w:rPr>
                <w:rFonts w:ascii="Arial" w:hAnsi="Arial" w:cs="Arial"/>
                <w:sz w:val="20"/>
                <w:szCs w:val="20"/>
              </w:rPr>
            </w:pPr>
            <w:r w:rsidRPr="0036728D">
              <w:rPr>
                <w:rFonts w:ascii="Arial" w:hAnsi="Arial" w:cs="Arial"/>
                <w:b/>
                <w:bCs/>
                <w:color w:val="FFFFFF"/>
                <w:sz w:val="20"/>
                <w:szCs w:val="20"/>
              </w:rPr>
              <w:t>Key Actions</w:t>
            </w:r>
          </w:p>
        </w:tc>
        <w:tc>
          <w:tcPr>
            <w:tcW w:w="3200" w:type="dxa"/>
            <w:shd w:val="clear" w:color="auto" w:fill="1B0459"/>
            <w:tcMar>
              <w:top w:w="80" w:type="dxa"/>
              <w:left w:w="100" w:type="dxa"/>
              <w:bottom w:w="80" w:type="dxa"/>
              <w:right w:w="100" w:type="dxa"/>
            </w:tcMar>
            <w:vAlign w:val="center"/>
          </w:tcPr>
          <w:p w14:paraId="0B4A8FC7" w14:textId="77777777" w:rsidR="00B45937" w:rsidRPr="0036728D" w:rsidRDefault="00B45937" w:rsidP="00D1554C">
            <w:pPr>
              <w:rPr>
                <w:rFonts w:ascii="Arial" w:hAnsi="Arial" w:cs="Arial"/>
                <w:sz w:val="20"/>
                <w:szCs w:val="20"/>
              </w:rPr>
            </w:pPr>
            <w:r w:rsidRPr="0036728D">
              <w:rPr>
                <w:rFonts w:ascii="Arial" w:hAnsi="Arial" w:cs="Arial"/>
                <w:b/>
                <w:bCs/>
                <w:color w:val="FFFFFF"/>
                <w:sz w:val="20"/>
                <w:szCs w:val="20"/>
              </w:rPr>
              <w:t>KPI(s)</w:t>
            </w:r>
          </w:p>
        </w:tc>
      </w:tr>
      <w:tr w:rsidR="00B45937" w:rsidRPr="0036728D" w14:paraId="53880A9E" w14:textId="77777777" w:rsidTr="007110E7">
        <w:trPr>
          <w:jc w:val="center"/>
        </w:trPr>
        <w:tc>
          <w:tcPr>
            <w:tcW w:w="2000" w:type="dxa"/>
            <w:shd w:val="clear" w:color="auto" w:fill="auto"/>
            <w:tcMar>
              <w:top w:w="80" w:type="dxa"/>
              <w:left w:w="100" w:type="dxa"/>
              <w:bottom w:w="80" w:type="dxa"/>
              <w:right w:w="100" w:type="dxa"/>
            </w:tcMar>
            <w:vAlign w:val="center"/>
          </w:tcPr>
          <w:p w14:paraId="652CDB94"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Complete network integration</w:t>
            </w:r>
          </w:p>
        </w:tc>
        <w:tc>
          <w:tcPr>
            <w:tcW w:w="3600" w:type="dxa"/>
            <w:shd w:val="clear" w:color="auto" w:fill="auto"/>
            <w:tcMar>
              <w:top w:w="80" w:type="dxa"/>
              <w:left w:w="100" w:type="dxa"/>
              <w:bottom w:w="80" w:type="dxa"/>
              <w:right w:w="100" w:type="dxa"/>
            </w:tcMar>
            <w:vAlign w:val="center"/>
          </w:tcPr>
          <w:p w14:paraId="04F0AFEF"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Finalise unified 5G Standalone core; migrate remaining legacy Three/Vodafone systems</w:t>
            </w:r>
          </w:p>
        </w:tc>
        <w:tc>
          <w:tcPr>
            <w:tcW w:w="3200" w:type="dxa"/>
            <w:shd w:val="clear" w:color="auto" w:fill="auto"/>
            <w:tcMar>
              <w:top w:w="80" w:type="dxa"/>
              <w:left w:w="100" w:type="dxa"/>
              <w:bottom w:w="80" w:type="dxa"/>
              <w:right w:w="100" w:type="dxa"/>
            </w:tcMar>
            <w:vAlign w:val="center"/>
          </w:tcPr>
          <w:p w14:paraId="209A1E45"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5G SA population coverage reaching 90% within three years; 99% by 2030</w:t>
            </w:r>
          </w:p>
        </w:tc>
      </w:tr>
      <w:tr w:rsidR="00B45937" w:rsidRPr="0036728D" w14:paraId="659C6196" w14:textId="77777777" w:rsidTr="007110E7">
        <w:trPr>
          <w:jc w:val="center"/>
        </w:trPr>
        <w:tc>
          <w:tcPr>
            <w:tcW w:w="2000" w:type="dxa"/>
            <w:shd w:val="clear" w:color="auto" w:fill="auto"/>
            <w:tcMar>
              <w:top w:w="80" w:type="dxa"/>
              <w:left w:w="100" w:type="dxa"/>
              <w:bottom w:w="80" w:type="dxa"/>
              <w:right w:w="100" w:type="dxa"/>
            </w:tcMar>
            <w:vAlign w:val="center"/>
          </w:tcPr>
          <w:p w14:paraId="250C292A"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Deliver committed investment</w:t>
            </w:r>
          </w:p>
        </w:tc>
        <w:tc>
          <w:tcPr>
            <w:tcW w:w="3600" w:type="dxa"/>
            <w:shd w:val="clear" w:color="auto" w:fill="auto"/>
            <w:tcMar>
              <w:top w:w="80" w:type="dxa"/>
              <w:left w:w="100" w:type="dxa"/>
              <w:bottom w:w="80" w:type="dxa"/>
              <w:right w:w="100" w:type="dxa"/>
            </w:tcMar>
            <w:vAlign w:val="center"/>
          </w:tcPr>
          <w:p w14:paraId="5E93FAF6"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Execute £11bn network investment plan, with £1.3bn+ in early-year capex</w:t>
            </w:r>
          </w:p>
        </w:tc>
        <w:tc>
          <w:tcPr>
            <w:tcW w:w="3200" w:type="dxa"/>
            <w:shd w:val="clear" w:color="auto" w:fill="auto"/>
            <w:tcMar>
              <w:top w:w="80" w:type="dxa"/>
              <w:left w:w="100" w:type="dxa"/>
              <w:bottom w:w="80" w:type="dxa"/>
              <w:right w:w="100" w:type="dxa"/>
            </w:tcMar>
            <w:vAlign w:val="center"/>
          </w:tcPr>
          <w:p w14:paraId="6E0F8CE0"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Capex delivered against plan (£m per year); not-spot reduction (km²)</w:t>
            </w:r>
          </w:p>
        </w:tc>
      </w:tr>
      <w:tr w:rsidR="00B45937" w:rsidRPr="0036728D" w14:paraId="406605B1" w14:textId="77777777" w:rsidTr="007110E7">
        <w:trPr>
          <w:jc w:val="center"/>
        </w:trPr>
        <w:tc>
          <w:tcPr>
            <w:tcW w:w="2000" w:type="dxa"/>
            <w:shd w:val="clear" w:color="auto" w:fill="auto"/>
            <w:tcMar>
              <w:top w:w="80" w:type="dxa"/>
              <w:left w:w="100" w:type="dxa"/>
              <w:bottom w:w="80" w:type="dxa"/>
              <w:right w:w="100" w:type="dxa"/>
            </w:tcMar>
            <w:vAlign w:val="center"/>
          </w:tcPr>
          <w:p w14:paraId="3B58AD35"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Realise cost synergies</w:t>
            </w:r>
          </w:p>
        </w:tc>
        <w:tc>
          <w:tcPr>
            <w:tcW w:w="3600" w:type="dxa"/>
            <w:shd w:val="clear" w:color="auto" w:fill="auto"/>
            <w:tcMar>
              <w:top w:w="80" w:type="dxa"/>
              <w:left w:w="100" w:type="dxa"/>
              <w:bottom w:w="80" w:type="dxa"/>
              <w:right w:w="100" w:type="dxa"/>
            </w:tcMar>
            <w:vAlign w:val="center"/>
          </w:tcPr>
          <w:p w14:paraId="53F98B71"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 xml:space="preserve">Integrate back-office, procurement and network operations across </w:t>
            </w:r>
            <w:proofErr w:type="spellStart"/>
            <w:r w:rsidRPr="0036728D">
              <w:rPr>
                <w:rFonts w:ascii="Arial" w:hAnsi="Arial" w:cs="Arial"/>
                <w:color w:val="000000"/>
                <w:sz w:val="20"/>
                <w:szCs w:val="20"/>
              </w:rPr>
              <w:t>VodafoneThree</w:t>
            </w:r>
            <w:proofErr w:type="spellEnd"/>
          </w:p>
        </w:tc>
        <w:tc>
          <w:tcPr>
            <w:tcW w:w="3200" w:type="dxa"/>
            <w:shd w:val="clear" w:color="auto" w:fill="auto"/>
            <w:tcMar>
              <w:top w:w="80" w:type="dxa"/>
              <w:left w:w="100" w:type="dxa"/>
              <w:bottom w:w="80" w:type="dxa"/>
              <w:right w:w="100" w:type="dxa"/>
            </w:tcMar>
            <w:vAlign w:val="center"/>
          </w:tcPr>
          <w:p w14:paraId="276748F1"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Progress toward £700m annual run-rate synergies by FY30</w:t>
            </w:r>
          </w:p>
        </w:tc>
      </w:tr>
      <w:tr w:rsidR="00B45937" w:rsidRPr="0036728D" w14:paraId="67549BC5" w14:textId="77777777" w:rsidTr="007110E7">
        <w:trPr>
          <w:jc w:val="center"/>
        </w:trPr>
        <w:tc>
          <w:tcPr>
            <w:tcW w:w="2000" w:type="dxa"/>
            <w:shd w:val="clear" w:color="auto" w:fill="auto"/>
            <w:tcMar>
              <w:top w:w="80" w:type="dxa"/>
              <w:left w:w="100" w:type="dxa"/>
              <w:bottom w:w="80" w:type="dxa"/>
              <w:right w:w="100" w:type="dxa"/>
            </w:tcMar>
            <w:vAlign w:val="center"/>
          </w:tcPr>
          <w:p w14:paraId="24F51D5C"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Grow convergence &amp; digital services</w:t>
            </w:r>
          </w:p>
        </w:tc>
        <w:tc>
          <w:tcPr>
            <w:tcW w:w="3600" w:type="dxa"/>
            <w:shd w:val="clear" w:color="auto" w:fill="auto"/>
            <w:tcMar>
              <w:top w:w="80" w:type="dxa"/>
              <w:left w:w="100" w:type="dxa"/>
              <w:bottom w:w="80" w:type="dxa"/>
              <w:right w:w="100" w:type="dxa"/>
            </w:tcMar>
            <w:vAlign w:val="center"/>
          </w:tcPr>
          <w:p w14:paraId="6A7425E4"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Cross-sell broadband/mobile bundles; scale IoT, cyber security and financial-services propositions</w:t>
            </w:r>
          </w:p>
        </w:tc>
        <w:tc>
          <w:tcPr>
            <w:tcW w:w="3200" w:type="dxa"/>
            <w:shd w:val="clear" w:color="auto" w:fill="auto"/>
            <w:tcMar>
              <w:top w:w="80" w:type="dxa"/>
              <w:left w:w="100" w:type="dxa"/>
              <w:bottom w:w="80" w:type="dxa"/>
              <w:right w:w="100" w:type="dxa"/>
            </w:tcMar>
            <w:vAlign w:val="center"/>
          </w:tcPr>
          <w:p w14:paraId="04DE8302"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Net broadband adds per quarter; Vodafone Business digital-services revenue growth (%)</w:t>
            </w:r>
          </w:p>
        </w:tc>
      </w:tr>
      <w:tr w:rsidR="00B45937" w:rsidRPr="0036728D" w14:paraId="7A0CFDA8" w14:textId="77777777" w:rsidTr="007110E7">
        <w:trPr>
          <w:jc w:val="center"/>
        </w:trPr>
        <w:tc>
          <w:tcPr>
            <w:tcW w:w="2000" w:type="dxa"/>
            <w:shd w:val="clear" w:color="auto" w:fill="auto"/>
            <w:tcMar>
              <w:top w:w="80" w:type="dxa"/>
              <w:left w:w="100" w:type="dxa"/>
              <w:bottom w:w="80" w:type="dxa"/>
              <w:right w:w="100" w:type="dxa"/>
            </w:tcMar>
            <w:vAlign w:val="center"/>
          </w:tcPr>
          <w:p w14:paraId="33E8CFAD"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Protect customer experience &amp; trust</w:t>
            </w:r>
          </w:p>
        </w:tc>
        <w:tc>
          <w:tcPr>
            <w:tcW w:w="3600" w:type="dxa"/>
            <w:shd w:val="clear" w:color="auto" w:fill="auto"/>
            <w:tcMar>
              <w:top w:w="80" w:type="dxa"/>
              <w:left w:w="100" w:type="dxa"/>
              <w:bottom w:w="80" w:type="dxa"/>
              <w:right w:w="100" w:type="dxa"/>
            </w:tcMar>
            <w:vAlign w:val="center"/>
          </w:tcPr>
          <w:p w14:paraId="0573E409"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Maintain service levels through integration; transparent stakeholder communication</w:t>
            </w:r>
          </w:p>
        </w:tc>
        <w:tc>
          <w:tcPr>
            <w:tcW w:w="3200" w:type="dxa"/>
            <w:shd w:val="clear" w:color="auto" w:fill="auto"/>
            <w:tcMar>
              <w:top w:w="80" w:type="dxa"/>
              <w:left w:w="100" w:type="dxa"/>
              <w:bottom w:w="80" w:type="dxa"/>
              <w:right w:w="100" w:type="dxa"/>
            </w:tcMar>
            <w:vAlign w:val="center"/>
          </w:tcPr>
          <w:p w14:paraId="49FFEBFC" w14:textId="77777777" w:rsidR="00B45937" w:rsidRPr="0036728D" w:rsidRDefault="00B45937" w:rsidP="00D1554C">
            <w:pPr>
              <w:rPr>
                <w:rFonts w:ascii="Arial" w:hAnsi="Arial" w:cs="Arial"/>
                <w:sz w:val="20"/>
                <w:szCs w:val="20"/>
              </w:rPr>
            </w:pPr>
            <w:r w:rsidRPr="0036728D">
              <w:rPr>
                <w:rFonts w:ascii="Arial" w:hAnsi="Arial" w:cs="Arial"/>
                <w:color w:val="000000"/>
                <w:sz w:val="20"/>
                <w:szCs w:val="20"/>
              </w:rPr>
              <w:t>Net Promoter Score / promoter-detractor mix; customer churn rate; Ofcom complaints ranking</w:t>
            </w:r>
          </w:p>
        </w:tc>
      </w:tr>
    </w:tbl>
    <w:p w14:paraId="4114EA3B" w14:textId="324A4976" w:rsidR="00F705E3" w:rsidRPr="0036728D" w:rsidRDefault="007110E7" w:rsidP="00F705E3">
      <w:pPr>
        <w:spacing w:line="360" w:lineRule="auto"/>
        <w:jc w:val="both"/>
        <w:rPr>
          <w:rFonts w:ascii="Arial" w:hAnsi="Arial" w:cs="Arial"/>
          <w:color w:val="000000"/>
          <w:sz w:val="20"/>
          <w:szCs w:val="20"/>
        </w:rPr>
      </w:pPr>
      <w:r>
        <w:rPr>
          <w:rFonts w:ascii="Arial" w:hAnsi="Arial" w:cs="Arial"/>
          <w:i/>
          <w:iCs/>
          <w:color w:val="595959"/>
          <w:sz w:val="20"/>
          <w:szCs w:val="20"/>
        </w:rPr>
        <w:t xml:space="preserve">  </w:t>
      </w:r>
      <w:r w:rsidR="00B45937" w:rsidRPr="0036728D">
        <w:rPr>
          <w:rFonts w:ascii="Arial" w:hAnsi="Arial" w:cs="Arial"/>
          <w:i/>
          <w:iCs/>
          <w:color w:val="595959"/>
          <w:sz w:val="20"/>
          <w:szCs w:val="20"/>
        </w:rPr>
        <w:t>Table 7: Implementation plan with objectives, actions and KPIs</w:t>
      </w:r>
    </w:p>
    <w:p w14:paraId="4BDF256B" w14:textId="77777777" w:rsidR="00F705E3" w:rsidRDefault="00F705E3" w:rsidP="00F705E3">
      <w:pPr>
        <w:spacing w:line="360" w:lineRule="auto"/>
        <w:jc w:val="both"/>
        <w:rPr>
          <w:rFonts w:ascii="Arial" w:hAnsi="Arial" w:cs="Arial"/>
          <w:color w:val="000000"/>
        </w:rPr>
      </w:pPr>
    </w:p>
    <w:p w14:paraId="2B71BBA9" w14:textId="0810A4E4" w:rsidR="001E694E" w:rsidRDefault="00F705E3" w:rsidP="00F705E3">
      <w:pPr>
        <w:pStyle w:val="Ttulo1"/>
        <w:rPr>
          <w:rFonts w:ascii="Arial" w:hAnsi="Arial" w:cs="Arial"/>
          <w:sz w:val="36"/>
          <w:szCs w:val="36"/>
        </w:rPr>
      </w:pPr>
      <w:bookmarkStart w:id="17" w:name="_Toc237175177"/>
      <w:r>
        <w:rPr>
          <w:rFonts w:ascii="Arial" w:hAnsi="Arial" w:cs="Arial"/>
          <w:sz w:val="36"/>
          <w:szCs w:val="36"/>
        </w:rPr>
        <w:lastRenderedPageBreak/>
        <w:t>8</w:t>
      </w:r>
      <w:r w:rsidRPr="00796ED3">
        <w:rPr>
          <w:rFonts w:ascii="Arial" w:hAnsi="Arial" w:cs="Arial"/>
          <w:sz w:val="36"/>
          <w:szCs w:val="36"/>
        </w:rPr>
        <w:t xml:space="preserve">. </w:t>
      </w:r>
      <w:r>
        <w:rPr>
          <w:rFonts w:ascii="Arial" w:hAnsi="Arial" w:cs="Arial"/>
          <w:sz w:val="36"/>
          <w:szCs w:val="36"/>
        </w:rPr>
        <w:t>CONCLUSION</w:t>
      </w:r>
      <w:bookmarkEnd w:id="17"/>
      <w:r>
        <w:rPr>
          <w:rFonts w:ascii="Arial" w:hAnsi="Arial" w:cs="Arial"/>
          <w:sz w:val="36"/>
          <w:szCs w:val="36"/>
        </w:rPr>
        <w:t xml:space="preserve"> </w:t>
      </w:r>
    </w:p>
    <w:p w14:paraId="67974A45" w14:textId="77777777" w:rsidR="00F705E3" w:rsidRDefault="00F705E3" w:rsidP="00F705E3"/>
    <w:p w14:paraId="11CC61B1" w14:textId="77777777" w:rsidR="00D1671E" w:rsidRDefault="00D1671E" w:rsidP="00D1671E">
      <w:pPr>
        <w:autoSpaceDE w:val="0"/>
        <w:autoSpaceDN w:val="0"/>
        <w:adjustRightInd w:val="0"/>
        <w:spacing w:line="360" w:lineRule="auto"/>
        <w:jc w:val="both"/>
        <w:rPr>
          <w:rFonts w:ascii="Arial" w:hAnsi="Arial" w:cs="Arial"/>
          <w:color w:val="000000"/>
        </w:rPr>
      </w:pPr>
    </w:p>
    <w:p w14:paraId="73D70121" w14:textId="77777777" w:rsidR="00300575" w:rsidRPr="00300575" w:rsidRDefault="00300575" w:rsidP="00300575">
      <w:pPr>
        <w:autoSpaceDE w:val="0"/>
        <w:autoSpaceDN w:val="0"/>
        <w:adjustRightInd w:val="0"/>
        <w:spacing w:line="360" w:lineRule="auto"/>
        <w:jc w:val="both"/>
        <w:rPr>
          <w:rFonts w:ascii="Arial" w:hAnsi="Arial" w:cs="Arial"/>
          <w:color w:val="000000"/>
        </w:rPr>
      </w:pPr>
      <w:r w:rsidRPr="00300575">
        <w:rPr>
          <w:rFonts w:ascii="Arial" w:hAnsi="Arial" w:cs="Arial"/>
          <w:color w:val="000000"/>
        </w:rPr>
        <w:t xml:space="preserve">Vodafone UK enters this next strategic phase from a position of genuine structural strength: the 2025 merger with Three UK, and Vodafone's subsequent move to full ownership of </w:t>
      </w:r>
      <w:proofErr w:type="spellStart"/>
      <w:r w:rsidRPr="00300575">
        <w:rPr>
          <w:rFonts w:ascii="Arial" w:hAnsi="Arial" w:cs="Arial"/>
          <w:color w:val="000000"/>
        </w:rPr>
        <w:t>VodafoneThree</w:t>
      </w:r>
      <w:proofErr w:type="spellEnd"/>
      <w:r w:rsidRPr="00300575">
        <w:rPr>
          <w:rFonts w:ascii="Arial" w:hAnsi="Arial" w:cs="Arial"/>
          <w:color w:val="000000"/>
        </w:rPr>
        <w:t xml:space="preserve"> in July 2026, have created the UK's largest mobile operator, backed by an £11 billion decade-long investment commitment and a growing digital-services business (Vodafone Group Plc, 2025a; 2026a). The market evaluation shows a highly competitive but now three-player infrastructure market in which scale, network quality and converged, digital-led propositions - not price alone - are the basis of competition (Mordor Intelligence, 2026).</w:t>
      </w:r>
    </w:p>
    <w:p w14:paraId="205DE20C" w14:textId="77777777" w:rsidR="00300575" w:rsidRPr="00300575" w:rsidRDefault="00300575" w:rsidP="00300575">
      <w:pPr>
        <w:autoSpaceDE w:val="0"/>
        <w:autoSpaceDN w:val="0"/>
        <w:adjustRightInd w:val="0"/>
        <w:spacing w:line="360" w:lineRule="auto"/>
        <w:jc w:val="both"/>
        <w:rPr>
          <w:rFonts w:ascii="Arial" w:hAnsi="Arial" w:cs="Arial"/>
          <w:color w:val="000000"/>
        </w:rPr>
      </w:pPr>
    </w:p>
    <w:p w14:paraId="1A53545D" w14:textId="39BB04AD" w:rsidR="00300575" w:rsidRPr="00300575" w:rsidRDefault="00300575" w:rsidP="00300575">
      <w:pPr>
        <w:autoSpaceDE w:val="0"/>
        <w:autoSpaceDN w:val="0"/>
        <w:adjustRightInd w:val="0"/>
        <w:spacing w:line="360" w:lineRule="auto"/>
        <w:jc w:val="both"/>
        <w:rPr>
          <w:rFonts w:ascii="Arial" w:hAnsi="Arial" w:cs="Arial"/>
          <w:color w:val="000000"/>
        </w:rPr>
      </w:pPr>
      <w:r w:rsidRPr="00300575">
        <w:rPr>
          <w:rFonts w:ascii="Arial" w:hAnsi="Arial" w:cs="Arial"/>
          <w:color w:val="000000"/>
        </w:rPr>
        <w:t>The report recommends a focused-differentiation strategy built on market penetration through network leadership, deeper fixed-mobile convergence, and continued expansion of digital, IoT and financial services</w:t>
      </w:r>
      <w:r w:rsidR="00D7576D">
        <w:rPr>
          <w:rFonts w:ascii="Arial" w:hAnsi="Arial" w:cs="Arial"/>
          <w:color w:val="000000"/>
        </w:rPr>
        <w:t xml:space="preserve">. </w:t>
      </w:r>
      <w:r w:rsidRPr="00300575">
        <w:rPr>
          <w:rFonts w:ascii="Arial" w:hAnsi="Arial" w:cs="Arial"/>
          <w:color w:val="000000"/>
        </w:rPr>
        <w:t>This strategy is suitable, broadly feasible and acceptable to key stakeholders (Johnson et al., 2020</w:t>
      </w:r>
      <w:r w:rsidR="00D7576D">
        <w:rPr>
          <w:rFonts w:ascii="Arial" w:hAnsi="Arial" w:cs="Arial"/>
          <w:color w:val="000000"/>
        </w:rPr>
        <w:t xml:space="preserve">) </w:t>
      </w:r>
      <w:r w:rsidRPr="00300575">
        <w:rPr>
          <w:rFonts w:ascii="Arial" w:hAnsi="Arial" w:cs="Arial"/>
          <w:color w:val="000000"/>
        </w:rPr>
        <w:t>provided the Board manages integration, regulatory and employee-relations risk with the transparency and care the Vodafone brand requires. Executed well, it offers a credible path to converting Vodafone's newly consolidated UK scale into sustainable, profitable growth over the next three to five years.</w:t>
      </w:r>
    </w:p>
    <w:p w14:paraId="30D66526" w14:textId="77777777" w:rsidR="00F705E3" w:rsidRPr="00D1671E" w:rsidRDefault="00F705E3" w:rsidP="00D1671E">
      <w:pPr>
        <w:spacing w:line="360" w:lineRule="auto"/>
        <w:jc w:val="both"/>
        <w:rPr>
          <w:rFonts w:ascii="Arial" w:hAnsi="Arial" w:cs="Arial"/>
          <w:color w:val="000000"/>
        </w:rPr>
      </w:pPr>
    </w:p>
    <w:p w14:paraId="400DF98D" w14:textId="31F7E667" w:rsidR="00653323" w:rsidRDefault="00F705E3" w:rsidP="00F705E3">
      <w:pPr>
        <w:pStyle w:val="Ttulo1"/>
        <w:spacing w:line="360" w:lineRule="auto"/>
        <w:jc w:val="both"/>
        <w:rPr>
          <w:rFonts w:ascii="Arial" w:hAnsi="Arial" w:cs="Arial"/>
          <w:sz w:val="36"/>
          <w:szCs w:val="36"/>
        </w:rPr>
      </w:pPr>
      <w:bookmarkStart w:id="18" w:name="_Toc237175178"/>
      <w:r>
        <w:rPr>
          <w:rFonts w:ascii="Arial" w:hAnsi="Arial" w:cs="Arial"/>
          <w:sz w:val="36"/>
          <w:szCs w:val="36"/>
        </w:rPr>
        <w:t>9</w:t>
      </w:r>
      <w:r w:rsidR="00796ED3" w:rsidRPr="00796ED3">
        <w:rPr>
          <w:rFonts w:ascii="Arial" w:hAnsi="Arial" w:cs="Arial"/>
          <w:sz w:val="36"/>
          <w:szCs w:val="36"/>
        </w:rPr>
        <w:t xml:space="preserve">. </w:t>
      </w:r>
      <w:r w:rsidR="00796ED3" w:rsidRPr="008E105D">
        <w:rPr>
          <w:rFonts w:ascii="Arial" w:hAnsi="Arial" w:cs="Arial"/>
          <w:sz w:val="36"/>
          <w:szCs w:val="36"/>
        </w:rPr>
        <w:t>REFERENCES</w:t>
      </w:r>
      <w:bookmarkEnd w:id="4"/>
      <w:bookmarkEnd w:id="5"/>
      <w:bookmarkEnd w:id="18"/>
    </w:p>
    <w:p w14:paraId="43945A33" w14:textId="77777777" w:rsidR="00BA2A22" w:rsidRDefault="00BA2A22" w:rsidP="00BA2A22">
      <w:pPr>
        <w:rPr>
          <w:rFonts w:ascii="Arial" w:hAnsi="Arial" w:cs="Arial"/>
        </w:rPr>
      </w:pPr>
    </w:p>
    <w:p w14:paraId="49985953" w14:textId="77777777" w:rsidR="00D1671E" w:rsidRPr="00B45937" w:rsidRDefault="00D1671E" w:rsidP="00B45937">
      <w:pPr>
        <w:autoSpaceDE w:val="0"/>
        <w:autoSpaceDN w:val="0"/>
        <w:adjustRightInd w:val="0"/>
        <w:spacing w:line="360" w:lineRule="auto"/>
        <w:jc w:val="both"/>
        <w:rPr>
          <w:rFonts w:ascii="Arial" w:hAnsi="Arial" w:cs="Arial"/>
          <w:color w:val="000000"/>
        </w:rPr>
      </w:pPr>
    </w:p>
    <w:p w14:paraId="088066D2" w14:textId="5236E4D6" w:rsidR="00D1671E" w:rsidRPr="00B45937" w:rsidRDefault="00D1671E" w:rsidP="00B45937">
      <w:pPr>
        <w:autoSpaceDE w:val="0"/>
        <w:autoSpaceDN w:val="0"/>
        <w:adjustRightInd w:val="0"/>
        <w:spacing w:line="360" w:lineRule="auto"/>
        <w:jc w:val="both"/>
        <w:rPr>
          <w:rFonts w:ascii="Arial" w:hAnsi="Arial" w:cs="Arial"/>
          <w:color w:val="000000"/>
        </w:rPr>
      </w:pPr>
      <w:r w:rsidRPr="00B45937">
        <w:rPr>
          <w:rFonts w:ascii="Arial" w:hAnsi="Arial" w:cs="Arial"/>
          <w:color w:val="000000"/>
        </w:rPr>
        <w:t xml:space="preserve">Comms Business (2025) 'Vodafone revenue increases two per cent in FY25', Comms Business, 21 October. Available at: </w:t>
      </w:r>
      <w:hyperlink r:id="rId9" w:history="1">
        <w:r w:rsidR="00CD0047" w:rsidRPr="009D7A08">
          <w:rPr>
            <w:rStyle w:val="Hyperlink"/>
            <w:rFonts w:ascii="Arial" w:hAnsi="Arial" w:cs="Arial"/>
          </w:rPr>
          <w:t>https://www.commsbusiness.co.uk/content/news/vodafone-revenue-increases-two-per-cent-in-fy25</w:t>
        </w:r>
      </w:hyperlink>
      <w:r w:rsidR="00CD0047">
        <w:rPr>
          <w:rFonts w:ascii="Arial" w:hAnsi="Arial" w:cs="Arial"/>
          <w:color w:val="000000"/>
        </w:rPr>
        <w:t xml:space="preserve"> </w:t>
      </w:r>
      <w:r w:rsidRPr="00B45937">
        <w:rPr>
          <w:rFonts w:ascii="Arial" w:hAnsi="Arial" w:cs="Arial"/>
          <w:color w:val="000000"/>
        </w:rPr>
        <w:t>(Accessed: 9 August 2026).</w:t>
      </w:r>
    </w:p>
    <w:p w14:paraId="56D763B9" w14:textId="77777777" w:rsidR="00D1671E" w:rsidRPr="00B45937" w:rsidRDefault="00D1671E" w:rsidP="00B45937">
      <w:pPr>
        <w:autoSpaceDE w:val="0"/>
        <w:autoSpaceDN w:val="0"/>
        <w:adjustRightInd w:val="0"/>
        <w:spacing w:line="360" w:lineRule="auto"/>
        <w:jc w:val="both"/>
        <w:rPr>
          <w:rFonts w:ascii="Arial" w:hAnsi="Arial" w:cs="Arial"/>
          <w:color w:val="000000"/>
        </w:rPr>
      </w:pPr>
    </w:p>
    <w:p w14:paraId="1B066242" w14:textId="4702B0A7" w:rsidR="00D1671E" w:rsidRPr="00B45937" w:rsidRDefault="00D1671E" w:rsidP="00B45937">
      <w:pPr>
        <w:autoSpaceDE w:val="0"/>
        <w:autoSpaceDN w:val="0"/>
        <w:adjustRightInd w:val="0"/>
        <w:spacing w:line="360" w:lineRule="auto"/>
        <w:jc w:val="both"/>
        <w:rPr>
          <w:rFonts w:ascii="Arial" w:hAnsi="Arial" w:cs="Arial"/>
          <w:color w:val="000000"/>
        </w:rPr>
      </w:pPr>
      <w:r w:rsidRPr="00B45937">
        <w:rPr>
          <w:rFonts w:ascii="Arial" w:hAnsi="Arial" w:cs="Arial"/>
          <w:color w:val="000000"/>
        </w:rPr>
        <w:t xml:space="preserve">IG International (2025) 'Vodafone-Three merger: creating UK's largest mobile operator', IG.com, 11 June. Available at: </w:t>
      </w:r>
      <w:hyperlink r:id="rId10" w:history="1">
        <w:r w:rsidR="00CD0047" w:rsidRPr="009D7A08">
          <w:rPr>
            <w:rStyle w:val="Hyperlink"/>
            <w:rFonts w:ascii="Arial" w:hAnsi="Arial" w:cs="Arial"/>
          </w:rPr>
          <w:t>https://www.ig.com/en/news-and-trade-ideas/vodafone-three-merger--what-next-after-the-creation-of-the-uk-s--250611</w:t>
        </w:r>
      </w:hyperlink>
      <w:r w:rsidR="00CD0047">
        <w:rPr>
          <w:rFonts w:ascii="Arial" w:hAnsi="Arial" w:cs="Arial"/>
          <w:color w:val="000000"/>
        </w:rPr>
        <w:t xml:space="preserve"> </w:t>
      </w:r>
      <w:r w:rsidRPr="00B45937">
        <w:rPr>
          <w:rFonts w:ascii="Arial" w:hAnsi="Arial" w:cs="Arial"/>
          <w:color w:val="000000"/>
        </w:rPr>
        <w:t>(Accessed: 9 August 2026).</w:t>
      </w:r>
    </w:p>
    <w:p w14:paraId="0E590577" w14:textId="77777777" w:rsidR="00D1671E" w:rsidRPr="00B45937" w:rsidRDefault="00D1671E" w:rsidP="00B45937">
      <w:pPr>
        <w:autoSpaceDE w:val="0"/>
        <w:autoSpaceDN w:val="0"/>
        <w:adjustRightInd w:val="0"/>
        <w:spacing w:line="360" w:lineRule="auto"/>
        <w:jc w:val="both"/>
        <w:rPr>
          <w:rFonts w:ascii="Arial" w:hAnsi="Arial" w:cs="Arial"/>
          <w:color w:val="000000"/>
        </w:rPr>
      </w:pPr>
    </w:p>
    <w:p w14:paraId="5EF430B4" w14:textId="24FFE439" w:rsidR="00D1671E" w:rsidRPr="00B45937" w:rsidRDefault="00D1671E" w:rsidP="00B45937">
      <w:pPr>
        <w:autoSpaceDE w:val="0"/>
        <w:autoSpaceDN w:val="0"/>
        <w:adjustRightInd w:val="0"/>
        <w:spacing w:line="360" w:lineRule="auto"/>
        <w:jc w:val="both"/>
        <w:rPr>
          <w:rFonts w:ascii="Arial" w:hAnsi="Arial" w:cs="Arial"/>
          <w:color w:val="000000"/>
        </w:rPr>
      </w:pPr>
      <w:r w:rsidRPr="00B45937">
        <w:rPr>
          <w:rFonts w:ascii="Arial" w:hAnsi="Arial" w:cs="Arial"/>
          <w:color w:val="000000"/>
        </w:rPr>
        <w:t xml:space="preserve">Investing.com (2025) 'Vodafone FY25 presentation: service revenue grows 5.1% amid portfolio restructuring', Investing.com, 20 May. Available at: </w:t>
      </w:r>
      <w:hyperlink r:id="rId11" w:history="1">
        <w:r w:rsidR="00CD0047" w:rsidRPr="009D7A08">
          <w:rPr>
            <w:rStyle w:val="Hyperlink"/>
            <w:rFonts w:ascii="Arial" w:hAnsi="Arial" w:cs="Arial"/>
          </w:rPr>
          <w:t>https://www.investing.com/news/company-news/vodafone-fy25-presentation-service-revenue-grows-51-amid-portfolio-restructuring-4053969</w:t>
        </w:r>
      </w:hyperlink>
      <w:r w:rsidR="00CD0047">
        <w:rPr>
          <w:rFonts w:ascii="Arial" w:hAnsi="Arial" w:cs="Arial"/>
          <w:color w:val="000000"/>
        </w:rPr>
        <w:t xml:space="preserve"> </w:t>
      </w:r>
      <w:r w:rsidRPr="00B45937">
        <w:rPr>
          <w:rFonts w:ascii="Arial" w:hAnsi="Arial" w:cs="Arial"/>
          <w:color w:val="000000"/>
        </w:rPr>
        <w:t>(Accessed: 9 August 2026).</w:t>
      </w:r>
    </w:p>
    <w:p w14:paraId="37E52552" w14:textId="77777777" w:rsidR="00D1671E" w:rsidRPr="00B45937" w:rsidRDefault="00D1671E" w:rsidP="00B45937">
      <w:pPr>
        <w:autoSpaceDE w:val="0"/>
        <w:autoSpaceDN w:val="0"/>
        <w:adjustRightInd w:val="0"/>
        <w:spacing w:line="360" w:lineRule="auto"/>
        <w:jc w:val="both"/>
        <w:rPr>
          <w:rFonts w:ascii="Arial" w:hAnsi="Arial" w:cs="Arial"/>
          <w:color w:val="000000"/>
        </w:rPr>
      </w:pPr>
    </w:p>
    <w:p w14:paraId="58FD421B" w14:textId="77777777" w:rsidR="00D1671E" w:rsidRPr="00B45937" w:rsidRDefault="00D1671E" w:rsidP="00B45937">
      <w:pPr>
        <w:autoSpaceDE w:val="0"/>
        <w:autoSpaceDN w:val="0"/>
        <w:adjustRightInd w:val="0"/>
        <w:spacing w:line="360" w:lineRule="auto"/>
        <w:jc w:val="both"/>
        <w:rPr>
          <w:rFonts w:ascii="Arial" w:hAnsi="Arial" w:cs="Arial"/>
          <w:color w:val="000000"/>
        </w:rPr>
      </w:pPr>
      <w:r w:rsidRPr="00B45937">
        <w:rPr>
          <w:rFonts w:ascii="Arial" w:hAnsi="Arial" w:cs="Arial"/>
          <w:color w:val="000000"/>
        </w:rPr>
        <w:t xml:space="preserve">Johnson, G., Whittington, R., Scholes, K., Angwin, D. and </w:t>
      </w:r>
      <w:proofErr w:type="spellStart"/>
      <w:r w:rsidRPr="00B45937">
        <w:rPr>
          <w:rFonts w:ascii="Arial" w:hAnsi="Arial" w:cs="Arial"/>
          <w:color w:val="000000"/>
        </w:rPr>
        <w:t>Regnér</w:t>
      </w:r>
      <w:proofErr w:type="spellEnd"/>
      <w:r w:rsidRPr="00B45937">
        <w:rPr>
          <w:rFonts w:ascii="Arial" w:hAnsi="Arial" w:cs="Arial"/>
          <w:color w:val="000000"/>
        </w:rPr>
        <w:t xml:space="preserve">, P. (2020) Exploring Strategy: Text and Cases. 12th </w:t>
      </w:r>
      <w:proofErr w:type="spellStart"/>
      <w:r w:rsidRPr="00B45937">
        <w:rPr>
          <w:rFonts w:ascii="Arial" w:hAnsi="Arial" w:cs="Arial"/>
          <w:color w:val="000000"/>
        </w:rPr>
        <w:t>edn</w:t>
      </w:r>
      <w:proofErr w:type="spellEnd"/>
      <w:r w:rsidRPr="00B45937">
        <w:rPr>
          <w:rFonts w:ascii="Arial" w:hAnsi="Arial" w:cs="Arial"/>
          <w:color w:val="000000"/>
        </w:rPr>
        <w:t>. Harlow: Pearson.</w:t>
      </w:r>
    </w:p>
    <w:p w14:paraId="55C2980B" w14:textId="77777777" w:rsidR="00D1671E" w:rsidRPr="00B45937" w:rsidRDefault="00D1671E" w:rsidP="00B45937">
      <w:pPr>
        <w:autoSpaceDE w:val="0"/>
        <w:autoSpaceDN w:val="0"/>
        <w:adjustRightInd w:val="0"/>
        <w:spacing w:line="360" w:lineRule="auto"/>
        <w:jc w:val="both"/>
        <w:rPr>
          <w:rFonts w:ascii="Arial" w:hAnsi="Arial" w:cs="Arial"/>
          <w:color w:val="000000"/>
        </w:rPr>
      </w:pPr>
    </w:p>
    <w:p w14:paraId="06DDE20D" w14:textId="262456F3" w:rsidR="00D1671E" w:rsidRPr="00B45937" w:rsidRDefault="00D1671E" w:rsidP="00B45937">
      <w:pPr>
        <w:autoSpaceDE w:val="0"/>
        <w:autoSpaceDN w:val="0"/>
        <w:adjustRightInd w:val="0"/>
        <w:spacing w:line="360" w:lineRule="auto"/>
        <w:jc w:val="both"/>
        <w:rPr>
          <w:rFonts w:ascii="Arial" w:hAnsi="Arial" w:cs="Arial"/>
          <w:color w:val="000000"/>
        </w:rPr>
      </w:pPr>
      <w:proofErr w:type="spellStart"/>
      <w:r w:rsidRPr="00B45937">
        <w:rPr>
          <w:rFonts w:ascii="Arial" w:hAnsi="Arial" w:cs="Arial"/>
          <w:color w:val="000000"/>
        </w:rPr>
        <w:t>MatrixBCG</w:t>
      </w:r>
      <w:proofErr w:type="spellEnd"/>
      <w:r w:rsidRPr="00B45937">
        <w:rPr>
          <w:rFonts w:ascii="Arial" w:hAnsi="Arial" w:cs="Arial"/>
          <w:color w:val="000000"/>
        </w:rPr>
        <w:t xml:space="preserve"> (2026) 'What are mission, vision &amp; core values of Vodafone Group company?', </w:t>
      </w:r>
      <w:proofErr w:type="spellStart"/>
      <w:r w:rsidRPr="00B45937">
        <w:rPr>
          <w:rFonts w:ascii="Arial" w:hAnsi="Arial" w:cs="Arial"/>
          <w:color w:val="000000"/>
        </w:rPr>
        <w:t>MatrixBCG</w:t>
      </w:r>
      <w:proofErr w:type="spellEnd"/>
      <w:r w:rsidRPr="00B45937">
        <w:rPr>
          <w:rFonts w:ascii="Arial" w:hAnsi="Arial" w:cs="Arial"/>
          <w:color w:val="000000"/>
        </w:rPr>
        <w:t xml:space="preserve">, 10 March. Available at: </w:t>
      </w:r>
      <w:hyperlink r:id="rId12" w:history="1">
        <w:r w:rsidR="00CD0047" w:rsidRPr="009D7A08">
          <w:rPr>
            <w:rStyle w:val="Hyperlink"/>
            <w:rFonts w:ascii="Arial" w:hAnsi="Arial" w:cs="Arial"/>
          </w:rPr>
          <w:t>https://matrixbcg.com/blogs/mission/vodafone</w:t>
        </w:r>
      </w:hyperlink>
      <w:r w:rsidR="00CD0047">
        <w:rPr>
          <w:rFonts w:ascii="Arial" w:hAnsi="Arial" w:cs="Arial"/>
          <w:color w:val="000000"/>
        </w:rPr>
        <w:t xml:space="preserve"> </w:t>
      </w:r>
      <w:r w:rsidRPr="00B45937">
        <w:rPr>
          <w:rFonts w:ascii="Arial" w:hAnsi="Arial" w:cs="Arial"/>
          <w:color w:val="000000"/>
        </w:rPr>
        <w:t>(Accessed: 9 August 2026).</w:t>
      </w:r>
    </w:p>
    <w:p w14:paraId="460250A5" w14:textId="77777777" w:rsidR="00D1671E" w:rsidRPr="00B45937" w:rsidRDefault="00D1671E" w:rsidP="00B45937">
      <w:pPr>
        <w:autoSpaceDE w:val="0"/>
        <w:autoSpaceDN w:val="0"/>
        <w:adjustRightInd w:val="0"/>
        <w:spacing w:line="360" w:lineRule="auto"/>
        <w:jc w:val="both"/>
        <w:rPr>
          <w:rFonts w:ascii="Arial" w:hAnsi="Arial" w:cs="Arial"/>
          <w:color w:val="000000"/>
        </w:rPr>
      </w:pPr>
    </w:p>
    <w:p w14:paraId="6BCDF0B5" w14:textId="10C7B4DB" w:rsidR="00D1671E" w:rsidRPr="00B45937" w:rsidRDefault="00D1671E" w:rsidP="00B45937">
      <w:pPr>
        <w:autoSpaceDE w:val="0"/>
        <w:autoSpaceDN w:val="0"/>
        <w:adjustRightInd w:val="0"/>
        <w:spacing w:line="360" w:lineRule="auto"/>
        <w:jc w:val="both"/>
        <w:rPr>
          <w:rFonts w:ascii="Arial" w:hAnsi="Arial" w:cs="Arial"/>
          <w:color w:val="000000"/>
        </w:rPr>
      </w:pPr>
      <w:r w:rsidRPr="00B45937">
        <w:rPr>
          <w:rFonts w:ascii="Arial" w:hAnsi="Arial" w:cs="Arial"/>
          <w:color w:val="000000"/>
        </w:rPr>
        <w:t xml:space="preserve">Mordor Intelligence (2026) UK Telecom MNO Market Size, Growth &amp; Forecast Report, 2031. Available at: </w:t>
      </w:r>
      <w:hyperlink r:id="rId13" w:history="1">
        <w:r w:rsidR="00CD0047" w:rsidRPr="009D7A08">
          <w:rPr>
            <w:rStyle w:val="Hyperlink"/>
            <w:rFonts w:ascii="Arial" w:hAnsi="Arial" w:cs="Arial"/>
          </w:rPr>
          <w:t>https://www.mordorintelligence.com/industry-reports/united-kingdom-telecom-market</w:t>
        </w:r>
      </w:hyperlink>
      <w:r w:rsidR="00CD0047">
        <w:rPr>
          <w:rFonts w:ascii="Arial" w:hAnsi="Arial" w:cs="Arial"/>
          <w:color w:val="000000"/>
        </w:rPr>
        <w:t xml:space="preserve"> </w:t>
      </w:r>
      <w:r w:rsidRPr="00B45937">
        <w:rPr>
          <w:rFonts w:ascii="Arial" w:hAnsi="Arial" w:cs="Arial"/>
          <w:color w:val="000000"/>
        </w:rPr>
        <w:t>(Accessed: 9 August 2026).</w:t>
      </w:r>
    </w:p>
    <w:p w14:paraId="660E7DA6" w14:textId="77777777" w:rsidR="00D1671E" w:rsidRPr="00B45937" w:rsidRDefault="00D1671E" w:rsidP="00B45937">
      <w:pPr>
        <w:autoSpaceDE w:val="0"/>
        <w:autoSpaceDN w:val="0"/>
        <w:adjustRightInd w:val="0"/>
        <w:spacing w:line="360" w:lineRule="auto"/>
        <w:jc w:val="both"/>
        <w:rPr>
          <w:rFonts w:ascii="Arial" w:hAnsi="Arial" w:cs="Arial"/>
          <w:color w:val="000000"/>
        </w:rPr>
      </w:pPr>
    </w:p>
    <w:p w14:paraId="56985054" w14:textId="43F022EF" w:rsidR="00D1671E" w:rsidRPr="00B45937" w:rsidRDefault="00D1671E" w:rsidP="00B45937">
      <w:pPr>
        <w:autoSpaceDE w:val="0"/>
        <w:autoSpaceDN w:val="0"/>
        <w:adjustRightInd w:val="0"/>
        <w:spacing w:line="360" w:lineRule="auto"/>
        <w:jc w:val="both"/>
        <w:rPr>
          <w:rFonts w:ascii="Arial" w:hAnsi="Arial" w:cs="Arial"/>
          <w:color w:val="000000"/>
        </w:rPr>
      </w:pPr>
      <w:proofErr w:type="spellStart"/>
      <w:r w:rsidRPr="00B45937">
        <w:rPr>
          <w:rFonts w:ascii="Arial" w:hAnsi="Arial" w:cs="Arial"/>
          <w:color w:val="000000"/>
        </w:rPr>
        <w:t>MyAmplifiers</w:t>
      </w:r>
      <w:proofErr w:type="spellEnd"/>
      <w:r w:rsidRPr="00B45937">
        <w:rPr>
          <w:rFonts w:ascii="Arial" w:hAnsi="Arial" w:cs="Arial"/>
          <w:color w:val="000000"/>
        </w:rPr>
        <w:t xml:space="preserve"> (2026) 'EE, Three, Vodafone, O2: UK mobile network signal coverage ranked for 2026', </w:t>
      </w:r>
      <w:proofErr w:type="spellStart"/>
      <w:r w:rsidRPr="00B45937">
        <w:rPr>
          <w:rFonts w:ascii="Arial" w:hAnsi="Arial" w:cs="Arial"/>
          <w:color w:val="000000"/>
        </w:rPr>
        <w:t>MyAmplifiers</w:t>
      </w:r>
      <w:proofErr w:type="spellEnd"/>
      <w:r w:rsidRPr="00B45937">
        <w:rPr>
          <w:rFonts w:ascii="Arial" w:hAnsi="Arial" w:cs="Arial"/>
          <w:color w:val="000000"/>
        </w:rPr>
        <w:t xml:space="preserve">, 3 April. Available at: </w:t>
      </w:r>
      <w:hyperlink r:id="rId14" w:history="1">
        <w:r w:rsidR="00CD0047" w:rsidRPr="009D7A08">
          <w:rPr>
            <w:rStyle w:val="Hyperlink"/>
            <w:rFonts w:ascii="Arial" w:hAnsi="Arial" w:cs="Arial"/>
          </w:rPr>
          <w:t>https://www.myamplifiers.com/articles/which-uk-mobile-networks-have-the-best-signal-in-2026/</w:t>
        </w:r>
      </w:hyperlink>
      <w:r w:rsidR="00CD0047">
        <w:rPr>
          <w:rFonts w:ascii="Arial" w:hAnsi="Arial" w:cs="Arial"/>
          <w:color w:val="000000"/>
        </w:rPr>
        <w:t xml:space="preserve"> </w:t>
      </w:r>
      <w:r w:rsidRPr="00B45937">
        <w:rPr>
          <w:rFonts w:ascii="Arial" w:hAnsi="Arial" w:cs="Arial"/>
          <w:color w:val="000000"/>
        </w:rPr>
        <w:t>(Accessed: 9 August 2026).</w:t>
      </w:r>
    </w:p>
    <w:p w14:paraId="2B00121A" w14:textId="77777777" w:rsidR="00D1671E" w:rsidRPr="00B45937" w:rsidRDefault="00D1671E" w:rsidP="00B45937">
      <w:pPr>
        <w:autoSpaceDE w:val="0"/>
        <w:autoSpaceDN w:val="0"/>
        <w:adjustRightInd w:val="0"/>
        <w:spacing w:line="360" w:lineRule="auto"/>
        <w:jc w:val="both"/>
        <w:rPr>
          <w:rFonts w:ascii="Arial" w:hAnsi="Arial" w:cs="Arial"/>
          <w:color w:val="000000"/>
        </w:rPr>
      </w:pPr>
    </w:p>
    <w:p w14:paraId="2C4E9B08" w14:textId="796A7327" w:rsidR="00D1671E" w:rsidRPr="00B45937" w:rsidRDefault="00D1671E" w:rsidP="00B45937">
      <w:pPr>
        <w:autoSpaceDE w:val="0"/>
        <w:autoSpaceDN w:val="0"/>
        <w:adjustRightInd w:val="0"/>
        <w:spacing w:line="360" w:lineRule="auto"/>
        <w:jc w:val="both"/>
        <w:rPr>
          <w:rFonts w:ascii="Arial" w:hAnsi="Arial" w:cs="Arial"/>
          <w:color w:val="000000"/>
        </w:rPr>
      </w:pPr>
      <w:proofErr w:type="spellStart"/>
      <w:r w:rsidRPr="00B45937">
        <w:rPr>
          <w:rFonts w:ascii="Arial" w:hAnsi="Arial" w:cs="Arial"/>
          <w:color w:val="000000"/>
        </w:rPr>
        <w:t>Opensignal</w:t>
      </w:r>
      <w:proofErr w:type="spellEnd"/>
      <w:r w:rsidRPr="00B45937">
        <w:rPr>
          <w:rFonts w:ascii="Arial" w:hAnsi="Arial" w:cs="Arial"/>
          <w:color w:val="000000"/>
        </w:rPr>
        <w:t xml:space="preserve"> (2026) United Kingdom Mobile Network Experience Report, January 2026. Available at: </w:t>
      </w:r>
      <w:hyperlink r:id="rId15" w:history="1">
        <w:r w:rsidR="00CD0047" w:rsidRPr="009D7A08">
          <w:rPr>
            <w:rStyle w:val="Hyperlink"/>
            <w:rFonts w:ascii="Arial" w:hAnsi="Arial" w:cs="Arial"/>
          </w:rPr>
          <w:t>https://insights.opensignal.com/reports/2026/01/uk/mobile-network-experience</w:t>
        </w:r>
      </w:hyperlink>
      <w:r w:rsidR="00CD0047">
        <w:rPr>
          <w:rFonts w:ascii="Arial" w:hAnsi="Arial" w:cs="Arial"/>
          <w:color w:val="000000"/>
        </w:rPr>
        <w:t xml:space="preserve"> </w:t>
      </w:r>
      <w:r w:rsidRPr="00B45937">
        <w:rPr>
          <w:rFonts w:ascii="Arial" w:hAnsi="Arial" w:cs="Arial"/>
          <w:color w:val="000000"/>
        </w:rPr>
        <w:t>(Accessed: 9 August 2026).</w:t>
      </w:r>
    </w:p>
    <w:p w14:paraId="59D166A5" w14:textId="77777777" w:rsidR="00D1671E" w:rsidRPr="00B45937" w:rsidRDefault="00D1671E" w:rsidP="00B45937">
      <w:pPr>
        <w:autoSpaceDE w:val="0"/>
        <w:autoSpaceDN w:val="0"/>
        <w:adjustRightInd w:val="0"/>
        <w:spacing w:line="360" w:lineRule="auto"/>
        <w:jc w:val="both"/>
        <w:rPr>
          <w:rFonts w:ascii="Arial" w:hAnsi="Arial" w:cs="Arial"/>
          <w:color w:val="000000"/>
        </w:rPr>
      </w:pPr>
    </w:p>
    <w:p w14:paraId="5A9B355A" w14:textId="71A848DC" w:rsidR="00D1671E" w:rsidRPr="00B45937" w:rsidRDefault="00D1671E" w:rsidP="00B45937">
      <w:pPr>
        <w:autoSpaceDE w:val="0"/>
        <w:autoSpaceDN w:val="0"/>
        <w:adjustRightInd w:val="0"/>
        <w:spacing w:line="360" w:lineRule="auto"/>
        <w:jc w:val="both"/>
        <w:rPr>
          <w:rFonts w:ascii="Arial" w:hAnsi="Arial" w:cs="Arial"/>
          <w:color w:val="000000"/>
        </w:rPr>
      </w:pPr>
      <w:r w:rsidRPr="00B45937">
        <w:rPr>
          <w:rFonts w:ascii="Arial" w:hAnsi="Arial" w:cs="Arial"/>
          <w:color w:val="000000"/>
        </w:rPr>
        <w:t xml:space="preserve">RCR Wireless News (2025) 'Vodafone and Three complete £16.5bn merger', RCR Wireless News, 2 June. Available at: </w:t>
      </w:r>
      <w:hyperlink r:id="rId16" w:history="1">
        <w:r w:rsidR="00CD0047" w:rsidRPr="009D7A08">
          <w:rPr>
            <w:rStyle w:val="Hyperlink"/>
            <w:rFonts w:ascii="Arial" w:hAnsi="Arial" w:cs="Arial"/>
          </w:rPr>
          <w:t>https://www.rcrwireless.com/20250602/carriers/vodafone-three-merger</w:t>
        </w:r>
      </w:hyperlink>
      <w:r w:rsidR="00CD0047">
        <w:rPr>
          <w:rFonts w:ascii="Arial" w:hAnsi="Arial" w:cs="Arial"/>
          <w:color w:val="000000"/>
        </w:rPr>
        <w:t xml:space="preserve"> </w:t>
      </w:r>
      <w:r w:rsidRPr="00B45937">
        <w:rPr>
          <w:rFonts w:ascii="Arial" w:hAnsi="Arial" w:cs="Arial"/>
          <w:color w:val="000000"/>
        </w:rPr>
        <w:t>(Accessed: 9 August 2026).</w:t>
      </w:r>
    </w:p>
    <w:p w14:paraId="4542F158" w14:textId="77777777" w:rsidR="00D1671E" w:rsidRPr="00B45937" w:rsidRDefault="00D1671E" w:rsidP="00B45937">
      <w:pPr>
        <w:autoSpaceDE w:val="0"/>
        <w:autoSpaceDN w:val="0"/>
        <w:adjustRightInd w:val="0"/>
        <w:spacing w:line="360" w:lineRule="auto"/>
        <w:jc w:val="both"/>
        <w:rPr>
          <w:rFonts w:ascii="Arial" w:hAnsi="Arial" w:cs="Arial"/>
          <w:color w:val="000000"/>
        </w:rPr>
      </w:pPr>
    </w:p>
    <w:p w14:paraId="0F5AA7F2" w14:textId="77777777" w:rsidR="00D1671E" w:rsidRPr="00B45937" w:rsidRDefault="00D1671E" w:rsidP="00B45937">
      <w:pPr>
        <w:autoSpaceDE w:val="0"/>
        <w:autoSpaceDN w:val="0"/>
        <w:adjustRightInd w:val="0"/>
        <w:spacing w:line="360" w:lineRule="auto"/>
        <w:jc w:val="both"/>
        <w:rPr>
          <w:rFonts w:ascii="Arial" w:hAnsi="Arial" w:cs="Arial"/>
          <w:color w:val="000000"/>
        </w:rPr>
      </w:pPr>
      <w:r w:rsidRPr="00B45937">
        <w:rPr>
          <w:rFonts w:ascii="Arial" w:hAnsi="Arial" w:cs="Arial"/>
          <w:color w:val="000000"/>
        </w:rPr>
        <w:t xml:space="preserve">Rothaermel, F.T. (2021) Strategic Management: Concepts and Cases. 5th </w:t>
      </w:r>
      <w:proofErr w:type="spellStart"/>
      <w:r w:rsidRPr="00B45937">
        <w:rPr>
          <w:rFonts w:ascii="Arial" w:hAnsi="Arial" w:cs="Arial"/>
          <w:color w:val="000000"/>
        </w:rPr>
        <w:t>edn</w:t>
      </w:r>
      <w:proofErr w:type="spellEnd"/>
      <w:r w:rsidRPr="00B45937">
        <w:rPr>
          <w:rFonts w:ascii="Arial" w:hAnsi="Arial" w:cs="Arial"/>
          <w:color w:val="000000"/>
        </w:rPr>
        <w:t>. New York: McGraw-Hill Education.</w:t>
      </w:r>
    </w:p>
    <w:p w14:paraId="6BE0E6F9" w14:textId="77777777" w:rsidR="00D1671E" w:rsidRPr="00B45937" w:rsidRDefault="00D1671E" w:rsidP="00B45937">
      <w:pPr>
        <w:autoSpaceDE w:val="0"/>
        <w:autoSpaceDN w:val="0"/>
        <w:adjustRightInd w:val="0"/>
        <w:spacing w:line="360" w:lineRule="auto"/>
        <w:jc w:val="both"/>
        <w:rPr>
          <w:rFonts w:ascii="Arial" w:hAnsi="Arial" w:cs="Arial"/>
          <w:color w:val="000000"/>
        </w:rPr>
      </w:pPr>
    </w:p>
    <w:p w14:paraId="23E9B81F" w14:textId="58FDB9DE" w:rsidR="00D1671E" w:rsidRPr="00B45937" w:rsidRDefault="00D1671E" w:rsidP="00B45937">
      <w:pPr>
        <w:autoSpaceDE w:val="0"/>
        <w:autoSpaceDN w:val="0"/>
        <w:adjustRightInd w:val="0"/>
        <w:spacing w:line="360" w:lineRule="auto"/>
        <w:jc w:val="both"/>
        <w:rPr>
          <w:rFonts w:ascii="Arial" w:hAnsi="Arial" w:cs="Arial"/>
          <w:color w:val="000000"/>
        </w:rPr>
      </w:pPr>
      <w:r w:rsidRPr="00B45937">
        <w:rPr>
          <w:rFonts w:ascii="Arial" w:hAnsi="Arial" w:cs="Arial"/>
          <w:color w:val="000000"/>
        </w:rPr>
        <w:lastRenderedPageBreak/>
        <w:t xml:space="preserve">Sphere </w:t>
      </w:r>
      <w:proofErr w:type="spellStart"/>
      <w:r w:rsidRPr="00B45937">
        <w:rPr>
          <w:rFonts w:ascii="Arial" w:hAnsi="Arial" w:cs="Arial"/>
          <w:color w:val="000000"/>
        </w:rPr>
        <w:t>eMagazine</w:t>
      </w:r>
      <w:proofErr w:type="spellEnd"/>
      <w:r w:rsidRPr="00B45937">
        <w:rPr>
          <w:rFonts w:ascii="Arial" w:hAnsi="Arial" w:cs="Arial"/>
          <w:color w:val="000000"/>
        </w:rPr>
        <w:t xml:space="preserve"> (2025) 'Business: </w:t>
      </w:r>
      <w:proofErr w:type="spellStart"/>
      <w:r w:rsidRPr="00B45937">
        <w:rPr>
          <w:rFonts w:ascii="Arial" w:hAnsi="Arial" w:cs="Arial"/>
          <w:color w:val="000000"/>
        </w:rPr>
        <w:t>VodafoneThree</w:t>
      </w:r>
      <w:proofErr w:type="spellEnd"/>
      <w:r w:rsidRPr="00B45937">
        <w:rPr>
          <w:rFonts w:ascii="Arial" w:hAnsi="Arial" w:cs="Arial"/>
          <w:color w:val="000000"/>
        </w:rPr>
        <w:t xml:space="preserve"> is here - £16.5 billion merger kicks off a new era for UK connectivity', CK Hutchison Holdings Sphere </w:t>
      </w:r>
      <w:proofErr w:type="spellStart"/>
      <w:r w:rsidRPr="00B45937">
        <w:rPr>
          <w:rFonts w:ascii="Arial" w:hAnsi="Arial" w:cs="Arial"/>
          <w:color w:val="000000"/>
        </w:rPr>
        <w:t>eMagazine</w:t>
      </w:r>
      <w:proofErr w:type="spellEnd"/>
      <w:r w:rsidRPr="00B45937">
        <w:rPr>
          <w:rFonts w:ascii="Arial" w:hAnsi="Arial" w:cs="Arial"/>
          <w:color w:val="000000"/>
        </w:rPr>
        <w:t xml:space="preserve">. Available at: </w:t>
      </w:r>
      <w:hyperlink r:id="rId17" w:history="1">
        <w:r w:rsidR="00CD0047" w:rsidRPr="009D7A08">
          <w:rPr>
            <w:rStyle w:val="Hyperlink"/>
            <w:rFonts w:ascii="Arial" w:hAnsi="Arial" w:cs="Arial"/>
          </w:rPr>
          <w:t>https://sphere.ckh.com.hk/eng/business/417/vodafonethree-is-here-16.5-billion-merger-kicks-off-a-new-era-for-uk-connectivity.php</w:t>
        </w:r>
      </w:hyperlink>
      <w:r w:rsidR="00CD0047">
        <w:rPr>
          <w:rFonts w:ascii="Arial" w:hAnsi="Arial" w:cs="Arial"/>
          <w:color w:val="000000"/>
        </w:rPr>
        <w:t xml:space="preserve"> </w:t>
      </w:r>
      <w:r w:rsidRPr="00B45937">
        <w:rPr>
          <w:rFonts w:ascii="Arial" w:hAnsi="Arial" w:cs="Arial"/>
          <w:color w:val="000000"/>
        </w:rPr>
        <w:t>(Accessed: 9 August 2026).</w:t>
      </w:r>
    </w:p>
    <w:p w14:paraId="4BD80955" w14:textId="77777777" w:rsidR="00D1671E" w:rsidRPr="00B45937" w:rsidRDefault="00D1671E" w:rsidP="00B45937">
      <w:pPr>
        <w:autoSpaceDE w:val="0"/>
        <w:autoSpaceDN w:val="0"/>
        <w:adjustRightInd w:val="0"/>
        <w:spacing w:line="360" w:lineRule="auto"/>
        <w:jc w:val="both"/>
        <w:rPr>
          <w:rFonts w:ascii="Arial" w:hAnsi="Arial" w:cs="Arial"/>
          <w:color w:val="000000"/>
        </w:rPr>
      </w:pPr>
    </w:p>
    <w:p w14:paraId="5849427F" w14:textId="351ACA47" w:rsidR="00D1671E" w:rsidRPr="00B45937" w:rsidRDefault="00D1671E" w:rsidP="00B45937">
      <w:pPr>
        <w:autoSpaceDE w:val="0"/>
        <w:autoSpaceDN w:val="0"/>
        <w:adjustRightInd w:val="0"/>
        <w:spacing w:line="360" w:lineRule="auto"/>
        <w:jc w:val="both"/>
        <w:rPr>
          <w:rFonts w:ascii="Arial" w:hAnsi="Arial" w:cs="Arial"/>
          <w:color w:val="000000"/>
        </w:rPr>
      </w:pPr>
      <w:proofErr w:type="spellStart"/>
      <w:r w:rsidRPr="00B45937">
        <w:rPr>
          <w:rFonts w:ascii="Arial" w:hAnsi="Arial" w:cs="Arial"/>
          <w:color w:val="000000"/>
        </w:rPr>
        <w:t>TelecomTV</w:t>
      </w:r>
      <w:proofErr w:type="spellEnd"/>
      <w:r w:rsidRPr="00B45937">
        <w:rPr>
          <w:rFonts w:ascii="Arial" w:hAnsi="Arial" w:cs="Arial"/>
          <w:color w:val="000000"/>
        </w:rPr>
        <w:t xml:space="preserve"> (2026) 'Vodafone to take full ownership of </w:t>
      </w:r>
      <w:proofErr w:type="spellStart"/>
      <w:r w:rsidRPr="00B45937">
        <w:rPr>
          <w:rFonts w:ascii="Arial" w:hAnsi="Arial" w:cs="Arial"/>
          <w:color w:val="000000"/>
        </w:rPr>
        <w:t>VodafoneThree</w:t>
      </w:r>
      <w:proofErr w:type="spellEnd"/>
      <w:r w:rsidRPr="00B45937">
        <w:rPr>
          <w:rFonts w:ascii="Arial" w:hAnsi="Arial" w:cs="Arial"/>
          <w:color w:val="000000"/>
        </w:rPr>
        <w:t xml:space="preserve">, Access Evolution', </w:t>
      </w:r>
      <w:proofErr w:type="spellStart"/>
      <w:r w:rsidRPr="00B45937">
        <w:rPr>
          <w:rFonts w:ascii="Arial" w:hAnsi="Arial" w:cs="Arial"/>
          <w:color w:val="000000"/>
        </w:rPr>
        <w:t>TelecomTV</w:t>
      </w:r>
      <w:proofErr w:type="spellEnd"/>
      <w:r w:rsidRPr="00B45937">
        <w:rPr>
          <w:rFonts w:ascii="Arial" w:hAnsi="Arial" w:cs="Arial"/>
          <w:color w:val="000000"/>
        </w:rPr>
        <w:t xml:space="preserve">, 5 May. Available at: </w:t>
      </w:r>
      <w:hyperlink r:id="rId18" w:history="1">
        <w:r w:rsidR="00CD0047" w:rsidRPr="009D7A08">
          <w:rPr>
            <w:rStyle w:val="Hyperlink"/>
            <w:rFonts w:ascii="Arial" w:hAnsi="Arial" w:cs="Arial"/>
          </w:rPr>
          <w:t>https://www.telecomtv.com/content/access-evolution/vodafone-to-take-full-ownership-of-vodafonethree-55408/</w:t>
        </w:r>
      </w:hyperlink>
      <w:r w:rsidR="00CD0047">
        <w:rPr>
          <w:rFonts w:ascii="Arial" w:hAnsi="Arial" w:cs="Arial"/>
          <w:color w:val="000000"/>
        </w:rPr>
        <w:t xml:space="preserve"> </w:t>
      </w:r>
      <w:r w:rsidRPr="00B45937">
        <w:rPr>
          <w:rFonts w:ascii="Arial" w:hAnsi="Arial" w:cs="Arial"/>
          <w:color w:val="000000"/>
        </w:rPr>
        <w:t>(Accessed: 9 August 2026).</w:t>
      </w:r>
    </w:p>
    <w:p w14:paraId="001069A2" w14:textId="77777777" w:rsidR="00D1671E" w:rsidRPr="00B45937" w:rsidRDefault="00D1671E" w:rsidP="00B45937">
      <w:pPr>
        <w:autoSpaceDE w:val="0"/>
        <w:autoSpaceDN w:val="0"/>
        <w:adjustRightInd w:val="0"/>
        <w:spacing w:line="360" w:lineRule="auto"/>
        <w:jc w:val="both"/>
        <w:rPr>
          <w:rFonts w:ascii="Arial" w:hAnsi="Arial" w:cs="Arial"/>
          <w:color w:val="000000"/>
        </w:rPr>
      </w:pPr>
    </w:p>
    <w:p w14:paraId="0D88D5AF" w14:textId="114A9A83" w:rsidR="00D1671E" w:rsidRPr="00B45937" w:rsidRDefault="00D1671E" w:rsidP="00B45937">
      <w:pPr>
        <w:autoSpaceDE w:val="0"/>
        <w:autoSpaceDN w:val="0"/>
        <w:adjustRightInd w:val="0"/>
        <w:spacing w:line="360" w:lineRule="auto"/>
        <w:jc w:val="both"/>
        <w:rPr>
          <w:rFonts w:ascii="Arial" w:hAnsi="Arial" w:cs="Arial"/>
          <w:color w:val="000000"/>
        </w:rPr>
      </w:pPr>
      <w:r w:rsidRPr="00B45937">
        <w:rPr>
          <w:rFonts w:ascii="Arial" w:hAnsi="Arial" w:cs="Arial"/>
          <w:color w:val="000000"/>
        </w:rPr>
        <w:t xml:space="preserve">Verdict (2026) 'Vodafone set for full ownership of </w:t>
      </w:r>
      <w:proofErr w:type="spellStart"/>
      <w:r w:rsidRPr="00B45937">
        <w:rPr>
          <w:rFonts w:ascii="Arial" w:hAnsi="Arial" w:cs="Arial"/>
          <w:color w:val="000000"/>
        </w:rPr>
        <w:t>VodafoneThree</w:t>
      </w:r>
      <w:proofErr w:type="spellEnd"/>
      <w:r w:rsidRPr="00B45937">
        <w:rPr>
          <w:rFonts w:ascii="Arial" w:hAnsi="Arial" w:cs="Arial"/>
          <w:color w:val="000000"/>
        </w:rPr>
        <w:t xml:space="preserve"> in $5.8bn deal', Verdict, 6 May. Available at: </w:t>
      </w:r>
      <w:hyperlink r:id="rId19" w:history="1">
        <w:r w:rsidR="00CD0047" w:rsidRPr="009D7A08">
          <w:rPr>
            <w:rStyle w:val="Hyperlink"/>
            <w:rFonts w:ascii="Arial" w:hAnsi="Arial" w:cs="Arial"/>
          </w:rPr>
          <w:t>https://www.verdict.co.uk/vodafone-takeover-vodafonethree/</w:t>
        </w:r>
      </w:hyperlink>
      <w:r w:rsidR="00CD0047">
        <w:rPr>
          <w:rFonts w:ascii="Arial" w:hAnsi="Arial" w:cs="Arial"/>
          <w:color w:val="000000"/>
        </w:rPr>
        <w:t xml:space="preserve"> </w:t>
      </w:r>
      <w:r w:rsidRPr="00B45937">
        <w:rPr>
          <w:rFonts w:ascii="Arial" w:hAnsi="Arial" w:cs="Arial"/>
          <w:color w:val="000000"/>
        </w:rPr>
        <w:t>(Accessed: 9 August 2026).</w:t>
      </w:r>
    </w:p>
    <w:p w14:paraId="7819B385" w14:textId="77777777" w:rsidR="00D1671E" w:rsidRPr="00B45937" w:rsidRDefault="00D1671E" w:rsidP="00B45937">
      <w:pPr>
        <w:autoSpaceDE w:val="0"/>
        <w:autoSpaceDN w:val="0"/>
        <w:adjustRightInd w:val="0"/>
        <w:spacing w:line="360" w:lineRule="auto"/>
        <w:jc w:val="both"/>
        <w:rPr>
          <w:rFonts w:ascii="Arial" w:hAnsi="Arial" w:cs="Arial"/>
          <w:color w:val="000000"/>
        </w:rPr>
      </w:pPr>
    </w:p>
    <w:p w14:paraId="557A625B" w14:textId="5D324112" w:rsidR="00D1671E" w:rsidRPr="00B45937" w:rsidRDefault="00D1671E" w:rsidP="00B45937">
      <w:pPr>
        <w:autoSpaceDE w:val="0"/>
        <w:autoSpaceDN w:val="0"/>
        <w:adjustRightInd w:val="0"/>
        <w:spacing w:line="360" w:lineRule="auto"/>
        <w:jc w:val="both"/>
        <w:rPr>
          <w:rFonts w:ascii="Arial" w:hAnsi="Arial" w:cs="Arial"/>
          <w:color w:val="000000"/>
        </w:rPr>
      </w:pPr>
      <w:r w:rsidRPr="00B45937">
        <w:rPr>
          <w:rFonts w:ascii="Arial" w:hAnsi="Arial" w:cs="Arial"/>
          <w:color w:val="000000"/>
        </w:rPr>
        <w:t xml:space="preserve">Vodafone Group Plc (2025a) Completion of Vodafone and Three Merger in the UK. Available at: </w:t>
      </w:r>
      <w:hyperlink r:id="rId20" w:history="1">
        <w:r w:rsidR="00CD0047" w:rsidRPr="009D7A08">
          <w:rPr>
            <w:rStyle w:val="Hyperlink"/>
            <w:rFonts w:ascii="Arial" w:hAnsi="Arial" w:cs="Arial"/>
          </w:rPr>
          <w:t>https://www.vodafone.com/news/newsroom/corporate-and-financial/completion-of-vodafone-and-three-merger-in-the-uk</w:t>
        </w:r>
      </w:hyperlink>
      <w:r w:rsidR="00CD0047">
        <w:rPr>
          <w:rFonts w:ascii="Arial" w:hAnsi="Arial" w:cs="Arial"/>
          <w:color w:val="000000"/>
        </w:rPr>
        <w:t xml:space="preserve"> </w:t>
      </w:r>
      <w:r w:rsidRPr="00B45937">
        <w:rPr>
          <w:rFonts w:ascii="Arial" w:hAnsi="Arial" w:cs="Arial"/>
          <w:color w:val="000000"/>
        </w:rPr>
        <w:t>(Accessed: 9 August 2026).</w:t>
      </w:r>
    </w:p>
    <w:p w14:paraId="29F1ADD6" w14:textId="77777777" w:rsidR="00D1671E" w:rsidRPr="00B45937" w:rsidRDefault="00D1671E" w:rsidP="00B45937">
      <w:pPr>
        <w:autoSpaceDE w:val="0"/>
        <w:autoSpaceDN w:val="0"/>
        <w:adjustRightInd w:val="0"/>
        <w:spacing w:line="360" w:lineRule="auto"/>
        <w:jc w:val="both"/>
        <w:rPr>
          <w:rFonts w:ascii="Arial" w:hAnsi="Arial" w:cs="Arial"/>
          <w:color w:val="000000"/>
        </w:rPr>
      </w:pPr>
    </w:p>
    <w:p w14:paraId="531C1759" w14:textId="1C5CDF3B" w:rsidR="00D1671E" w:rsidRPr="00B45937" w:rsidRDefault="00D1671E" w:rsidP="00B45937">
      <w:pPr>
        <w:autoSpaceDE w:val="0"/>
        <w:autoSpaceDN w:val="0"/>
        <w:adjustRightInd w:val="0"/>
        <w:spacing w:line="360" w:lineRule="auto"/>
        <w:jc w:val="both"/>
        <w:rPr>
          <w:rFonts w:ascii="Arial" w:hAnsi="Arial" w:cs="Arial"/>
          <w:color w:val="000000"/>
        </w:rPr>
      </w:pPr>
      <w:r w:rsidRPr="00B45937">
        <w:rPr>
          <w:rFonts w:ascii="Arial" w:hAnsi="Arial" w:cs="Arial"/>
          <w:color w:val="000000"/>
        </w:rPr>
        <w:t xml:space="preserve">Vodafone Group Plc (2025b) FY25 Preliminary Results Announcement, 20 May 2025. Available at: </w:t>
      </w:r>
      <w:hyperlink r:id="rId21" w:history="1">
        <w:r w:rsidR="00CD0047" w:rsidRPr="009D7A08">
          <w:rPr>
            <w:rStyle w:val="Hyperlink"/>
            <w:rFonts w:ascii="Arial" w:hAnsi="Arial" w:cs="Arial"/>
          </w:rPr>
          <w:t>https://investors.vodafone.com/~/media/Files/V/Vodafone-IR/documents/performance/financial-results/2025/vodafone-fy25-results-announcement.pdf</w:t>
        </w:r>
      </w:hyperlink>
      <w:r w:rsidR="00CD0047">
        <w:rPr>
          <w:rFonts w:ascii="Arial" w:hAnsi="Arial" w:cs="Arial"/>
          <w:color w:val="000000"/>
        </w:rPr>
        <w:t xml:space="preserve"> </w:t>
      </w:r>
      <w:r w:rsidRPr="00B45937">
        <w:rPr>
          <w:rFonts w:ascii="Arial" w:hAnsi="Arial" w:cs="Arial"/>
          <w:color w:val="000000"/>
        </w:rPr>
        <w:t>(Accessed: 9 August 2026).</w:t>
      </w:r>
    </w:p>
    <w:p w14:paraId="10526206" w14:textId="77777777" w:rsidR="00D1671E" w:rsidRPr="00B45937" w:rsidRDefault="00D1671E" w:rsidP="00B45937">
      <w:pPr>
        <w:autoSpaceDE w:val="0"/>
        <w:autoSpaceDN w:val="0"/>
        <w:adjustRightInd w:val="0"/>
        <w:spacing w:line="360" w:lineRule="auto"/>
        <w:jc w:val="both"/>
        <w:rPr>
          <w:rFonts w:ascii="Arial" w:hAnsi="Arial" w:cs="Arial"/>
          <w:color w:val="000000"/>
        </w:rPr>
      </w:pPr>
    </w:p>
    <w:p w14:paraId="77B88673" w14:textId="7B639A88" w:rsidR="00D1671E" w:rsidRPr="00B45937" w:rsidRDefault="00D1671E" w:rsidP="00B45937">
      <w:pPr>
        <w:autoSpaceDE w:val="0"/>
        <w:autoSpaceDN w:val="0"/>
        <w:adjustRightInd w:val="0"/>
        <w:spacing w:line="360" w:lineRule="auto"/>
        <w:jc w:val="both"/>
        <w:rPr>
          <w:rFonts w:ascii="Arial" w:hAnsi="Arial" w:cs="Arial"/>
          <w:color w:val="000000"/>
        </w:rPr>
      </w:pPr>
      <w:r w:rsidRPr="00B45937">
        <w:rPr>
          <w:rFonts w:ascii="Arial" w:hAnsi="Arial" w:cs="Arial"/>
          <w:color w:val="000000"/>
        </w:rPr>
        <w:t xml:space="preserve">Vodafone Group Plc (2026a) Vodafone to Take Full Ownership of </w:t>
      </w:r>
      <w:proofErr w:type="spellStart"/>
      <w:r w:rsidRPr="00B45937">
        <w:rPr>
          <w:rFonts w:ascii="Arial" w:hAnsi="Arial" w:cs="Arial"/>
          <w:color w:val="000000"/>
        </w:rPr>
        <w:t>VodafoneThree</w:t>
      </w:r>
      <w:proofErr w:type="spellEnd"/>
      <w:r w:rsidRPr="00B45937">
        <w:rPr>
          <w:rFonts w:ascii="Arial" w:hAnsi="Arial" w:cs="Arial"/>
          <w:color w:val="000000"/>
        </w:rPr>
        <w:t xml:space="preserve">. Available at: </w:t>
      </w:r>
      <w:hyperlink r:id="rId22" w:history="1">
        <w:r w:rsidR="00CD0047" w:rsidRPr="009D7A08">
          <w:rPr>
            <w:rStyle w:val="Hyperlink"/>
            <w:rFonts w:ascii="Arial" w:hAnsi="Arial" w:cs="Arial"/>
          </w:rPr>
          <w:t>https://www.vodafone.com/news/newsroom/corporate-and-financial/vodafone-to-take-full-ownership-of-vodafone-three</w:t>
        </w:r>
      </w:hyperlink>
      <w:r w:rsidR="00CD0047">
        <w:rPr>
          <w:rFonts w:ascii="Arial" w:hAnsi="Arial" w:cs="Arial"/>
          <w:color w:val="000000"/>
        </w:rPr>
        <w:t xml:space="preserve"> </w:t>
      </w:r>
      <w:r w:rsidRPr="00B45937">
        <w:rPr>
          <w:rFonts w:ascii="Arial" w:hAnsi="Arial" w:cs="Arial"/>
          <w:color w:val="000000"/>
        </w:rPr>
        <w:t>(Accessed: 9 August 2026).</w:t>
      </w:r>
    </w:p>
    <w:p w14:paraId="371D0B73" w14:textId="77777777" w:rsidR="00D1671E" w:rsidRPr="00B45937" w:rsidRDefault="00D1671E" w:rsidP="00B45937">
      <w:pPr>
        <w:autoSpaceDE w:val="0"/>
        <w:autoSpaceDN w:val="0"/>
        <w:adjustRightInd w:val="0"/>
        <w:spacing w:line="360" w:lineRule="auto"/>
        <w:jc w:val="both"/>
        <w:rPr>
          <w:rFonts w:ascii="Arial" w:hAnsi="Arial" w:cs="Arial"/>
          <w:color w:val="000000"/>
        </w:rPr>
      </w:pPr>
    </w:p>
    <w:p w14:paraId="7D0AD0CD" w14:textId="5F78409E" w:rsidR="00D1671E" w:rsidRPr="00B45937" w:rsidRDefault="00D1671E" w:rsidP="00B45937">
      <w:pPr>
        <w:autoSpaceDE w:val="0"/>
        <w:autoSpaceDN w:val="0"/>
        <w:adjustRightInd w:val="0"/>
        <w:spacing w:line="360" w:lineRule="auto"/>
        <w:jc w:val="both"/>
        <w:rPr>
          <w:rFonts w:ascii="Arial" w:hAnsi="Arial" w:cs="Arial"/>
          <w:color w:val="000000"/>
        </w:rPr>
      </w:pPr>
      <w:r w:rsidRPr="00B45937">
        <w:rPr>
          <w:rFonts w:ascii="Arial" w:hAnsi="Arial" w:cs="Arial"/>
          <w:color w:val="000000"/>
        </w:rPr>
        <w:t xml:space="preserve">Vodafone Group Plc (2026b) 2026 Annual Report. Available at: </w:t>
      </w:r>
      <w:hyperlink r:id="rId23" w:history="1">
        <w:r w:rsidR="00CD0047" w:rsidRPr="009D7A08">
          <w:rPr>
            <w:rStyle w:val="Hyperlink"/>
            <w:rFonts w:ascii="Arial" w:hAnsi="Arial" w:cs="Arial"/>
          </w:rPr>
          <w:t>https://reports.investors.vodafone.com/view/500231330</w:t>
        </w:r>
      </w:hyperlink>
      <w:r w:rsidR="00CD0047">
        <w:rPr>
          <w:rFonts w:ascii="Arial" w:hAnsi="Arial" w:cs="Arial"/>
          <w:color w:val="000000"/>
        </w:rPr>
        <w:t xml:space="preserve"> </w:t>
      </w:r>
      <w:r w:rsidRPr="00B45937">
        <w:rPr>
          <w:rFonts w:ascii="Arial" w:hAnsi="Arial" w:cs="Arial"/>
          <w:color w:val="000000"/>
        </w:rPr>
        <w:t>(Accessed: 9 August 2026).</w:t>
      </w:r>
    </w:p>
    <w:p w14:paraId="21322AF6" w14:textId="77777777" w:rsidR="00D1671E" w:rsidRPr="00B45937" w:rsidRDefault="00D1671E" w:rsidP="00B45937">
      <w:pPr>
        <w:autoSpaceDE w:val="0"/>
        <w:autoSpaceDN w:val="0"/>
        <w:adjustRightInd w:val="0"/>
        <w:spacing w:line="360" w:lineRule="auto"/>
        <w:jc w:val="both"/>
        <w:rPr>
          <w:rFonts w:ascii="Arial" w:hAnsi="Arial" w:cs="Arial"/>
          <w:color w:val="000000"/>
        </w:rPr>
      </w:pPr>
    </w:p>
    <w:p w14:paraId="22F93F63" w14:textId="053FC1F1" w:rsidR="00D1671E" w:rsidRPr="00B45937" w:rsidRDefault="00D1671E" w:rsidP="00B45937">
      <w:pPr>
        <w:autoSpaceDE w:val="0"/>
        <w:autoSpaceDN w:val="0"/>
        <w:adjustRightInd w:val="0"/>
        <w:spacing w:line="360" w:lineRule="auto"/>
        <w:jc w:val="both"/>
        <w:rPr>
          <w:rFonts w:ascii="Arial" w:hAnsi="Arial" w:cs="Arial"/>
          <w:color w:val="000000"/>
        </w:rPr>
      </w:pPr>
      <w:proofErr w:type="spellStart"/>
      <w:r w:rsidRPr="00B45937">
        <w:rPr>
          <w:rFonts w:ascii="Arial" w:hAnsi="Arial" w:cs="Arial"/>
          <w:color w:val="000000"/>
        </w:rPr>
        <w:lastRenderedPageBreak/>
        <w:t>VodafoneThree</w:t>
      </w:r>
      <w:proofErr w:type="spellEnd"/>
      <w:r w:rsidRPr="00B45937">
        <w:rPr>
          <w:rFonts w:ascii="Arial" w:hAnsi="Arial" w:cs="Arial"/>
          <w:color w:val="000000"/>
        </w:rPr>
        <w:t xml:space="preserve"> (2026) Vodafone to Take Full Ownership of </w:t>
      </w:r>
      <w:proofErr w:type="spellStart"/>
      <w:r w:rsidRPr="00B45937">
        <w:rPr>
          <w:rFonts w:ascii="Arial" w:hAnsi="Arial" w:cs="Arial"/>
          <w:color w:val="000000"/>
        </w:rPr>
        <w:t>VodafoneThree</w:t>
      </w:r>
      <w:proofErr w:type="spellEnd"/>
      <w:r w:rsidRPr="00B45937">
        <w:rPr>
          <w:rFonts w:ascii="Arial" w:hAnsi="Arial" w:cs="Arial"/>
          <w:color w:val="000000"/>
        </w:rPr>
        <w:t xml:space="preserve"> - Building the UK's Best Network. Available at: </w:t>
      </w:r>
      <w:hyperlink r:id="rId24" w:history="1">
        <w:r w:rsidR="00CD0047" w:rsidRPr="009D7A08">
          <w:rPr>
            <w:rStyle w:val="Hyperlink"/>
            <w:rFonts w:ascii="Arial" w:hAnsi="Arial" w:cs="Arial"/>
          </w:rPr>
          <w:t>https://www.vodafonethree.com/vodafone-to-take-full-ownership-of-vodafonethree/</w:t>
        </w:r>
      </w:hyperlink>
      <w:r w:rsidR="00CD0047">
        <w:rPr>
          <w:rFonts w:ascii="Arial" w:hAnsi="Arial" w:cs="Arial"/>
          <w:color w:val="000000"/>
        </w:rPr>
        <w:t xml:space="preserve"> </w:t>
      </w:r>
      <w:r w:rsidRPr="00B45937">
        <w:rPr>
          <w:rFonts w:ascii="Arial" w:hAnsi="Arial" w:cs="Arial"/>
          <w:color w:val="000000"/>
        </w:rPr>
        <w:t>(Accessed: 9 August 2026).</w:t>
      </w:r>
    </w:p>
    <w:p w14:paraId="1CEF65DF" w14:textId="77777777" w:rsidR="00BA2A22" w:rsidRPr="00B45937" w:rsidRDefault="00BA2A22" w:rsidP="00B45937">
      <w:pPr>
        <w:spacing w:line="360" w:lineRule="auto"/>
        <w:jc w:val="both"/>
        <w:rPr>
          <w:rFonts w:ascii="Arial" w:hAnsi="Arial" w:cs="Arial"/>
          <w:color w:val="000000"/>
        </w:rPr>
      </w:pPr>
    </w:p>
    <w:sectPr w:rsidR="00BA2A22" w:rsidRPr="00B45937" w:rsidSect="00E4306E">
      <w:footerReference w:type="default" r:id="rId2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6BE859" w14:textId="77777777" w:rsidR="005213D2" w:rsidRDefault="005213D2" w:rsidP="00904688">
      <w:r>
        <w:separator/>
      </w:r>
    </w:p>
  </w:endnote>
  <w:endnote w:type="continuationSeparator" w:id="0">
    <w:p w14:paraId="5F6FA26F" w14:textId="77777777" w:rsidR="005213D2" w:rsidRDefault="005213D2" w:rsidP="00904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3">
    <w:panose1 w:val="050401020108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venir Next LT Pro Demi">
    <w:panose1 w:val="020B0704020202020204"/>
    <w:charset w:val="4D"/>
    <w:family w:val="swiss"/>
    <w:pitch w:val="variable"/>
    <w:sig w:usb0="800000EF" w:usb1="5000204A" w:usb2="00000000" w:usb3="00000000" w:csb0="00000093" w:csb1="00000000"/>
  </w:font>
  <w:font w:name="-webkit-standard">
    <w:altName w:val="Cambria"/>
    <w:panose1 w:val="020B0604020202020204"/>
    <w:charset w:val="00"/>
    <w:family w:val="roman"/>
    <w:pitch w:val="default"/>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2B9938C3" w:rsidR="00A9697D" w:rsidRDefault="00A9697D">
        <w:pPr>
          <w:pStyle w:val="Rodap"/>
          <w:pBdr>
            <w:top w:val="single" w:sz="4" w:space="1" w:color="D9D9D9" w:themeColor="background1" w:themeShade="D9"/>
          </w:pBdr>
          <w:jc w:val="right"/>
        </w:pPr>
        <w:r>
          <w:fldChar w:fldCharType="begin"/>
        </w:r>
        <w:r>
          <w:instrText xml:space="preserve"> PAGE   \* MERGEFORMAT </w:instrText>
        </w:r>
        <w:r>
          <w:fldChar w:fldCharType="separate"/>
        </w:r>
        <w:r w:rsidR="00E33CFF">
          <w:rPr>
            <w:noProof/>
          </w:rPr>
          <w:t>5</w:t>
        </w:r>
        <w:r>
          <w:rPr>
            <w:noProof/>
          </w:rPr>
          <w:fldChar w:fldCharType="end"/>
        </w:r>
        <w:r>
          <w:t xml:space="preserve"> | </w:t>
        </w:r>
        <w:r>
          <w:rPr>
            <w:color w:val="7F7F7F" w:themeColor="background1" w:themeShade="7F"/>
            <w:spacing w:val="60"/>
          </w:rPr>
          <w:t>Page</w:t>
        </w:r>
      </w:p>
    </w:sdtContent>
  </w:sdt>
  <w:p w14:paraId="36107783" w14:textId="77777777" w:rsidR="00A9697D" w:rsidRDefault="00A9697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EBB154" w14:textId="77777777" w:rsidR="005213D2" w:rsidRDefault="005213D2" w:rsidP="00904688">
      <w:r>
        <w:separator/>
      </w:r>
    </w:p>
  </w:footnote>
  <w:footnote w:type="continuationSeparator" w:id="0">
    <w:p w14:paraId="7C269B16" w14:textId="77777777" w:rsidR="005213D2" w:rsidRDefault="005213D2" w:rsidP="009046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534CE"/>
    <w:multiLevelType w:val="hybridMultilevel"/>
    <w:tmpl w:val="15D29C58"/>
    <w:lvl w:ilvl="0" w:tplc="6A42DB60">
      <w:start w:val="1"/>
      <w:numFmt w:val="bullet"/>
      <w:lvlText w:val="u"/>
      <w:lvlJc w:val="left"/>
      <w:pPr>
        <w:tabs>
          <w:tab w:val="num" w:pos="720"/>
        </w:tabs>
        <w:ind w:left="720" w:hanging="360"/>
      </w:pPr>
      <w:rPr>
        <w:rFonts w:ascii="Wingdings 3" w:hAnsi="Wingdings 3" w:hint="default"/>
      </w:rPr>
    </w:lvl>
    <w:lvl w:ilvl="1" w:tplc="76E6CAD2" w:tentative="1">
      <w:start w:val="1"/>
      <w:numFmt w:val="bullet"/>
      <w:lvlText w:val="u"/>
      <w:lvlJc w:val="left"/>
      <w:pPr>
        <w:tabs>
          <w:tab w:val="num" w:pos="1440"/>
        </w:tabs>
        <w:ind w:left="1440" w:hanging="360"/>
      </w:pPr>
      <w:rPr>
        <w:rFonts w:ascii="Wingdings 3" w:hAnsi="Wingdings 3" w:hint="default"/>
      </w:rPr>
    </w:lvl>
    <w:lvl w:ilvl="2" w:tplc="4EB29BA8" w:tentative="1">
      <w:start w:val="1"/>
      <w:numFmt w:val="bullet"/>
      <w:lvlText w:val="u"/>
      <w:lvlJc w:val="left"/>
      <w:pPr>
        <w:tabs>
          <w:tab w:val="num" w:pos="2160"/>
        </w:tabs>
        <w:ind w:left="2160" w:hanging="360"/>
      </w:pPr>
      <w:rPr>
        <w:rFonts w:ascii="Wingdings 3" w:hAnsi="Wingdings 3" w:hint="default"/>
      </w:rPr>
    </w:lvl>
    <w:lvl w:ilvl="3" w:tplc="FB0CBD60" w:tentative="1">
      <w:start w:val="1"/>
      <w:numFmt w:val="bullet"/>
      <w:lvlText w:val="u"/>
      <w:lvlJc w:val="left"/>
      <w:pPr>
        <w:tabs>
          <w:tab w:val="num" w:pos="2880"/>
        </w:tabs>
        <w:ind w:left="2880" w:hanging="360"/>
      </w:pPr>
      <w:rPr>
        <w:rFonts w:ascii="Wingdings 3" w:hAnsi="Wingdings 3" w:hint="default"/>
      </w:rPr>
    </w:lvl>
    <w:lvl w:ilvl="4" w:tplc="852EDEF8" w:tentative="1">
      <w:start w:val="1"/>
      <w:numFmt w:val="bullet"/>
      <w:lvlText w:val="u"/>
      <w:lvlJc w:val="left"/>
      <w:pPr>
        <w:tabs>
          <w:tab w:val="num" w:pos="3600"/>
        </w:tabs>
        <w:ind w:left="3600" w:hanging="360"/>
      </w:pPr>
      <w:rPr>
        <w:rFonts w:ascii="Wingdings 3" w:hAnsi="Wingdings 3" w:hint="default"/>
      </w:rPr>
    </w:lvl>
    <w:lvl w:ilvl="5" w:tplc="8D428ECE" w:tentative="1">
      <w:start w:val="1"/>
      <w:numFmt w:val="bullet"/>
      <w:lvlText w:val="u"/>
      <w:lvlJc w:val="left"/>
      <w:pPr>
        <w:tabs>
          <w:tab w:val="num" w:pos="4320"/>
        </w:tabs>
        <w:ind w:left="4320" w:hanging="360"/>
      </w:pPr>
      <w:rPr>
        <w:rFonts w:ascii="Wingdings 3" w:hAnsi="Wingdings 3" w:hint="default"/>
      </w:rPr>
    </w:lvl>
    <w:lvl w:ilvl="6" w:tplc="E56E3498" w:tentative="1">
      <w:start w:val="1"/>
      <w:numFmt w:val="bullet"/>
      <w:lvlText w:val="u"/>
      <w:lvlJc w:val="left"/>
      <w:pPr>
        <w:tabs>
          <w:tab w:val="num" w:pos="5040"/>
        </w:tabs>
        <w:ind w:left="5040" w:hanging="360"/>
      </w:pPr>
      <w:rPr>
        <w:rFonts w:ascii="Wingdings 3" w:hAnsi="Wingdings 3" w:hint="default"/>
      </w:rPr>
    </w:lvl>
    <w:lvl w:ilvl="7" w:tplc="2496E06C" w:tentative="1">
      <w:start w:val="1"/>
      <w:numFmt w:val="bullet"/>
      <w:lvlText w:val="u"/>
      <w:lvlJc w:val="left"/>
      <w:pPr>
        <w:tabs>
          <w:tab w:val="num" w:pos="5760"/>
        </w:tabs>
        <w:ind w:left="5760" w:hanging="360"/>
      </w:pPr>
      <w:rPr>
        <w:rFonts w:ascii="Wingdings 3" w:hAnsi="Wingdings 3" w:hint="default"/>
      </w:rPr>
    </w:lvl>
    <w:lvl w:ilvl="8" w:tplc="320C7CC8" w:tentative="1">
      <w:start w:val="1"/>
      <w:numFmt w:val="bullet"/>
      <w:lvlText w:val="u"/>
      <w:lvlJc w:val="left"/>
      <w:pPr>
        <w:tabs>
          <w:tab w:val="num" w:pos="6480"/>
        </w:tabs>
        <w:ind w:left="6480" w:hanging="360"/>
      </w:pPr>
      <w:rPr>
        <w:rFonts w:ascii="Wingdings 3" w:hAnsi="Wingdings 3" w:hint="default"/>
      </w:rPr>
    </w:lvl>
  </w:abstractNum>
  <w:abstractNum w:abstractNumId="1" w15:restartNumberingAfterBreak="0">
    <w:nsid w:val="17C05091"/>
    <w:multiLevelType w:val="hybridMultilevel"/>
    <w:tmpl w:val="2A3249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E252D63"/>
    <w:multiLevelType w:val="hybridMultilevel"/>
    <w:tmpl w:val="29B4408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27384175">
    <w:abstractNumId w:val="1"/>
  </w:num>
  <w:num w:numId="2" w16cid:durableId="867066223">
    <w:abstractNumId w:val="0"/>
  </w:num>
  <w:num w:numId="3" w16cid:durableId="658508026">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CDA"/>
    <w:rsid w:val="00000612"/>
    <w:rsid w:val="00011ADD"/>
    <w:rsid w:val="00032E38"/>
    <w:rsid w:val="000343A2"/>
    <w:rsid w:val="000378CE"/>
    <w:rsid w:val="00070E9B"/>
    <w:rsid w:val="00072390"/>
    <w:rsid w:val="00094666"/>
    <w:rsid w:val="000C5AFE"/>
    <w:rsid w:val="000E675F"/>
    <w:rsid w:val="000E6DAC"/>
    <w:rsid w:val="000F146D"/>
    <w:rsid w:val="00107E91"/>
    <w:rsid w:val="00111143"/>
    <w:rsid w:val="00127ED5"/>
    <w:rsid w:val="00131DDC"/>
    <w:rsid w:val="00140A33"/>
    <w:rsid w:val="00142707"/>
    <w:rsid w:val="001460DD"/>
    <w:rsid w:val="00150DF9"/>
    <w:rsid w:val="00171D72"/>
    <w:rsid w:val="00172E36"/>
    <w:rsid w:val="00175CC5"/>
    <w:rsid w:val="00192C89"/>
    <w:rsid w:val="001C269C"/>
    <w:rsid w:val="001C2708"/>
    <w:rsid w:val="001C65B2"/>
    <w:rsid w:val="001D75C4"/>
    <w:rsid w:val="001E694E"/>
    <w:rsid w:val="002141E8"/>
    <w:rsid w:val="0021579B"/>
    <w:rsid w:val="002314D1"/>
    <w:rsid w:val="00255882"/>
    <w:rsid w:val="00264473"/>
    <w:rsid w:val="00264BF3"/>
    <w:rsid w:val="00265F60"/>
    <w:rsid w:val="00295799"/>
    <w:rsid w:val="002A6197"/>
    <w:rsid w:val="002B0E9E"/>
    <w:rsid w:val="002B3ECC"/>
    <w:rsid w:val="002B6447"/>
    <w:rsid w:val="002B7D60"/>
    <w:rsid w:val="002E380B"/>
    <w:rsid w:val="002E3CCA"/>
    <w:rsid w:val="002F651E"/>
    <w:rsid w:val="00300575"/>
    <w:rsid w:val="00304B75"/>
    <w:rsid w:val="00317AD2"/>
    <w:rsid w:val="00324A54"/>
    <w:rsid w:val="003323B6"/>
    <w:rsid w:val="003342C0"/>
    <w:rsid w:val="00342A49"/>
    <w:rsid w:val="00353BA9"/>
    <w:rsid w:val="00355F04"/>
    <w:rsid w:val="00356578"/>
    <w:rsid w:val="0036728D"/>
    <w:rsid w:val="003717E0"/>
    <w:rsid w:val="00373188"/>
    <w:rsid w:val="003744C8"/>
    <w:rsid w:val="003A731C"/>
    <w:rsid w:val="003E419D"/>
    <w:rsid w:val="004278F1"/>
    <w:rsid w:val="0046780A"/>
    <w:rsid w:val="00475097"/>
    <w:rsid w:val="00483A6C"/>
    <w:rsid w:val="00490756"/>
    <w:rsid w:val="00491BC3"/>
    <w:rsid w:val="00496209"/>
    <w:rsid w:val="004B3A79"/>
    <w:rsid w:val="004C319F"/>
    <w:rsid w:val="004E3752"/>
    <w:rsid w:val="004F17AB"/>
    <w:rsid w:val="00502B0C"/>
    <w:rsid w:val="00503CD1"/>
    <w:rsid w:val="0050733E"/>
    <w:rsid w:val="005213D2"/>
    <w:rsid w:val="0053593C"/>
    <w:rsid w:val="00552DFA"/>
    <w:rsid w:val="00552F80"/>
    <w:rsid w:val="00561003"/>
    <w:rsid w:val="005765C8"/>
    <w:rsid w:val="005A144F"/>
    <w:rsid w:val="005A7E5B"/>
    <w:rsid w:val="005B779F"/>
    <w:rsid w:val="005C332D"/>
    <w:rsid w:val="005F6836"/>
    <w:rsid w:val="006019D9"/>
    <w:rsid w:val="0061525C"/>
    <w:rsid w:val="00640B87"/>
    <w:rsid w:val="00653323"/>
    <w:rsid w:val="00667D77"/>
    <w:rsid w:val="0069230C"/>
    <w:rsid w:val="006B7D3D"/>
    <w:rsid w:val="006D3CF7"/>
    <w:rsid w:val="006D78F4"/>
    <w:rsid w:val="006F113F"/>
    <w:rsid w:val="00701CD7"/>
    <w:rsid w:val="007110E7"/>
    <w:rsid w:val="00711C74"/>
    <w:rsid w:val="00717CDA"/>
    <w:rsid w:val="00722572"/>
    <w:rsid w:val="00735E77"/>
    <w:rsid w:val="00736CEA"/>
    <w:rsid w:val="00741099"/>
    <w:rsid w:val="007466A3"/>
    <w:rsid w:val="00747FD5"/>
    <w:rsid w:val="00753D23"/>
    <w:rsid w:val="0075517B"/>
    <w:rsid w:val="007758FD"/>
    <w:rsid w:val="00780490"/>
    <w:rsid w:val="00793C84"/>
    <w:rsid w:val="00796ED3"/>
    <w:rsid w:val="007A69D7"/>
    <w:rsid w:val="007C1FE1"/>
    <w:rsid w:val="007D536B"/>
    <w:rsid w:val="007D5CF1"/>
    <w:rsid w:val="007E4058"/>
    <w:rsid w:val="00811D12"/>
    <w:rsid w:val="00840532"/>
    <w:rsid w:val="00843D29"/>
    <w:rsid w:val="00852FF1"/>
    <w:rsid w:val="008836E2"/>
    <w:rsid w:val="008A4217"/>
    <w:rsid w:val="008E105D"/>
    <w:rsid w:val="008E7701"/>
    <w:rsid w:val="00904688"/>
    <w:rsid w:val="00910481"/>
    <w:rsid w:val="009114C5"/>
    <w:rsid w:val="009130C0"/>
    <w:rsid w:val="00934751"/>
    <w:rsid w:val="00964347"/>
    <w:rsid w:val="0096798A"/>
    <w:rsid w:val="009745EB"/>
    <w:rsid w:val="009C3866"/>
    <w:rsid w:val="009C54F9"/>
    <w:rsid w:val="009D3174"/>
    <w:rsid w:val="009E09C8"/>
    <w:rsid w:val="009E627E"/>
    <w:rsid w:val="009F161B"/>
    <w:rsid w:val="009F5062"/>
    <w:rsid w:val="00A021EF"/>
    <w:rsid w:val="00A07084"/>
    <w:rsid w:val="00A14C5D"/>
    <w:rsid w:val="00A2495C"/>
    <w:rsid w:val="00A257D3"/>
    <w:rsid w:val="00A420F8"/>
    <w:rsid w:val="00A44D4F"/>
    <w:rsid w:val="00A53933"/>
    <w:rsid w:val="00A62AE9"/>
    <w:rsid w:val="00A66EEB"/>
    <w:rsid w:val="00A7589C"/>
    <w:rsid w:val="00A75CB3"/>
    <w:rsid w:val="00A86519"/>
    <w:rsid w:val="00A90C9B"/>
    <w:rsid w:val="00A9697D"/>
    <w:rsid w:val="00AA2FC7"/>
    <w:rsid w:val="00AB3D5E"/>
    <w:rsid w:val="00AD04A3"/>
    <w:rsid w:val="00AE19A7"/>
    <w:rsid w:val="00AE5852"/>
    <w:rsid w:val="00AE676A"/>
    <w:rsid w:val="00AE7B41"/>
    <w:rsid w:val="00B17E79"/>
    <w:rsid w:val="00B25F16"/>
    <w:rsid w:val="00B322B4"/>
    <w:rsid w:val="00B3404C"/>
    <w:rsid w:val="00B45937"/>
    <w:rsid w:val="00B47CE2"/>
    <w:rsid w:val="00B5375D"/>
    <w:rsid w:val="00B55F0A"/>
    <w:rsid w:val="00B61EAB"/>
    <w:rsid w:val="00B748A7"/>
    <w:rsid w:val="00B74D01"/>
    <w:rsid w:val="00B8558B"/>
    <w:rsid w:val="00BA2A22"/>
    <w:rsid w:val="00BB7D8C"/>
    <w:rsid w:val="00BC5AD4"/>
    <w:rsid w:val="00BC5B73"/>
    <w:rsid w:val="00BC68E9"/>
    <w:rsid w:val="00BC7F80"/>
    <w:rsid w:val="00BD4194"/>
    <w:rsid w:val="00BE0469"/>
    <w:rsid w:val="00BE568C"/>
    <w:rsid w:val="00BF40A1"/>
    <w:rsid w:val="00C00860"/>
    <w:rsid w:val="00C0103B"/>
    <w:rsid w:val="00C16CE0"/>
    <w:rsid w:val="00C24515"/>
    <w:rsid w:val="00C279D1"/>
    <w:rsid w:val="00C503C5"/>
    <w:rsid w:val="00C516D4"/>
    <w:rsid w:val="00C70738"/>
    <w:rsid w:val="00CB3E5A"/>
    <w:rsid w:val="00CB5D9E"/>
    <w:rsid w:val="00CC7BE1"/>
    <w:rsid w:val="00CD0047"/>
    <w:rsid w:val="00CF2729"/>
    <w:rsid w:val="00D02D2D"/>
    <w:rsid w:val="00D04DD2"/>
    <w:rsid w:val="00D06764"/>
    <w:rsid w:val="00D166E1"/>
    <w:rsid w:val="00D1671E"/>
    <w:rsid w:val="00D4545B"/>
    <w:rsid w:val="00D7576D"/>
    <w:rsid w:val="00D82F48"/>
    <w:rsid w:val="00DF1C5A"/>
    <w:rsid w:val="00DF2244"/>
    <w:rsid w:val="00E027D6"/>
    <w:rsid w:val="00E04BBF"/>
    <w:rsid w:val="00E0775B"/>
    <w:rsid w:val="00E1473F"/>
    <w:rsid w:val="00E245F9"/>
    <w:rsid w:val="00E2668F"/>
    <w:rsid w:val="00E33CFF"/>
    <w:rsid w:val="00E374B2"/>
    <w:rsid w:val="00E4306E"/>
    <w:rsid w:val="00E603B9"/>
    <w:rsid w:val="00E64A2F"/>
    <w:rsid w:val="00E808EC"/>
    <w:rsid w:val="00ED3850"/>
    <w:rsid w:val="00EE3105"/>
    <w:rsid w:val="00EE4FB4"/>
    <w:rsid w:val="00EF4A72"/>
    <w:rsid w:val="00F05556"/>
    <w:rsid w:val="00F114BD"/>
    <w:rsid w:val="00F2576A"/>
    <w:rsid w:val="00F37814"/>
    <w:rsid w:val="00F50940"/>
    <w:rsid w:val="00F53214"/>
    <w:rsid w:val="00F60297"/>
    <w:rsid w:val="00F637A5"/>
    <w:rsid w:val="00F705E3"/>
    <w:rsid w:val="00F8154D"/>
    <w:rsid w:val="00F857D7"/>
    <w:rsid w:val="00F93DDE"/>
    <w:rsid w:val="00F94589"/>
    <w:rsid w:val="00F95D1D"/>
    <w:rsid w:val="00FA20C9"/>
    <w:rsid w:val="00FD7091"/>
    <w:rsid w:val="00FF2EC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B4DF0195-643C-4C1A-A8BB-C6A396E7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8F4"/>
    <w:pPr>
      <w:spacing w:after="0" w:line="240" w:lineRule="auto"/>
    </w:pPr>
    <w:rPr>
      <w:rFonts w:ascii="Times New Roman" w:eastAsia="Times New Roman" w:hAnsi="Times New Roman" w:cs="Times New Roman"/>
      <w:sz w:val="24"/>
      <w:szCs w:val="24"/>
      <w:lang w:eastAsia="en-GB"/>
    </w:rPr>
  </w:style>
  <w:style w:type="paragraph" w:styleId="Ttulo1">
    <w:name w:val="heading 1"/>
    <w:basedOn w:val="Normal"/>
    <w:next w:val="Normal"/>
    <w:link w:val="Ttulo1Char"/>
    <w:uiPriority w:val="9"/>
    <w:qFormat/>
    <w:rsid w:val="00AD04A3"/>
    <w:pPr>
      <w:keepNext/>
      <w:keepLines/>
      <w:spacing w:before="240"/>
      <w:outlineLvl w:val="0"/>
    </w:pPr>
    <w:rPr>
      <w:rFonts w:eastAsiaTheme="majorEastAsia" w:cstheme="majorBidi"/>
      <w:b/>
      <w:color w:val="2F5496" w:themeColor="accent1" w:themeShade="BF"/>
      <w:sz w:val="28"/>
      <w:szCs w:val="32"/>
    </w:rPr>
  </w:style>
  <w:style w:type="paragraph" w:styleId="Ttulo2">
    <w:name w:val="heading 2"/>
    <w:basedOn w:val="Normal"/>
    <w:next w:val="Normal"/>
    <w:link w:val="Ttulo2Char"/>
    <w:uiPriority w:val="9"/>
    <w:unhideWhenUsed/>
    <w:qFormat/>
    <w:rsid w:val="00AD04A3"/>
    <w:pPr>
      <w:keepNext/>
      <w:keepLines/>
      <w:spacing w:before="40"/>
      <w:outlineLvl w:val="1"/>
    </w:pPr>
    <w:rPr>
      <w:rFonts w:eastAsiaTheme="majorEastAsia" w:cstheme="majorBidi"/>
      <w:b/>
      <w:color w:val="833C0B" w:themeColor="accent2" w:themeShade="80"/>
      <w:sz w:val="28"/>
      <w:szCs w:val="26"/>
    </w:rPr>
  </w:style>
  <w:style w:type="paragraph" w:styleId="Ttulo3">
    <w:name w:val="heading 3"/>
    <w:basedOn w:val="Normal"/>
    <w:next w:val="Normal"/>
    <w:link w:val="Ttulo3Char"/>
    <w:uiPriority w:val="9"/>
    <w:unhideWhenUsed/>
    <w:qFormat/>
    <w:rsid w:val="00E64A2F"/>
    <w:pPr>
      <w:keepNext/>
      <w:keepLines/>
      <w:spacing w:before="40"/>
      <w:outlineLvl w:val="2"/>
    </w:pPr>
    <w:rPr>
      <w:rFonts w:eastAsiaTheme="majorEastAsia" w:cstheme="majorBidi"/>
      <w:b/>
      <w:color w:val="385623" w:themeColor="accent6" w:themeShade="80"/>
      <w:sz w:val="28"/>
    </w:rPr>
  </w:style>
  <w:style w:type="paragraph" w:styleId="Ttulo4">
    <w:name w:val="heading 4"/>
    <w:basedOn w:val="Normal"/>
    <w:next w:val="Normal"/>
    <w:link w:val="Ttulo4Char"/>
    <w:uiPriority w:val="9"/>
    <w:semiHidden/>
    <w:unhideWhenUsed/>
    <w:qFormat/>
    <w:rsid w:val="00C503C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D04A3"/>
    <w:rPr>
      <w:rFonts w:ascii="Arial" w:eastAsiaTheme="majorEastAsia" w:hAnsi="Arial" w:cstheme="majorBidi"/>
      <w:b/>
      <w:color w:val="2F5496" w:themeColor="accent1" w:themeShade="BF"/>
      <w:sz w:val="28"/>
      <w:szCs w:val="32"/>
    </w:rPr>
  </w:style>
  <w:style w:type="table" w:styleId="Tabelacomgrade">
    <w:name w:val="Table Grid"/>
    <w:basedOn w:val="Tabela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doSumrio">
    <w:name w:val="TOC Heading"/>
    <w:basedOn w:val="Ttulo1"/>
    <w:next w:val="Normal"/>
    <w:uiPriority w:val="39"/>
    <w:unhideWhenUsed/>
    <w:qFormat/>
    <w:rsid w:val="004B3A79"/>
    <w:pPr>
      <w:outlineLvl w:val="9"/>
    </w:pPr>
    <w:rPr>
      <w:lang w:val="en-US" w:eastAsia="en-US"/>
    </w:rPr>
  </w:style>
  <w:style w:type="paragraph" w:styleId="Sumrio1">
    <w:name w:val="toc 1"/>
    <w:basedOn w:val="Normal"/>
    <w:next w:val="Normal"/>
    <w:autoRedefine/>
    <w:uiPriority w:val="39"/>
    <w:unhideWhenUsed/>
    <w:rsid w:val="004B3A79"/>
    <w:pPr>
      <w:spacing w:before="120"/>
    </w:pPr>
    <w:rPr>
      <w:rFonts w:asciiTheme="minorHAnsi" w:hAnsiTheme="minorHAnsi" w:cstheme="minorHAnsi"/>
      <w:b/>
      <w:bCs/>
      <w:i/>
      <w:iCs/>
    </w:rPr>
  </w:style>
  <w:style w:type="character" w:styleId="Hyperlink">
    <w:name w:val="Hyperlink"/>
    <w:basedOn w:val="Fontepargpadro"/>
    <w:uiPriority w:val="99"/>
    <w:unhideWhenUsed/>
    <w:rsid w:val="004B3A79"/>
    <w:rPr>
      <w:color w:val="0563C1" w:themeColor="hyperlink"/>
      <w:u w:val="single"/>
    </w:rPr>
  </w:style>
  <w:style w:type="character" w:customStyle="1" w:styleId="Ttulo2Char">
    <w:name w:val="Título 2 Char"/>
    <w:basedOn w:val="Fontepargpadro"/>
    <w:link w:val="Ttulo2"/>
    <w:uiPriority w:val="9"/>
    <w:rsid w:val="00AD04A3"/>
    <w:rPr>
      <w:rFonts w:ascii="Arial" w:eastAsiaTheme="majorEastAsia" w:hAnsi="Arial" w:cstheme="majorBidi"/>
      <w:b/>
      <w:color w:val="833C0B" w:themeColor="accent2" w:themeShade="80"/>
      <w:sz w:val="28"/>
      <w:szCs w:val="26"/>
    </w:rPr>
  </w:style>
  <w:style w:type="character" w:customStyle="1" w:styleId="Ttulo3Char">
    <w:name w:val="Título 3 Char"/>
    <w:basedOn w:val="Fontepargpadro"/>
    <w:link w:val="Ttulo3"/>
    <w:uiPriority w:val="9"/>
    <w:rsid w:val="00E64A2F"/>
    <w:rPr>
      <w:rFonts w:ascii="Times New Roman" w:eastAsiaTheme="majorEastAsia" w:hAnsi="Times New Roman" w:cstheme="majorBidi"/>
      <w:b/>
      <w:color w:val="385623" w:themeColor="accent6" w:themeShade="80"/>
      <w:sz w:val="28"/>
      <w:szCs w:val="24"/>
      <w:lang w:eastAsia="en-GB"/>
    </w:rPr>
  </w:style>
  <w:style w:type="paragraph" w:styleId="Cabealho">
    <w:name w:val="header"/>
    <w:basedOn w:val="Normal"/>
    <w:link w:val="CabealhoChar"/>
    <w:uiPriority w:val="99"/>
    <w:unhideWhenUsed/>
    <w:rsid w:val="00904688"/>
    <w:pPr>
      <w:tabs>
        <w:tab w:val="center" w:pos="4513"/>
        <w:tab w:val="right" w:pos="9026"/>
      </w:tabs>
    </w:pPr>
  </w:style>
  <w:style w:type="character" w:customStyle="1" w:styleId="CabealhoChar">
    <w:name w:val="Cabeçalho Char"/>
    <w:basedOn w:val="Fontepargpadro"/>
    <w:link w:val="Cabealho"/>
    <w:uiPriority w:val="99"/>
    <w:rsid w:val="00904688"/>
    <w:rPr>
      <w:rFonts w:ascii="Arial" w:hAnsi="Arial"/>
    </w:rPr>
  </w:style>
  <w:style w:type="paragraph" w:styleId="Rodap">
    <w:name w:val="footer"/>
    <w:basedOn w:val="Normal"/>
    <w:link w:val="RodapChar"/>
    <w:uiPriority w:val="99"/>
    <w:unhideWhenUsed/>
    <w:rsid w:val="00904688"/>
    <w:pPr>
      <w:tabs>
        <w:tab w:val="center" w:pos="4513"/>
        <w:tab w:val="right" w:pos="9026"/>
      </w:tabs>
    </w:pPr>
  </w:style>
  <w:style w:type="character" w:customStyle="1" w:styleId="RodapChar">
    <w:name w:val="Rodapé Char"/>
    <w:basedOn w:val="Fontepargpadro"/>
    <w:link w:val="Rodap"/>
    <w:uiPriority w:val="99"/>
    <w:rsid w:val="00904688"/>
    <w:rPr>
      <w:rFonts w:ascii="Arial" w:hAnsi="Arial"/>
    </w:rPr>
  </w:style>
  <w:style w:type="paragraph" w:styleId="Sumrio2">
    <w:name w:val="toc 2"/>
    <w:basedOn w:val="Normal"/>
    <w:next w:val="Normal"/>
    <w:autoRedefine/>
    <w:uiPriority w:val="39"/>
    <w:unhideWhenUsed/>
    <w:rsid w:val="001C2708"/>
    <w:pPr>
      <w:spacing w:before="120"/>
      <w:ind w:left="220"/>
    </w:pPr>
    <w:rPr>
      <w:rFonts w:asciiTheme="minorHAnsi" w:hAnsiTheme="minorHAnsi" w:cstheme="minorHAnsi"/>
      <w:b/>
      <w:bCs/>
    </w:rPr>
  </w:style>
  <w:style w:type="paragraph" w:styleId="Sumrio3">
    <w:name w:val="toc 3"/>
    <w:basedOn w:val="Normal"/>
    <w:next w:val="Normal"/>
    <w:autoRedefine/>
    <w:uiPriority w:val="39"/>
    <w:unhideWhenUsed/>
    <w:rsid w:val="001C2708"/>
    <w:pPr>
      <w:ind w:left="440"/>
    </w:pPr>
    <w:rPr>
      <w:rFonts w:asciiTheme="minorHAnsi" w:hAnsiTheme="minorHAnsi" w:cstheme="minorHAnsi"/>
      <w:sz w:val="20"/>
      <w:szCs w:val="20"/>
    </w:rPr>
  </w:style>
  <w:style w:type="paragraph" w:styleId="SemEspaamento">
    <w:name w:val="No Spacing"/>
    <w:link w:val="SemEspaamentoChar"/>
    <w:uiPriority w:val="1"/>
    <w:qFormat/>
    <w:rsid w:val="00F53214"/>
    <w:pPr>
      <w:spacing w:after="0" w:line="240" w:lineRule="auto"/>
    </w:pPr>
    <w:rPr>
      <w:rFonts w:ascii="Arial" w:hAnsi="Arial"/>
    </w:rPr>
  </w:style>
  <w:style w:type="paragraph" w:styleId="PargrafodaLista">
    <w:name w:val="List Paragraph"/>
    <w:basedOn w:val="Normal"/>
    <w:uiPriority w:val="34"/>
    <w:qFormat/>
    <w:rsid w:val="00A86519"/>
    <w:pPr>
      <w:ind w:left="720"/>
      <w:contextualSpacing/>
    </w:pPr>
  </w:style>
  <w:style w:type="paragraph" w:styleId="Reviso">
    <w:name w:val="Revision"/>
    <w:hidden/>
    <w:uiPriority w:val="99"/>
    <w:semiHidden/>
    <w:rsid w:val="00AA2FC7"/>
    <w:pPr>
      <w:spacing w:after="0" w:line="240" w:lineRule="auto"/>
    </w:pPr>
    <w:rPr>
      <w:rFonts w:ascii="Arial" w:hAnsi="Arial"/>
    </w:rPr>
  </w:style>
  <w:style w:type="paragraph" w:styleId="Sumrio4">
    <w:name w:val="toc 4"/>
    <w:basedOn w:val="Normal"/>
    <w:next w:val="Normal"/>
    <w:autoRedefine/>
    <w:uiPriority w:val="39"/>
    <w:semiHidden/>
    <w:unhideWhenUsed/>
    <w:rsid w:val="00B5375D"/>
    <w:pPr>
      <w:ind w:left="660"/>
    </w:pPr>
    <w:rPr>
      <w:rFonts w:asciiTheme="minorHAnsi" w:hAnsiTheme="minorHAnsi" w:cstheme="minorHAnsi"/>
      <w:sz w:val="20"/>
      <w:szCs w:val="20"/>
    </w:rPr>
  </w:style>
  <w:style w:type="paragraph" w:styleId="Sumrio5">
    <w:name w:val="toc 5"/>
    <w:basedOn w:val="Normal"/>
    <w:next w:val="Normal"/>
    <w:autoRedefine/>
    <w:uiPriority w:val="39"/>
    <w:semiHidden/>
    <w:unhideWhenUsed/>
    <w:rsid w:val="00B5375D"/>
    <w:pPr>
      <w:ind w:left="880"/>
    </w:pPr>
    <w:rPr>
      <w:rFonts w:asciiTheme="minorHAnsi" w:hAnsiTheme="minorHAnsi" w:cstheme="minorHAnsi"/>
      <w:sz w:val="20"/>
      <w:szCs w:val="20"/>
    </w:rPr>
  </w:style>
  <w:style w:type="paragraph" w:styleId="Sumrio6">
    <w:name w:val="toc 6"/>
    <w:basedOn w:val="Normal"/>
    <w:next w:val="Normal"/>
    <w:autoRedefine/>
    <w:uiPriority w:val="39"/>
    <w:semiHidden/>
    <w:unhideWhenUsed/>
    <w:rsid w:val="00B5375D"/>
    <w:pPr>
      <w:ind w:left="1100"/>
    </w:pPr>
    <w:rPr>
      <w:rFonts w:asciiTheme="minorHAnsi" w:hAnsiTheme="minorHAnsi" w:cstheme="minorHAnsi"/>
      <w:sz w:val="20"/>
      <w:szCs w:val="20"/>
    </w:rPr>
  </w:style>
  <w:style w:type="paragraph" w:styleId="Sumrio7">
    <w:name w:val="toc 7"/>
    <w:basedOn w:val="Normal"/>
    <w:next w:val="Normal"/>
    <w:autoRedefine/>
    <w:uiPriority w:val="39"/>
    <w:semiHidden/>
    <w:unhideWhenUsed/>
    <w:rsid w:val="00B5375D"/>
    <w:pPr>
      <w:ind w:left="1320"/>
    </w:pPr>
    <w:rPr>
      <w:rFonts w:asciiTheme="minorHAnsi" w:hAnsiTheme="minorHAnsi" w:cstheme="minorHAnsi"/>
      <w:sz w:val="20"/>
      <w:szCs w:val="20"/>
    </w:rPr>
  </w:style>
  <w:style w:type="paragraph" w:styleId="Sumrio8">
    <w:name w:val="toc 8"/>
    <w:basedOn w:val="Normal"/>
    <w:next w:val="Normal"/>
    <w:autoRedefine/>
    <w:uiPriority w:val="39"/>
    <w:semiHidden/>
    <w:unhideWhenUsed/>
    <w:rsid w:val="00B5375D"/>
    <w:pPr>
      <w:ind w:left="1540"/>
    </w:pPr>
    <w:rPr>
      <w:rFonts w:asciiTheme="minorHAnsi" w:hAnsiTheme="minorHAnsi" w:cstheme="minorHAnsi"/>
      <w:sz w:val="20"/>
      <w:szCs w:val="20"/>
    </w:rPr>
  </w:style>
  <w:style w:type="paragraph" w:styleId="Sumrio9">
    <w:name w:val="toc 9"/>
    <w:basedOn w:val="Normal"/>
    <w:next w:val="Normal"/>
    <w:autoRedefine/>
    <w:uiPriority w:val="39"/>
    <w:semiHidden/>
    <w:unhideWhenUsed/>
    <w:rsid w:val="00B5375D"/>
    <w:pPr>
      <w:ind w:left="1760"/>
    </w:pPr>
    <w:rPr>
      <w:rFonts w:asciiTheme="minorHAnsi" w:hAnsiTheme="minorHAnsi" w:cstheme="minorHAnsi"/>
      <w:sz w:val="20"/>
      <w:szCs w:val="20"/>
    </w:rPr>
  </w:style>
  <w:style w:type="character" w:customStyle="1" w:styleId="Ttulo4Char">
    <w:name w:val="Título 4 Char"/>
    <w:basedOn w:val="Fontepargpadro"/>
    <w:link w:val="Ttulo4"/>
    <w:uiPriority w:val="9"/>
    <w:semiHidden/>
    <w:rsid w:val="00C503C5"/>
    <w:rPr>
      <w:rFonts w:asciiTheme="majorHAnsi" w:eastAsiaTheme="majorEastAsia" w:hAnsiTheme="majorHAnsi" w:cstheme="majorBidi"/>
      <w:i/>
      <w:iCs/>
      <w:color w:val="2F5496" w:themeColor="accent1" w:themeShade="BF"/>
    </w:rPr>
  </w:style>
  <w:style w:type="character" w:customStyle="1" w:styleId="MenoPendente1">
    <w:name w:val="Menção Pendente1"/>
    <w:basedOn w:val="Fontepargpadro"/>
    <w:uiPriority w:val="99"/>
    <w:semiHidden/>
    <w:unhideWhenUsed/>
    <w:rsid w:val="00C503C5"/>
    <w:rPr>
      <w:color w:val="605E5C"/>
      <w:shd w:val="clear" w:color="auto" w:fill="E1DFDD"/>
    </w:rPr>
  </w:style>
  <w:style w:type="paragraph" w:styleId="NormalWeb">
    <w:name w:val="Normal (Web)"/>
    <w:basedOn w:val="Normal"/>
    <w:uiPriority w:val="99"/>
    <w:unhideWhenUsed/>
    <w:rsid w:val="008836E2"/>
    <w:pPr>
      <w:spacing w:before="100" w:beforeAutospacing="1" w:after="100" w:afterAutospacing="1"/>
    </w:pPr>
  </w:style>
  <w:style w:type="character" w:styleId="Forte">
    <w:name w:val="Strong"/>
    <w:basedOn w:val="Fontepargpadro"/>
    <w:uiPriority w:val="22"/>
    <w:qFormat/>
    <w:rsid w:val="008836E2"/>
    <w:rPr>
      <w:b/>
      <w:bCs/>
    </w:rPr>
  </w:style>
  <w:style w:type="character" w:styleId="nfase">
    <w:name w:val="Emphasis"/>
    <w:basedOn w:val="Fontepargpadro"/>
    <w:uiPriority w:val="20"/>
    <w:qFormat/>
    <w:rsid w:val="008836E2"/>
    <w:rPr>
      <w:i/>
      <w:iCs/>
    </w:rPr>
  </w:style>
  <w:style w:type="table" w:styleId="TabeladeGrade1Clara-nfase5">
    <w:name w:val="Grid Table 1 Light Accent 5"/>
    <w:basedOn w:val="Tabelanormal"/>
    <w:uiPriority w:val="46"/>
    <w:rsid w:val="00264BF3"/>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eladeLista3-nfase5">
    <w:name w:val="List Table 3 Accent 5"/>
    <w:basedOn w:val="Tabelanormal"/>
    <w:uiPriority w:val="48"/>
    <w:rsid w:val="00264BF3"/>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TabeladeGrade5Escura-nfase5">
    <w:name w:val="Grid Table 5 Dark Accent 5"/>
    <w:basedOn w:val="Tabelanormal"/>
    <w:uiPriority w:val="50"/>
    <w:rsid w:val="00264BF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Legenda">
    <w:name w:val="caption"/>
    <w:basedOn w:val="Normal"/>
    <w:next w:val="Normal"/>
    <w:uiPriority w:val="35"/>
    <w:unhideWhenUsed/>
    <w:qFormat/>
    <w:rsid w:val="0061525C"/>
    <w:pPr>
      <w:spacing w:after="200"/>
    </w:pPr>
    <w:rPr>
      <w:i/>
      <w:iCs/>
      <w:color w:val="44546A" w:themeColor="text2"/>
      <w:sz w:val="18"/>
      <w:szCs w:val="18"/>
    </w:rPr>
  </w:style>
  <w:style w:type="table" w:styleId="TabeladeGrade5Escura-nfase1">
    <w:name w:val="Grid Table 5 Dark Accent 1"/>
    <w:basedOn w:val="Tabelanormal"/>
    <w:uiPriority w:val="50"/>
    <w:rsid w:val="0061525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customStyle="1" w:styleId="SemEspaamentoChar">
    <w:name w:val="Sem Espaçamento Char"/>
    <w:basedOn w:val="Fontepargpadro"/>
    <w:link w:val="SemEspaamento"/>
    <w:uiPriority w:val="1"/>
    <w:rsid w:val="00C00860"/>
    <w:rPr>
      <w:rFonts w:ascii="Arial" w:hAnsi="Arial"/>
    </w:rPr>
  </w:style>
  <w:style w:type="character" w:customStyle="1" w:styleId="rynqvb">
    <w:name w:val="rynqvb"/>
    <w:basedOn w:val="Fontepargpadro"/>
    <w:rsid w:val="00AE19A7"/>
  </w:style>
  <w:style w:type="character" w:styleId="MenoPendente">
    <w:name w:val="Unresolved Mention"/>
    <w:basedOn w:val="Fontepargpadro"/>
    <w:uiPriority w:val="99"/>
    <w:semiHidden/>
    <w:unhideWhenUsed/>
    <w:rsid w:val="00C0103B"/>
    <w:rPr>
      <w:color w:val="605E5C"/>
      <w:shd w:val="clear" w:color="auto" w:fill="E1DFDD"/>
    </w:rPr>
  </w:style>
  <w:style w:type="character" w:customStyle="1" w:styleId="apple-converted-space">
    <w:name w:val="apple-converted-space"/>
    <w:basedOn w:val="Fontepargpadro"/>
    <w:rsid w:val="00A90C9B"/>
  </w:style>
  <w:style w:type="character" w:styleId="HiperlinkVisitado">
    <w:name w:val="FollowedHyperlink"/>
    <w:basedOn w:val="Fontepargpadro"/>
    <w:uiPriority w:val="99"/>
    <w:semiHidden/>
    <w:unhideWhenUsed/>
    <w:rsid w:val="00355F0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85428">
      <w:bodyDiv w:val="1"/>
      <w:marLeft w:val="0"/>
      <w:marRight w:val="0"/>
      <w:marTop w:val="0"/>
      <w:marBottom w:val="0"/>
      <w:divBdr>
        <w:top w:val="none" w:sz="0" w:space="0" w:color="auto"/>
        <w:left w:val="none" w:sz="0" w:space="0" w:color="auto"/>
        <w:bottom w:val="none" w:sz="0" w:space="0" w:color="auto"/>
        <w:right w:val="none" w:sz="0" w:space="0" w:color="auto"/>
      </w:divBdr>
    </w:div>
    <w:div w:id="97871757">
      <w:bodyDiv w:val="1"/>
      <w:marLeft w:val="0"/>
      <w:marRight w:val="0"/>
      <w:marTop w:val="0"/>
      <w:marBottom w:val="0"/>
      <w:divBdr>
        <w:top w:val="none" w:sz="0" w:space="0" w:color="auto"/>
        <w:left w:val="none" w:sz="0" w:space="0" w:color="auto"/>
        <w:bottom w:val="none" w:sz="0" w:space="0" w:color="auto"/>
        <w:right w:val="none" w:sz="0" w:space="0" w:color="auto"/>
      </w:divBdr>
    </w:div>
    <w:div w:id="116029500">
      <w:bodyDiv w:val="1"/>
      <w:marLeft w:val="0"/>
      <w:marRight w:val="0"/>
      <w:marTop w:val="0"/>
      <w:marBottom w:val="0"/>
      <w:divBdr>
        <w:top w:val="none" w:sz="0" w:space="0" w:color="auto"/>
        <w:left w:val="none" w:sz="0" w:space="0" w:color="auto"/>
        <w:bottom w:val="none" w:sz="0" w:space="0" w:color="auto"/>
        <w:right w:val="none" w:sz="0" w:space="0" w:color="auto"/>
      </w:divBdr>
    </w:div>
    <w:div w:id="124929566">
      <w:bodyDiv w:val="1"/>
      <w:marLeft w:val="0"/>
      <w:marRight w:val="0"/>
      <w:marTop w:val="0"/>
      <w:marBottom w:val="0"/>
      <w:divBdr>
        <w:top w:val="none" w:sz="0" w:space="0" w:color="auto"/>
        <w:left w:val="none" w:sz="0" w:space="0" w:color="auto"/>
        <w:bottom w:val="none" w:sz="0" w:space="0" w:color="auto"/>
        <w:right w:val="none" w:sz="0" w:space="0" w:color="auto"/>
      </w:divBdr>
    </w:div>
    <w:div w:id="180558105">
      <w:bodyDiv w:val="1"/>
      <w:marLeft w:val="0"/>
      <w:marRight w:val="0"/>
      <w:marTop w:val="0"/>
      <w:marBottom w:val="0"/>
      <w:divBdr>
        <w:top w:val="none" w:sz="0" w:space="0" w:color="auto"/>
        <w:left w:val="none" w:sz="0" w:space="0" w:color="auto"/>
        <w:bottom w:val="none" w:sz="0" w:space="0" w:color="auto"/>
        <w:right w:val="none" w:sz="0" w:space="0" w:color="auto"/>
      </w:divBdr>
    </w:div>
    <w:div w:id="193227889">
      <w:bodyDiv w:val="1"/>
      <w:marLeft w:val="0"/>
      <w:marRight w:val="0"/>
      <w:marTop w:val="0"/>
      <w:marBottom w:val="0"/>
      <w:divBdr>
        <w:top w:val="none" w:sz="0" w:space="0" w:color="auto"/>
        <w:left w:val="none" w:sz="0" w:space="0" w:color="auto"/>
        <w:bottom w:val="none" w:sz="0" w:space="0" w:color="auto"/>
        <w:right w:val="none" w:sz="0" w:space="0" w:color="auto"/>
      </w:divBdr>
    </w:div>
    <w:div w:id="204222128">
      <w:bodyDiv w:val="1"/>
      <w:marLeft w:val="0"/>
      <w:marRight w:val="0"/>
      <w:marTop w:val="0"/>
      <w:marBottom w:val="0"/>
      <w:divBdr>
        <w:top w:val="none" w:sz="0" w:space="0" w:color="auto"/>
        <w:left w:val="none" w:sz="0" w:space="0" w:color="auto"/>
        <w:bottom w:val="none" w:sz="0" w:space="0" w:color="auto"/>
        <w:right w:val="none" w:sz="0" w:space="0" w:color="auto"/>
      </w:divBdr>
    </w:div>
    <w:div w:id="209925301">
      <w:bodyDiv w:val="1"/>
      <w:marLeft w:val="0"/>
      <w:marRight w:val="0"/>
      <w:marTop w:val="0"/>
      <w:marBottom w:val="0"/>
      <w:divBdr>
        <w:top w:val="none" w:sz="0" w:space="0" w:color="auto"/>
        <w:left w:val="none" w:sz="0" w:space="0" w:color="auto"/>
        <w:bottom w:val="none" w:sz="0" w:space="0" w:color="auto"/>
        <w:right w:val="none" w:sz="0" w:space="0" w:color="auto"/>
      </w:divBdr>
    </w:div>
    <w:div w:id="243993829">
      <w:bodyDiv w:val="1"/>
      <w:marLeft w:val="0"/>
      <w:marRight w:val="0"/>
      <w:marTop w:val="0"/>
      <w:marBottom w:val="0"/>
      <w:divBdr>
        <w:top w:val="none" w:sz="0" w:space="0" w:color="auto"/>
        <w:left w:val="none" w:sz="0" w:space="0" w:color="auto"/>
        <w:bottom w:val="none" w:sz="0" w:space="0" w:color="auto"/>
        <w:right w:val="none" w:sz="0" w:space="0" w:color="auto"/>
      </w:divBdr>
    </w:div>
    <w:div w:id="248000279">
      <w:bodyDiv w:val="1"/>
      <w:marLeft w:val="0"/>
      <w:marRight w:val="0"/>
      <w:marTop w:val="0"/>
      <w:marBottom w:val="0"/>
      <w:divBdr>
        <w:top w:val="none" w:sz="0" w:space="0" w:color="auto"/>
        <w:left w:val="none" w:sz="0" w:space="0" w:color="auto"/>
        <w:bottom w:val="none" w:sz="0" w:space="0" w:color="auto"/>
        <w:right w:val="none" w:sz="0" w:space="0" w:color="auto"/>
      </w:divBdr>
    </w:div>
    <w:div w:id="279458211">
      <w:bodyDiv w:val="1"/>
      <w:marLeft w:val="0"/>
      <w:marRight w:val="0"/>
      <w:marTop w:val="0"/>
      <w:marBottom w:val="0"/>
      <w:divBdr>
        <w:top w:val="none" w:sz="0" w:space="0" w:color="auto"/>
        <w:left w:val="none" w:sz="0" w:space="0" w:color="auto"/>
        <w:bottom w:val="none" w:sz="0" w:space="0" w:color="auto"/>
        <w:right w:val="none" w:sz="0" w:space="0" w:color="auto"/>
      </w:divBdr>
    </w:div>
    <w:div w:id="284849020">
      <w:bodyDiv w:val="1"/>
      <w:marLeft w:val="0"/>
      <w:marRight w:val="0"/>
      <w:marTop w:val="0"/>
      <w:marBottom w:val="0"/>
      <w:divBdr>
        <w:top w:val="none" w:sz="0" w:space="0" w:color="auto"/>
        <w:left w:val="none" w:sz="0" w:space="0" w:color="auto"/>
        <w:bottom w:val="none" w:sz="0" w:space="0" w:color="auto"/>
        <w:right w:val="none" w:sz="0" w:space="0" w:color="auto"/>
      </w:divBdr>
    </w:div>
    <w:div w:id="285163456">
      <w:bodyDiv w:val="1"/>
      <w:marLeft w:val="0"/>
      <w:marRight w:val="0"/>
      <w:marTop w:val="0"/>
      <w:marBottom w:val="0"/>
      <w:divBdr>
        <w:top w:val="none" w:sz="0" w:space="0" w:color="auto"/>
        <w:left w:val="none" w:sz="0" w:space="0" w:color="auto"/>
        <w:bottom w:val="none" w:sz="0" w:space="0" w:color="auto"/>
        <w:right w:val="none" w:sz="0" w:space="0" w:color="auto"/>
      </w:divBdr>
      <w:divsChild>
        <w:div w:id="1521119738">
          <w:marLeft w:val="0"/>
          <w:marRight w:val="0"/>
          <w:marTop w:val="0"/>
          <w:marBottom w:val="0"/>
          <w:divBdr>
            <w:top w:val="none" w:sz="0" w:space="0" w:color="auto"/>
            <w:left w:val="none" w:sz="0" w:space="0" w:color="auto"/>
            <w:bottom w:val="none" w:sz="0" w:space="0" w:color="auto"/>
            <w:right w:val="none" w:sz="0" w:space="0" w:color="auto"/>
          </w:divBdr>
          <w:divsChild>
            <w:div w:id="1321425623">
              <w:marLeft w:val="0"/>
              <w:marRight w:val="0"/>
              <w:marTop w:val="0"/>
              <w:marBottom w:val="0"/>
              <w:divBdr>
                <w:top w:val="none" w:sz="0" w:space="0" w:color="auto"/>
                <w:left w:val="none" w:sz="0" w:space="0" w:color="auto"/>
                <w:bottom w:val="none" w:sz="0" w:space="0" w:color="auto"/>
                <w:right w:val="none" w:sz="0" w:space="0" w:color="auto"/>
              </w:divBdr>
            </w:div>
            <w:div w:id="1490749973">
              <w:marLeft w:val="0"/>
              <w:marRight w:val="0"/>
              <w:marTop w:val="0"/>
              <w:marBottom w:val="0"/>
              <w:divBdr>
                <w:top w:val="none" w:sz="0" w:space="0" w:color="auto"/>
                <w:left w:val="none" w:sz="0" w:space="0" w:color="auto"/>
                <w:bottom w:val="none" w:sz="0" w:space="0" w:color="auto"/>
                <w:right w:val="none" w:sz="0" w:space="0" w:color="auto"/>
              </w:divBdr>
              <w:divsChild>
                <w:div w:id="15560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028141">
          <w:marLeft w:val="0"/>
          <w:marRight w:val="0"/>
          <w:marTop w:val="0"/>
          <w:marBottom w:val="0"/>
          <w:divBdr>
            <w:top w:val="none" w:sz="0" w:space="0" w:color="auto"/>
            <w:left w:val="none" w:sz="0" w:space="0" w:color="auto"/>
            <w:bottom w:val="none" w:sz="0" w:space="0" w:color="auto"/>
            <w:right w:val="none" w:sz="0" w:space="0" w:color="auto"/>
          </w:divBdr>
          <w:divsChild>
            <w:div w:id="46997120">
              <w:marLeft w:val="0"/>
              <w:marRight w:val="0"/>
              <w:marTop w:val="0"/>
              <w:marBottom w:val="0"/>
              <w:divBdr>
                <w:top w:val="none" w:sz="0" w:space="0" w:color="auto"/>
                <w:left w:val="none" w:sz="0" w:space="0" w:color="auto"/>
                <w:bottom w:val="none" w:sz="0" w:space="0" w:color="auto"/>
                <w:right w:val="none" w:sz="0" w:space="0" w:color="auto"/>
              </w:divBdr>
              <w:divsChild>
                <w:div w:id="792866903">
                  <w:marLeft w:val="0"/>
                  <w:marRight w:val="0"/>
                  <w:marTop w:val="0"/>
                  <w:marBottom w:val="0"/>
                  <w:divBdr>
                    <w:top w:val="none" w:sz="0" w:space="0" w:color="auto"/>
                    <w:left w:val="none" w:sz="0" w:space="0" w:color="auto"/>
                    <w:bottom w:val="none" w:sz="0" w:space="0" w:color="auto"/>
                    <w:right w:val="none" w:sz="0" w:space="0" w:color="auto"/>
                  </w:divBdr>
                  <w:divsChild>
                    <w:div w:id="62288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1059076">
      <w:bodyDiv w:val="1"/>
      <w:marLeft w:val="0"/>
      <w:marRight w:val="0"/>
      <w:marTop w:val="0"/>
      <w:marBottom w:val="0"/>
      <w:divBdr>
        <w:top w:val="none" w:sz="0" w:space="0" w:color="auto"/>
        <w:left w:val="none" w:sz="0" w:space="0" w:color="auto"/>
        <w:bottom w:val="none" w:sz="0" w:space="0" w:color="auto"/>
        <w:right w:val="none" w:sz="0" w:space="0" w:color="auto"/>
      </w:divBdr>
    </w:div>
    <w:div w:id="302854155">
      <w:bodyDiv w:val="1"/>
      <w:marLeft w:val="0"/>
      <w:marRight w:val="0"/>
      <w:marTop w:val="0"/>
      <w:marBottom w:val="0"/>
      <w:divBdr>
        <w:top w:val="none" w:sz="0" w:space="0" w:color="auto"/>
        <w:left w:val="none" w:sz="0" w:space="0" w:color="auto"/>
        <w:bottom w:val="none" w:sz="0" w:space="0" w:color="auto"/>
        <w:right w:val="none" w:sz="0" w:space="0" w:color="auto"/>
      </w:divBdr>
    </w:div>
    <w:div w:id="317078455">
      <w:bodyDiv w:val="1"/>
      <w:marLeft w:val="0"/>
      <w:marRight w:val="0"/>
      <w:marTop w:val="0"/>
      <w:marBottom w:val="0"/>
      <w:divBdr>
        <w:top w:val="none" w:sz="0" w:space="0" w:color="auto"/>
        <w:left w:val="none" w:sz="0" w:space="0" w:color="auto"/>
        <w:bottom w:val="none" w:sz="0" w:space="0" w:color="auto"/>
        <w:right w:val="none" w:sz="0" w:space="0" w:color="auto"/>
      </w:divBdr>
    </w:div>
    <w:div w:id="323903052">
      <w:bodyDiv w:val="1"/>
      <w:marLeft w:val="0"/>
      <w:marRight w:val="0"/>
      <w:marTop w:val="0"/>
      <w:marBottom w:val="0"/>
      <w:divBdr>
        <w:top w:val="none" w:sz="0" w:space="0" w:color="auto"/>
        <w:left w:val="none" w:sz="0" w:space="0" w:color="auto"/>
        <w:bottom w:val="none" w:sz="0" w:space="0" w:color="auto"/>
        <w:right w:val="none" w:sz="0" w:space="0" w:color="auto"/>
      </w:divBdr>
    </w:div>
    <w:div w:id="326716582">
      <w:bodyDiv w:val="1"/>
      <w:marLeft w:val="0"/>
      <w:marRight w:val="0"/>
      <w:marTop w:val="0"/>
      <w:marBottom w:val="0"/>
      <w:divBdr>
        <w:top w:val="none" w:sz="0" w:space="0" w:color="auto"/>
        <w:left w:val="none" w:sz="0" w:space="0" w:color="auto"/>
        <w:bottom w:val="none" w:sz="0" w:space="0" w:color="auto"/>
        <w:right w:val="none" w:sz="0" w:space="0" w:color="auto"/>
      </w:divBdr>
    </w:div>
    <w:div w:id="330570783">
      <w:bodyDiv w:val="1"/>
      <w:marLeft w:val="0"/>
      <w:marRight w:val="0"/>
      <w:marTop w:val="0"/>
      <w:marBottom w:val="0"/>
      <w:divBdr>
        <w:top w:val="none" w:sz="0" w:space="0" w:color="auto"/>
        <w:left w:val="none" w:sz="0" w:space="0" w:color="auto"/>
        <w:bottom w:val="none" w:sz="0" w:space="0" w:color="auto"/>
        <w:right w:val="none" w:sz="0" w:space="0" w:color="auto"/>
      </w:divBdr>
    </w:div>
    <w:div w:id="388454892">
      <w:bodyDiv w:val="1"/>
      <w:marLeft w:val="0"/>
      <w:marRight w:val="0"/>
      <w:marTop w:val="0"/>
      <w:marBottom w:val="0"/>
      <w:divBdr>
        <w:top w:val="none" w:sz="0" w:space="0" w:color="auto"/>
        <w:left w:val="none" w:sz="0" w:space="0" w:color="auto"/>
        <w:bottom w:val="none" w:sz="0" w:space="0" w:color="auto"/>
        <w:right w:val="none" w:sz="0" w:space="0" w:color="auto"/>
      </w:divBdr>
    </w:div>
    <w:div w:id="405803585">
      <w:bodyDiv w:val="1"/>
      <w:marLeft w:val="0"/>
      <w:marRight w:val="0"/>
      <w:marTop w:val="0"/>
      <w:marBottom w:val="0"/>
      <w:divBdr>
        <w:top w:val="none" w:sz="0" w:space="0" w:color="auto"/>
        <w:left w:val="none" w:sz="0" w:space="0" w:color="auto"/>
        <w:bottom w:val="none" w:sz="0" w:space="0" w:color="auto"/>
        <w:right w:val="none" w:sz="0" w:space="0" w:color="auto"/>
      </w:divBdr>
    </w:div>
    <w:div w:id="479927572">
      <w:bodyDiv w:val="1"/>
      <w:marLeft w:val="0"/>
      <w:marRight w:val="0"/>
      <w:marTop w:val="0"/>
      <w:marBottom w:val="0"/>
      <w:divBdr>
        <w:top w:val="none" w:sz="0" w:space="0" w:color="auto"/>
        <w:left w:val="none" w:sz="0" w:space="0" w:color="auto"/>
        <w:bottom w:val="none" w:sz="0" w:space="0" w:color="auto"/>
        <w:right w:val="none" w:sz="0" w:space="0" w:color="auto"/>
      </w:divBdr>
    </w:div>
    <w:div w:id="531964783">
      <w:bodyDiv w:val="1"/>
      <w:marLeft w:val="0"/>
      <w:marRight w:val="0"/>
      <w:marTop w:val="0"/>
      <w:marBottom w:val="0"/>
      <w:divBdr>
        <w:top w:val="none" w:sz="0" w:space="0" w:color="auto"/>
        <w:left w:val="none" w:sz="0" w:space="0" w:color="auto"/>
        <w:bottom w:val="none" w:sz="0" w:space="0" w:color="auto"/>
        <w:right w:val="none" w:sz="0" w:space="0" w:color="auto"/>
      </w:divBdr>
    </w:div>
    <w:div w:id="553544698">
      <w:bodyDiv w:val="1"/>
      <w:marLeft w:val="0"/>
      <w:marRight w:val="0"/>
      <w:marTop w:val="0"/>
      <w:marBottom w:val="0"/>
      <w:divBdr>
        <w:top w:val="none" w:sz="0" w:space="0" w:color="auto"/>
        <w:left w:val="none" w:sz="0" w:space="0" w:color="auto"/>
        <w:bottom w:val="none" w:sz="0" w:space="0" w:color="auto"/>
        <w:right w:val="none" w:sz="0" w:space="0" w:color="auto"/>
      </w:divBdr>
    </w:div>
    <w:div w:id="570043495">
      <w:bodyDiv w:val="1"/>
      <w:marLeft w:val="0"/>
      <w:marRight w:val="0"/>
      <w:marTop w:val="0"/>
      <w:marBottom w:val="0"/>
      <w:divBdr>
        <w:top w:val="none" w:sz="0" w:space="0" w:color="auto"/>
        <w:left w:val="none" w:sz="0" w:space="0" w:color="auto"/>
        <w:bottom w:val="none" w:sz="0" w:space="0" w:color="auto"/>
        <w:right w:val="none" w:sz="0" w:space="0" w:color="auto"/>
      </w:divBdr>
      <w:divsChild>
        <w:div w:id="439103609">
          <w:marLeft w:val="-720"/>
          <w:marRight w:val="0"/>
          <w:marTop w:val="0"/>
          <w:marBottom w:val="0"/>
          <w:divBdr>
            <w:top w:val="none" w:sz="0" w:space="0" w:color="auto"/>
            <w:left w:val="none" w:sz="0" w:space="0" w:color="auto"/>
            <w:bottom w:val="none" w:sz="0" w:space="0" w:color="auto"/>
            <w:right w:val="none" w:sz="0" w:space="0" w:color="auto"/>
          </w:divBdr>
        </w:div>
      </w:divsChild>
    </w:div>
    <w:div w:id="600718264">
      <w:bodyDiv w:val="1"/>
      <w:marLeft w:val="0"/>
      <w:marRight w:val="0"/>
      <w:marTop w:val="0"/>
      <w:marBottom w:val="0"/>
      <w:divBdr>
        <w:top w:val="none" w:sz="0" w:space="0" w:color="auto"/>
        <w:left w:val="none" w:sz="0" w:space="0" w:color="auto"/>
        <w:bottom w:val="none" w:sz="0" w:space="0" w:color="auto"/>
        <w:right w:val="none" w:sz="0" w:space="0" w:color="auto"/>
      </w:divBdr>
    </w:div>
    <w:div w:id="607397903">
      <w:bodyDiv w:val="1"/>
      <w:marLeft w:val="0"/>
      <w:marRight w:val="0"/>
      <w:marTop w:val="0"/>
      <w:marBottom w:val="0"/>
      <w:divBdr>
        <w:top w:val="none" w:sz="0" w:space="0" w:color="auto"/>
        <w:left w:val="none" w:sz="0" w:space="0" w:color="auto"/>
        <w:bottom w:val="none" w:sz="0" w:space="0" w:color="auto"/>
        <w:right w:val="none" w:sz="0" w:space="0" w:color="auto"/>
      </w:divBdr>
    </w:div>
    <w:div w:id="625821301">
      <w:bodyDiv w:val="1"/>
      <w:marLeft w:val="0"/>
      <w:marRight w:val="0"/>
      <w:marTop w:val="0"/>
      <w:marBottom w:val="0"/>
      <w:divBdr>
        <w:top w:val="none" w:sz="0" w:space="0" w:color="auto"/>
        <w:left w:val="none" w:sz="0" w:space="0" w:color="auto"/>
        <w:bottom w:val="none" w:sz="0" w:space="0" w:color="auto"/>
        <w:right w:val="none" w:sz="0" w:space="0" w:color="auto"/>
      </w:divBdr>
    </w:div>
    <w:div w:id="631137951">
      <w:bodyDiv w:val="1"/>
      <w:marLeft w:val="0"/>
      <w:marRight w:val="0"/>
      <w:marTop w:val="0"/>
      <w:marBottom w:val="0"/>
      <w:divBdr>
        <w:top w:val="none" w:sz="0" w:space="0" w:color="auto"/>
        <w:left w:val="none" w:sz="0" w:space="0" w:color="auto"/>
        <w:bottom w:val="none" w:sz="0" w:space="0" w:color="auto"/>
        <w:right w:val="none" w:sz="0" w:space="0" w:color="auto"/>
      </w:divBdr>
    </w:div>
    <w:div w:id="654647022">
      <w:bodyDiv w:val="1"/>
      <w:marLeft w:val="0"/>
      <w:marRight w:val="0"/>
      <w:marTop w:val="0"/>
      <w:marBottom w:val="0"/>
      <w:divBdr>
        <w:top w:val="none" w:sz="0" w:space="0" w:color="auto"/>
        <w:left w:val="none" w:sz="0" w:space="0" w:color="auto"/>
        <w:bottom w:val="none" w:sz="0" w:space="0" w:color="auto"/>
        <w:right w:val="none" w:sz="0" w:space="0" w:color="auto"/>
      </w:divBdr>
    </w:div>
    <w:div w:id="675494851">
      <w:bodyDiv w:val="1"/>
      <w:marLeft w:val="0"/>
      <w:marRight w:val="0"/>
      <w:marTop w:val="0"/>
      <w:marBottom w:val="0"/>
      <w:divBdr>
        <w:top w:val="none" w:sz="0" w:space="0" w:color="auto"/>
        <w:left w:val="none" w:sz="0" w:space="0" w:color="auto"/>
        <w:bottom w:val="none" w:sz="0" w:space="0" w:color="auto"/>
        <w:right w:val="none" w:sz="0" w:space="0" w:color="auto"/>
      </w:divBdr>
    </w:div>
    <w:div w:id="685327030">
      <w:bodyDiv w:val="1"/>
      <w:marLeft w:val="0"/>
      <w:marRight w:val="0"/>
      <w:marTop w:val="0"/>
      <w:marBottom w:val="0"/>
      <w:divBdr>
        <w:top w:val="none" w:sz="0" w:space="0" w:color="auto"/>
        <w:left w:val="none" w:sz="0" w:space="0" w:color="auto"/>
        <w:bottom w:val="none" w:sz="0" w:space="0" w:color="auto"/>
        <w:right w:val="none" w:sz="0" w:space="0" w:color="auto"/>
      </w:divBdr>
    </w:div>
    <w:div w:id="767241096">
      <w:bodyDiv w:val="1"/>
      <w:marLeft w:val="0"/>
      <w:marRight w:val="0"/>
      <w:marTop w:val="0"/>
      <w:marBottom w:val="0"/>
      <w:divBdr>
        <w:top w:val="none" w:sz="0" w:space="0" w:color="auto"/>
        <w:left w:val="none" w:sz="0" w:space="0" w:color="auto"/>
        <w:bottom w:val="none" w:sz="0" w:space="0" w:color="auto"/>
        <w:right w:val="none" w:sz="0" w:space="0" w:color="auto"/>
      </w:divBdr>
    </w:div>
    <w:div w:id="786124248">
      <w:bodyDiv w:val="1"/>
      <w:marLeft w:val="0"/>
      <w:marRight w:val="0"/>
      <w:marTop w:val="0"/>
      <w:marBottom w:val="0"/>
      <w:divBdr>
        <w:top w:val="none" w:sz="0" w:space="0" w:color="auto"/>
        <w:left w:val="none" w:sz="0" w:space="0" w:color="auto"/>
        <w:bottom w:val="none" w:sz="0" w:space="0" w:color="auto"/>
        <w:right w:val="none" w:sz="0" w:space="0" w:color="auto"/>
      </w:divBdr>
    </w:div>
    <w:div w:id="838469483">
      <w:bodyDiv w:val="1"/>
      <w:marLeft w:val="0"/>
      <w:marRight w:val="0"/>
      <w:marTop w:val="0"/>
      <w:marBottom w:val="0"/>
      <w:divBdr>
        <w:top w:val="none" w:sz="0" w:space="0" w:color="auto"/>
        <w:left w:val="none" w:sz="0" w:space="0" w:color="auto"/>
        <w:bottom w:val="none" w:sz="0" w:space="0" w:color="auto"/>
        <w:right w:val="none" w:sz="0" w:space="0" w:color="auto"/>
      </w:divBdr>
    </w:div>
    <w:div w:id="850990300">
      <w:bodyDiv w:val="1"/>
      <w:marLeft w:val="0"/>
      <w:marRight w:val="0"/>
      <w:marTop w:val="0"/>
      <w:marBottom w:val="0"/>
      <w:divBdr>
        <w:top w:val="none" w:sz="0" w:space="0" w:color="auto"/>
        <w:left w:val="none" w:sz="0" w:space="0" w:color="auto"/>
        <w:bottom w:val="none" w:sz="0" w:space="0" w:color="auto"/>
        <w:right w:val="none" w:sz="0" w:space="0" w:color="auto"/>
      </w:divBdr>
    </w:div>
    <w:div w:id="859667244">
      <w:bodyDiv w:val="1"/>
      <w:marLeft w:val="0"/>
      <w:marRight w:val="0"/>
      <w:marTop w:val="0"/>
      <w:marBottom w:val="0"/>
      <w:divBdr>
        <w:top w:val="none" w:sz="0" w:space="0" w:color="auto"/>
        <w:left w:val="none" w:sz="0" w:space="0" w:color="auto"/>
        <w:bottom w:val="none" w:sz="0" w:space="0" w:color="auto"/>
        <w:right w:val="none" w:sz="0" w:space="0" w:color="auto"/>
      </w:divBdr>
    </w:div>
    <w:div w:id="878711294">
      <w:bodyDiv w:val="1"/>
      <w:marLeft w:val="0"/>
      <w:marRight w:val="0"/>
      <w:marTop w:val="0"/>
      <w:marBottom w:val="0"/>
      <w:divBdr>
        <w:top w:val="none" w:sz="0" w:space="0" w:color="auto"/>
        <w:left w:val="none" w:sz="0" w:space="0" w:color="auto"/>
        <w:bottom w:val="none" w:sz="0" w:space="0" w:color="auto"/>
        <w:right w:val="none" w:sz="0" w:space="0" w:color="auto"/>
      </w:divBdr>
    </w:div>
    <w:div w:id="920791826">
      <w:bodyDiv w:val="1"/>
      <w:marLeft w:val="0"/>
      <w:marRight w:val="0"/>
      <w:marTop w:val="0"/>
      <w:marBottom w:val="0"/>
      <w:divBdr>
        <w:top w:val="none" w:sz="0" w:space="0" w:color="auto"/>
        <w:left w:val="none" w:sz="0" w:space="0" w:color="auto"/>
        <w:bottom w:val="none" w:sz="0" w:space="0" w:color="auto"/>
        <w:right w:val="none" w:sz="0" w:space="0" w:color="auto"/>
      </w:divBdr>
      <w:divsChild>
        <w:div w:id="1606764911">
          <w:marLeft w:val="-720"/>
          <w:marRight w:val="0"/>
          <w:marTop w:val="0"/>
          <w:marBottom w:val="0"/>
          <w:divBdr>
            <w:top w:val="none" w:sz="0" w:space="0" w:color="auto"/>
            <w:left w:val="none" w:sz="0" w:space="0" w:color="auto"/>
            <w:bottom w:val="none" w:sz="0" w:space="0" w:color="auto"/>
            <w:right w:val="none" w:sz="0" w:space="0" w:color="auto"/>
          </w:divBdr>
        </w:div>
      </w:divsChild>
    </w:div>
    <w:div w:id="946276569">
      <w:bodyDiv w:val="1"/>
      <w:marLeft w:val="0"/>
      <w:marRight w:val="0"/>
      <w:marTop w:val="0"/>
      <w:marBottom w:val="0"/>
      <w:divBdr>
        <w:top w:val="none" w:sz="0" w:space="0" w:color="auto"/>
        <w:left w:val="none" w:sz="0" w:space="0" w:color="auto"/>
        <w:bottom w:val="none" w:sz="0" w:space="0" w:color="auto"/>
        <w:right w:val="none" w:sz="0" w:space="0" w:color="auto"/>
      </w:divBdr>
    </w:div>
    <w:div w:id="947540600">
      <w:bodyDiv w:val="1"/>
      <w:marLeft w:val="0"/>
      <w:marRight w:val="0"/>
      <w:marTop w:val="0"/>
      <w:marBottom w:val="0"/>
      <w:divBdr>
        <w:top w:val="none" w:sz="0" w:space="0" w:color="auto"/>
        <w:left w:val="none" w:sz="0" w:space="0" w:color="auto"/>
        <w:bottom w:val="none" w:sz="0" w:space="0" w:color="auto"/>
        <w:right w:val="none" w:sz="0" w:space="0" w:color="auto"/>
      </w:divBdr>
    </w:div>
    <w:div w:id="993919449">
      <w:bodyDiv w:val="1"/>
      <w:marLeft w:val="0"/>
      <w:marRight w:val="0"/>
      <w:marTop w:val="0"/>
      <w:marBottom w:val="0"/>
      <w:divBdr>
        <w:top w:val="none" w:sz="0" w:space="0" w:color="auto"/>
        <w:left w:val="none" w:sz="0" w:space="0" w:color="auto"/>
        <w:bottom w:val="none" w:sz="0" w:space="0" w:color="auto"/>
        <w:right w:val="none" w:sz="0" w:space="0" w:color="auto"/>
      </w:divBdr>
      <w:divsChild>
        <w:div w:id="627004395">
          <w:marLeft w:val="547"/>
          <w:marRight w:val="0"/>
          <w:marTop w:val="200"/>
          <w:marBottom w:val="0"/>
          <w:divBdr>
            <w:top w:val="none" w:sz="0" w:space="0" w:color="auto"/>
            <w:left w:val="none" w:sz="0" w:space="0" w:color="auto"/>
            <w:bottom w:val="none" w:sz="0" w:space="0" w:color="auto"/>
            <w:right w:val="none" w:sz="0" w:space="0" w:color="auto"/>
          </w:divBdr>
        </w:div>
        <w:div w:id="1830555970">
          <w:marLeft w:val="547"/>
          <w:marRight w:val="0"/>
          <w:marTop w:val="200"/>
          <w:marBottom w:val="0"/>
          <w:divBdr>
            <w:top w:val="none" w:sz="0" w:space="0" w:color="auto"/>
            <w:left w:val="none" w:sz="0" w:space="0" w:color="auto"/>
            <w:bottom w:val="none" w:sz="0" w:space="0" w:color="auto"/>
            <w:right w:val="none" w:sz="0" w:space="0" w:color="auto"/>
          </w:divBdr>
        </w:div>
        <w:div w:id="1185053361">
          <w:marLeft w:val="547"/>
          <w:marRight w:val="0"/>
          <w:marTop w:val="200"/>
          <w:marBottom w:val="0"/>
          <w:divBdr>
            <w:top w:val="none" w:sz="0" w:space="0" w:color="auto"/>
            <w:left w:val="none" w:sz="0" w:space="0" w:color="auto"/>
            <w:bottom w:val="none" w:sz="0" w:space="0" w:color="auto"/>
            <w:right w:val="none" w:sz="0" w:space="0" w:color="auto"/>
          </w:divBdr>
        </w:div>
        <w:div w:id="79063889">
          <w:marLeft w:val="547"/>
          <w:marRight w:val="0"/>
          <w:marTop w:val="200"/>
          <w:marBottom w:val="0"/>
          <w:divBdr>
            <w:top w:val="none" w:sz="0" w:space="0" w:color="auto"/>
            <w:left w:val="none" w:sz="0" w:space="0" w:color="auto"/>
            <w:bottom w:val="none" w:sz="0" w:space="0" w:color="auto"/>
            <w:right w:val="none" w:sz="0" w:space="0" w:color="auto"/>
          </w:divBdr>
        </w:div>
        <w:div w:id="1660235709">
          <w:marLeft w:val="547"/>
          <w:marRight w:val="0"/>
          <w:marTop w:val="200"/>
          <w:marBottom w:val="0"/>
          <w:divBdr>
            <w:top w:val="none" w:sz="0" w:space="0" w:color="auto"/>
            <w:left w:val="none" w:sz="0" w:space="0" w:color="auto"/>
            <w:bottom w:val="none" w:sz="0" w:space="0" w:color="auto"/>
            <w:right w:val="none" w:sz="0" w:space="0" w:color="auto"/>
          </w:divBdr>
        </w:div>
        <w:div w:id="1779056999">
          <w:marLeft w:val="547"/>
          <w:marRight w:val="0"/>
          <w:marTop w:val="200"/>
          <w:marBottom w:val="0"/>
          <w:divBdr>
            <w:top w:val="none" w:sz="0" w:space="0" w:color="auto"/>
            <w:left w:val="none" w:sz="0" w:space="0" w:color="auto"/>
            <w:bottom w:val="none" w:sz="0" w:space="0" w:color="auto"/>
            <w:right w:val="none" w:sz="0" w:space="0" w:color="auto"/>
          </w:divBdr>
        </w:div>
        <w:div w:id="680743545">
          <w:marLeft w:val="547"/>
          <w:marRight w:val="0"/>
          <w:marTop w:val="200"/>
          <w:marBottom w:val="0"/>
          <w:divBdr>
            <w:top w:val="none" w:sz="0" w:space="0" w:color="auto"/>
            <w:left w:val="none" w:sz="0" w:space="0" w:color="auto"/>
            <w:bottom w:val="none" w:sz="0" w:space="0" w:color="auto"/>
            <w:right w:val="none" w:sz="0" w:space="0" w:color="auto"/>
          </w:divBdr>
        </w:div>
        <w:div w:id="347757606">
          <w:marLeft w:val="547"/>
          <w:marRight w:val="0"/>
          <w:marTop w:val="200"/>
          <w:marBottom w:val="0"/>
          <w:divBdr>
            <w:top w:val="none" w:sz="0" w:space="0" w:color="auto"/>
            <w:left w:val="none" w:sz="0" w:space="0" w:color="auto"/>
            <w:bottom w:val="none" w:sz="0" w:space="0" w:color="auto"/>
            <w:right w:val="none" w:sz="0" w:space="0" w:color="auto"/>
          </w:divBdr>
        </w:div>
        <w:div w:id="1807772594">
          <w:marLeft w:val="547"/>
          <w:marRight w:val="0"/>
          <w:marTop w:val="200"/>
          <w:marBottom w:val="0"/>
          <w:divBdr>
            <w:top w:val="none" w:sz="0" w:space="0" w:color="auto"/>
            <w:left w:val="none" w:sz="0" w:space="0" w:color="auto"/>
            <w:bottom w:val="none" w:sz="0" w:space="0" w:color="auto"/>
            <w:right w:val="none" w:sz="0" w:space="0" w:color="auto"/>
          </w:divBdr>
        </w:div>
      </w:divsChild>
    </w:div>
    <w:div w:id="1005790024">
      <w:bodyDiv w:val="1"/>
      <w:marLeft w:val="0"/>
      <w:marRight w:val="0"/>
      <w:marTop w:val="0"/>
      <w:marBottom w:val="0"/>
      <w:divBdr>
        <w:top w:val="none" w:sz="0" w:space="0" w:color="auto"/>
        <w:left w:val="none" w:sz="0" w:space="0" w:color="auto"/>
        <w:bottom w:val="none" w:sz="0" w:space="0" w:color="auto"/>
        <w:right w:val="none" w:sz="0" w:space="0" w:color="auto"/>
      </w:divBdr>
    </w:div>
    <w:div w:id="1006320456">
      <w:bodyDiv w:val="1"/>
      <w:marLeft w:val="0"/>
      <w:marRight w:val="0"/>
      <w:marTop w:val="0"/>
      <w:marBottom w:val="0"/>
      <w:divBdr>
        <w:top w:val="none" w:sz="0" w:space="0" w:color="auto"/>
        <w:left w:val="none" w:sz="0" w:space="0" w:color="auto"/>
        <w:bottom w:val="none" w:sz="0" w:space="0" w:color="auto"/>
        <w:right w:val="none" w:sz="0" w:space="0" w:color="auto"/>
      </w:divBdr>
    </w:div>
    <w:div w:id="1022782189">
      <w:bodyDiv w:val="1"/>
      <w:marLeft w:val="0"/>
      <w:marRight w:val="0"/>
      <w:marTop w:val="0"/>
      <w:marBottom w:val="0"/>
      <w:divBdr>
        <w:top w:val="none" w:sz="0" w:space="0" w:color="auto"/>
        <w:left w:val="none" w:sz="0" w:space="0" w:color="auto"/>
        <w:bottom w:val="none" w:sz="0" w:space="0" w:color="auto"/>
        <w:right w:val="none" w:sz="0" w:space="0" w:color="auto"/>
      </w:divBdr>
    </w:div>
    <w:div w:id="1037119206">
      <w:bodyDiv w:val="1"/>
      <w:marLeft w:val="0"/>
      <w:marRight w:val="0"/>
      <w:marTop w:val="0"/>
      <w:marBottom w:val="0"/>
      <w:divBdr>
        <w:top w:val="none" w:sz="0" w:space="0" w:color="auto"/>
        <w:left w:val="none" w:sz="0" w:space="0" w:color="auto"/>
        <w:bottom w:val="none" w:sz="0" w:space="0" w:color="auto"/>
        <w:right w:val="none" w:sz="0" w:space="0" w:color="auto"/>
      </w:divBdr>
    </w:div>
    <w:div w:id="1039746008">
      <w:bodyDiv w:val="1"/>
      <w:marLeft w:val="0"/>
      <w:marRight w:val="0"/>
      <w:marTop w:val="0"/>
      <w:marBottom w:val="0"/>
      <w:divBdr>
        <w:top w:val="none" w:sz="0" w:space="0" w:color="auto"/>
        <w:left w:val="none" w:sz="0" w:space="0" w:color="auto"/>
        <w:bottom w:val="none" w:sz="0" w:space="0" w:color="auto"/>
        <w:right w:val="none" w:sz="0" w:space="0" w:color="auto"/>
      </w:divBdr>
    </w:div>
    <w:div w:id="1049112402">
      <w:bodyDiv w:val="1"/>
      <w:marLeft w:val="0"/>
      <w:marRight w:val="0"/>
      <w:marTop w:val="0"/>
      <w:marBottom w:val="0"/>
      <w:divBdr>
        <w:top w:val="none" w:sz="0" w:space="0" w:color="auto"/>
        <w:left w:val="none" w:sz="0" w:space="0" w:color="auto"/>
        <w:bottom w:val="none" w:sz="0" w:space="0" w:color="auto"/>
        <w:right w:val="none" w:sz="0" w:space="0" w:color="auto"/>
      </w:divBdr>
    </w:div>
    <w:div w:id="1097482539">
      <w:bodyDiv w:val="1"/>
      <w:marLeft w:val="0"/>
      <w:marRight w:val="0"/>
      <w:marTop w:val="0"/>
      <w:marBottom w:val="0"/>
      <w:divBdr>
        <w:top w:val="none" w:sz="0" w:space="0" w:color="auto"/>
        <w:left w:val="none" w:sz="0" w:space="0" w:color="auto"/>
        <w:bottom w:val="none" w:sz="0" w:space="0" w:color="auto"/>
        <w:right w:val="none" w:sz="0" w:space="0" w:color="auto"/>
      </w:divBdr>
    </w:div>
    <w:div w:id="1153375066">
      <w:bodyDiv w:val="1"/>
      <w:marLeft w:val="0"/>
      <w:marRight w:val="0"/>
      <w:marTop w:val="0"/>
      <w:marBottom w:val="0"/>
      <w:divBdr>
        <w:top w:val="none" w:sz="0" w:space="0" w:color="auto"/>
        <w:left w:val="none" w:sz="0" w:space="0" w:color="auto"/>
        <w:bottom w:val="none" w:sz="0" w:space="0" w:color="auto"/>
        <w:right w:val="none" w:sz="0" w:space="0" w:color="auto"/>
      </w:divBdr>
      <w:divsChild>
        <w:div w:id="1331105851">
          <w:marLeft w:val="0"/>
          <w:marRight w:val="0"/>
          <w:marTop w:val="0"/>
          <w:marBottom w:val="0"/>
          <w:divBdr>
            <w:top w:val="none" w:sz="0" w:space="0" w:color="auto"/>
            <w:left w:val="none" w:sz="0" w:space="0" w:color="auto"/>
            <w:bottom w:val="none" w:sz="0" w:space="0" w:color="auto"/>
            <w:right w:val="none" w:sz="0" w:space="0" w:color="auto"/>
          </w:divBdr>
          <w:divsChild>
            <w:div w:id="1459180862">
              <w:marLeft w:val="0"/>
              <w:marRight w:val="0"/>
              <w:marTop w:val="0"/>
              <w:marBottom w:val="0"/>
              <w:divBdr>
                <w:top w:val="none" w:sz="0" w:space="0" w:color="auto"/>
                <w:left w:val="none" w:sz="0" w:space="0" w:color="auto"/>
                <w:bottom w:val="none" w:sz="0" w:space="0" w:color="auto"/>
                <w:right w:val="none" w:sz="0" w:space="0" w:color="auto"/>
              </w:divBdr>
              <w:divsChild>
                <w:div w:id="970289716">
                  <w:marLeft w:val="0"/>
                  <w:marRight w:val="0"/>
                  <w:marTop w:val="0"/>
                  <w:marBottom w:val="0"/>
                  <w:divBdr>
                    <w:top w:val="none" w:sz="0" w:space="0" w:color="auto"/>
                    <w:left w:val="none" w:sz="0" w:space="0" w:color="auto"/>
                    <w:bottom w:val="none" w:sz="0" w:space="0" w:color="auto"/>
                    <w:right w:val="none" w:sz="0" w:space="0" w:color="auto"/>
                  </w:divBdr>
                  <w:divsChild>
                    <w:div w:id="5813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534355">
      <w:bodyDiv w:val="1"/>
      <w:marLeft w:val="0"/>
      <w:marRight w:val="0"/>
      <w:marTop w:val="0"/>
      <w:marBottom w:val="0"/>
      <w:divBdr>
        <w:top w:val="none" w:sz="0" w:space="0" w:color="auto"/>
        <w:left w:val="none" w:sz="0" w:space="0" w:color="auto"/>
        <w:bottom w:val="none" w:sz="0" w:space="0" w:color="auto"/>
        <w:right w:val="none" w:sz="0" w:space="0" w:color="auto"/>
      </w:divBdr>
    </w:div>
    <w:div w:id="1235435925">
      <w:bodyDiv w:val="1"/>
      <w:marLeft w:val="0"/>
      <w:marRight w:val="0"/>
      <w:marTop w:val="0"/>
      <w:marBottom w:val="0"/>
      <w:divBdr>
        <w:top w:val="none" w:sz="0" w:space="0" w:color="auto"/>
        <w:left w:val="none" w:sz="0" w:space="0" w:color="auto"/>
        <w:bottom w:val="none" w:sz="0" w:space="0" w:color="auto"/>
        <w:right w:val="none" w:sz="0" w:space="0" w:color="auto"/>
      </w:divBdr>
    </w:div>
    <w:div w:id="1243879908">
      <w:bodyDiv w:val="1"/>
      <w:marLeft w:val="0"/>
      <w:marRight w:val="0"/>
      <w:marTop w:val="0"/>
      <w:marBottom w:val="0"/>
      <w:divBdr>
        <w:top w:val="none" w:sz="0" w:space="0" w:color="auto"/>
        <w:left w:val="none" w:sz="0" w:space="0" w:color="auto"/>
        <w:bottom w:val="none" w:sz="0" w:space="0" w:color="auto"/>
        <w:right w:val="none" w:sz="0" w:space="0" w:color="auto"/>
      </w:divBdr>
    </w:div>
    <w:div w:id="1278954116">
      <w:bodyDiv w:val="1"/>
      <w:marLeft w:val="0"/>
      <w:marRight w:val="0"/>
      <w:marTop w:val="0"/>
      <w:marBottom w:val="0"/>
      <w:divBdr>
        <w:top w:val="none" w:sz="0" w:space="0" w:color="auto"/>
        <w:left w:val="none" w:sz="0" w:space="0" w:color="auto"/>
        <w:bottom w:val="none" w:sz="0" w:space="0" w:color="auto"/>
        <w:right w:val="none" w:sz="0" w:space="0" w:color="auto"/>
      </w:divBdr>
    </w:div>
    <w:div w:id="1348292530">
      <w:bodyDiv w:val="1"/>
      <w:marLeft w:val="0"/>
      <w:marRight w:val="0"/>
      <w:marTop w:val="0"/>
      <w:marBottom w:val="0"/>
      <w:divBdr>
        <w:top w:val="none" w:sz="0" w:space="0" w:color="auto"/>
        <w:left w:val="none" w:sz="0" w:space="0" w:color="auto"/>
        <w:bottom w:val="none" w:sz="0" w:space="0" w:color="auto"/>
        <w:right w:val="none" w:sz="0" w:space="0" w:color="auto"/>
      </w:divBdr>
    </w:div>
    <w:div w:id="1390153969">
      <w:bodyDiv w:val="1"/>
      <w:marLeft w:val="0"/>
      <w:marRight w:val="0"/>
      <w:marTop w:val="0"/>
      <w:marBottom w:val="0"/>
      <w:divBdr>
        <w:top w:val="none" w:sz="0" w:space="0" w:color="auto"/>
        <w:left w:val="none" w:sz="0" w:space="0" w:color="auto"/>
        <w:bottom w:val="none" w:sz="0" w:space="0" w:color="auto"/>
        <w:right w:val="none" w:sz="0" w:space="0" w:color="auto"/>
      </w:divBdr>
    </w:div>
    <w:div w:id="1487282815">
      <w:bodyDiv w:val="1"/>
      <w:marLeft w:val="0"/>
      <w:marRight w:val="0"/>
      <w:marTop w:val="0"/>
      <w:marBottom w:val="0"/>
      <w:divBdr>
        <w:top w:val="none" w:sz="0" w:space="0" w:color="auto"/>
        <w:left w:val="none" w:sz="0" w:space="0" w:color="auto"/>
        <w:bottom w:val="none" w:sz="0" w:space="0" w:color="auto"/>
        <w:right w:val="none" w:sz="0" w:space="0" w:color="auto"/>
      </w:divBdr>
    </w:div>
    <w:div w:id="1493372708">
      <w:bodyDiv w:val="1"/>
      <w:marLeft w:val="0"/>
      <w:marRight w:val="0"/>
      <w:marTop w:val="0"/>
      <w:marBottom w:val="0"/>
      <w:divBdr>
        <w:top w:val="none" w:sz="0" w:space="0" w:color="auto"/>
        <w:left w:val="none" w:sz="0" w:space="0" w:color="auto"/>
        <w:bottom w:val="none" w:sz="0" w:space="0" w:color="auto"/>
        <w:right w:val="none" w:sz="0" w:space="0" w:color="auto"/>
      </w:divBdr>
    </w:div>
    <w:div w:id="1512067244">
      <w:bodyDiv w:val="1"/>
      <w:marLeft w:val="0"/>
      <w:marRight w:val="0"/>
      <w:marTop w:val="0"/>
      <w:marBottom w:val="0"/>
      <w:divBdr>
        <w:top w:val="none" w:sz="0" w:space="0" w:color="auto"/>
        <w:left w:val="none" w:sz="0" w:space="0" w:color="auto"/>
        <w:bottom w:val="none" w:sz="0" w:space="0" w:color="auto"/>
        <w:right w:val="none" w:sz="0" w:space="0" w:color="auto"/>
      </w:divBdr>
    </w:div>
    <w:div w:id="1525902961">
      <w:bodyDiv w:val="1"/>
      <w:marLeft w:val="0"/>
      <w:marRight w:val="0"/>
      <w:marTop w:val="0"/>
      <w:marBottom w:val="0"/>
      <w:divBdr>
        <w:top w:val="none" w:sz="0" w:space="0" w:color="auto"/>
        <w:left w:val="none" w:sz="0" w:space="0" w:color="auto"/>
        <w:bottom w:val="none" w:sz="0" w:space="0" w:color="auto"/>
        <w:right w:val="none" w:sz="0" w:space="0" w:color="auto"/>
      </w:divBdr>
    </w:div>
    <w:div w:id="1528715859">
      <w:bodyDiv w:val="1"/>
      <w:marLeft w:val="0"/>
      <w:marRight w:val="0"/>
      <w:marTop w:val="0"/>
      <w:marBottom w:val="0"/>
      <w:divBdr>
        <w:top w:val="none" w:sz="0" w:space="0" w:color="auto"/>
        <w:left w:val="none" w:sz="0" w:space="0" w:color="auto"/>
        <w:bottom w:val="none" w:sz="0" w:space="0" w:color="auto"/>
        <w:right w:val="none" w:sz="0" w:space="0" w:color="auto"/>
      </w:divBdr>
    </w:div>
    <w:div w:id="1553536770">
      <w:bodyDiv w:val="1"/>
      <w:marLeft w:val="0"/>
      <w:marRight w:val="0"/>
      <w:marTop w:val="0"/>
      <w:marBottom w:val="0"/>
      <w:divBdr>
        <w:top w:val="none" w:sz="0" w:space="0" w:color="auto"/>
        <w:left w:val="none" w:sz="0" w:space="0" w:color="auto"/>
        <w:bottom w:val="none" w:sz="0" w:space="0" w:color="auto"/>
        <w:right w:val="none" w:sz="0" w:space="0" w:color="auto"/>
      </w:divBdr>
    </w:div>
    <w:div w:id="1559442304">
      <w:bodyDiv w:val="1"/>
      <w:marLeft w:val="0"/>
      <w:marRight w:val="0"/>
      <w:marTop w:val="0"/>
      <w:marBottom w:val="0"/>
      <w:divBdr>
        <w:top w:val="none" w:sz="0" w:space="0" w:color="auto"/>
        <w:left w:val="none" w:sz="0" w:space="0" w:color="auto"/>
        <w:bottom w:val="none" w:sz="0" w:space="0" w:color="auto"/>
        <w:right w:val="none" w:sz="0" w:space="0" w:color="auto"/>
      </w:divBdr>
    </w:div>
    <w:div w:id="1564560735">
      <w:bodyDiv w:val="1"/>
      <w:marLeft w:val="0"/>
      <w:marRight w:val="0"/>
      <w:marTop w:val="0"/>
      <w:marBottom w:val="0"/>
      <w:divBdr>
        <w:top w:val="none" w:sz="0" w:space="0" w:color="auto"/>
        <w:left w:val="none" w:sz="0" w:space="0" w:color="auto"/>
        <w:bottom w:val="none" w:sz="0" w:space="0" w:color="auto"/>
        <w:right w:val="none" w:sz="0" w:space="0" w:color="auto"/>
      </w:divBdr>
    </w:div>
    <w:div w:id="1591432423">
      <w:bodyDiv w:val="1"/>
      <w:marLeft w:val="0"/>
      <w:marRight w:val="0"/>
      <w:marTop w:val="0"/>
      <w:marBottom w:val="0"/>
      <w:divBdr>
        <w:top w:val="none" w:sz="0" w:space="0" w:color="auto"/>
        <w:left w:val="none" w:sz="0" w:space="0" w:color="auto"/>
        <w:bottom w:val="none" w:sz="0" w:space="0" w:color="auto"/>
        <w:right w:val="none" w:sz="0" w:space="0" w:color="auto"/>
      </w:divBdr>
    </w:div>
    <w:div w:id="1611159039">
      <w:bodyDiv w:val="1"/>
      <w:marLeft w:val="0"/>
      <w:marRight w:val="0"/>
      <w:marTop w:val="0"/>
      <w:marBottom w:val="0"/>
      <w:divBdr>
        <w:top w:val="none" w:sz="0" w:space="0" w:color="auto"/>
        <w:left w:val="none" w:sz="0" w:space="0" w:color="auto"/>
        <w:bottom w:val="none" w:sz="0" w:space="0" w:color="auto"/>
        <w:right w:val="none" w:sz="0" w:space="0" w:color="auto"/>
      </w:divBdr>
    </w:div>
    <w:div w:id="1647005689">
      <w:bodyDiv w:val="1"/>
      <w:marLeft w:val="0"/>
      <w:marRight w:val="0"/>
      <w:marTop w:val="0"/>
      <w:marBottom w:val="0"/>
      <w:divBdr>
        <w:top w:val="none" w:sz="0" w:space="0" w:color="auto"/>
        <w:left w:val="none" w:sz="0" w:space="0" w:color="auto"/>
        <w:bottom w:val="none" w:sz="0" w:space="0" w:color="auto"/>
        <w:right w:val="none" w:sz="0" w:space="0" w:color="auto"/>
      </w:divBdr>
    </w:div>
    <w:div w:id="1680278508">
      <w:bodyDiv w:val="1"/>
      <w:marLeft w:val="0"/>
      <w:marRight w:val="0"/>
      <w:marTop w:val="0"/>
      <w:marBottom w:val="0"/>
      <w:divBdr>
        <w:top w:val="none" w:sz="0" w:space="0" w:color="auto"/>
        <w:left w:val="none" w:sz="0" w:space="0" w:color="auto"/>
        <w:bottom w:val="none" w:sz="0" w:space="0" w:color="auto"/>
        <w:right w:val="none" w:sz="0" w:space="0" w:color="auto"/>
      </w:divBdr>
    </w:div>
    <w:div w:id="1702390351">
      <w:bodyDiv w:val="1"/>
      <w:marLeft w:val="0"/>
      <w:marRight w:val="0"/>
      <w:marTop w:val="0"/>
      <w:marBottom w:val="0"/>
      <w:divBdr>
        <w:top w:val="none" w:sz="0" w:space="0" w:color="auto"/>
        <w:left w:val="none" w:sz="0" w:space="0" w:color="auto"/>
        <w:bottom w:val="none" w:sz="0" w:space="0" w:color="auto"/>
        <w:right w:val="none" w:sz="0" w:space="0" w:color="auto"/>
      </w:divBdr>
    </w:div>
    <w:div w:id="1736732862">
      <w:bodyDiv w:val="1"/>
      <w:marLeft w:val="0"/>
      <w:marRight w:val="0"/>
      <w:marTop w:val="0"/>
      <w:marBottom w:val="0"/>
      <w:divBdr>
        <w:top w:val="none" w:sz="0" w:space="0" w:color="auto"/>
        <w:left w:val="none" w:sz="0" w:space="0" w:color="auto"/>
        <w:bottom w:val="none" w:sz="0" w:space="0" w:color="auto"/>
        <w:right w:val="none" w:sz="0" w:space="0" w:color="auto"/>
      </w:divBdr>
    </w:div>
    <w:div w:id="1754744128">
      <w:bodyDiv w:val="1"/>
      <w:marLeft w:val="0"/>
      <w:marRight w:val="0"/>
      <w:marTop w:val="0"/>
      <w:marBottom w:val="0"/>
      <w:divBdr>
        <w:top w:val="none" w:sz="0" w:space="0" w:color="auto"/>
        <w:left w:val="none" w:sz="0" w:space="0" w:color="auto"/>
        <w:bottom w:val="none" w:sz="0" w:space="0" w:color="auto"/>
        <w:right w:val="none" w:sz="0" w:space="0" w:color="auto"/>
      </w:divBdr>
    </w:div>
    <w:div w:id="1769233859">
      <w:bodyDiv w:val="1"/>
      <w:marLeft w:val="0"/>
      <w:marRight w:val="0"/>
      <w:marTop w:val="0"/>
      <w:marBottom w:val="0"/>
      <w:divBdr>
        <w:top w:val="none" w:sz="0" w:space="0" w:color="auto"/>
        <w:left w:val="none" w:sz="0" w:space="0" w:color="auto"/>
        <w:bottom w:val="none" w:sz="0" w:space="0" w:color="auto"/>
        <w:right w:val="none" w:sz="0" w:space="0" w:color="auto"/>
      </w:divBdr>
    </w:div>
    <w:div w:id="1855997448">
      <w:bodyDiv w:val="1"/>
      <w:marLeft w:val="0"/>
      <w:marRight w:val="0"/>
      <w:marTop w:val="0"/>
      <w:marBottom w:val="0"/>
      <w:divBdr>
        <w:top w:val="none" w:sz="0" w:space="0" w:color="auto"/>
        <w:left w:val="none" w:sz="0" w:space="0" w:color="auto"/>
        <w:bottom w:val="none" w:sz="0" w:space="0" w:color="auto"/>
        <w:right w:val="none" w:sz="0" w:space="0" w:color="auto"/>
      </w:divBdr>
    </w:div>
    <w:div w:id="1896626458">
      <w:bodyDiv w:val="1"/>
      <w:marLeft w:val="0"/>
      <w:marRight w:val="0"/>
      <w:marTop w:val="0"/>
      <w:marBottom w:val="0"/>
      <w:divBdr>
        <w:top w:val="none" w:sz="0" w:space="0" w:color="auto"/>
        <w:left w:val="none" w:sz="0" w:space="0" w:color="auto"/>
        <w:bottom w:val="none" w:sz="0" w:space="0" w:color="auto"/>
        <w:right w:val="none" w:sz="0" w:space="0" w:color="auto"/>
      </w:divBdr>
    </w:div>
    <w:div w:id="1904099784">
      <w:bodyDiv w:val="1"/>
      <w:marLeft w:val="0"/>
      <w:marRight w:val="0"/>
      <w:marTop w:val="0"/>
      <w:marBottom w:val="0"/>
      <w:divBdr>
        <w:top w:val="none" w:sz="0" w:space="0" w:color="auto"/>
        <w:left w:val="none" w:sz="0" w:space="0" w:color="auto"/>
        <w:bottom w:val="none" w:sz="0" w:space="0" w:color="auto"/>
        <w:right w:val="none" w:sz="0" w:space="0" w:color="auto"/>
      </w:divBdr>
    </w:div>
    <w:div w:id="1904638574">
      <w:bodyDiv w:val="1"/>
      <w:marLeft w:val="0"/>
      <w:marRight w:val="0"/>
      <w:marTop w:val="0"/>
      <w:marBottom w:val="0"/>
      <w:divBdr>
        <w:top w:val="none" w:sz="0" w:space="0" w:color="auto"/>
        <w:left w:val="none" w:sz="0" w:space="0" w:color="auto"/>
        <w:bottom w:val="none" w:sz="0" w:space="0" w:color="auto"/>
        <w:right w:val="none" w:sz="0" w:space="0" w:color="auto"/>
      </w:divBdr>
    </w:div>
    <w:div w:id="1928805972">
      <w:bodyDiv w:val="1"/>
      <w:marLeft w:val="0"/>
      <w:marRight w:val="0"/>
      <w:marTop w:val="0"/>
      <w:marBottom w:val="0"/>
      <w:divBdr>
        <w:top w:val="none" w:sz="0" w:space="0" w:color="auto"/>
        <w:left w:val="none" w:sz="0" w:space="0" w:color="auto"/>
        <w:bottom w:val="none" w:sz="0" w:space="0" w:color="auto"/>
        <w:right w:val="none" w:sz="0" w:space="0" w:color="auto"/>
      </w:divBdr>
    </w:div>
    <w:div w:id="1929579290">
      <w:bodyDiv w:val="1"/>
      <w:marLeft w:val="0"/>
      <w:marRight w:val="0"/>
      <w:marTop w:val="0"/>
      <w:marBottom w:val="0"/>
      <w:divBdr>
        <w:top w:val="none" w:sz="0" w:space="0" w:color="auto"/>
        <w:left w:val="none" w:sz="0" w:space="0" w:color="auto"/>
        <w:bottom w:val="none" w:sz="0" w:space="0" w:color="auto"/>
        <w:right w:val="none" w:sz="0" w:space="0" w:color="auto"/>
      </w:divBdr>
    </w:div>
    <w:div w:id="1970626148">
      <w:bodyDiv w:val="1"/>
      <w:marLeft w:val="0"/>
      <w:marRight w:val="0"/>
      <w:marTop w:val="0"/>
      <w:marBottom w:val="0"/>
      <w:divBdr>
        <w:top w:val="none" w:sz="0" w:space="0" w:color="auto"/>
        <w:left w:val="none" w:sz="0" w:space="0" w:color="auto"/>
        <w:bottom w:val="none" w:sz="0" w:space="0" w:color="auto"/>
        <w:right w:val="none" w:sz="0" w:space="0" w:color="auto"/>
      </w:divBdr>
    </w:div>
    <w:div w:id="1972899370">
      <w:bodyDiv w:val="1"/>
      <w:marLeft w:val="0"/>
      <w:marRight w:val="0"/>
      <w:marTop w:val="0"/>
      <w:marBottom w:val="0"/>
      <w:divBdr>
        <w:top w:val="none" w:sz="0" w:space="0" w:color="auto"/>
        <w:left w:val="none" w:sz="0" w:space="0" w:color="auto"/>
        <w:bottom w:val="none" w:sz="0" w:space="0" w:color="auto"/>
        <w:right w:val="none" w:sz="0" w:space="0" w:color="auto"/>
      </w:divBdr>
    </w:div>
    <w:div w:id="1976567229">
      <w:bodyDiv w:val="1"/>
      <w:marLeft w:val="0"/>
      <w:marRight w:val="0"/>
      <w:marTop w:val="0"/>
      <w:marBottom w:val="0"/>
      <w:divBdr>
        <w:top w:val="none" w:sz="0" w:space="0" w:color="auto"/>
        <w:left w:val="none" w:sz="0" w:space="0" w:color="auto"/>
        <w:bottom w:val="none" w:sz="0" w:space="0" w:color="auto"/>
        <w:right w:val="none" w:sz="0" w:space="0" w:color="auto"/>
      </w:divBdr>
    </w:div>
    <w:div w:id="1976763392">
      <w:bodyDiv w:val="1"/>
      <w:marLeft w:val="0"/>
      <w:marRight w:val="0"/>
      <w:marTop w:val="0"/>
      <w:marBottom w:val="0"/>
      <w:divBdr>
        <w:top w:val="none" w:sz="0" w:space="0" w:color="auto"/>
        <w:left w:val="none" w:sz="0" w:space="0" w:color="auto"/>
        <w:bottom w:val="none" w:sz="0" w:space="0" w:color="auto"/>
        <w:right w:val="none" w:sz="0" w:space="0" w:color="auto"/>
      </w:divBdr>
    </w:div>
    <w:div w:id="1979609225">
      <w:bodyDiv w:val="1"/>
      <w:marLeft w:val="0"/>
      <w:marRight w:val="0"/>
      <w:marTop w:val="0"/>
      <w:marBottom w:val="0"/>
      <w:divBdr>
        <w:top w:val="none" w:sz="0" w:space="0" w:color="auto"/>
        <w:left w:val="none" w:sz="0" w:space="0" w:color="auto"/>
        <w:bottom w:val="none" w:sz="0" w:space="0" w:color="auto"/>
        <w:right w:val="none" w:sz="0" w:space="0" w:color="auto"/>
      </w:divBdr>
    </w:div>
    <w:div w:id="1994796282">
      <w:bodyDiv w:val="1"/>
      <w:marLeft w:val="0"/>
      <w:marRight w:val="0"/>
      <w:marTop w:val="0"/>
      <w:marBottom w:val="0"/>
      <w:divBdr>
        <w:top w:val="none" w:sz="0" w:space="0" w:color="auto"/>
        <w:left w:val="none" w:sz="0" w:space="0" w:color="auto"/>
        <w:bottom w:val="none" w:sz="0" w:space="0" w:color="auto"/>
        <w:right w:val="none" w:sz="0" w:space="0" w:color="auto"/>
      </w:divBdr>
    </w:div>
    <w:div w:id="2018654231">
      <w:bodyDiv w:val="1"/>
      <w:marLeft w:val="0"/>
      <w:marRight w:val="0"/>
      <w:marTop w:val="0"/>
      <w:marBottom w:val="0"/>
      <w:divBdr>
        <w:top w:val="none" w:sz="0" w:space="0" w:color="auto"/>
        <w:left w:val="none" w:sz="0" w:space="0" w:color="auto"/>
        <w:bottom w:val="none" w:sz="0" w:space="0" w:color="auto"/>
        <w:right w:val="none" w:sz="0" w:space="0" w:color="auto"/>
      </w:divBdr>
    </w:div>
    <w:div w:id="2097089861">
      <w:bodyDiv w:val="1"/>
      <w:marLeft w:val="0"/>
      <w:marRight w:val="0"/>
      <w:marTop w:val="0"/>
      <w:marBottom w:val="0"/>
      <w:divBdr>
        <w:top w:val="none" w:sz="0" w:space="0" w:color="auto"/>
        <w:left w:val="none" w:sz="0" w:space="0" w:color="auto"/>
        <w:bottom w:val="none" w:sz="0" w:space="0" w:color="auto"/>
        <w:right w:val="none" w:sz="0" w:space="0" w:color="auto"/>
      </w:divBdr>
    </w:div>
    <w:div w:id="2131122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ordorintelligence.com/industry-reports/united-kingdom-telecom-market" TargetMode="External"/><Relationship Id="rId18" Type="http://schemas.openxmlformats.org/officeDocument/2006/relationships/hyperlink" Target="https://www.telecomtv.com/content/access-evolution/vodafone-to-take-full-ownership-of-vodafonethree-55408/"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investors.vodafone.com/~/media/Files/V/Vodafone-IR/documents/performance/financial-results/2025/vodafone-fy25-results-announcement.pdf" TargetMode="External"/><Relationship Id="rId7" Type="http://schemas.openxmlformats.org/officeDocument/2006/relationships/endnotes" Target="endnotes.xml"/><Relationship Id="rId12" Type="http://schemas.openxmlformats.org/officeDocument/2006/relationships/hyperlink" Target="https://matrixbcg.com/blogs/mission/vodafone" TargetMode="External"/><Relationship Id="rId17" Type="http://schemas.openxmlformats.org/officeDocument/2006/relationships/hyperlink" Target="https://sphere.ckh.com.hk/eng/business/417/vodafonethree-is-here-16.5-billion-merger-kicks-off-a-new-era-for-uk-connectivity.php"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rcrwireless.com/20250602/carriers/vodafone-three-merger" TargetMode="External"/><Relationship Id="rId20" Type="http://schemas.openxmlformats.org/officeDocument/2006/relationships/hyperlink" Target="https://www.vodafone.com/news/newsroom/corporate-and-financial/completion-of-vodafone-and-three-merger-in-the-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vesting.com/news/company-news/vodafone-fy25-presentation-service-revenue-grows-51-amid-portfolio-restructuring-4053969" TargetMode="External"/><Relationship Id="rId24" Type="http://schemas.openxmlformats.org/officeDocument/2006/relationships/hyperlink" Target="https://www.vodafonethree.com/vodafone-to-take-full-ownership-of-vodafonethree/" TargetMode="External"/><Relationship Id="rId5" Type="http://schemas.openxmlformats.org/officeDocument/2006/relationships/webSettings" Target="webSettings.xml"/><Relationship Id="rId15" Type="http://schemas.openxmlformats.org/officeDocument/2006/relationships/hyperlink" Target="https://insights.opensignal.com/reports/2026/01/uk/mobile-network-experience" TargetMode="External"/><Relationship Id="rId23" Type="http://schemas.openxmlformats.org/officeDocument/2006/relationships/hyperlink" Target="https://reports.investors.vodafone.com/view/500231330" TargetMode="External"/><Relationship Id="rId10" Type="http://schemas.openxmlformats.org/officeDocument/2006/relationships/hyperlink" Target="https://www.ig.com/en/news-and-trade-ideas/vodafone-three-merger--what-next-after-the-creation-of-the-uk-s--250611" TargetMode="External"/><Relationship Id="rId19" Type="http://schemas.openxmlformats.org/officeDocument/2006/relationships/hyperlink" Target="https://www.verdict.co.uk/vodafone-takeover-vodafonethree/" TargetMode="External"/><Relationship Id="rId4" Type="http://schemas.openxmlformats.org/officeDocument/2006/relationships/settings" Target="settings.xml"/><Relationship Id="rId9" Type="http://schemas.openxmlformats.org/officeDocument/2006/relationships/hyperlink" Target="https://www.commsbusiness.co.uk/content/news/vodafone-revenue-increases-two-per-cent-in-fy25" TargetMode="External"/><Relationship Id="rId14" Type="http://schemas.openxmlformats.org/officeDocument/2006/relationships/hyperlink" Target="https://www.myamplifiers.com/articles/which-uk-mobile-networks-have-the-best-signal-in-2026/" TargetMode="External"/><Relationship Id="rId22" Type="http://schemas.openxmlformats.org/officeDocument/2006/relationships/hyperlink" Target="https://www.vodafone.com/news/newsroom/corporate-and-financial/vodafone-to-take-full-ownership-of-vodafone-thre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50595A-B2C6-4FEF-BC76-9EF61E67F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17</Pages>
  <Words>4936</Words>
  <Characters>26658</Characters>
  <Application>Microsoft Office Word</Application>
  <DocSecurity>0</DocSecurity>
  <Lines>222</Lines>
  <Paragraphs>63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Rodrigues Casagrande, Katiuscia</cp:lastModifiedBy>
  <cp:revision>4</cp:revision>
  <dcterms:created xsi:type="dcterms:W3CDTF">2026-05-01T08:02:00Z</dcterms:created>
  <dcterms:modified xsi:type="dcterms:W3CDTF">2026-08-09T13:08:00Z</dcterms:modified>
</cp:coreProperties>
</file>