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3068334" w:rsidP="2E0B366E" w:rsidRDefault="63068334" w14:paraId="5CA06AED" w14:textId="301116F0">
      <w:pPr>
        <w:pStyle w:val="Normal"/>
        <w:spacing w:line="360" w:lineRule="auto"/>
        <w:rPr>
          <w:rFonts w:ascii="Arial" w:hAnsi="Arial" w:eastAsia="Arial" w:cs="Arial"/>
          <w:b w:val="1"/>
          <w:bCs w:val="1"/>
        </w:rPr>
      </w:pPr>
      <w:r w:rsidRPr="2E0B366E" w:rsidR="6C0D7F6F">
        <w:rPr>
          <w:rFonts w:ascii="Arial" w:hAnsi="Arial" w:eastAsia="Arial" w:cs="Arial"/>
          <w:b w:val="1"/>
          <w:bCs w:val="1"/>
        </w:rPr>
        <w:t>Human Development ECEY4001</w:t>
      </w:r>
      <w:r w:rsidRPr="2E0B366E" w:rsidR="6AC213E8">
        <w:rPr>
          <w:rFonts w:ascii="Arial" w:hAnsi="Arial" w:eastAsia="Arial" w:cs="Arial"/>
          <w:b w:val="1"/>
          <w:bCs w:val="1"/>
        </w:rPr>
        <w:t xml:space="preserve"> – Portfolio</w:t>
      </w:r>
    </w:p>
    <w:p w:rsidR="63068334" w:rsidP="2E0B366E" w:rsidRDefault="63068334" w14:paraId="08175C2D" w14:textId="34F70D32">
      <w:pPr>
        <w:pStyle w:val="Normal"/>
        <w:spacing w:line="360" w:lineRule="auto"/>
        <w:rPr>
          <w:rFonts w:ascii="Arial" w:hAnsi="Arial" w:eastAsia="Arial" w:cs="Arial"/>
          <w:b w:val="1"/>
          <w:bCs w:val="1"/>
        </w:rPr>
      </w:pPr>
      <w:r w:rsidRPr="2E0B366E" w:rsidR="6C0D7F6F">
        <w:rPr>
          <w:rFonts w:ascii="Arial" w:hAnsi="Arial" w:eastAsia="Arial" w:cs="Arial"/>
          <w:b w:val="1"/>
          <w:bCs w:val="1"/>
        </w:rPr>
        <w:t>2411206</w:t>
      </w:r>
      <w:r w:rsidRPr="2E0B366E" w:rsidR="73C58E97">
        <w:rPr>
          <w:rFonts w:ascii="Arial" w:hAnsi="Arial" w:eastAsia="Arial" w:cs="Arial"/>
          <w:b w:val="1"/>
          <w:bCs w:val="1"/>
        </w:rPr>
        <w:t xml:space="preserve"> – Jordan MacDonald</w:t>
      </w:r>
    </w:p>
    <w:p w:rsidR="63068334" w:rsidP="2E0B366E" w:rsidRDefault="63068334" w14:paraId="192C9E32" w14:textId="487765B8">
      <w:pPr>
        <w:pStyle w:val="Normal"/>
        <w:spacing w:line="360" w:lineRule="auto"/>
        <w:rPr>
          <w:rFonts w:ascii="Arial" w:hAnsi="Arial" w:eastAsia="Arial" w:cs="Arial"/>
          <w:b w:val="1"/>
          <w:bCs w:val="1"/>
        </w:rPr>
      </w:pPr>
      <w:r w:rsidRPr="2E4DB1E2" w:rsidR="6C0D7F6F">
        <w:rPr>
          <w:rFonts w:ascii="Arial" w:hAnsi="Arial" w:eastAsia="Arial" w:cs="Arial"/>
          <w:b w:val="1"/>
          <w:bCs w:val="1"/>
        </w:rPr>
        <w:t xml:space="preserve">Total </w:t>
      </w:r>
      <w:r w:rsidRPr="2E4DB1E2" w:rsidR="6C0D7F6F">
        <w:rPr>
          <w:rFonts w:ascii="Arial" w:hAnsi="Arial" w:eastAsia="Arial" w:cs="Arial"/>
          <w:b w:val="1"/>
          <w:bCs w:val="1"/>
        </w:rPr>
        <w:t xml:space="preserve">word </w:t>
      </w:r>
      <w:r w:rsidRPr="2E4DB1E2" w:rsidR="6C0D7F6F">
        <w:rPr>
          <w:rFonts w:ascii="Arial" w:hAnsi="Arial" w:eastAsia="Arial" w:cs="Arial"/>
          <w:b w:val="1"/>
          <w:bCs w:val="1"/>
        </w:rPr>
        <w:t>count</w:t>
      </w:r>
      <w:r w:rsidRPr="2E4DB1E2" w:rsidR="15E2454D">
        <w:rPr>
          <w:rFonts w:ascii="Arial" w:hAnsi="Arial" w:eastAsia="Arial" w:cs="Arial"/>
          <w:b w:val="1"/>
          <w:bCs w:val="1"/>
        </w:rPr>
        <w:t xml:space="preserve"> 30</w:t>
      </w:r>
      <w:r w:rsidRPr="2E4DB1E2" w:rsidR="1A6A8B8D">
        <w:rPr>
          <w:rFonts w:ascii="Arial" w:hAnsi="Arial" w:eastAsia="Arial" w:cs="Arial"/>
          <w:b w:val="1"/>
          <w:bCs w:val="1"/>
        </w:rPr>
        <w:t>98</w:t>
      </w:r>
    </w:p>
    <w:p w:rsidR="63068334" w:rsidP="2E0B366E" w:rsidRDefault="63068334" w14:paraId="2E0488A7" w14:textId="7EE25402">
      <w:pPr>
        <w:pStyle w:val="Normal"/>
        <w:suppressLineNumbers w:val="0"/>
        <w:bidi w:val="0"/>
        <w:spacing w:before="0" w:beforeAutospacing="off" w:after="160" w:afterAutospacing="off" w:line="360" w:lineRule="auto"/>
        <w:ind w:left="0" w:right="0"/>
        <w:jc w:val="left"/>
      </w:pPr>
      <w:r w:rsidRPr="2E0B366E" w:rsidR="530577D3">
        <w:rPr>
          <w:rFonts w:ascii="Arial" w:hAnsi="Arial" w:eastAsia="Arial" w:cs="Arial"/>
          <w:b w:val="1"/>
          <w:bCs w:val="1"/>
        </w:rPr>
        <w:t>Contents:</w:t>
      </w:r>
    </w:p>
    <w:p w:rsidR="63068334" w:rsidP="2E0B366E" w:rsidRDefault="63068334" w14:paraId="286C466F" w14:textId="697D879F">
      <w:pPr>
        <w:pStyle w:val="Normal"/>
        <w:spacing w:line="360" w:lineRule="auto"/>
        <w:rPr>
          <w:rFonts w:ascii="Arial" w:hAnsi="Arial" w:eastAsia="Arial" w:cs="Arial"/>
          <w:b w:val="0"/>
          <w:bCs w:val="0"/>
        </w:rPr>
      </w:pPr>
      <w:r w:rsidRPr="2E4DB1E2" w:rsidR="6C0D7F6F">
        <w:rPr>
          <w:rFonts w:ascii="Arial" w:hAnsi="Arial" w:eastAsia="Arial" w:cs="Arial"/>
          <w:b w:val="0"/>
          <w:bCs w:val="0"/>
        </w:rPr>
        <w:t>Component</w:t>
      </w:r>
      <w:r w:rsidRPr="2E4DB1E2" w:rsidR="6C0D7F6F">
        <w:rPr>
          <w:rFonts w:ascii="Arial" w:hAnsi="Arial" w:eastAsia="Arial" w:cs="Arial"/>
          <w:b w:val="0"/>
          <w:bCs w:val="0"/>
        </w:rPr>
        <w:t xml:space="preserve"> 1 – </w:t>
      </w:r>
      <w:r w:rsidRPr="2E4DB1E2" w:rsidR="2E6E2D29">
        <w:rPr>
          <w:rFonts w:ascii="Arial" w:hAnsi="Arial" w:eastAsia="Arial" w:cs="Arial"/>
          <w:b w:val="0"/>
          <w:bCs w:val="0"/>
        </w:rPr>
        <w:t>Infographic</w:t>
      </w:r>
      <w:r w:rsidRPr="2E4DB1E2" w:rsidR="57D23E39">
        <w:rPr>
          <w:rFonts w:ascii="Arial" w:hAnsi="Arial" w:eastAsia="Arial" w:cs="Arial"/>
          <w:b w:val="0"/>
          <w:bCs w:val="0"/>
        </w:rPr>
        <w:t xml:space="preserve"> –1013 words</w:t>
      </w:r>
    </w:p>
    <w:p w:rsidR="63068334" w:rsidP="2E0B366E" w:rsidRDefault="63068334" w14:paraId="5F14758C" w14:textId="78C246B7">
      <w:pPr>
        <w:pStyle w:val="Normal"/>
        <w:spacing w:line="360" w:lineRule="auto"/>
        <w:rPr>
          <w:rFonts w:ascii="Arial" w:hAnsi="Arial" w:eastAsia="Arial" w:cs="Arial"/>
          <w:b w:val="0"/>
          <w:bCs w:val="0"/>
        </w:rPr>
      </w:pPr>
      <w:r w:rsidRPr="2E4DB1E2" w:rsidR="6C0D7F6F">
        <w:rPr>
          <w:rFonts w:ascii="Arial" w:hAnsi="Arial" w:eastAsia="Arial" w:cs="Arial"/>
          <w:b w:val="0"/>
          <w:bCs w:val="0"/>
        </w:rPr>
        <w:t>Component</w:t>
      </w:r>
      <w:r w:rsidRPr="2E4DB1E2" w:rsidR="6C0D7F6F">
        <w:rPr>
          <w:rFonts w:ascii="Arial" w:hAnsi="Arial" w:eastAsia="Arial" w:cs="Arial"/>
          <w:b w:val="0"/>
          <w:bCs w:val="0"/>
        </w:rPr>
        <w:t xml:space="preserve"> 2 – The concept of holistic development</w:t>
      </w:r>
      <w:r w:rsidRPr="2E4DB1E2" w:rsidR="3AB8451F">
        <w:rPr>
          <w:rFonts w:ascii="Arial" w:hAnsi="Arial" w:eastAsia="Arial" w:cs="Arial"/>
          <w:b w:val="0"/>
          <w:bCs w:val="0"/>
        </w:rPr>
        <w:t xml:space="preserve"> - 10</w:t>
      </w:r>
      <w:r w:rsidRPr="2E4DB1E2" w:rsidR="0B9F1F46">
        <w:rPr>
          <w:rFonts w:ascii="Arial" w:hAnsi="Arial" w:eastAsia="Arial" w:cs="Arial"/>
          <w:b w:val="0"/>
          <w:bCs w:val="0"/>
        </w:rPr>
        <w:t>99</w:t>
      </w:r>
      <w:r w:rsidRPr="2E4DB1E2" w:rsidR="3AB8451F">
        <w:rPr>
          <w:rFonts w:ascii="Arial" w:hAnsi="Arial" w:eastAsia="Arial" w:cs="Arial"/>
          <w:b w:val="0"/>
          <w:bCs w:val="0"/>
        </w:rPr>
        <w:t xml:space="preserve"> words</w:t>
      </w:r>
    </w:p>
    <w:p w:rsidR="63068334" w:rsidP="2E4DB1E2" w:rsidRDefault="63068334" w14:paraId="080BBFB5" w14:textId="0F69A53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6C0D7F6F">
        <w:rPr>
          <w:rFonts w:ascii="Arial" w:hAnsi="Arial" w:eastAsia="Arial" w:cs="Arial"/>
          <w:b w:val="0"/>
          <w:bCs w:val="0"/>
        </w:rPr>
        <w:t>Component</w:t>
      </w:r>
      <w:r w:rsidRPr="2E4DB1E2" w:rsidR="6C0D7F6F">
        <w:rPr>
          <w:rFonts w:ascii="Arial" w:hAnsi="Arial" w:eastAsia="Arial" w:cs="Arial"/>
          <w:b w:val="0"/>
          <w:bCs w:val="0"/>
        </w:rPr>
        <w:t xml:space="preserve"> </w:t>
      </w:r>
      <w:r w:rsidRPr="2E4DB1E2" w:rsidR="6C0D7F6F">
        <w:rPr>
          <w:rFonts w:ascii="Arial" w:hAnsi="Arial" w:eastAsia="Arial" w:cs="Arial"/>
          <w:b w:val="0"/>
          <w:bCs w:val="0"/>
        </w:rPr>
        <w:t xml:space="preserve">3 </w:t>
      </w:r>
      <w:r w:rsidRPr="2E4DB1E2" w:rsidR="2CFA25C1">
        <w:rPr>
          <w:rFonts w:ascii="Arial" w:hAnsi="Arial" w:eastAsia="Arial" w:cs="Arial"/>
          <w:b w:val="0"/>
          <w:bCs w:val="0"/>
        </w:rPr>
        <w:t>-</w:t>
      </w:r>
      <w:r w:rsidRPr="2E4DB1E2" w:rsidR="2CFA25C1">
        <w:rPr>
          <w:rFonts w:ascii="Arial" w:hAnsi="Arial" w:eastAsia="Arial" w:cs="Arial"/>
          <w:b w:val="0"/>
          <w:bCs w:val="0"/>
          <w:i w:val="0"/>
          <w:iCs w:val="0"/>
          <w:caps w:val="0"/>
          <w:smallCaps w:val="0"/>
          <w:noProof w:val="0"/>
          <w:color w:val="000000" w:themeColor="text1" w:themeTint="FF" w:themeShade="FF"/>
          <w:sz w:val="24"/>
          <w:szCs w:val="24"/>
          <w:lang w:val="en-US"/>
        </w:rPr>
        <w:t xml:space="preserve"> Maslow’s significance in understanding child development</w:t>
      </w:r>
      <w:r w:rsidRPr="2E4DB1E2" w:rsidR="3896F555">
        <w:rPr>
          <w:rFonts w:ascii="Arial" w:hAnsi="Arial" w:eastAsia="Arial" w:cs="Arial"/>
          <w:b w:val="0"/>
          <w:bCs w:val="0"/>
          <w:i w:val="0"/>
          <w:iCs w:val="0"/>
          <w:caps w:val="0"/>
          <w:smallCaps w:val="0"/>
          <w:noProof w:val="0"/>
          <w:color w:val="000000" w:themeColor="text1" w:themeTint="FF" w:themeShade="FF"/>
          <w:sz w:val="24"/>
          <w:szCs w:val="24"/>
          <w:lang w:val="en-US"/>
        </w:rPr>
        <w:t xml:space="preserve"> - </w:t>
      </w:r>
      <w:r w:rsidRPr="2E4DB1E2" w:rsidR="187C34B9">
        <w:rPr>
          <w:rFonts w:ascii="Arial" w:hAnsi="Arial" w:eastAsia="Arial" w:cs="Arial"/>
          <w:b w:val="0"/>
          <w:bCs w:val="0"/>
          <w:i w:val="0"/>
          <w:iCs w:val="0"/>
          <w:caps w:val="0"/>
          <w:smallCaps w:val="0"/>
          <w:noProof w:val="0"/>
          <w:color w:val="000000" w:themeColor="text1" w:themeTint="FF" w:themeShade="FF"/>
          <w:sz w:val="24"/>
          <w:szCs w:val="24"/>
          <w:lang w:val="en-US"/>
        </w:rPr>
        <w:t>986</w:t>
      </w:r>
    </w:p>
    <w:p w:rsidR="63068334" w:rsidP="2E0B366E" w:rsidRDefault="63068334" w14:paraId="59553833" w14:textId="38835F10">
      <w:pPr>
        <w:pStyle w:val="Normal"/>
        <w:spacing w:line="360" w:lineRule="auto"/>
        <w:rPr>
          <w:rFonts w:ascii="Arial" w:hAnsi="Arial" w:eastAsia="Arial" w:cs="Arial"/>
          <w:b w:val="1"/>
          <w:bCs w:val="1"/>
        </w:rPr>
      </w:pPr>
      <w:r w:rsidRPr="2E0B366E" w:rsidR="2CFA25C1">
        <w:rPr>
          <w:rFonts w:ascii="Arial" w:hAnsi="Arial" w:eastAsia="Arial" w:cs="Arial"/>
          <w:b w:val="1"/>
          <w:bCs w:val="1"/>
        </w:rPr>
        <w:t xml:space="preserve"> </w:t>
      </w:r>
      <w:r w:rsidRPr="2E0B366E" w:rsidR="6E188FFC">
        <w:rPr>
          <w:rFonts w:ascii="Arial" w:hAnsi="Arial" w:eastAsia="Arial" w:cs="Arial"/>
          <w:b w:val="1"/>
          <w:bCs w:val="1"/>
        </w:rPr>
        <w:t xml:space="preserve">I </w:t>
      </w:r>
      <w:r w:rsidRPr="2E0B366E" w:rsidR="6738A6B3">
        <w:rPr>
          <w:rFonts w:ascii="Arial" w:hAnsi="Arial" w:eastAsia="Arial" w:cs="Arial"/>
          <w:b w:val="1"/>
          <w:bCs w:val="1"/>
        </w:rPr>
        <w:t>acknowledge</w:t>
      </w:r>
      <w:r w:rsidRPr="2E0B366E" w:rsidR="6E188FFC">
        <w:rPr>
          <w:rFonts w:ascii="Arial" w:hAnsi="Arial" w:eastAsia="Arial" w:cs="Arial"/>
          <w:b w:val="1"/>
          <w:bCs w:val="1"/>
        </w:rPr>
        <w:t xml:space="preserve"> the use of </w:t>
      </w:r>
      <w:r w:rsidRPr="2E0B366E" w:rsidR="6E188FFC">
        <w:rPr>
          <w:rFonts w:ascii="Arial" w:hAnsi="Arial" w:eastAsia="Arial" w:cs="Arial"/>
          <w:b w:val="1"/>
          <w:bCs w:val="1"/>
        </w:rPr>
        <w:t>Vennaga</w:t>
      </w:r>
      <w:r w:rsidRPr="2E0B366E" w:rsidR="0D7B7E09">
        <w:rPr>
          <w:rFonts w:ascii="Arial" w:hAnsi="Arial" w:eastAsia="Arial" w:cs="Arial"/>
          <w:b w:val="1"/>
          <w:bCs w:val="1"/>
        </w:rPr>
        <w:t>ge</w:t>
      </w:r>
      <w:r w:rsidRPr="2E0B366E" w:rsidR="6E188FFC">
        <w:rPr>
          <w:rFonts w:ascii="Arial" w:hAnsi="Arial" w:eastAsia="Arial" w:cs="Arial"/>
          <w:b w:val="1"/>
          <w:bCs w:val="1"/>
        </w:rPr>
        <w:t xml:space="preserve"> on 4</w:t>
      </w:r>
      <w:r w:rsidRPr="2E0B366E" w:rsidR="6E188FFC">
        <w:rPr>
          <w:rFonts w:ascii="Arial" w:hAnsi="Arial" w:eastAsia="Arial" w:cs="Arial"/>
          <w:b w:val="1"/>
          <w:bCs w:val="1"/>
          <w:vertAlign w:val="superscript"/>
        </w:rPr>
        <w:t>th</w:t>
      </w:r>
      <w:r w:rsidRPr="2E0B366E" w:rsidR="6E188FFC">
        <w:rPr>
          <w:rFonts w:ascii="Arial" w:hAnsi="Arial" w:eastAsia="Arial" w:cs="Arial"/>
          <w:b w:val="1"/>
          <w:bCs w:val="1"/>
        </w:rPr>
        <w:t xml:space="preserve"> November 2024 to provide me with an </w:t>
      </w:r>
      <w:r w:rsidRPr="2E0B366E" w:rsidR="0277A7F3">
        <w:rPr>
          <w:rFonts w:ascii="Arial" w:hAnsi="Arial" w:eastAsia="Arial" w:cs="Arial"/>
          <w:b w:val="1"/>
          <w:bCs w:val="1"/>
        </w:rPr>
        <w:t>infographic</w:t>
      </w:r>
      <w:r w:rsidRPr="2E0B366E" w:rsidR="4B8A7C09">
        <w:rPr>
          <w:rFonts w:ascii="Arial" w:hAnsi="Arial" w:eastAsia="Arial" w:cs="Arial"/>
          <w:b w:val="1"/>
          <w:bCs w:val="1"/>
        </w:rPr>
        <w:t xml:space="preserve"> template.</w:t>
      </w:r>
      <w:r w:rsidRPr="2E0B366E" w:rsidR="377C886A">
        <w:rPr>
          <w:rFonts w:ascii="Arial" w:hAnsi="Arial" w:eastAsia="Arial" w:cs="Arial"/>
          <w:b w:val="1"/>
          <w:bCs w:val="1"/>
        </w:rPr>
        <w:t xml:space="preserve"> The template I chose I further edited </w:t>
      </w:r>
      <w:r w:rsidRPr="2E0B366E" w:rsidR="68914558">
        <w:rPr>
          <w:rFonts w:ascii="Arial" w:hAnsi="Arial" w:eastAsia="Arial" w:cs="Arial"/>
          <w:b w:val="1"/>
          <w:bCs w:val="1"/>
        </w:rPr>
        <w:t xml:space="preserve">the </w:t>
      </w:r>
      <w:r w:rsidRPr="2E0B366E" w:rsidR="377C886A">
        <w:rPr>
          <w:rFonts w:ascii="Arial" w:hAnsi="Arial" w:eastAsia="Arial" w:cs="Arial"/>
          <w:b w:val="1"/>
          <w:bCs w:val="1"/>
        </w:rPr>
        <w:t xml:space="preserve">picture icons and </w:t>
      </w:r>
      <w:r w:rsidRPr="2E0B366E" w:rsidR="0649D809">
        <w:rPr>
          <w:rFonts w:ascii="Arial" w:hAnsi="Arial" w:eastAsia="Arial" w:cs="Arial"/>
          <w:b w:val="1"/>
          <w:bCs w:val="1"/>
        </w:rPr>
        <w:t xml:space="preserve">overall look of </w:t>
      </w:r>
      <w:r w:rsidRPr="2E0B366E" w:rsidR="0CA6EDAB">
        <w:rPr>
          <w:rFonts w:ascii="Arial" w:hAnsi="Arial" w:eastAsia="Arial" w:cs="Arial"/>
          <w:b w:val="1"/>
          <w:bCs w:val="1"/>
        </w:rPr>
        <w:t xml:space="preserve">the </w:t>
      </w:r>
      <w:r w:rsidRPr="2E0B366E" w:rsidR="0649D809">
        <w:rPr>
          <w:rFonts w:ascii="Arial" w:hAnsi="Arial" w:eastAsia="Arial" w:cs="Arial"/>
          <w:b w:val="1"/>
          <w:bCs w:val="1"/>
        </w:rPr>
        <w:t>template</w:t>
      </w:r>
      <w:r w:rsidRPr="2E0B366E" w:rsidR="377C886A">
        <w:rPr>
          <w:rFonts w:ascii="Arial" w:hAnsi="Arial" w:eastAsia="Arial" w:cs="Arial"/>
          <w:b w:val="1"/>
          <w:bCs w:val="1"/>
        </w:rPr>
        <w:t xml:space="preserve"> </w:t>
      </w:r>
      <w:r w:rsidRPr="2E0B366E" w:rsidR="377C886A">
        <w:rPr>
          <w:rFonts w:ascii="Arial" w:hAnsi="Arial" w:eastAsia="Arial" w:cs="Arial"/>
          <w:b w:val="1"/>
          <w:bCs w:val="1"/>
        </w:rPr>
        <w:t>to</w:t>
      </w:r>
      <w:r w:rsidRPr="2E0B366E" w:rsidR="7D85CFB6">
        <w:rPr>
          <w:rFonts w:ascii="Arial" w:hAnsi="Arial" w:eastAsia="Arial" w:cs="Arial"/>
          <w:b w:val="1"/>
          <w:bCs w:val="1"/>
        </w:rPr>
        <w:t xml:space="preserve"> compliment</w:t>
      </w:r>
      <w:r w:rsidRPr="2E0B366E" w:rsidR="3C3F2196">
        <w:rPr>
          <w:rFonts w:ascii="Arial" w:hAnsi="Arial" w:eastAsia="Arial" w:cs="Arial"/>
          <w:b w:val="1"/>
          <w:bCs w:val="1"/>
        </w:rPr>
        <w:t xml:space="preserve"> my</w:t>
      </w:r>
      <w:r w:rsidRPr="2E0B366E" w:rsidR="7D85CFB6">
        <w:rPr>
          <w:rFonts w:ascii="Arial" w:hAnsi="Arial" w:eastAsia="Arial" w:cs="Arial"/>
          <w:b w:val="1"/>
          <w:bCs w:val="1"/>
        </w:rPr>
        <w:t xml:space="preserve"> </w:t>
      </w:r>
      <w:r w:rsidRPr="2E0B366E" w:rsidR="7D85CFB6">
        <w:rPr>
          <w:rFonts w:ascii="Arial" w:hAnsi="Arial" w:eastAsia="Arial" w:cs="Arial"/>
          <w:b w:val="1"/>
          <w:bCs w:val="1"/>
        </w:rPr>
        <w:t>wo</w:t>
      </w:r>
      <w:r w:rsidRPr="2E0B366E" w:rsidR="7D85CFB6">
        <w:rPr>
          <w:rFonts w:ascii="Arial" w:hAnsi="Arial" w:eastAsia="Arial" w:cs="Arial"/>
          <w:b w:val="1"/>
          <w:bCs w:val="1"/>
        </w:rPr>
        <w:t>rk</w:t>
      </w:r>
      <w:r w:rsidRPr="2E0B366E" w:rsidR="48A1BF7F">
        <w:rPr>
          <w:rFonts w:ascii="Arial" w:hAnsi="Arial" w:eastAsia="Arial" w:cs="Arial"/>
          <w:b w:val="1"/>
          <w:bCs w:val="1"/>
        </w:rPr>
        <w:t xml:space="preserve"> and make</w:t>
      </w:r>
      <w:r w:rsidRPr="2E0B366E" w:rsidR="0827FE53">
        <w:rPr>
          <w:rFonts w:ascii="Arial" w:hAnsi="Arial" w:eastAsia="Arial" w:cs="Arial"/>
          <w:b w:val="1"/>
          <w:bCs w:val="1"/>
        </w:rPr>
        <w:t xml:space="preserve"> it</w:t>
      </w:r>
      <w:r w:rsidRPr="2E0B366E" w:rsidR="48A1BF7F">
        <w:rPr>
          <w:rFonts w:ascii="Arial" w:hAnsi="Arial" w:eastAsia="Arial" w:cs="Arial"/>
          <w:b w:val="1"/>
          <w:bCs w:val="1"/>
        </w:rPr>
        <w:t xml:space="preserve"> my own</w:t>
      </w:r>
      <w:r w:rsidRPr="2E0B366E" w:rsidR="7B32AAB7">
        <w:rPr>
          <w:rFonts w:ascii="Arial" w:hAnsi="Arial" w:eastAsia="Arial" w:cs="Arial"/>
          <w:b w:val="1"/>
          <w:bCs w:val="1"/>
        </w:rPr>
        <w:t>.</w:t>
      </w:r>
    </w:p>
    <w:p w:rsidR="63068334" w:rsidP="2E0B366E" w:rsidRDefault="63068334" w14:paraId="543C677E" w14:textId="12438FFA">
      <w:pPr>
        <w:pStyle w:val="Normal"/>
        <w:spacing w:line="360" w:lineRule="auto"/>
        <w:rPr>
          <w:rFonts w:ascii="Arial" w:hAnsi="Arial" w:eastAsia="Arial" w:cs="Arial"/>
          <w:b w:val="1"/>
          <w:bCs w:val="1"/>
        </w:rPr>
      </w:pPr>
    </w:p>
    <w:p w:rsidR="63068334" w:rsidP="2E0B366E" w:rsidRDefault="63068334" w14:paraId="07C45ACE" w14:textId="62C352F4">
      <w:pPr>
        <w:pStyle w:val="Normal"/>
        <w:spacing w:line="360" w:lineRule="auto"/>
        <w:rPr>
          <w:rFonts w:ascii="Arial" w:hAnsi="Arial" w:eastAsia="Arial" w:cs="Arial"/>
          <w:b w:val="1"/>
          <w:bCs w:val="1"/>
        </w:rPr>
      </w:pPr>
      <w:r w:rsidRPr="2E0B366E" w:rsidR="2FEBEC71">
        <w:rPr>
          <w:rFonts w:ascii="Arial" w:hAnsi="Arial" w:eastAsia="Arial" w:cs="Arial"/>
          <w:b w:val="1"/>
          <w:bCs w:val="1"/>
        </w:rPr>
        <w:t xml:space="preserve">I confirm that I have not </w:t>
      </w:r>
      <w:r w:rsidRPr="2E0B366E" w:rsidR="2FEBEC71">
        <w:rPr>
          <w:rFonts w:ascii="Arial" w:hAnsi="Arial" w:eastAsia="Arial" w:cs="Arial"/>
          <w:b w:val="1"/>
          <w:bCs w:val="1"/>
        </w:rPr>
        <w:t>presented</w:t>
      </w:r>
      <w:r w:rsidRPr="2E0B366E" w:rsidR="2FEBEC71">
        <w:rPr>
          <w:rFonts w:ascii="Arial" w:hAnsi="Arial" w:eastAsia="Arial" w:cs="Arial"/>
          <w:b w:val="1"/>
          <w:bCs w:val="1"/>
        </w:rPr>
        <w:t xml:space="preserve"> and AI generated text as my own work. I confirm I have copies of my drafts, </w:t>
      </w:r>
      <w:r w:rsidRPr="2E0B366E" w:rsidR="2FEBEC71">
        <w:rPr>
          <w:rFonts w:ascii="Arial" w:hAnsi="Arial" w:eastAsia="Arial" w:cs="Arial"/>
          <w:b w:val="1"/>
          <w:bCs w:val="1"/>
        </w:rPr>
        <w:t>notes</w:t>
      </w:r>
      <w:r w:rsidRPr="2E0B366E" w:rsidR="2FEBEC71">
        <w:rPr>
          <w:rFonts w:ascii="Arial" w:hAnsi="Arial" w:eastAsia="Arial" w:cs="Arial"/>
          <w:b w:val="1"/>
          <w:bCs w:val="1"/>
        </w:rPr>
        <w:t xml:space="preserve"> and other resources I used before, and after the use of AI tools which I may be asked to provide in ev</w:t>
      </w:r>
      <w:r w:rsidRPr="2E0B366E" w:rsidR="44A5A9F8">
        <w:rPr>
          <w:rFonts w:ascii="Arial" w:hAnsi="Arial" w:eastAsia="Arial" w:cs="Arial"/>
          <w:b w:val="1"/>
          <w:bCs w:val="1"/>
        </w:rPr>
        <w:t>idence.</w:t>
      </w:r>
    </w:p>
    <w:p w:rsidR="63068334" w:rsidP="0AE1511D" w:rsidRDefault="63068334" w14:paraId="0D90C029" w14:textId="2E903855">
      <w:pPr>
        <w:pStyle w:val="Normal"/>
      </w:pPr>
      <w:r w:rsidRPr="2E4DB1E2" w:rsidR="4B8A7C09">
        <w:rPr>
          <w:rFonts w:ascii="Arial" w:hAnsi="Arial" w:eastAsia="Arial" w:cs="Arial"/>
          <w:b w:val="1"/>
          <w:bCs w:val="1"/>
        </w:rPr>
        <w:t xml:space="preserve"> </w:t>
      </w:r>
      <w:r w:rsidRPr="2E4DB1E2" w:rsidR="63068334">
        <w:rPr>
          <w:rFonts w:ascii="Arial" w:hAnsi="Arial" w:eastAsia="Arial" w:cs="Arial"/>
          <w:b w:val="1"/>
          <w:bCs w:val="1"/>
        </w:rPr>
        <w:t>Component</w:t>
      </w:r>
      <w:r w:rsidRPr="2E4DB1E2" w:rsidR="63068334">
        <w:rPr>
          <w:rFonts w:ascii="Arial" w:hAnsi="Arial" w:eastAsia="Arial" w:cs="Arial"/>
          <w:b w:val="1"/>
          <w:bCs w:val="1"/>
        </w:rPr>
        <w:t xml:space="preserve"> 1</w:t>
      </w:r>
      <w:r w:rsidRPr="2E4DB1E2" w:rsidR="0CA03EE3">
        <w:rPr>
          <w:rFonts w:ascii="Arial" w:hAnsi="Arial" w:eastAsia="Arial" w:cs="Arial"/>
          <w:b w:val="1"/>
          <w:bCs w:val="1"/>
        </w:rPr>
        <w:t xml:space="preserve"> </w:t>
      </w:r>
      <w:r w:rsidRPr="2E4DB1E2" w:rsidR="77EF1F40">
        <w:rPr>
          <w:rFonts w:ascii="Arial" w:hAnsi="Arial" w:eastAsia="Arial" w:cs="Arial"/>
          <w:b w:val="1"/>
          <w:bCs w:val="1"/>
        </w:rPr>
        <w:t>Infographic</w:t>
      </w:r>
      <w:r w:rsidR="77EF1F40">
        <w:rPr/>
        <w:t xml:space="preserve"> -</w:t>
      </w:r>
      <w:r w:rsidR="0B78CDD2">
        <w:rPr/>
        <w:t xml:space="preserve"> </w:t>
      </w:r>
      <w:hyperlink r:id="R118e662107d4400c">
        <w:r w:rsidRPr="2E4DB1E2" w:rsidR="0B78CDD2">
          <w:rPr>
            <w:rStyle w:val="Hyperlink"/>
          </w:rPr>
          <w:t>https://infograph.venngage.com/ps/MsRuOpG3jDA</w:t>
        </w:r>
      </w:hyperlink>
      <w:r w:rsidR="0B78CDD2">
        <w:rPr/>
        <w:t xml:space="preserve"> </w:t>
      </w:r>
      <w:r w:rsidR="77EF1F40">
        <w:rPr/>
        <w:t xml:space="preserve"> </w:t>
      </w:r>
      <w:r w:rsidR="75CD12B6">
        <w:drawing>
          <wp:inline wp14:editId="01E87D3F" wp14:anchorId="4172ABE1">
            <wp:extent cx="8229600" cy="5486400"/>
            <wp:effectExtent l="0" t="0" r="0" b="0"/>
            <wp:docPr id="711276443" name="" title=""/>
            <wp:cNvGraphicFramePr>
              <a:graphicFrameLocks noChangeAspect="1"/>
            </wp:cNvGraphicFramePr>
            <a:graphic>
              <a:graphicData uri="http://schemas.openxmlformats.org/drawingml/2006/picture">
                <pic:pic>
                  <pic:nvPicPr>
                    <pic:cNvPr id="0" name=""/>
                    <pic:cNvPicPr/>
                  </pic:nvPicPr>
                  <pic:blipFill>
                    <a:blip r:embed="Reb90daf2dfc648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8229600" cy="5486400"/>
                    </a:xfrm>
                    <a:prstGeom prst="rect">
                      <a:avLst/>
                    </a:prstGeom>
                  </pic:spPr>
                </pic:pic>
              </a:graphicData>
            </a:graphic>
          </wp:inline>
        </w:drawing>
      </w:r>
      <w:r w:rsidR="01C2D769">
        <w:drawing>
          <wp:inline wp14:editId="0E4B73D9" wp14:anchorId="201F7315">
            <wp:extent cx="8229600" cy="5534026"/>
            <wp:effectExtent l="0" t="0" r="0" b="0"/>
            <wp:docPr id="2108638434" name="" title=""/>
            <wp:cNvGraphicFramePr>
              <a:graphicFrameLocks noChangeAspect="1"/>
            </wp:cNvGraphicFramePr>
            <a:graphic>
              <a:graphicData uri="http://schemas.openxmlformats.org/drawingml/2006/picture">
                <pic:pic>
                  <pic:nvPicPr>
                    <pic:cNvPr id="0" name=""/>
                    <pic:cNvPicPr/>
                  </pic:nvPicPr>
                  <pic:blipFill>
                    <a:blip r:embed="R997f129b38d4482d">
                      <a:extLst>
                        <a:ext xmlns:a="http://schemas.openxmlformats.org/drawingml/2006/main" uri="{28A0092B-C50C-407E-A947-70E740481C1C}">
                          <a14:useLocalDpi val="0"/>
                        </a:ext>
                      </a:extLst>
                    </a:blip>
                    <a:stretch>
                      <a:fillRect/>
                    </a:stretch>
                  </pic:blipFill>
                  <pic:spPr>
                    <a:xfrm>
                      <a:off x="0" y="0"/>
                      <a:ext cx="8229600" cy="5534026"/>
                    </a:xfrm>
                    <a:prstGeom prst="rect">
                      <a:avLst/>
                    </a:prstGeom>
                  </pic:spPr>
                </pic:pic>
              </a:graphicData>
            </a:graphic>
          </wp:inline>
        </w:drawing>
      </w:r>
      <w:r w:rsidR="01C2D769">
        <w:drawing>
          <wp:inline wp14:editId="1B8FCB95" wp14:anchorId="2D91ED5D">
            <wp:extent cx="8229600" cy="5553074"/>
            <wp:effectExtent l="0" t="0" r="0" b="0"/>
            <wp:docPr id="1832058948" name="" title=""/>
            <wp:cNvGraphicFramePr>
              <a:graphicFrameLocks noChangeAspect="1"/>
            </wp:cNvGraphicFramePr>
            <a:graphic>
              <a:graphicData uri="http://schemas.openxmlformats.org/drawingml/2006/picture">
                <pic:pic>
                  <pic:nvPicPr>
                    <pic:cNvPr id="0" name=""/>
                    <pic:cNvPicPr/>
                  </pic:nvPicPr>
                  <pic:blipFill>
                    <a:blip r:embed="Rae626ea3d5674709">
                      <a:extLst>
                        <a:ext xmlns:a="http://schemas.openxmlformats.org/drawingml/2006/main" uri="{28A0092B-C50C-407E-A947-70E740481C1C}">
                          <a14:useLocalDpi val="0"/>
                        </a:ext>
                      </a:extLst>
                    </a:blip>
                    <a:stretch>
                      <a:fillRect/>
                    </a:stretch>
                  </pic:blipFill>
                  <pic:spPr>
                    <a:xfrm>
                      <a:off x="0" y="0"/>
                      <a:ext cx="8229600" cy="5553074"/>
                    </a:xfrm>
                    <a:prstGeom prst="rect">
                      <a:avLst/>
                    </a:prstGeom>
                  </pic:spPr>
                </pic:pic>
              </a:graphicData>
            </a:graphic>
          </wp:inline>
        </w:drawing>
      </w:r>
    </w:p>
    <w:p w:rsidR="092A2B8A" w:rsidP="1ED6CA51" w:rsidRDefault="092A2B8A" w14:paraId="16A5603E" w14:textId="7A470566">
      <w:pPr>
        <w:spacing w:before="135" w:beforeAutospacing="off" w:after="135" w:afterAutospacing="off" w:line="240" w:lineRule="auto"/>
        <w:rPr>
          <w:rFonts w:ascii="Arial" w:hAnsi="Arial" w:eastAsia="Arial" w:cs="Arial"/>
          <w:b w:val="1"/>
          <w:bCs w:val="1"/>
          <w:noProof w:val="0"/>
          <w:color w:val="010A10"/>
          <w:sz w:val="24"/>
          <w:szCs w:val="24"/>
          <w:lang w:val="en-US"/>
        </w:rPr>
      </w:pPr>
      <w:r w:rsidRPr="1ED6CA51" w:rsidR="092A2B8A">
        <w:rPr>
          <w:rFonts w:ascii="Arial" w:hAnsi="Arial" w:eastAsia="Arial" w:cs="Arial"/>
          <w:b w:val="1"/>
          <w:bCs w:val="1"/>
          <w:noProof w:val="0"/>
          <w:color w:val="010A10"/>
          <w:sz w:val="24"/>
          <w:szCs w:val="24"/>
          <w:lang w:val="en-US"/>
        </w:rPr>
        <w:t>Component</w:t>
      </w:r>
      <w:r w:rsidRPr="1ED6CA51" w:rsidR="092A2B8A">
        <w:rPr>
          <w:rFonts w:ascii="Arial" w:hAnsi="Arial" w:eastAsia="Arial" w:cs="Arial"/>
          <w:b w:val="1"/>
          <w:bCs w:val="1"/>
          <w:noProof w:val="0"/>
          <w:color w:val="010A10"/>
          <w:sz w:val="24"/>
          <w:szCs w:val="24"/>
          <w:lang w:val="en-US"/>
        </w:rPr>
        <w:t xml:space="preserve"> 2 </w:t>
      </w:r>
      <w:r>
        <w:tab/>
      </w:r>
      <w:r>
        <w:tab/>
      </w:r>
      <w:r>
        <w:tab/>
      </w:r>
      <w:r>
        <w:tab/>
      </w:r>
      <w:r>
        <w:tab/>
      </w:r>
      <w:r>
        <w:tab/>
      </w:r>
      <w:r>
        <w:tab/>
      </w:r>
      <w:r>
        <w:tab/>
      </w:r>
      <w:r>
        <w:tab/>
      </w:r>
      <w:r>
        <w:tab/>
      </w:r>
      <w:r>
        <w:tab/>
      </w:r>
      <w:r>
        <w:tab/>
      </w:r>
      <w:r>
        <w:tab/>
      </w:r>
    </w:p>
    <w:p w:rsidR="092A2B8A" w:rsidP="2E0B366E" w:rsidRDefault="092A2B8A" w14:paraId="00D72608" w14:textId="3F0D3ABE">
      <w:pPr>
        <w:spacing w:before="135" w:beforeAutospacing="off" w:after="135" w:afterAutospacing="off" w:line="240" w:lineRule="auto"/>
        <w:rPr>
          <w:rFonts w:ascii="Arial" w:hAnsi="Arial" w:eastAsia="Arial" w:cs="Arial"/>
          <w:b w:val="0"/>
          <w:bCs w:val="0"/>
          <w:noProof w:val="0"/>
          <w:color w:val="010A10"/>
          <w:sz w:val="24"/>
          <w:szCs w:val="24"/>
          <w:lang w:val="en-US"/>
        </w:rPr>
      </w:pPr>
      <w:r w:rsidRPr="1ED6CA51" w:rsidR="31D2ABE8">
        <w:rPr>
          <w:rFonts w:ascii="Arial" w:hAnsi="Arial" w:eastAsia="Arial" w:cs="Arial"/>
          <w:b w:val="0"/>
          <w:bCs w:val="0"/>
          <w:noProof w:val="0"/>
          <w:color w:val="010A10"/>
          <w:sz w:val="24"/>
          <w:szCs w:val="24"/>
          <w:lang w:val="en-US"/>
        </w:rPr>
        <w:t xml:space="preserve"> </w:t>
      </w:r>
      <w:r w:rsidRPr="1ED6CA51" w:rsidR="55352F6E">
        <w:rPr>
          <w:rFonts w:ascii="Arial" w:hAnsi="Arial" w:eastAsia="Arial" w:cs="Arial"/>
          <w:b w:val="0"/>
          <w:bCs w:val="0"/>
          <w:noProof w:val="0"/>
          <w:color w:val="010A10"/>
          <w:sz w:val="24"/>
          <w:szCs w:val="24"/>
          <w:lang w:val="en-US"/>
        </w:rPr>
        <w:t>ECEY4001</w:t>
      </w:r>
    </w:p>
    <w:p w:rsidR="55352F6E" w:rsidP="2E0B366E" w:rsidRDefault="55352F6E" w14:paraId="589E06F9" w14:textId="2D75B568">
      <w:pPr>
        <w:spacing w:before="135" w:beforeAutospacing="off" w:after="135" w:afterAutospacing="off" w:line="240" w:lineRule="auto"/>
        <w:rPr>
          <w:rFonts w:ascii="Arial" w:hAnsi="Arial" w:eastAsia="Arial" w:cs="Arial"/>
          <w:b w:val="0"/>
          <w:bCs w:val="0"/>
          <w:noProof w:val="0"/>
          <w:color w:val="010A10"/>
          <w:sz w:val="24"/>
          <w:szCs w:val="24"/>
          <w:lang w:val="en-US"/>
        </w:rPr>
      </w:pPr>
      <w:r w:rsidRPr="2E0B366E" w:rsidR="55352F6E">
        <w:rPr>
          <w:rFonts w:ascii="Arial" w:hAnsi="Arial" w:eastAsia="Arial" w:cs="Arial"/>
          <w:b w:val="0"/>
          <w:bCs w:val="0"/>
          <w:noProof w:val="0"/>
          <w:color w:val="010A10"/>
          <w:sz w:val="24"/>
          <w:szCs w:val="24"/>
          <w:lang w:val="en-US"/>
        </w:rPr>
        <w:t>2411206</w:t>
      </w:r>
    </w:p>
    <w:p w:rsidR="55352F6E" w:rsidP="2E0B366E" w:rsidRDefault="55352F6E" w14:paraId="43342598" w14:textId="447D67D4">
      <w:pPr>
        <w:spacing w:before="135" w:beforeAutospacing="off" w:after="135" w:afterAutospacing="off" w:line="240" w:lineRule="auto"/>
        <w:rPr>
          <w:rFonts w:ascii="Arial" w:hAnsi="Arial" w:eastAsia="Arial" w:cs="Arial"/>
          <w:b w:val="0"/>
          <w:bCs w:val="0"/>
          <w:noProof w:val="0"/>
          <w:color w:val="010A10"/>
          <w:sz w:val="24"/>
          <w:szCs w:val="24"/>
          <w:lang w:val="en-US"/>
        </w:rPr>
      </w:pPr>
      <w:r w:rsidRPr="1ED6CA51" w:rsidR="55352F6E">
        <w:rPr>
          <w:rFonts w:ascii="Arial" w:hAnsi="Arial" w:eastAsia="Arial" w:cs="Arial"/>
          <w:b w:val="0"/>
          <w:bCs w:val="0"/>
          <w:noProof w:val="0"/>
          <w:color w:val="010A10"/>
          <w:sz w:val="24"/>
          <w:szCs w:val="24"/>
          <w:lang w:val="en-US"/>
        </w:rPr>
        <w:t>1</w:t>
      </w:r>
      <w:r w:rsidRPr="1ED6CA51" w:rsidR="4A9F8145">
        <w:rPr>
          <w:rFonts w:ascii="Arial" w:hAnsi="Arial" w:eastAsia="Arial" w:cs="Arial"/>
          <w:b w:val="0"/>
          <w:bCs w:val="0"/>
          <w:noProof w:val="0"/>
          <w:color w:val="010A10"/>
          <w:sz w:val="24"/>
          <w:szCs w:val="24"/>
          <w:lang w:val="en-US"/>
        </w:rPr>
        <w:t>099</w:t>
      </w:r>
      <w:r w:rsidRPr="1ED6CA51" w:rsidR="13EE58EB">
        <w:rPr>
          <w:rFonts w:ascii="Arial" w:hAnsi="Arial" w:eastAsia="Arial" w:cs="Arial"/>
          <w:b w:val="0"/>
          <w:bCs w:val="0"/>
          <w:noProof w:val="0"/>
          <w:color w:val="010A10"/>
          <w:sz w:val="24"/>
          <w:szCs w:val="24"/>
          <w:lang w:val="en-US"/>
        </w:rPr>
        <w:t xml:space="preserve"> </w:t>
      </w:r>
      <w:r w:rsidRPr="1ED6CA51" w:rsidR="55352F6E">
        <w:rPr>
          <w:rFonts w:ascii="Arial" w:hAnsi="Arial" w:eastAsia="Arial" w:cs="Arial"/>
          <w:b w:val="0"/>
          <w:bCs w:val="0"/>
          <w:noProof w:val="0"/>
          <w:color w:val="010A10"/>
          <w:sz w:val="24"/>
          <w:szCs w:val="24"/>
          <w:lang w:val="en-US"/>
        </w:rPr>
        <w:t>Words</w:t>
      </w:r>
    </w:p>
    <w:p w:rsidR="5C5741E7" w:rsidP="2E0B366E" w:rsidRDefault="5C5741E7" w14:paraId="4D41C26E" w14:textId="7E6D5EA8">
      <w:pPr>
        <w:spacing w:before="135" w:beforeAutospacing="off" w:after="135" w:afterAutospacing="off" w:line="240" w:lineRule="auto"/>
        <w:rPr>
          <w:rFonts w:ascii="Arial" w:hAnsi="Arial" w:eastAsia="Arial" w:cs="Arial"/>
          <w:b w:val="0"/>
          <w:bCs w:val="0"/>
          <w:noProof w:val="0"/>
          <w:color w:val="010A10"/>
          <w:sz w:val="24"/>
          <w:szCs w:val="24"/>
          <w:lang w:val="en-US"/>
        </w:rPr>
      </w:pPr>
      <w:hyperlink r:id="R03defb641d434404">
        <w:r w:rsidRPr="2E0B366E" w:rsidR="5C5741E7">
          <w:rPr>
            <w:rStyle w:val="Hyperlink"/>
            <w:rFonts w:ascii="Arial" w:hAnsi="Arial" w:eastAsia="Arial" w:cs="Arial"/>
            <w:b w:val="1"/>
            <w:bCs w:val="1"/>
            <w:i w:val="0"/>
            <w:iCs w:val="0"/>
            <w:caps w:val="0"/>
            <w:smallCaps w:val="0"/>
            <w:strike w:val="0"/>
            <w:dstrike w:val="0"/>
            <w:noProof w:val="0"/>
            <w:sz w:val="24"/>
            <w:szCs w:val="24"/>
            <w:lang w:val="en-US"/>
          </w:rPr>
          <w:t>The Concept of Holistic Child Development 2411206.docx</w:t>
        </w:r>
      </w:hyperlink>
    </w:p>
    <w:p w:rsidR="5C5741E7" w:rsidP="2E0B366E" w:rsidRDefault="5C5741E7" w14:paraId="69057596" w14:textId="3CC0D557">
      <w:pPr>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The Concept of Holistic Child Development</w:t>
      </w:r>
      <w:r w:rsidRPr="2E0B366E" w:rsidR="5C5741E7">
        <w:rPr>
          <w:rFonts w:ascii="Arial" w:hAnsi="Arial" w:eastAsia="Arial" w:cs="Arial"/>
          <w:b w:val="1"/>
          <w:bCs w:val="1"/>
          <w:i w:val="0"/>
          <w:iCs w:val="0"/>
          <w:caps w:val="0"/>
          <w:smallCaps w:val="0"/>
          <w:noProof w:val="0"/>
          <w:color w:val="000000" w:themeColor="text1" w:themeTint="FF" w:themeShade="FF"/>
          <w:sz w:val="24"/>
          <w:szCs w:val="24"/>
          <w:lang w:val="en-US"/>
        </w:rPr>
        <w:t xml:space="preserve"> </w:t>
      </w:r>
    </w:p>
    <w:p w:rsidR="5C5741E7" w:rsidP="2E0B366E" w:rsidRDefault="5C5741E7" w14:paraId="1D1C3A90" w14:textId="3BA08A70">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Introduction</w:t>
      </w:r>
    </w:p>
    <w:p w:rsidR="5C5741E7" w:rsidP="2E0B366E" w:rsidRDefault="5C5741E7" w14:paraId="56DB32E3" w14:textId="4104871F">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This written work will look in depth at the concept of holistic child development and how it links to Maslow’s hierarchy of needs. Theories that support what holistic child development is and why it is important for us to view each child as individuals will be discussed.</w:t>
      </w:r>
    </w:p>
    <w:p w:rsidR="5C5741E7" w:rsidP="2E0B366E" w:rsidRDefault="5C5741E7" w14:paraId="5A5A17F8" w14:textId="2123A441">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What is a concept?</w:t>
      </w:r>
    </w:p>
    <w:p w:rsidR="5C5741E7" w:rsidP="2E0B366E" w:rsidRDefault="5C5741E7" w14:paraId="353D747C" w14:textId="5C6C2407">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A concept is an abstract idea, or principle that exists as a feeling or idea in one’s mind (Cambridge Dictionary, 2019).</w:t>
      </w:r>
    </w:p>
    <w:p w:rsidR="5C5741E7" w:rsidP="2E0B366E" w:rsidRDefault="5C5741E7" w14:paraId="7C42F14B" w14:textId="329A6479">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What is holistic development?</w:t>
      </w:r>
    </w:p>
    <w:p w:rsidR="5C5741E7" w:rsidP="1ED6CA51" w:rsidRDefault="5C5741E7" w14:paraId="790B55AC" w14:textId="41ADE357">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When we look at the concept of holistic development, we discover it is a way of developing a child, in their entirety, looking at each child as a whole and unique being and not just focusing on the development of their intellectual understanding (Miller 2023). Holistic development pays attention to nurturing a healthy mind, body and spirit or soul of a child. It aims to support children to grow and develop as able and self-assured individuals, who are confident within their community and aspire to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attain</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purpose in their lives (Ministry of Education, 1996, p. 9).</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ED6CA51" w:rsidR="31DDC939">
        <w:rPr>
          <w:rFonts w:ascii="Arial" w:hAnsi="Arial" w:eastAsia="Arial" w:cs="Arial"/>
          <w:b w:val="0"/>
          <w:bCs w:val="0"/>
          <w:i w:val="0"/>
          <w:iCs w:val="0"/>
          <w:caps w:val="0"/>
          <w:smallCaps w:val="0"/>
          <w:noProof w:val="0"/>
          <w:color w:val="000000" w:themeColor="text1" w:themeTint="FF" w:themeShade="FF"/>
          <w:sz w:val="24"/>
          <w:szCs w:val="24"/>
          <w:lang w:val="en-US"/>
        </w:rPr>
        <w:t>Maslow’s Hierarchy of needs</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encourages educators </w:t>
      </w:r>
      <w:r w:rsidRPr="1ED6CA51" w:rsidR="60D76040">
        <w:rPr>
          <w:rFonts w:ascii="Arial" w:hAnsi="Arial" w:eastAsia="Arial" w:cs="Arial"/>
          <w:b w:val="0"/>
          <w:bCs w:val="0"/>
          <w:i w:val="0"/>
          <w:iCs w:val="0"/>
          <w:caps w:val="0"/>
          <w:smallCaps w:val="0"/>
          <w:noProof w:val="0"/>
          <w:color w:val="000000" w:themeColor="text1" w:themeTint="FF" w:themeShade="FF"/>
          <w:sz w:val="24"/>
          <w:szCs w:val="24"/>
          <w:lang w:val="en-US"/>
        </w:rPr>
        <w:t xml:space="preserve">to </w:t>
      </w:r>
      <w:r w:rsidRPr="1ED6CA51" w:rsidR="60D76040">
        <w:rPr>
          <w:rFonts w:ascii="Arial" w:hAnsi="Arial" w:eastAsia="Arial" w:cs="Arial"/>
          <w:b w:val="0"/>
          <w:bCs w:val="0"/>
          <w:i w:val="0"/>
          <w:iCs w:val="0"/>
          <w:caps w:val="0"/>
          <w:smallCaps w:val="0"/>
          <w:noProof w:val="0"/>
          <w:color w:val="000000" w:themeColor="text1" w:themeTint="FF" w:themeShade="FF"/>
          <w:sz w:val="24"/>
          <w:szCs w:val="24"/>
          <w:lang w:val="en-US"/>
        </w:rPr>
        <w:t>realise</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that a person has complex needs that need to be nourished and supported, so that </w:t>
      </w:r>
      <w:r w:rsidRPr="1ED6CA51" w:rsidR="27645CCF">
        <w:rPr>
          <w:rFonts w:ascii="Arial" w:hAnsi="Arial" w:eastAsia="Arial" w:cs="Arial"/>
          <w:b w:val="0"/>
          <w:bCs w:val="0"/>
          <w:i w:val="0"/>
          <w:iCs w:val="0"/>
          <w:caps w:val="0"/>
          <w:smallCaps w:val="0"/>
          <w:noProof w:val="0"/>
          <w:color w:val="000000" w:themeColor="text1" w:themeTint="FF" w:themeShade="FF"/>
          <w:sz w:val="24"/>
          <w:szCs w:val="24"/>
          <w:lang w:val="en-US"/>
        </w:rPr>
        <w:t>people</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can develop and grow to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realise</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their full potential (Early Years TV, 2024). </w:t>
      </w:r>
    </w:p>
    <w:p w:rsidR="2E0B366E" w:rsidP="1ED6CA51" w:rsidRDefault="2E0B366E" w14:paraId="305A24FB" w14:textId="48B58F60">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The Early Childhood Play, Learning and Care (ECPLC) provision and practice draws attention to the importance of holistic development in early years, contributing to lifelong learning and well-being. This guidance is underpinned by Welsh Government</w:t>
      </w:r>
      <w:r w:rsidRPr="1ED6CA51" w:rsidR="5203C95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2023).</w:t>
      </w:r>
    </w:p>
    <w:p w:rsidR="5C5741E7" w:rsidP="2E0B366E" w:rsidRDefault="5C5741E7" w14:paraId="67767F57" w14:textId="3BAE1A30">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Relationships</w:t>
      </w:r>
    </w:p>
    <w:p w:rsidR="5C5741E7" w:rsidP="2E0B366E" w:rsidRDefault="5C5741E7" w14:paraId="3A8E83F5" w14:textId="0A16E11F">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Maslow’s model highlights the need for love and belonging which leads us on to the need for positive relationships.  According to Department for Education (2024) research shows the relationships that form between children and their care givers build over time and that the bond created contributes to the child's future overall wellbeing, learning and development. </w:t>
      </w:r>
    </w:p>
    <w:p w:rsidR="5C5741E7" w:rsidP="1ED6CA51" w:rsidRDefault="5C5741E7" w14:paraId="2DDF6D8B" w14:textId="7C9D649F">
      <w:pPr>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It is vital that attachments formed are positive ones, as research shows, children learn from imitating adults around them, how we present ourselves influence the behavior of children (Wilson, 2016).</w:t>
      </w:r>
      <w:r w:rsidRPr="1ED6CA51" w:rsidR="37E42A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Piaget wrote about </w:t>
      </w:r>
      <w:r w:rsidRPr="1ED6CA51" w:rsidR="6A9CB5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impact teachers had on child development</w:t>
      </w:r>
      <w:r w:rsidRPr="1ED6CA51" w:rsidR="5804FD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how they </w:t>
      </w:r>
      <w:r w:rsidRPr="1ED6CA51" w:rsidR="5804FD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recognised</w:t>
      </w:r>
      <w:r w:rsidRPr="1ED6CA51" w:rsidR="5804FD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 need to move away from traditional academic teaching and move towards a more </w:t>
      </w:r>
      <w:r w:rsidRPr="1ED6CA51" w:rsidR="5804FD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holistic approach</w:t>
      </w:r>
      <w:r w:rsidRPr="1ED6CA51" w:rsidR="6A9CB5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ED6CA51" w:rsidR="1F49F7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whereby</w:t>
      </w:r>
      <w:r w:rsidRPr="1ED6CA51" w:rsidR="2598C9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ED6CA51" w:rsidR="2DAE43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children </w:t>
      </w:r>
      <w:r w:rsidRPr="1ED6CA51" w:rsidR="071DB9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were encouraged </w:t>
      </w:r>
      <w:r w:rsidRPr="1ED6CA51" w:rsidR="2DAE437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to learn and discover </w:t>
      </w:r>
      <w:r w:rsidRPr="1ED6CA51" w:rsidR="2A826D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independently (Gray and </w:t>
      </w:r>
      <w:r w:rsidRPr="1ED6CA51" w:rsidR="2A826D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MacBla</w:t>
      </w:r>
      <w:r w:rsidRPr="1ED6CA51" w:rsidR="19A263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w:t>
      </w:r>
      <w:r w:rsidRPr="1ED6CA51" w:rsidR="2A826D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w:t>
      </w:r>
      <w:r w:rsidRPr="1ED6CA51" w:rsidR="2A826D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2015, p.83</w:t>
      </w:r>
      <w:r w:rsidRPr="1ED6CA51" w:rsidR="7D2F25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1ED6CA51" w:rsidR="2A826DB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p>
    <w:p w:rsidR="5C5741E7" w:rsidP="1ED6CA51" w:rsidRDefault="5C5741E7" w14:paraId="4220751A" w14:textId="1E2B82AA">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This compliments Bowlby’s findings that when a child forms a strong attachment with their primary caregiver, they have a solid, love filled safety foundation, whereby children have confidence to take risks without anxiety and learn from their caregivers who act as role models for consistent positive behavior that the child can learn from (Wilson, 2016). </w:t>
      </w:r>
    </w:p>
    <w:p w:rsidR="5C5741E7" w:rsidP="1ED6CA51" w:rsidRDefault="5C5741E7" w14:paraId="75383C5A" w14:textId="2176456D">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Albert Bandura acknowledges learning can occur independently but argues much of the learning is encouraged by ‘social interaction’ these are positive interactions, typically between ‘teachers, peers,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parents</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and caregivers’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demonstrating</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how creating worthwhile relationships can flourish early learning</w:t>
      </w:r>
      <w:r w:rsidRPr="1ED6CA51" w:rsidR="6BCE22C7">
        <w:rPr>
          <w:rFonts w:ascii="Arial" w:hAnsi="Arial" w:eastAsia="Arial" w:cs="Arial"/>
          <w:b w:val="0"/>
          <w:bCs w:val="0"/>
          <w:i w:val="0"/>
          <w:iCs w:val="0"/>
          <w:caps w:val="0"/>
          <w:smallCaps w:val="0"/>
          <w:noProof w:val="0"/>
          <w:color w:val="000000" w:themeColor="text1" w:themeTint="FF" w:themeShade="FF"/>
          <w:sz w:val="24"/>
          <w:szCs w:val="24"/>
          <w:lang w:val="en-US"/>
        </w:rPr>
        <w:t xml:space="preserve"> (Schunk and DiBenedetto, 2023)</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w:t>
      </w:r>
      <w:r w:rsidRPr="1ED6CA51" w:rsidR="5C5741E7">
        <w:rPr>
          <w:rFonts w:ascii="Arial" w:hAnsi="Arial" w:eastAsia="Arial" w:cs="Arial"/>
          <w:b w:val="0"/>
          <w:bCs w:val="0"/>
          <w:i w:val="0"/>
          <w:iCs w:val="0"/>
          <w:caps w:val="1"/>
          <w:strike w:val="0"/>
          <w:dstrike w:val="0"/>
          <w:noProof w:val="0"/>
          <w:color w:val="000000" w:themeColor="text1" w:themeTint="FF" w:themeShade="FF"/>
          <w:sz w:val="24"/>
          <w:szCs w:val="24"/>
          <w:u w:val="none"/>
          <w:lang w:val="en-US"/>
        </w:rPr>
        <w:t xml:space="preserve">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C5741E7" w:rsidP="1ED6CA51" w:rsidRDefault="5C5741E7" w14:paraId="0427C23C" w14:textId="78CD6627">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Similarly, Jerome Bruner also identified the significance of positive relationships contributing to the development of holism, he believed that adults who were more actively involved in a child's development, could contribute to the expansion of their learning much quicker than if a child was left to learn without support (Lindon, 2005, p. 40).</w:t>
      </w:r>
      <w:r w:rsidRPr="1ED6CA51" w:rsidR="465172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p>
    <w:p w:rsidR="5C5741E7" w:rsidP="2E0B366E" w:rsidRDefault="5C5741E7" w14:paraId="32D7967A" w14:textId="58413801">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Potter (2010) argues that despite parent's best intentions, changes to the family dynamic such as divorce can directly impact a child's psychological well-being and academic development. </w:t>
      </w:r>
    </w:p>
    <w:p w:rsidR="5C5741E7" w:rsidP="1ED6CA51" w:rsidRDefault="5C5741E7" w14:paraId="03971978" w14:textId="76EBA51F">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Following divorce and separation parents may </w:t>
      </w:r>
      <w:r w:rsidRPr="1ED6CA51" w:rsidR="675CAEF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struggle</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adjust emotionally, falling short in their emotional support for the child during these significant changes (Anderson, 2014).</w:t>
      </w:r>
    </w:p>
    <w:p w:rsidR="5C5741E7" w:rsidP="2E0B366E" w:rsidRDefault="5C5741E7" w14:paraId="6AA900C6" w14:textId="61773FEC">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Birth to 5 matters (2021) points out the value of working together, using a key person system in a childcare environment, ensuring the child is fulfilled to their true potential. A key person collaborates with the family closest to the child, inviting the primary care givers to lead an active role in their child’s development. By sharing information about the child and valuing their unique family cultures together the key worker and the family can work towards the best possible outcomes for their children.</w:t>
      </w:r>
    </w:p>
    <w:p w:rsidR="5C5741E7" w:rsidP="2E0B366E" w:rsidRDefault="5C5741E7" w14:paraId="153B89D2" w14:textId="512DA2FC">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 xml:space="preserve">Environments </w:t>
      </w:r>
    </w:p>
    <w:p w:rsidR="5C5741E7" w:rsidP="1ED6CA51" w:rsidRDefault="5C5741E7" w14:paraId="2F84912B" w14:textId="0A5A976B">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pPr>
      <w:r w:rsidRPr="1ED6CA51" w:rsidR="418718A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When we think about holistic development it is worth considering the </w:t>
      </w:r>
      <w:r w:rsidRPr="1ED6CA51" w:rsidR="12D0A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importance of </w:t>
      </w:r>
      <w:r w:rsidRPr="1ED6CA51" w:rsidR="581AC8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environment</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in which we l</w:t>
      </w:r>
      <w:r w:rsidRPr="1ED6CA51" w:rsidR="15BD91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ive</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World Health Organization (2020) describes environments as places where humans live and the communities around them, places in which we learn, play and work. </w:t>
      </w:r>
      <w:r w:rsidRPr="1ED6CA51" w:rsidR="4F9B0C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Vygotsky</w:t>
      </w:r>
      <w:r w:rsidRPr="1ED6CA51" w:rsidR="4B1DDE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(1987)</w:t>
      </w:r>
      <w:r w:rsidRPr="1ED6CA51" w:rsidR="4F9B0C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links</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ED6CA51" w:rsidR="1D7E24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the importance of adult relationships and environment around the child together, saying that development begins as soon as a child is born and that the environment and influence of the adults contribute to the learning and development</w:t>
      </w:r>
      <w:r w:rsidRPr="1ED6CA51" w:rsidR="4B7BDB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of children</w:t>
      </w:r>
      <w:r w:rsidRPr="1ED6CA51" w:rsidR="1D7E24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Hodgman (2011) believes the environment in which we live contributes to healthy physical and emotional growth of humans. This discussion is backed by UNICEF (2010) who</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state</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for a child to reach the full and unique potential of their personality they must grow up in a family environment,</w:t>
      </w:r>
      <w:r w:rsidRPr="1ED6CA51" w:rsidR="686F24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that </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surround them with nutrition, love, warmth and understanding.</w:t>
      </w:r>
    </w:p>
    <w:p w:rsidR="5C5741E7" w:rsidP="1ED6CA51" w:rsidRDefault="5C5741E7" w14:paraId="25482ECD" w14:textId="423AE0E1">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Policylab</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(2018)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identified</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how children living in poverty can experience disadvantages of their overall well-being and development. Marilou (2014)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observed</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that children living in low-income families benefit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greatly from</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inclusive holistic care and education.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When a child’s health and nutritional needs are satisfied, they are able to use the energy gained to play and learn.</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One-way childcare settings tackle</w:t>
      </w:r>
      <w:r w:rsidRPr="1ED6CA51" w:rsidR="7D61DDBD">
        <w:rPr>
          <w:rFonts w:ascii="Arial" w:hAnsi="Arial" w:eastAsia="Arial" w:cs="Arial"/>
          <w:b w:val="0"/>
          <w:bCs w:val="0"/>
          <w:i w:val="0"/>
          <w:iCs w:val="0"/>
          <w:caps w:val="0"/>
          <w:smallCaps w:val="0"/>
          <w:noProof w:val="0"/>
          <w:color w:val="000000" w:themeColor="text1" w:themeTint="FF" w:themeShade="FF"/>
          <w:sz w:val="24"/>
          <w:szCs w:val="24"/>
          <w:lang w:val="en-US"/>
        </w:rPr>
        <w:t>d</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nutritional </w:t>
      </w:r>
      <w:r w:rsidRPr="1ED6CA51" w:rsidR="5C18176B">
        <w:rPr>
          <w:rFonts w:ascii="Arial" w:hAnsi="Arial" w:eastAsia="Arial" w:cs="Arial"/>
          <w:b w:val="0"/>
          <w:bCs w:val="0"/>
          <w:i w:val="0"/>
          <w:iCs w:val="0"/>
          <w:caps w:val="0"/>
          <w:smallCaps w:val="0"/>
          <w:noProof w:val="0"/>
          <w:color w:val="000000" w:themeColor="text1" w:themeTint="FF" w:themeShade="FF"/>
          <w:sz w:val="24"/>
          <w:szCs w:val="24"/>
          <w:lang w:val="en-US"/>
        </w:rPr>
        <w:t>poverty was</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by offering free breakfast clubs with food to start the day, when a child's appetite is suppressed, they are more likely to be ready </w:t>
      </w:r>
      <w:r w:rsidRPr="1ED6CA51" w:rsidR="2C8C9C8F">
        <w:rPr>
          <w:rFonts w:ascii="Arial" w:hAnsi="Arial" w:eastAsia="Arial" w:cs="Arial"/>
          <w:b w:val="0"/>
          <w:bCs w:val="0"/>
          <w:i w:val="0"/>
          <w:iCs w:val="0"/>
          <w:caps w:val="0"/>
          <w:smallCaps w:val="0"/>
          <w:noProof w:val="0"/>
          <w:color w:val="000000" w:themeColor="text1" w:themeTint="FF" w:themeShade="FF"/>
          <w:sz w:val="24"/>
          <w:szCs w:val="24"/>
          <w:lang w:val="en-US"/>
        </w:rPr>
        <w:t>and</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engaged </w:t>
      </w:r>
      <w:r w:rsidRPr="1ED6CA51" w:rsidR="64A5886D">
        <w:rPr>
          <w:rFonts w:ascii="Arial" w:hAnsi="Arial" w:eastAsia="Arial" w:cs="Arial"/>
          <w:b w:val="0"/>
          <w:bCs w:val="0"/>
          <w:i w:val="0"/>
          <w:iCs w:val="0"/>
          <w:caps w:val="0"/>
          <w:smallCaps w:val="0"/>
          <w:noProof w:val="0"/>
          <w:color w:val="000000" w:themeColor="text1" w:themeTint="FF" w:themeShade="FF"/>
          <w:sz w:val="24"/>
          <w:szCs w:val="24"/>
          <w:lang w:val="en-US"/>
        </w:rPr>
        <w:t>to</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learn (Simon 1999). </w:t>
      </w:r>
    </w:p>
    <w:p w:rsidR="5C5741E7" w:rsidP="1ED6CA51" w:rsidRDefault="5C5741E7" w14:paraId="05BDF3A5" w14:textId="1BF1764C">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Hodgman (2012) goes into detail about how learning environments contribute to the development of a child.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She believes that both indoor and outdoor environments should be equipped with high quality resources, space and emotional stability.</w:t>
      </w:r>
    </w:p>
    <w:p w:rsidR="5C5741E7" w:rsidP="1ED6CA51" w:rsidRDefault="5C5741E7" w14:paraId="02CD882F" w14:textId="248A293C">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Frobel writes often about the positive effects of outdoor environments promoting healthy child development, especially for children living in poverty. He uncovered through observations, it is essential that adults provide opportunities for children to play and explore independently, to support holistic development. His observations </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validated</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to him that humans are naturally creative and enabling environments are essential to people so they can reach </w:t>
      </w:r>
      <w:r w:rsidRPr="1ED6CA51" w:rsidR="1BB67B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self-actualization</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Conkbayir</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and Pascal, 2014). Reviewing Maslow’s model, environments could </w:t>
      </w:r>
      <w:r w:rsidRPr="1ED6CA51" w:rsidR="5CE67C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arguably</w:t>
      </w:r>
      <w:r w:rsidRPr="1ED6CA51"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be categorized under physiological and safety needs. </w:t>
      </w:r>
    </w:p>
    <w:p w:rsidR="1ED6CA51" w:rsidP="1ED6CA51" w:rsidRDefault="1ED6CA51" w14:paraId="4B60F4D8" w14:textId="41CC5307">
      <w:pPr>
        <w:spacing w:before="0" w:beforeAutospacing="off" w:after="160" w:afterAutospacing="off"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p>
    <w:p w:rsidR="1ED6CA51" w:rsidP="1ED6CA51" w:rsidRDefault="1ED6CA51" w14:paraId="4BDFF5B1" w14:textId="5A7134AD">
      <w:pPr>
        <w:spacing w:before="0" w:beforeAutospacing="off" w:after="160" w:afterAutospacing="off"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p>
    <w:p w:rsidR="1ED6CA51" w:rsidP="1ED6CA51" w:rsidRDefault="1ED6CA51" w14:paraId="35632470" w14:textId="1C8DD858">
      <w:pPr>
        <w:spacing w:before="0" w:beforeAutospacing="off" w:after="160" w:afterAutospacing="off"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p>
    <w:p w:rsidR="1ED6CA51" w:rsidP="1ED6CA51" w:rsidRDefault="1ED6CA51" w14:paraId="16C5A7C3" w14:textId="15CBA472">
      <w:pPr>
        <w:spacing w:before="0" w:beforeAutospacing="off" w:after="160" w:afterAutospacing="off"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p>
    <w:p w:rsidR="5C5741E7" w:rsidP="2E0B366E" w:rsidRDefault="5C5741E7" w14:paraId="01317218" w14:textId="0E8823EE">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Safety</w:t>
      </w:r>
    </w:p>
    <w:p w:rsidR="5C5741E7" w:rsidP="1ED6CA51" w:rsidRDefault="5C5741E7" w14:paraId="59CAE32C" w14:textId="1F710C58">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Practitioners must consider safety when exploring the concept of holistic child development.</w:t>
      </w:r>
    </w:p>
    <w:p w:rsidR="5C5741E7" w:rsidP="1ED6CA51" w:rsidRDefault="5C5741E7" w14:paraId="4BD3B13E" w14:textId="5369E0E4">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Safety in the early </w:t>
      </w:r>
      <w:r w:rsidRPr="1ED6CA51" w:rsidR="34A484A9">
        <w:rPr>
          <w:rFonts w:ascii="Arial" w:hAnsi="Arial" w:eastAsia="Arial" w:cs="Arial"/>
          <w:b w:val="0"/>
          <w:bCs w:val="0"/>
          <w:i w:val="0"/>
          <w:iCs w:val="0"/>
          <w:caps w:val="0"/>
          <w:smallCaps w:val="0"/>
          <w:noProof w:val="0"/>
          <w:color w:val="000000" w:themeColor="text1" w:themeTint="FF" w:themeShade="FF"/>
          <w:sz w:val="24"/>
          <w:szCs w:val="24"/>
          <w:lang w:val="en-US"/>
        </w:rPr>
        <w:t>years</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refers to the physical and emotional safeguarding of child</w:t>
      </w:r>
      <w:r w:rsidRPr="1ED6CA51" w:rsidR="3D9B50C8">
        <w:rPr>
          <w:rFonts w:ascii="Arial" w:hAnsi="Arial" w:eastAsia="Arial" w:cs="Arial"/>
          <w:b w:val="0"/>
          <w:bCs w:val="0"/>
          <w:i w:val="0"/>
          <w:iCs w:val="0"/>
          <w:caps w:val="0"/>
          <w:smallCaps w:val="0"/>
          <w:noProof w:val="0"/>
          <w:color w:val="000000" w:themeColor="text1" w:themeTint="FF" w:themeShade="FF"/>
          <w:sz w:val="24"/>
          <w:szCs w:val="24"/>
          <w:lang w:val="en-US"/>
        </w:rPr>
        <w:t>ren</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Caregivers have a duty to work together to protect children from neglect</w:t>
      </w:r>
      <w:r w:rsidRPr="1ED6CA51" w:rsidR="4C1CFA9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abuse of all forms and promote healthy living and development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Baginsky</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2022). </w:t>
      </w:r>
    </w:p>
    <w:p w:rsidR="5C5741E7" w:rsidP="1ED6CA51" w:rsidRDefault="5C5741E7" w14:paraId="4340CCA7" w14:textId="39D364FC">
      <w:pPr>
        <w:shd w:val="clear" w:color="auto" w:fill="FFFFFF" w:themeFill="background1"/>
        <w:spacing w:before="0" w:beforeAutospacing="off" w:after="27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UNICEF (2024) are advocates for the UN Convention on the Rights of the Child (UNCRC). The UNCRC created rights specific to the unique needs of children, so that every child is viewed as an individual and a valuable member of society. The rights enable </w:t>
      </w:r>
      <w:r w:rsidRPr="1ED6CA51" w:rsidR="1F5F2A43">
        <w:rPr>
          <w:rFonts w:ascii="Arial" w:hAnsi="Arial" w:eastAsia="Arial" w:cs="Arial"/>
          <w:b w:val="0"/>
          <w:bCs w:val="0"/>
          <w:i w:val="0"/>
          <w:iCs w:val="0"/>
          <w:caps w:val="0"/>
          <w:smallCaps w:val="0"/>
          <w:noProof w:val="0"/>
          <w:color w:val="000000" w:themeColor="text1" w:themeTint="FF" w:themeShade="FF"/>
          <w:sz w:val="24"/>
          <w:szCs w:val="24"/>
          <w:lang w:val="en-US"/>
        </w:rPr>
        <w:t>children</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t</w:t>
      </w:r>
      <w:r w:rsidRPr="1ED6CA51" w:rsidR="0DD0E0A1">
        <w:rPr>
          <w:rFonts w:ascii="Arial" w:hAnsi="Arial" w:eastAsia="Arial" w:cs="Arial"/>
          <w:b w:val="0"/>
          <w:bCs w:val="0"/>
          <w:i w:val="0"/>
          <w:iCs w:val="0"/>
          <w:caps w:val="0"/>
          <w:smallCaps w:val="0"/>
          <w:noProof w:val="0"/>
          <w:color w:val="000000" w:themeColor="text1" w:themeTint="FF" w:themeShade="FF"/>
          <w:sz w:val="24"/>
          <w:szCs w:val="24"/>
          <w:lang w:val="en-US"/>
        </w:rPr>
        <w:t>o</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at least “a basic quality of life” to develop as a whole and reach their full potential.  </w:t>
      </w:r>
    </w:p>
    <w:p w:rsidR="5C5741E7" w:rsidP="1ED6CA51" w:rsidRDefault="5C5741E7" w14:paraId="2545F418" w14:textId="3978F867">
      <w:pPr>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Prior to the UNCRC children were “voiceless” </w:t>
      </w:r>
      <w:r w:rsidRPr="1ED6CA51" w:rsidR="72D7D30C">
        <w:rPr>
          <w:rFonts w:ascii="Arial" w:hAnsi="Arial" w:eastAsia="Arial" w:cs="Arial"/>
          <w:b w:val="0"/>
          <w:bCs w:val="0"/>
          <w:i w:val="0"/>
          <w:iCs w:val="0"/>
          <w:caps w:val="0"/>
          <w:smallCaps w:val="0"/>
          <w:noProof w:val="0"/>
          <w:color w:val="000000" w:themeColor="text1" w:themeTint="FF" w:themeShade="FF"/>
          <w:sz w:val="24"/>
          <w:szCs w:val="24"/>
          <w:lang w:val="en-US"/>
        </w:rPr>
        <w:t>regarding</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their rights, nowadays the convention has given children independence to their own human rights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Childrens</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rights Wales 2024)</w:t>
      </w:r>
      <w:r w:rsidRPr="1ED6CA51" w:rsidR="152A301C">
        <w:rPr>
          <w:rFonts w:ascii="Arial" w:hAnsi="Arial" w:eastAsia="Arial" w:cs="Arial"/>
          <w:b w:val="0"/>
          <w:bCs w:val="0"/>
          <w:i w:val="0"/>
          <w:iCs w:val="0"/>
          <w:caps w:val="0"/>
          <w:smallCaps w:val="0"/>
          <w:noProof w:val="0"/>
          <w:color w:val="000000" w:themeColor="text1" w:themeTint="FF" w:themeShade="FF"/>
          <w:sz w:val="24"/>
          <w:szCs w:val="24"/>
          <w:lang w:val="en-US"/>
        </w:rPr>
        <w:t>.</w:t>
      </w:r>
    </w:p>
    <w:p w:rsidR="5C5741E7" w:rsidP="2E0B366E" w:rsidRDefault="5C5741E7" w14:paraId="580BA907" w14:textId="08E955DD">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Summary</w:t>
      </w:r>
    </w:p>
    <w:p w:rsidR="2E0B366E" w:rsidP="1ED6CA51" w:rsidRDefault="2E0B366E" w14:paraId="17960771" w14:textId="62E2CED8">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To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summarise</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we have discussed some key </w:t>
      </w:r>
      <w:r w:rsidRPr="1ED6CA51" w:rsidR="5831C6E8">
        <w:rPr>
          <w:rFonts w:ascii="Arial" w:hAnsi="Arial" w:eastAsia="Arial" w:cs="Arial"/>
          <w:b w:val="0"/>
          <w:bCs w:val="0"/>
          <w:i w:val="0"/>
          <w:iCs w:val="0"/>
          <w:caps w:val="0"/>
          <w:smallCaps w:val="0"/>
          <w:noProof w:val="0"/>
          <w:color w:val="000000" w:themeColor="text1" w:themeTint="FF" w:themeShade="FF"/>
          <w:sz w:val="24"/>
          <w:szCs w:val="24"/>
          <w:lang w:val="en-US"/>
        </w:rPr>
        <w:t>concepts</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that contribute to developing the child as a whole, demonstrating how these theories link to Maslow’s hierarchy of needs and are underpinned by policies. </w:t>
      </w:r>
    </w:p>
    <w:p w:rsidR="2E0B366E" w:rsidP="2E0B366E" w:rsidRDefault="2E0B366E" w14:paraId="0A369FF5" w14:textId="733E9FB8">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5C5741E7" w:rsidP="2E0B366E" w:rsidRDefault="5C5741E7" w14:paraId="0448745A" w14:textId="4650390A">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1"/>
          <w:bCs w:val="1"/>
          <w:i w:val="0"/>
          <w:iCs w:val="0"/>
          <w:caps w:val="0"/>
          <w:smallCaps w:val="0"/>
          <w:noProof w:val="0"/>
          <w:color w:val="000000" w:themeColor="text1" w:themeTint="FF" w:themeShade="FF"/>
          <w:sz w:val="24"/>
          <w:szCs w:val="24"/>
          <w:lang w:val="en-US"/>
        </w:rPr>
        <w:t>Reference list</w:t>
      </w:r>
    </w:p>
    <w:p w:rsidR="5C5741E7" w:rsidP="2E4DB1E2" w:rsidRDefault="5C5741E7" w14:paraId="25F76DE1" w14:textId="2B629142">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Anderson, J. (2014)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The Impact of Family Structure on the Health of Children: Effects of Divorce</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The Linacre Quarterly</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81(4), pp. 378–387. Available at: </w:t>
      </w:r>
      <w:hyperlink r:id="R068d6226df004698">
        <w:r w:rsidRPr="2E4DB1E2" w:rsidR="5C5741E7">
          <w:rPr>
            <w:rStyle w:val="Hyperlink"/>
            <w:rFonts w:ascii="Arial" w:hAnsi="Arial" w:eastAsia="Arial" w:cs="Arial"/>
            <w:b w:val="0"/>
            <w:bCs w:val="0"/>
            <w:i w:val="0"/>
            <w:iCs w:val="0"/>
            <w:caps w:val="0"/>
            <w:smallCaps w:val="0"/>
            <w:noProof w:val="0"/>
            <w:sz w:val="24"/>
            <w:szCs w:val="24"/>
            <w:lang w:val="en-US"/>
          </w:rPr>
          <w:t>https://doi.org/10.1179/0024363914z.00000000087</w:t>
        </w:r>
      </w:hyperlink>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C5741E7" w:rsidP="2E0B366E" w:rsidRDefault="5C5741E7" w14:paraId="3547AA5E" w14:textId="1EDE52F1">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Baginsky, M. (2022)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Protecting and safeguarding children in schools : a multi-agency approach</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1st ed. Bristol, England: Policy Press. Available at: </w:t>
      </w:r>
      <w:hyperlink r:id="R645a33a5ecec4d4b">
        <w:r w:rsidRPr="2E0B366E" w:rsidR="5C5741E7">
          <w:rPr>
            <w:rStyle w:val="Hyperlink"/>
            <w:rFonts w:ascii="Arial" w:hAnsi="Arial" w:eastAsia="Arial" w:cs="Arial"/>
            <w:b w:val="0"/>
            <w:bCs w:val="0"/>
            <w:i w:val="0"/>
            <w:iCs w:val="0"/>
            <w:caps w:val="0"/>
            <w:smallCaps w:val="0"/>
            <w:strike w:val="0"/>
            <w:dstrike w:val="0"/>
            <w:noProof w:val="0"/>
            <w:sz w:val="24"/>
            <w:szCs w:val="24"/>
            <w:lang w:val="en-US"/>
          </w:rPr>
          <w:t>https://doi.org/10.56687/9781447358299</w:t>
        </w:r>
      </w:hyperlink>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w:t>
      </w:r>
    </w:p>
    <w:p w:rsidR="5C5741E7" w:rsidP="2E0B366E" w:rsidRDefault="5C5741E7" w14:paraId="74993DD4" w14:textId="58A46C6F">
      <w:pPr>
        <w:spacing w:before="0" w:beforeAutospacing="off" w:after="160" w:afterAutospacing="off" w:line="278" w:lineRule="auto"/>
        <w:rPr>
          <w:rFonts w:ascii="Calibri" w:hAnsi="Calibri" w:eastAsia="Calibri" w:cs="Calibri"/>
          <w:b w:val="0"/>
          <w:bCs w:val="0"/>
          <w:i w:val="0"/>
          <w:iCs w:val="0"/>
          <w:caps w:val="0"/>
          <w:smallCaps w:val="0"/>
          <w:noProof w:val="0"/>
          <w:color w:val="000000" w:themeColor="text1" w:themeTint="FF" w:themeShade="FF"/>
          <w:sz w:val="27"/>
          <w:szCs w:val="27"/>
          <w:lang w:val="en-US"/>
        </w:rPr>
      </w:pPr>
      <w:r w:rsidRPr="2E0B366E" w:rsidR="5C5741E7">
        <w:rPr>
          <w:rFonts w:ascii="Calibri" w:hAnsi="Calibri" w:eastAsia="Calibri" w:cs="Calibri"/>
          <w:b w:val="0"/>
          <w:bCs w:val="0"/>
          <w:i w:val="1"/>
          <w:iCs w:val="1"/>
          <w:caps w:val="0"/>
          <w:smallCaps w:val="0"/>
          <w:noProof w:val="0"/>
          <w:color w:val="000000" w:themeColor="text1" w:themeTint="FF" w:themeShade="FF"/>
          <w:sz w:val="27"/>
          <w:szCs w:val="27"/>
          <w:lang w:val="en-US"/>
        </w:rPr>
        <w:t>Childrens rights Wales</w:t>
      </w:r>
      <w:r w:rsidRPr="2E0B366E" w:rsidR="5C5741E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(2024) </w:t>
      </w:r>
      <w:r w:rsidRPr="2E0B366E" w:rsidR="5C5741E7">
        <w:rPr>
          <w:rFonts w:ascii="Calibri" w:hAnsi="Calibri" w:eastAsia="Calibri" w:cs="Calibri"/>
          <w:b w:val="0"/>
          <w:bCs w:val="0"/>
          <w:i w:val="1"/>
          <w:iCs w:val="1"/>
          <w:caps w:val="0"/>
          <w:smallCaps w:val="0"/>
          <w:noProof w:val="0"/>
          <w:color w:val="000000" w:themeColor="text1" w:themeTint="FF" w:themeShade="FF"/>
          <w:sz w:val="27"/>
          <w:szCs w:val="27"/>
          <w:lang w:val="en-US"/>
        </w:rPr>
        <w:t>‘About children’s rights | Why children’s rights?’</w:t>
      </w:r>
      <w:r w:rsidRPr="2E0B366E" w:rsidR="5C5741E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Available at: </w:t>
      </w:r>
      <w:hyperlink r:id="Rf3aa5bbc0bd54583">
        <w:r w:rsidRPr="2E0B366E" w:rsidR="5C5741E7">
          <w:rPr>
            <w:rStyle w:val="Hyperlink"/>
            <w:rFonts w:ascii="Calibri" w:hAnsi="Calibri" w:eastAsia="Calibri" w:cs="Calibri"/>
            <w:b w:val="0"/>
            <w:bCs w:val="0"/>
            <w:i w:val="0"/>
            <w:iCs w:val="0"/>
            <w:caps w:val="0"/>
            <w:smallCaps w:val="0"/>
            <w:noProof w:val="0"/>
            <w:sz w:val="27"/>
            <w:szCs w:val="27"/>
            <w:lang w:val="en-US"/>
          </w:rPr>
          <w:t>https://childrensrightswales.org.uk/why-childrens-rights.aspx</w:t>
        </w:r>
      </w:hyperlink>
      <w:r w:rsidRPr="2E0B366E" w:rsidR="5C5741E7">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25 November 2024).</w:t>
      </w:r>
    </w:p>
    <w:p w:rsidR="5C5741E7" w:rsidP="2E0B366E" w:rsidRDefault="5C5741E7" w14:paraId="49B38CC8" w14:textId="6CD23D37">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Cambridge Dictionary (2019)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CONCEPT | meaning in the Cambridge English Dictionary</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Cambridge.org</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20d1c68e80cf43fc">
        <w:r w:rsidRPr="2E0B366E" w:rsidR="5C5741E7">
          <w:rPr>
            <w:rStyle w:val="Hyperlink"/>
            <w:rFonts w:ascii="Arial" w:hAnsi="Arial" w:eastAsia="Arial" w:cs="Arial"/>
            <w:b w:val="0"/>
            <w:bCs w:val="0"/>
            <w:i w:val="0"/>
            <w:iCs w:val="0"/>
            <w:caps w:val="0"/>
            <w:smallCaps w:val="0"/>
            <w:strike w:val="0"/>
            <w:dstrike w:val="0"/>
            <w:noProof w:val="0"/>
            <w:sz w:val="24"/>
            <w:szCs w:val="24"/>
            <w:lang w:val="en-US"/>
          </w:rPr>
          <w:t>https://dictionary.cambridge.org/dictionary/english/concept</w:t>
        </w:r>
      </w:hyperlink>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[accessed: 18 November 2024]</w:t>
      </w:r>
    </w:p>
    <w:p w:rsidR="5C5741E7" w:rsidP="2E0B366E" w:rsidRDefault="5C5741E7" w14:paraId="66374BAF" w14:textId="45DA4AB8">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Conkbayir, M. and Pascal, C. (2014)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Early childhood theories and contemporary issues: an introduction</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London ; New York: Bloomsbury Academic.</w:t>
      </w:r>
    </w:p>
    <w:p w:rsidR="5C5741E7" w:rsidP="2E0B366E" w:rsidRDefault="5C5741E7" w14:paraId="2117CC07" w14:textId="1A6FEE1E">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Decherney, S. (2024)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Love | emotion | Britannica</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w:r w:rsidRPr="2E0B366E" w:rsidR="5C5741E7">
          <w:rPr>
            <w:rStyle w:val="Hyperlink"/>
            <w:rFonts w:ascii="Arial" w:hAnsi="Arial" w:eastAsia="Arial" w:cs="Arial"/>
            <w:b w:val="0"/>
            <w:bCs w:val="0"/>
            <w:i w:val="1"/>
            <w:iCs w:val="1"/>
            <w:caps w:val="0"/>
            <w:smallCaps w:val="0"/>
            <w:noProof w:val="0"/>
            <w:sz w:val="24"/>
            <w:szCs w:val="24"/>
            <w:lang w:val="en-US"/>
          </w:rPr>
          <w:t>www.britannica.com</w:t>
        </w:r>
      </w:hyperlink>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faf708f07fe94e61">
        <w:r w:rsidRPr="2E0B366E" w:rsidR="5C5741E7">
          <w:rPr>
            <w:rStyle w:val="Hyperlink"/>
            <w:rFonts w:ascii="Arial" w:hAnsi="Arial" w:eastAsia="Arial" w:cs="Arial"/>
            <w:b w:val="0"/>
            <w:bCs w:val="0"/>
            <w:i w:val="0"/>
            <w:iCs w:val="0"/>
            <w:caps w:val="0"/>
            <w:smallCaps w:val="0"/>
            <w:strike w:val="0"/>
            <w:dstrike w:val="0"/>
            <w:noProof w:val="0"/>
            <w:sz w:val="24"/>
            <w:szCs w:val="24"/>
            <w:lang w:val="en-US"/>
          </w:rPr>
          <w:t>https://www.britannica.com/topic/love-emotion</w:t>
        </w:r>
      </w:hyperlink>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w:t>
      </w:r>
    </w:p>
    <w:p w:rsidR="5C5741E7" w:rsidP="2E4DB1E2" w:rsidRDefault="5C5741E7" w14:paraId="0C72CE3C" w14:textId="38176543">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Early Years TV (2024)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 Early Years TV</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7cf7de0cfe4644a7">
        <w:r w:rsidRPr="2E4DB1E2" w:rsidR="5C5741E7">
          <w:rPr>
            <w:rStyle w:val="Hyperlink"/>
            <w:rFonts w:ascii="Arial" w:hAnsi="Arial" w:eastAsia="Arial" w:cs="Arial"/>
            <w:b w:val="0"/>
            <w:bCs w:val="0"/>
            <w:i w:val="0"/>
            <w:iCs w:val="0"/>
            <w:caps w:val="0"/>
            <w:smallCaps w:val="0"/>
            <w:noProof w:val="0"/>
            <w:sz w:val="24"/>
            <w:szCs w:val="24"/>
            <w:lang w:val="en-US"/>
          </w:rPr>
          <w:t>https://www.earlyyears.tv/maslows-hierarchy-of-needs/</w:t>
        </w:r>
      </w:hyperlink>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21st November 2024] </w:t>
      </w:r>
    </w:p>
    <w:p w:rsidR="5C5741E7" w:rsidP="1ED6CA51" w:rsidRDefault="5C5741E7" w14:paraId="55B3D1BE" w14:textId="23DAF973">
      <w:pPr>
        <w:pStyle w:val="Normal"/>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37C04011">
        <w:rPr>
          <w:rFonts w:ascii="Arial" w:hAnsi="Arial" w:eastAsia="Arial" w:cs="Arial"/>
          <w:b w:val="0"/>
          <w:bCs w:val="0"/>
          <w:i w:val="0"/>
          <w:iCs w:val="0"/>
          <w:caps w:val="0"/>
          <w:smallCaps w:val="0"/>
          <w:noProof w:val="0"/>
          <w:color w:val="000000" w:themeColor="text1" w:themeTint="FF" w:themeShade="FF"/>
          <w:sz w:val="24"/>
          <w:szCs w:val="24"/>
          <w:lang w:val="en-US"/>
        </w:rPr>
        <w:t>Gray, C</w:t>
      </w:r>
      <w:r w:rsidRPr="1ED6CA51" w:rsidR="21131F38">
        <w:rPr>
          <w:rFonts w:ascii="Arial" w:hAnsi="Arial" w:eastAsia="Arial" w:cs="Arial"/>
          <w:b w:val="0"/>
          <w:bCs w:val="0"/>
          <w:i w:val="0"/>
          <w:iCs w:val="0"/>
          <w:caps w:val="0"/>
          <w:smallCaps w:val="0"/>
          <w:noProof w:val="0"/>
          <w:color w:val="000000" w:themeColor="text1" w:themeTint="FF" w:themeShade="FF"/>
          <w:sz w:val="24"/>
          <w:szCs w:val="24"/>
          <w:lang w:val="en-US"/>
        </w:rPr>
        <w:t>.</w:t>
      </w:r>
      <w:r w:rsidRPr="1ED6CA51" w:rsidR="37C04011">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1ED6CA51" w:rsidR="37C04011">
        <w:rPr>
          <w:rFonts w:ascii="Arial" w:hAnsi="Arial" w:eastAsia="Arial" w:cs="Arial"/>
          <w:b w:val="0"/>
          <w:bCs w:val="0"/>
          <w:i w:val="0"/>
          <w:iCs w:val="0"/>
          <w:caps w:val="0"/>
          <w:smallCaps w:val="0"/>
          <w:noProof w:val="0"/>
          <w:color w:val="000000" w:themeColor="text1" w:themeTint="FF" w:themeShade="FF"/>
          <w:sz w:val="24"/>
          <w:szCs w:val="24"/>
          <w:lang w:val="en-US"/>
        </w:rPr>
        <w:t>MacBlain</w:t>
      </w:r>
      <w:r w:rsidRPr="1ED6CA51" w:rsidR="37C04011">
        <w:rPr>
          <w:rFonts w:ascii="Arial" w:hAnsi="Arial" w:eastAsia="Arial" w:cs="Arial"/>
          <w:b w:val="0"/>
          <w:bCs w:val="0"/>
          <w:i w:val="0"/>
          <w:iCs w:val="0"/>
          <w:caps w:val="0"/>
          <w:smallCaps w:val="0"/>
          <w:noProof w:val="0"/>
          <w:color w:val="000000" w:themeColor="text1" w:themeTint="FF" w:themeShade="FF"/>
          <w:sz w:val="24"/>
          <w:szCs w:val="24"/>
          <w:lang w:val="en-US"/>
        </w:rPr>
        <w:t>, S. (2015) ‘</w:t>
      </w:r>
      <w:r w:rsidRPr="1ED6CA51" w:rsidR="37C04011">
        <w:rPr>
          <w:rFonts w:ascii="Arial" w:hAnsi="Arial" w:eastAsia="Arial" w:cs="Arial"/>
          <w:b w:val="0"/>
          <w:bCs w:val="0"/>
          <w:i w:val="1"/>
          <w:iCs w:val="1"/>
          <w:caps w:val="0"/>
          <w:smallCaps w:val="0"/>
          <w:noProof w:val="0"/>
          <w:color w:val="000000" w:themeColor="text1" w:themeTint="FF" w:themeShade="FF"/>
          <w:sz w:val="24"/>
          <w:szCs w:val="24"/>
          <w:lang w:val="en-US"/>
        </w:rPr>
        <w:t>Learning Theories in Childhood</w:t>
      </w:r>
      <w:r w:rsidRPr="1ED6CA51" w:rsidR="37C04011">
        <w:rPr>
          <w:rFonts w:ascii="Arial" w:hAnsi="Arial" w:eastAsia="Arial" w:cs="Arial"/>
          <w:b w:val="0"/>
          <w:bCs w:val="0"/>
          <w:i w:val="1"/>
          <w:iCs w:val="1"/>
          <w:caps w:val="0"/>
          <w:smallCaps w:val="0"/>
          <w:noProof w:val="0"/>
          <w:color w:val="000000" w:themeColor="text1" w:themeTint="FF" w:themeShade="FF"/>
          <w:sz w:val="24"/>
          <w:szCs w:val="24"/>
          <w:lang w:val="en-US"/>
        </w:rPr>
        <w:t>’</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ED6CA51" w:rsidR="07F3185F">
        <w:rPr>
          <w:rFonts w:ascii="Arial" w:hAnsi="Arial" w:eastAsia="Arial" w:cs="Arial"/>
          <w:b w:val="0"/>
          <w:bCs w:val="0"/>
          <w:i w:val="0"/>
          <w:iCs w:val="0"/>
          <w:caps w:val="0"/>
          <w:smallCaps w:val="0"/>
          <w:noProof w:val="0"/>
          <w:color w:val="000000" w:themeColor="text1" w:themeTint="FF" w:themeShade="FF"/>
          <w:sz w:val="24"/>
          <w:szCs w:val="24"/>
          <w:lang w:val="en-US"/>
        </w:rPr>
        <w:t>2</w:t>
      </w:r>
      <w:r w:rsidRPr="1ED6CA51" w:rsidR="07F3185F">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1ED6CA51" w:rsidR="07F318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ED6CA51" w:rsidR="07F3185F">
        <w:rPr>
          <w:rFonts w:ascii="Arial" w:hAnsi="Arial" w:eastAsia="Arial" w:cs="Arial"/>
          <w:b w:val="0"/>
          <w:bCs w:val="0"/>
          <w:i w:val="0"/>
          <w:iCs w:val="0"/>
          <w:caps w:val="0"/>
          <w:smallCaps w:val="0"/>
          <w:noProof w:val="0"/>
          <w:color w:val="000000" w:themeColor="text1" w:themeTint="FF" w:themeShade="FF"/>
          <w:sz w:val="24"/>
          <w:szCs w:val="24"/>
          <w:lang w:val="en-US"/>
        </w:rPr>
        <w:t>ed</w:t>
      </w:r>
      <w:r w:rsidRPr="1ED6CA51" w:rsidR="6A973874">
        <w:rPr>
          <w:rFonts w:ascii="Arial" w:hAnsi="Arial" w:eastAsia="Arial" w:cs="Arial"/>
          <w:b w:val="0"/>
          <w:bCs w:val="0"/>
          <w:i w:val="0"/>
          <w:iCs w:val="0"/>
          <w:caps w:val="0"/>
          <w:smallCaps w:val="0"/>
          <w:noProof w:val="0"/>
          <w:color w:val="000000" w:themeColor="text1" w:themeTint="FF" w:themeShade="FF"/>
          <w:sz w:val="24"/>
          <w:szCs w:val="24"/>
          <w:lang w:val="en-US"/>
        </w:rPr>
        <w:t>n</w:t>
      </w:r>
      <w:r w:rsidRPr="1ED6CA51" w:rsidR="4634507D">
        <w:rPr>
          <w:rFonts w:ascii="Arial" w:hAnsi="Arial" w:eastAsia="Arial" w:cs="Arial"/>
          <w:b w:val="0"/>
          <w:bCs w:val="0"/>
          <w:i w:val="0"/>
          <w:iCs w:val="0"/>
          <w:caps w:val="0"/>
          <w:smallCaps w:val="0"/>
          <w:noProof w:val="0"/>
          <w:color w:val="000000" w:themeColor="text1" w:themeTint="FF" w:themeShade="FF"/>
          <w:sz w:val="24"/>
          <w:szCs w:val="24"/>
          <w:lang w:val="en-US"/>
        </w:rPr>
        <w:t>. London: Sage.</w:t>
      </w:r>
    </w:p>
    <w:p w:rsidR="5C5741E7" w:rsidP="2E0B366E" w:rsidRDefault="5C5741E7" w14:paraId="7F2FE13B" w14:textId="1FD52092">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Hodgman, L. (2012)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Enabling environments in the early years : making provision for high quality and challenging learning experiences in early years settings</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1st ed. United Kingdom: Andrews.</w:t>
      </w:r>
    </w:p>
    <w:p w:rsidR="5C5741E7" w:rsidP="2E0B366E" w:rsidRDefault="5C5741E7" w14:paraId="75B6971E" w14:textId="4F3B0200">
      <w:pPr>
        <w:spacing w:before="0" w:beforeAutospacing="off" w:after="160" w:afterAutospacing="off" w:line="278"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Lindon, J. (2005)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Understanding child development. Linking theory to practice’</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1st edn. London: Hodder Education.</w:t>
      </w:r>
    </w:p>
    <w:p w:rsidR="5C5741E7" w:rsidP="2E0B366E" w:rsidRDefault="5C5741E7" w14:paraId="2B820799" w14:textId="6AE3B351">
      <w:pPr>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Miller, N. (2023)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What is holistic development and why is it the best approach for educating our children?</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Nursery&amp;SchoolGuide</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77e6a49b9e4d4a8b">
        <w:r w:rsidRPr="2E0B366E" w:rsidR="5C5741E7">
          <w:rPr>
            <w:rStyle w:val="Hyperlink"/>
            <w:rFonts w:ascii="Arial" w:hAnsi="Arial" w:eastAsia="Arial" w:cs="Arial"/>
            <w:b w:val="0"/>
            <w:bCs w:val="0"/>
            <w:i w:val="0"/>
            <w:iCs w:val="0"/>
            <w:caps w:val="0"/>
            <w:smallCaps w:val="0"/>
            <w:strike w:val="0"/>
            <w:dstrike w:val="0"/>
            <w:noProof w:val="0"/>
            <w:sz w:val="24"/>
            <w:szCs w:val="24"/>
            <w:lang w:val="en-US"/>
          </w:rPr>
          <w:t>https://www.nurseryandschoolguide.co.uk/post/what-is-holistic-development-and-why-is-it-the-best-approach-for-educating-our-children</w:t>
        </w:r>
      </w:hyperlink>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[accessed: 19</w:t>
      </w:r>
      <w:r w:rsidRPr="2E0B366E" w:rsidR="5C5741E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November 2024]</w:t>
      </w:r>
    </w:p>
    <w:p w:rsidR="5C5741E7" w:rsidP="2E0B366E" w:rsidRDefault="5C5741E7" w14:paraId="1C8C4001" w14:textId="321E90EE">
      <w:pPr>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Ministry of Education (1996)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Te Whàriki He Whàriki Màtauranga mò ngà Mokopuna o Aotearoa Early Childhood Curriculum Ministry of Education Learning Media Wellington</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286bd11d62e542b6">
        <w:r w:rsidRPr="2E0B366E" w:rsidR="5C5741E7">
          <w:rPr>
            <w:rStyle w:val="Hyperlink"/>
            <w:rFonts w:ascii="Arial" w:hAnsi="Arial" w:eastAsia="Arial" w:cs="Arial"/>
            <w:b w:val="0"/>
            <w:bCs w:val="0"/>
            <w:i w:val="0"/>
            <w:iCs w:val="0"/>
            <w:caps w:val="0"/>
            <w:smallCaps w:val="0"/>
            <w:strike w:val="0"/>
            <w:dstrike w:val="0"/>
            <w:noProof w:val="0"/>
            <w:sz w:val="24"/>
            <w:szCs w:val="24"/>
            <w:lang w:val="en-US"/>
          </w:rPr>
          <w:t>https://assets.education.govt.nz/public/Documents/Early-Childhood/Te-Whariki-1996.pdf</w:t>
        </w:r>
      </w:hyperlink>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w:t>
      </w:r>
    </w:p>
    <w:p w:rsidR="5C5741E7" w:rsidP="2E0B366E" w:rsidRDefault="5C5741E7" w14:paraId="7C8C3A7D" w14:textId="7C68028A">
      <w:pPr>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Policylab (2018) ‘A portrait of disadvantage: understanding poverty’s influence on child development’. [PDF] available at: </w:t>
      </w:r>
      <w:hyperlink r:id="Rd5f75a9ef1b745e8">
        <w:r w:rsidRPr="2E0B366E" w:rsidR="5C5741E7">
          <w:rPr>
            <w:rStyle w:val="Hyperlink"/>
            <w:rFonts w:ascii="Arial" w:hAnsi="Arial" w:eastAsia="Arial" w:cs="Arial"/>
            <w:b w:val="0"/>
            <w:bCs w:val="0"/>
            <w:i w:val="0"/>
            <w:iCs w:val="0"/>
            <w:caps w:val="0"/>
            <w:smallCaps w:val="0"/>
            <w:strike w:val="0"/>
            <w:dstrike w:val="0"/>
            <w:noProof w:val="0"/>
            <w:sz w:val="24"/>
            <w:szCs w:val="24"/>
            <w:lang w:val="en-US"/>
          </w:rPr>
          <w:t>https://policylab.chop.edu/sites/default/files/pdf/publications/Understanding_Povertys_Influence_On_Child_Development-singles.pdf</w:t>
        </w:r>
      </w:hyperlink>
      <w:r w:rsidRPr="2E0B366E"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[accessed: 24</w:t>
      </w:r>
      <w:r w:rsidRPr="2E0B366E"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2E0B366E" w:rsidR="5C5741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November 2024]</w:t>
      </w:r>
    </w:p>
    <w:p w:rsidR="5C5741E7" w:rsidP="2E4DB1E2" w:rsidRDefault="5C5741E7" w14:paraId="3BDE86FE" w14:textId="45FC5C51">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Potter, D. (2010)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‘Psychosocial Well-Being and the Relationship Between Divorce and Children’s Academic Achievement’</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Journal of marriage and family</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72(4), pp. 933–946. Available at: </w:t>
      </w:r>
      <w:hyperlink r:id="R76e07424bf9b4842">
        <w:r w:rsidRPr="2E4DB1E2" w:rsidR="5C5741E7">
          <w:rPr>
            <w:rStyle w:val="Hyperlink"/>
            <w:rFonts w:ascii="Arial" w:hAnsi="Arial" w:eastAsia="Arial" w:cs="Arial"/>
            <w:b w:val="0"/>
            <w:bCs w:val="0"/>
            <w:i w:val="0"/>
            <w:iCs w:val="0"/>
            <w:caps w:val="0"/>
            <w:smallCaps w:val="0"/>
            <w:noProof w:val="0"/>
            <w:sz w:val="24"/>
            <w:szCs w:val="24"/>
            <w:lang w:val="en-US"/>
          </w:rPr>
          <w:t>https://doi.org/10.1111/j.1741-3737.2010.00740.x</w:t>
        </w:r>
      </w:hyperlink>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w:t>
      </w:r>
    </w:p>
    <w:p w:rsidR="5C5741E7" w:rsidP="2E0B366E" w:rsidRDefault="5C5741E7" w14:paraId="5D12D222" w14:textId="45EA11C9">
      <w:pPr>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Hyson, Marilou. (2014)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 xml:space="preserve">The early years matter : education, care, and the well-being of children, birth to 8 </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New York :, Teachers College.</w:t>
      </w:r>
    </w:p>
    <w:p w:rsidR="5C5741E7" w:rsidP="2E4DB1E2" w:rsidRDefault="5C5741E7" w14:paraId="098C3737" w14:textId="177C92D3">
      <w:pPr>
        <w:shd w:val="clear" w:color="auto" w:fill="FFFFFF" w:themeFill="background1"/>
        <w:spacing w:before="0" w:beforeAutospacing="off" w:after="225"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Schunk, D.H. and DiBenedetto, M.K. (2023)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Albert Bandura’s legacy in education’,</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Theory into practice</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62(3), pp. 205–206. Available at: </w:t>
      </w:r>
      <w:hyperlink r:id="R43d0f80becfa4871">
        <w:r w:rsidRPr="2E4DB1E2" w:rsidR="5C5741E7">
          <w:rPr>
            <w:rStyle w:val="Hyperlink"/>
            <w:rFonts w:ascii="Arial" w:hAnsi="Arial" w:eastAsia="Arial" w:cs="Arial"/>
            <w:b w:val="0"/>
            <w:bCs w:val="0"/>
            <w:i w:val="0"/>
            <w:iCs w:val="0"/>
            <w:caps w:val="0"/>
            <w:smallCaps w:val="0"/>
            <w:strike w:val="0"/>
            <w:dstrike w:val="0"/>
            <w:noProof w:val="0"/>
            <w:sz w:val="24"/>
            <w:szCs w:val="24"/>
            <w:lang w:val="en-US"/>
          </w:rPr>
          <w:t>https://doi.org/10.1080/00405841.2023.2226560</w:t>
        </w:r>
      </w:hyperlink>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[accessed: 22</w:t>
      </w:r>
      <w:r w:rsidRPr="2E4DB1E2" w:rsidR="5C5741E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nd</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November 2024]</w:t>
      </w:r>
    </w:p>
    <w:p w:rsidR="5C5741E7" w:rsidP="2E4DB1E2" w:rsidRDefault="5C5741E7" w14:paraId="5B01AC15" w14:textId="42E548C7">
      <w:pPr>
        <w:shd w:val="clear" w:color="auto" w:fill="FFFFFF" w:themeFill="background1"/>
        <w:spacing w:before="0" w:beforeAutospacing="off" w:after="225"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SIMON, L., 1999.</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 xml:space="preserve"> Children need a daily dose of alphabet soup [The 3 Ss: safety,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security</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 xml:space="preserve"> and stability]</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 xml:space="preserve">ATA Magazine, </w:t>
      </w:r>
      <w:r w:rsidRPr="2E4DB1E2" w:rsidR="5C5741E7">
        <w:rPr>
          <w:rFonts w:ascii="Arial" w:hAnsi="Arial" w:eastAsia="Arial" w:cs="Arial"/>
          <w:b w:val="1"/>
          <w:bCs w:val="1"/>
          <w:i w:val="0"/>
          <w:iCs w:val="0"/>
          <w:caps w:val="0"/>
          <w:smallCaps w:val="0"/>
          <w:noProof w:val="0"/>
          <w:color w:val="000000" w:themeColor="text1" w:themeTint="FF" w:themeShade="FF"/>
          <w:sz w:val="24"/>
          <w:szCs w:val="24"/>
          <w:lang w:val="en-US"/>
        </w:rPr>
        <w:t>79</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(3), pp. 7-11.</w:t>
      </w:r>
    </w:p>
    <w:p w:rsidR="5C5741E7" w:rsidP="2E4DB1E2" w:rsidRDefault="5C5741E7" w14:paraId="7E5BDC2D" w14:textId="72AD124B">
      <w:pPr>
        <w:shd w:val="clear" w:color="auto" w:fill="FFFFFF" w:themeFill="background1"/>
        <w:spacing w:before="0" w:beforeAutospacing="off" w:after="225"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Teachman, J.D. and Paasch, K.M. (1994)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‘Financial Impact of Divorce on Children and Their Families’,</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E4DB1E2" w:rsidR="5C5741E7">
        <w:rPr>
          <w:rFonts w:ascii="Arial" w:hAnsi="Arial" w:eastAsia="Arial" w:cs="Arial"/>
          <w:b w:val="0"/>
          <w:bCs w:val="0"/>
          <w:i w:val="1"/>
          <w:iCs w:val="1"/>
          <w:caps w:val="0"/>
          <w:smallCaps w:val="0"/>
          <w:noProof w:val="0"/>
          <w:color w:val="000000" w:themeColor="text1" w:themeTint="FF" w:themeShade="FF"/>
          <w:sz w:val="24"/>
          <w:szCs w:val="24"/>
          <w:lang w:val="en-US"/>
        </w:rPr>
        <w:t>The Future of children</w:t>
      </w:r>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4(1), pp. 63–83. Available at: </w:t>
      </w:r>
      <w:hyperlink r:id="R900f61a14e3c4c7f">
        <w:r w:rsidRPr="2E4DB1E2" w:rsidR="5C5741E7">
          <w:rPr>
            <w:rStyle w:val="Hyperlink"/>
            <w:rFonts w:ascii="Arial" w:hAnsi="Arial" w:eastAsia="Arial" w:cs="Arial"/>
            <w:b w:val="0"/>
            <w:bCs w:val="0"/>
            <w:i w:val="0"/>
            <w:iCs w:val="0"/>
            <w:caps w:val="0"/>
            <w:smallCaps w:val="0"/>
            <w:noProof w:val="0"/>
            <w:sz w:val="24"/>
            <w:szCs w:val="24"/>
            <w:lang w:val="en-US"/>
          </w:rPr>
          <w:t>https://doi.org/10.2307/1602478</w:t>
        </w:r>
      </w:hyperlink>
      <w:r w:rsidRPr="2E4DB1E2" w:rsidR="5C5741E7">
        <w:rPr>
          <w:rFonts w:ascii="Arial" w:hAnsi="Arial" w:eastAsia="Arial" w:cs="Arial"/>
          <w:b w:val="0"/>
          <w:bCs w:val="0"/>
          <w:i w:val="0"/>
          <w:iCs w:val="0"/>
          <w:caps w:val="0"/>
          <w:smallCaps w:val="0"/>
          <w:noProof w:val="0"/>
          <w:color w:val="000000" w:themeColor="text1" w:themeTint="FF" w:themeShade="FF"/>
          <w:sz w:val="24"/>
          <w:szCs w:val="24"/>
          <w:lang w:val="en-US"/>
        </w:rPr>
        <w:t>.</w:t>
      </w:r>
    </w:p>
    <w:p w:rsidR="5C5741E7" w:rsidP="2E0B366E" w:rsidRDefault="5C5741E7" w14:paraId="6A1A7EDC" w14:textId="3F48B837">
      <w:pPr>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Teresa Wilson (2016)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Working with Parents, Carers and Families in the Early Years : The Essential Guide</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London: Routledge. Available at: </w:t>
      </w:r>
      <w:hyperlink r:id="R13d136b15abe4785">
        <w:r w:rsidRPr="2E0B366E" w:rsidR="5C5741E7">
          <w:rPr>
            <w:rStyle w:val="Hyperlink"/>
            <w:rFonts w:ascii="Arial" w:hAnsi="Arial" w:eastAsia="Arial" w:cs="Arial"/>
            <w:b w:val="0"/>
            <w:bCs w:val="0"/>
            <w:i w:val="0"/>
            <w:iCs w:val="0"/>
            <w:caps w:val="0"/>
            <w:smallCaps w:val="0"/>
            <w:noProof w:val="0"/>
            <w:sz w:val="24"/>
            <w:szCs w:val="24"/>
            <w:lang w:val="en-US"/>
          </w:rPr>
          <w:t>https://research-ebsco-com.ezproxy.uwtsd.ac.uk/linkprocessor/plink?id=a8e4c502-6c51-3027-85b9-59e687a9e53c</w:t>
        </w:r>
      </w:hyperlink>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22 November 2024).</w:t>
      </w:r>
    </w:p>
    <w:p w:rsidR="2E0B366E" w:rsidP="2E0B366E" w:rsidRDefault="2E0B366E" w14:paraId="44B99821" w14:textId="74DAC0A0">
      <w:pPr>
        <w:rPr>
          <w:rFonts w:ascii="Arial" w:hAnsi="Arial" w:eastAsia="Arial" w:cs="Arial"/>
          <w:b w:val="0"/>
          <w:bCs w:val="0"/>
          <w:i w:val="0"/>
          <w:iCs w:val="0"/>
          <w:caps w:val="0"/>
          <w:smallCaps w:val="0"/>
          <w:noProof w:val="0"/>
          <w:color w:val="000000" w:themeColor="text1" w:themeTint="FF" w:themeShade="FF"/>
          <w:sz w:val="24"/>
          <w:szCs w:val="24"/>
          <w:lang w:val="en-US"/>
        </w:rPr>
      </w:pPr>
    </w:p>
    <w:p w:rsidR="5C5741E7" w:rsidP="1ED6CA51" w:rsidRDefault="5C5741E7" w14:paraId="307E1ABD" w14:textId="458D1250">
      <w:pPr>
        <w:spacing w:before="0" w:beforeAutospacing="off" w:after="16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UNICEF (2010) </w:t>
      </w:r>
      <w:r w:rsidRPr="1ED6CA51" w:rsidR="5C5741E7">
        <w:rPr>
          <w:rFonts w:ascii="Arial" w:hAnsi="Arial" w:eastAsia="Arial" w:cs="Arial"/>
          <w:b w:val="0"/>
          <w:bCs w:val="0"/>
          <w:i w:val="1"/>
          <w:iCs w:val="1"/>
          <w:caps w:val="0"/>
          <w:smallCaps w:val="0"/>
          <w:noProof w:val="0"/>
          <w:color w:val="000000" w:themeColor="text1" w:themeTint="FF" w:themeShade="FF"/>
          <w:sz w:val="24"/>
          <w:szCs w:val="24"/>
          <w:lang w:val="en-US"/>
        </w:rPr>
        <w:t xml:space="preserve">‘Convention on the Rights of the Child’ </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[PDF] available at: </w:t>
      </w:r>
      <w:hyperlink r:id="Rdbc020a881cd46f4">
        <w:r w:rsidRPr="1ED6CA51" w:rsidR="5C5741E7">
          <w:rPr>
            <w:rStyle w:val="Hyperlink"/>
            <w:rFonts w:ascii="Arial" w:hAnsi="Arial" w:eastAsia="Arial" w:cs="Arial"/>
            <w:b w:val="0"/>
            <w:bCs w:val="0"/>
            <w:i w:val="0"/>
            <w:iCs w:val="0"/>
            <w:caps w:val="0"/>
            <w:smallCaps w:val="0"/>
            <w:strike w:val="0"/>
            <w:dstrike w:val="0"/>
            <w:noProof w:val="0"/>
            <w:sz w:val="24"/>
            <w:szCs w:val="24"/>
            <w:lang w:val="en-US"/>
          </w:rPr>
          <w:t>Layout 1</w:t>
        </w:r>
      </w:hyperlink>
      <w:hyperlink r:id="R99665906cb0c4d13">
        <w:r w:rsidRPr="1ED6CA51" w:rsidR="5C5741E7">
          <w:rPr>
            <w:rStyle w:val="Hyperlink"/>
            <w:rFonts w:ascii="Arial" w:hAnsi="Arial" w:eastAsia="Arial" w:cs="Arial"/>
            <w:b w:val="0"/>
            <w:bCs w:val="0"/>
            <w:i w:val="0"/>
            <w:iCs w:val="0"/>
            <w:caps w:val="0"/>
            <w:smallCaps w:val="0"/>
            <w:strike w:val="0"/>
            <w:dstrike w:val="0"/>
            <w:noProof w:val="0"/>
            <w:sz w:val="24"/>
            <w:szCs w:val="24"/>
            <w:lang w:val="en-US"/>
          </w:rPr>
          <w:t>https://www.unicef.org.uk/wp-content/uploads/2010/05/UNCRC_PRESS200910web.pdf</w:t>
        </w:r>
      </w:hyperlink>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24</w:t>
      </w:r>
      <w:r w:rsidRPr="1ED6CA51" w:rsidR="5C5741E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1ED6CA51"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November 2024] </w:t>
      </w:r>
    </w:p>
    <w:p w:rsidR="3168CBFE" w:rsidP="1ED6CA51" w:rsidRDefault="3168CBFE" w14:paraId="5190FAD5" w14:textId="420C9DDF">
      <w:pPr>
        <w:spacing w:before="0" w:beforeAutospacing="off" w:after="160" w:afterAutospacing="off" w:line="240" w:lineRule="auto"/>
        <w:jc w:val="both"/>
      </w:pPr>
      <w:r w:rsidRPr="1ED6CA51" w:rsidR="3168CBFE">
        <w:rPr>
          <w:rFonts w:ascii="Arial" w:hAnsi="Arial" w:eastAsia="Arial" w:cs="Arial"/>
          <w:b w:val="0"/>
          <w:bCs w:val="0"/>
          <w:i w:val="0"/>
          <w:iCs w:val="0"/>
          <w:caps w:val="0"/>
          <w:smallCaps w:val="0"/>
          <w:noProof w:val="0"/>
          <w:sz w:val="24"/>
          <w:szCs w:val="24"/>
          <w:lang w:val="en-US"/>
        </w:rPr>
        <w:t xml:space="preserve">Vygotsky, L.S. (Lev S. and Cole, M. (1978) </w:t>
      </w:r>
      <w:r w:rsidRPr="1ED6CA51" w:rsidR="3168CBFE">
        <w:rPr>
          <w:rFonts w:ascii="Arial" w:hAnsi="Arial" w:eastAsia="Arial" w:cs="Arial"/>
          <w:b w:val="0"/>
          <w:bCs w:val="0"/>
          <w:i w:val="1"/>
          <w:iCs w:val="1"/>
          <w:caps w:val="0"/>
          <w:smallCaps w:val="0"/>
          <w:noProof w:val="0"/>
          <w:sz w:val="24"/>
          <w:szCs w:val="24"/>
          <w:lang w:val="en-US"/>
        </w:rPr>
        <w:t>Mind in society: the development of higher psychological processes</w:t>
      </w:r>
      <w:r w:rsidRPr="1ED6CA51" w:rsidR="3168CBFE">
        <w:rPr>
          <w:rFonts w:ascii="Arial" w:hAnsi="Arial" w:eastAsia="Arial" w:cs="Arial"/>
          <w:b w:val="0"/>
          <w:bCs w:val="0"/>
          <w:i w:val="0"/>
          <w:iCs w:val="0"/>
          <w:caps w:val="0"/>
          <w:smallCaps w:val="0"/>
          <w:noProof w:val="0"/>
          <w:sz w:val="24"/>
          <w:szCs w:val="24"/>
          <w:lang w:val="en-US"/>
        </w:rPr>
        <w:t>. Cambridge: Harvard University Press.</w:t>
      </w:r>
    </w:p>
    <w:p w:rsidR="5C5741E7" w:rsidP="2E0B366E" w:rsidRDefault="5C5741E7" w14:paraId="6E316A96" w14:textId="1A63FF81">
      <w:pPr>
        <w:spacing w:before="0" w:beforeAutospacing="off" w:after="16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(2023)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A Quality Framework for Early Childhood Play, Learning and Care in Wales 2</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7ce7cc8bfca648c7">
        <w:r w:rsidRPr="2E0B366E" w:rsidR="5C5741E7">
          <w:rPr>
            <w:rStyle w:val="Hyperlink"/>
            <w:rFonts w:ascii="Arial" w:hAnsi="Arial" w:eastAsia="Arial" w:cs="Arial"/>
            <w:b w:val="0"/>
            <w:bCs w:val="0"/>
            <w:i w:val="0"/>
            <w:iCs w:val="0"/>
            <w:caps w:val="0"/>
            <w:smallCaps w:val="0"/>
            <w:strike w:val="0"/>
            <w:dstrike w:val="0"/>
            <w:noProof w:val="0"/>
            <w:sz w:val="24"/>
            <w:szCs w:val="24"/>
            <w:lang w:val="en-US"/>
          </w:rPr>
          <w:t>https://hwb.gov.wales/api/storage/031bbc2d-d2f8-429d-a944-5fc33484827d/a-quality-framework-for-early-childhood-play-learning-and-care-v1.pdf</w:t>
        </w:r>
      </w:hyperlink>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w:t>
      </w:r>
    </w:p>
    <w:p w:rsidR="5C5741E7" w:rsidP="2E0B366E" w:rsidRDefault="5C5741E7" w14:paraId="1243F8DB" w14:textId="487496DD">
      <w:pPr>
        <w:rPr>
          <w:rFonts w:ascii="Arial" w:hAnsi="Arial" w:eastAsia="Arial" w:cs="Arial"/>
          <w:b w:val="0"/>
          <w:bCs w:val="0"/>
          <w:i w:val="0"/>
          <w:iCs w:val="0"/>
          <w:caps w:val="0"/>
          <w:smallCaps w:val="0"/>
          <w:noProof w:val="0"/>
          <w:color w:val="000000" w:themeColor="text1" w:themeTint="FF" w:themeShade="FF"/>
          <w:sz w:val="24"/>
          <w:szCs w:val="24"/>
          <w:lang w:val="en-US"/>
        </w:rPr>
      </w:pP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World Health Organization (2020) ‘</w:t>
      </w:r>
      <w:r w:rsidRPr="2E0B366E" w:rsidR="5C5741E7">
        <w:rPr>
          <w:rFonts w:ascii="Arial" w:hAnsi="Arial" w:eastAsia="Arial" w:cs="Arial"/>
          <w:b w:val="0"/>
          <w:bCs w:val="0"/>
          <w:i w:val="1"/>
          <w:iCs w:val="1"/>
          <w:caps w:val="0"/>
          <w:smallCaps w:val="0"/>
          <w:noProof w:val="0"/>
          <w:color w:val="000000" w:themeColor="text1" w:themeTint="FF" w:themeShade="FF"/>
          <w:sz w:val="24"/>
          <w:szCs w:val="24"/>
          <w:lang w:val="en-US"/>
        </w:rPr>
        <w:t>3.3.2 Countries supported to create an enabling environment for healthy settings’</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20a762f6ba404a90">
        <w:r w:rsidRPr="2E0B366E" w:rsidR="5C5741E7">
          <w:rPr>
            <w:rStyle w:val="Hyperlink"/>
            <w:rFonts w:ascii="Arial" w:hAnsi="Arial" w:eastAsia="Arial" w:cs="Arial"/>
            <w:b w:val="0"/>
            <w:bCs w:val="0"/>
            <w:i w:val="0"/>
            <w:iCs w:val="0"/>
            <w:caps w:val="0"/>
            <w:smallCaps w:val="0"/>
            <w:strike w:val="0"/>
            <w:dstrike w:val="0"/>
            <w:noProof w:val="0"/>
            <w:sz w:val="24"/>
            <w:szCs w:val="24"/>
            <w:lang w:val="en-US"/>
          </w:rPr>
          <w:t>https://www.who.int/about/accountability/results/who-results-report-2020-mtr/output/pb-2024-2025/3.3.2-countries-supported-to-create-an-enabling-environment-for-healthy-settings</w:t>
        </w:r>
      </w:hyperlink>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[accessed: 25</w:t>
      </w:r>
      <w:r w:rsidRPr="2E0B366E" w:rsidR="5C5741E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E0B366E" w:rsidR="5C5741E7">
        <w:rPr>
          <w:rFonts w:ascii="Arial" w:hAnsi="Arial" w:eastAsia="Arial" w:cs="Arial"/>
          <w:b w:val="0"/>
          <w:bCs w:val="0"/>
          <w:i w:val="0"/>
          <w:iCs w:val="0"/>
          <w:caps w:val="0"/>
          <w:smallCaps w:val="0"/>
          <w:noProof w:val="0"/>
          <w:color w:val="000000" w:themeColor="text1" w:themeTint="FF" w:themeShade="FF"/>
          <w:sz w:val="24"/>
          <w:szCs w:val="24"/>
          <w:lang w:val="en-US"/>
        </w:rPr>
        <w:t xml:space="preserve"> November 2024]</w:t>
      </w:r>
    </w:p>
    <w:p w:rsidR="2E0B366E" w:rsidP="2E0B366E" w:rsidRDefault="2E0B366E" w14:paraId="0327B275" w14:textId="0DF56F9F">
      <w:pPr>
        <w:spacing w:before="135" w:beforeAutospacing="off" w:after="135" w:afterAutospacing="off" w:line="360" w:lineRule="auto"/>
        <w:rPr>
          <w:rFonts w:ascii="Arial" w:hAnsi="Arial" w:eastAsia="Arial" w:cs="Arial"/>
          <w:b w:val="1"/>
          <w:bCs w:val="1"/>
          <w:noProof w:val="0"/>
          <w:color w:val="010A10"/>
          <w:sz w:val="24"/>
          <w:szCs w:val="24"/>
          <w:lang w:val="en-US"/>
        </w:rPr>
      </w:pPr>
    </w:p>
    <w:p w:rsidR="4B2FDDB7" w:rsidP="2E0B366E" w:rsidRDefault="4B2FDDB7" w14:paraId="7559D2F3" w14:textId="307712DB">
      <w:pPr>
        <w:spacing w:before="135" w:beforeAutospacing="off" w:after="135" w:afterAutospacing="off" w:line="360" w:lineRule="auto"/>
        <w:rPr>
          <w:rFonts w:ascii="Arial" w:hAnsi="Arial" w:eastAsia="Arial" w:cs="Arial"/>
          <w:b w:val="1"/>
          <w:bCs w:val="1"/>
          <w:noProof w:val="0"/>
          <w:color w:val="010A10"/>
          <w:sz w:val="24"/>
          <w:szCs w:val="24"/>
          <w:lang w:val="en-US"/>
        </w:rPr>
      </w:pPr>
      <w:r w:rsidRPr="2E4DB1E2" w:rsidR="4B2FDDB7">
        <w:rPr>
          <w:rFonts w:ascii="Arial" w:hAnsi="Arial" w:eastAsia="Arial" w:cs="Arial"/>
          <w:b w:val="1"/>
          <w:bCs w:val="1"/>
          <w:noProof w:val="0"/>
          <w:color w:val="010A10"/>
          <w:sz w:val="24"/>
          <w:szCs w:val="24"/>
          <w:lang w:val="en-US"/>
        </w:rPr>
        <w:t>Component</w:t>
      </w:r>
      <w:r w:rsidRPr="2E4DB1E2" w:rsidR="4B2FDDB7">
        <w:rPr>
          <w:rFonts w:ascii="Arial" w:hAnsi="Arial" w:eastAsia="Arial" w:cs="Arial"/>
          <w:b w:val="1"/>
          <w:bCs w:val="1"/>
          <w:noProof w:val="0"/>
          <w:color w:val="010A10"/>
          <w:sz w:val="24"/>
          <w:szCs w:val="24"/>
          <w:lang w:val="en-US"/>
        </w:rPr>
        <w:t xml:space="preserve"> 3 </w:t>
      </w:r>
    </w:p>
    <w:p w:rsidR="2C1F58C7" w:rsidP="2E4DB1E2" w:rsidRDefault="2C1F58C7" w14:paraId="2A97F021" w14:textId="5B798780">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Maslow's significance in understanding child development</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w:t>
      </w:r>
    </w:p>
    <w:p w:rsidR="2C1F58C7" w:rsidP="2E4DB1E2" w:rsidRDefault="2C1F58C7" w14:paraId="76059C1C" w14:textId="2E4B812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Introduction</w:t>
      </w:r>
    </w:p>
    <w:p w:rsidR="2C1F58C7" w:rsidP="2E4DB1E2" w:rsidRDefault="2C1F58C7" w14:paraId="70886231" w14:textId="51170F18">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This essay will be written with Maslow's Hierarchy of needs in mind and how the model is significant to child development. There are three topics discussed, transitions, attachment, play and how they interlink with each other but more importantly how practitioners can support children through these topics and how Maslow’s model is important to the practice. Initially the transition topic focuses on children transitioning during the first day of school. Further, it will discuss attachment and how secure relationships between children and adults are fundamental to child development. Finally play, and how purposeful play can help with child development, transitions and attachments.</w:t>
      </w:r>
    </w:p>
    <w:p w:rsidR="2C1F58C7" w:rsidP="2E4DB1E2" w:rsidRDefault="2C1F58C7" w14:paraId="17D0C0C8" w14:textId="41F7CC1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Transitions</w:t>
      </w:r>
    </w:p>
    <w:p w:rsidR="2C1F58C7" w:rsidP="2E4DB1E2" w:rsidRDefault="2C1F58C7" w14:paraId="3C903CF5" w14:textId="785CCCB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Transitions are processes within a child’s life involving change and or progression that will require them to adapt to new circumstances. Typically, a transition is a gradual process but there are times when a transition can be unpredicted and abrupt such as a death of a loved one. Whichever way transitions are described it is imperative that the child's feelings are at the centre of the process (Welsh Government 2024).</w:t>
      </w:r>
    </w:p>
    <w:p w:rsidR="2C1F58C7" w:rsidP="2E4DB1E2" w:rsidRDefault="2C1F58C7" w14:paraId="60811054" w14:textId="3574539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Welsh Government (2024) recognises the importance of handling transitions positively, with the child at the heart of the movement promoting emotional growth such as resilience.</w:t>
      </w:r>
    </w:p>
    <w:p w:rsidR="2C1F58C7" w:rsidP="2E4DB1E2" w:rsidRDefault="2C1F58C7" w14:paraId="4FDD2622" w14:textId="02E0E2F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Types of transitions children encounter include; horizontal and vertical. The horizontal refers to regular day to day movements, for example, between classroom to lunch time. Vertical transitions are the bigger, less frequent changes, such as moving from nursery to reception (O’Connor, 2017). </w:t>
      </w:r>
    </w:p>
    <w:p w:rsidR="2C1F58C7" w:rsidP="2E4DB1E2" w:rsidRDefault="2C1F58C7" w14:paraId="6F868D2F" w14:textId="09731FD9">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Practitioners can assist with the execution of smooth transitions by developing strong relationships with the child and the support network around them, ensuring effective connections to support the child go through changes (Birth To 5 Matters, 2021).</w:t>
      </w:r>
    </w:p>
    <w:p w:rsidR="2C1F58C7" w:rsidP="2E4DB1E2" w:rsidRDefault="2C1F58C7" w14:paraId="60D0A043" w14:textId="6C6F9F0C">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If transitions are not handled effectively, this can cause problems for children later in life (LoCasale-Crouch et al., 2008). Such as lack of confidence and low self-esteem (Welsh Government 2024).</w:t>
      </w:r>
    </w:p>
    <w:p w:rsidR="2E4DB1E2" w:rsidP="2E4DB1E2" w:rsidRDefault="2E4DB1E2" w14:paraId="7E684B04" w14:textId="466D04E1">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C1F58C7" w:rsidP="2E4DB1E2" w:rsidRDefault="2C1F58C7" w14:paraId="2929D6D8" w14:textId="7ADF8BA8">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Looking at a case study of a transition in Trodd (2013, p, 51.), children moving from nursery to reception, highlights the different experiences families have depending on whether their children attended the school's nursery or other private nurseries prior to moving into the reception class. Reading this case study, we can identify that children who did not attend the school's nursery experienced a more anxious transition because of the lack of settling in visits available before starting reception compared to children who already attended the school's nursery. Parents agreed, feeling similarly distressed that their children were unfamiliar with their surroundings, and it made for an uneasy transition into reception. </w:t>
      </w:r>
    </w:p>
    <w:p w:rsidR="2E4DB1E2" w:rsidP="2E4DB1E2" w:rsidRDefault="2E4DB1E2" w14:paraId="080AA8C8" w14:textId="6577A849">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C1F58C7" w:rsidP="2E4DB1E2" w:rsidRDefault="2C1F58C7" w14:paraId="094C522B" w14:textId="42F4FE11">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Gov.Wales (no date) believes that all children, regardless of their home environment and background, should have the best start in life. Thus, schemes such as flying starts were created to give children in more deprived areas of Wales the chance to support their development, including social and language skills.</w:t>
      </w:r>
    </w:p>
    <w:p w:rsidR="2E4DB1E2" w:rsidP="2E4DB1E2" w:rsidRDefault="2E4DB1E2" w14:paraId="271D5021" w14:textId="054C1D41">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C1F58C7" w:rsidP="2E4DB1E2" w:rsidRDefault="2C1F58C7" w14:paraId="78447314" w14:textId="63596704">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Koltko-Rivera (2006) links transitional goals to Maslow’s hierarchy of needs, he talks about how people use the model to transition up to self-actualization, this compliments the idea that children transitioning through life is like growing and climbing up to achieving the best version of themselves. </w:t>
      </w:r>
    </w:p>
    <w:p w:rsidR="2C1F58C7" w:rsidP="2E4DB1E2" w:rsidRDefault="2C1F58C7" w14:paraId="08EBFC66" w14:textId="4B3B943A">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Early Years TV (2024) Also highlights Maslows hierarchy of needs and says that connecting with others and building relationships is associated to the love and belonging level of the model.</w:t>
      </w:r>
    </w:p>
    <w:p w:rsidR="2C1F58C7" w:rsidP="2E4DB1E2" w:rsidRDefault="2C1F58C7" w14:paraId="33FB8757" w14:textId="58CB46A1">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Attachment</w:t>
      </w:r>
    </w:p>
    <w:p w:rsidR="2C1F58C7" w:rsidP="2E4DB1E2" w:rsidRDefault="2C1F58C7" w14:paraId="49F76510" w14:textId="35374832">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It is fair to suggest that when attachments are created transitions may be more fluid and positive (Trodd, 2013, p, 51).</w:t>
      </w:r>
    </w:p>
    <w:p w:rsidR="2E4DB1E2" w:rsidP="2E4DB1E2" w:rsidRDefault="2E4DB1E2" w14:paraId="2EC0BD79" w14:textId="1FFB9C71">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C1F58C7" w:rsidP="2E4DB1E2" w:rsidRDefault="2C1F58C7" w14:paraId="5D370078" w14:textId="21728C40">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Attachments can also sit in the love and belonging level of Maslow’s model, but when considering infants the attachments between mother and child are critical for survival, thus placing attachments at the foundation level in the hierarchy of needs.</w:t>
      </w:r>
    </w:p>
    <w:p w:rsidR="2E4DB1E2" w:rsidP="2E4DB1E2" w:rsidRDefault="2E4DB1E2" w14:paraId="12ED2AF7" w14:textId="1E06E0F6">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C1F58C7" w:rsidP="2E4DB1E2" w:rsidRDefault="2C1F58C7" w14:paraId="5207361A" w14:textId="629ECE04">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Bowlby (1975) says attachment is an affectionate bond between children and one or more caregivers, which acknowledges nurturing commitment and security towards one another. The infant from a young age discovers the need for survival and knows that by maintaining their attachments they will be provided with the necessary food to suppress feeling of hunger. Attachment shows it is important to human survival just as Maslow’s model says humans need food to survive. Bowlby (1975) states the more familiar a child is with the person they have formed an attachment with the more comfortable they become sociably around them, and the older they get the more fearful and difficult it becomes to create new attachments. That being said, when a child feels comfortable that their attachment is secure, they will develop confidence to explore the world around them knowing their caregiver is nearby, and equally the care giver will wish to maintain proximity of their young to protect them from harm. Much like animals do in the wild. Conway, Falconier, and Kim (2024) argue that attachment can be a one-sided feeling, this refers to avoidant attachment.</w:t>
      </w:r>
    </w:p>
    <w:p w:rsidR="2E4DB1E2" w:rsidP="2E4DB1E2" w:rsidRDefault="2E4DB1E2" w14:paraId="4926CD72" w14:textId="5C23F678">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C1F58C7" w:rsidP="2E4DB1E2" w:rsidRDefault="2C1F58C7" w14:paraId="6D45D520" w14:textId="7934E713">
      <w:pPr>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Attachment is imperative to a child’s social and emotional development. Research suggests children living in underprivileged areas are more likely to experience unstable attachments, that could potentially interfere with emotional and behavioral skills and ultimately affect their academic progression (Macdonald, Gealy and Tinney, 2019).</w:t>
      </w:r>
    </w:p>
    <w:p w:rsidR="2E4DB1E2" w:rsidP="2E4DB1E2" w:rsidRDefault="2E4DB1E2" w14:paraId="15E63F41" w14:textId="12D2E16F">
      <w:pPr>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C1F58C7" w:rsidP="2E4DB1E2" w:rsidRDefault="2C1F58C7" w14:paraId="386FE192" w14:textId="79E61878">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NSPCC (2021) says it is important for all adults working within childcare to understand what attachment is and how they can help the primary caregivers to become accustomed to their child's needs.</w:t>
      </w:r>
    </w:p>
    <w:p w:rsidR="2E4DB1E2" w:rsidP="2E4DB1E2" w:rsidRDefault="2E4DB1E2" w14:paraId="36F7FE8E" w14:textId="126C1349">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E4DB1E2" w:rsidP="2E4DB1E2" w:rsidRDefault="2E4DB1E2" w14:paraId="1EA595BF" w14:textId="6D5BD2CE">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E4DB1E2" w:rsidP="2E4DB1E2" w:rsidRDefault="2E4DB1E2" w14:paraId="548FE119" w14:textId="5A4A2196">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E4DB1E2" w:rsidP="2E4DB1E2" w:rsidRDefault="2E4DB1E2" w14:paraId="0E404EBE" w14:textId="0860DA82">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C1F58C7" w:rsidP="2E4DB1E2" w:rsidRDefault="2C1F58C7" w14:paraId="14E65CBF" w14:textId="5062E134">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Play</w:t>
      </w:r>
    </w:p>
    <w:p w:rsidR="2C1F58C7" w:rsidP="2E4DB1E2" w:rsidRDefault="2C1F58C7" w14:paraId="1CCAA224" w14:textId="4B2CF1D2">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How can play support transitions and attachments and how does it link to Maslow?</w:t>
      </w:r>
    </w:p>
    <w:p w:rsidR="2E4DB1E2" w:rsidP="2E4DB1E2" w:rsidRDefault="2E4DB1E2" w14:paraId="774FDA15" w14:textId="6C7827B8">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C1F58C7" w:rsidP="2E4DB1E2" w:rsidRDefault="2C1F58C7" w14:paraId="4BC3DD29" w14:textId="5022DA80">
      <w:pPr>
        <w:spacing w:before="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When children have experiences with transition from a young age, it can be assumed that they are experts, however research shows that moving from pre-school to school can be distressing (Broström, 2013). Play is an integral part of easing the transition from pre-school into school (O’Kane, 2015). To establish a successful play foundation, you must form secure attachments. When a child feels accepted and safe within their environment then they feel free to play and explore resulting in brain development. If a child feels safe then exploring play and separating is bearable (PlayLearnThrive.com, 2021). This suggests positive play experiences can assist with climbing Maslow’s model to reach self-actualization.</w:t>
      </w:r>
    </w:p>
    <w:p w:rsidR="2E4DB1E2" w:rsidP="2E4DB1E2" w:rsidRDefault="2E4DB1E2" w14:paraId="7D0FB00B" w14:textId="1F7CFC52">
      <w:pPr>
        <w:spacing w:before="0" w:beforeAutospacing="off" w:after="0" w:afterAutospacing="off" w:line="432" w:lineRule="auto"/>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p>
    <w:p w:rsidR="2E4DB1E2" w:rsidP="2E4DB1E2" w:rsidRDefault="2E4DB1E2" w14:paraId="2D11A257" w14:textId="54CBF5A1">
      <w:pPr>
        <w:spacing w:before="0" w:beforeAutospacing="off" w:after="0" w:afterAutospacing="off" w:line="432" w:lineRule="auto"/>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p>
    <w:p w:rsidR="2C1F58C7" w:rsidP="2E4DB1E2" w:rsidRDefault="2C1F58C7" w14:paraId="6C021211" w14:textId="7B505D47">
      <w:pPr>
        <w:spacing w:before="0" w:beforeAutospacing="off" w:after="0" w:afterAutospacing="off" w:line="432"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Conclusion</w:t>
      </w:r>
    </w:p>
    <w:p w:rsidR="2C1F58C7" w:rsidP="2E4DB1E2" w:rsidRDefault="2C1F58C7" w14:paraId="4A922388" w14:textId="35C8EEDC">
      <w:pPr>
        <w:spacing w:before="0" w:beforeAutospacing="off" w:after="0" w:afterAutospacing="off" w:line="432"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Maslow is significant to early years because his model emphasises the importance of fostering enabling environments and adults to support early development. Highlighting how child-centered approaches support positive transitions. Furthermore, positive attachments influence a child’s courage and independence. Finally, play provides children with the courage to adapt in new and unfamiliar situations.</w:t>
      </w:r>
    </w:p>
    <w:p w:rsidR="2E4DB1E2" w:rsidP="2E4DB1E2" w:rsidRDefault="2E4DB1E2" w14:paraId="44C3EB96" w14:textId="5ABAF885">
      <w:pPr>
        <w:spacing w:before="0" w:beforeAutospacing="off" w:after="0" w:afterAutospacing="off" w:line="432"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2C1F58C7" w:rsidP="2E4DB1E2" w:rsidRDefault="2C1F58C7" w14:paraId="36D54BF1" w14:textId="6693F7B0">
      <w:pPr>
        <w:spacing w:before="0" w:beforeAutospacing="off" w:after="0" w:afterAutospacing="off" w:line="432"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Reference List</w:t>
      </w:r>
    </w:p>
    <w:p w:rsidR="2C1F58C7" w:rsidP="2E4DB1E2" w:rsidRDefault="2C1F58C7" w14:paraId="3F0BAF51" w14:textId="20E92B27">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Bowlby, J. (1975)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Attachment Theory, Separation Anxiety, and Mourning</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7ba176e6b29f479e">
        <w:r w:rsidRPr="2E4DB1E2" w:rsidR="2C1F58C7">
          <w:rPr>
            <w:rStyle w:val="Hyperlink"/>
            <w:rFonts w:ascii="Arial" w:hAnsi="Arial" w:eastAsia="Arial" w:cs="Arial"/>
            <w:b w:val="0"/>
            <w:bCs w:val="0"/>
            <w:i w:val="0"/>
            <w:iCs w:val="0"/>
            <w:caps w:val="0"/>
            <w:smallCaps w:val="0"/>
            <w:noProof w:val="0"/>
            <w:sz w:val="24"/>
            <w:szCs w:val="24"/>
            <w:lang w:val="en-US"/>
          </w:rPr>
          <w:t>http://dspace.sxcjpr.edu.in:8080/jspui/bitstream/123456789/1031/1/Copy%20of%20attachment-theory-separation-anxiety-and-mourning.pdf</w:t>
        </w:r>
      </w:hyperlink>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[accessed 29</w:t>
      </w:r>
      <w:r w:rsidRPr="2E4DB1E2" w:rsidR="2C1F58C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November 2024] </w:t>
      </w:r>
    </w:p>
    <w:p w:rsidR="2C1F58C7" w:rsidP="2E4DB1E2" w:rsidRDefault="2C1F58C7" w14:paraId="65C8BD55" w14:textId="0B5420D2">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Birth To 5 Matters (2021) </w:t>
      </w:r>
      <w:r w:rsidRPr="2E4DB1E2" w:rsidR="2C1F58C7">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Transitions – Birth To 5 Matters, Birth to 5 Matters</w:t>
      </w:r>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09284d5c709a4d3c">
        <w:r w:rsidRPr="2E4DB1E2" w:rsidR="2C1F58C7">
          <w:rPr>
            <w:rStyle w:val="Hyperlink"/>
            <w:rFonts w:ascii="Arial" w:hAnsi="Arial" w:eastAsia="Arial" w:cs="Arial"/>
            <w:b w:val="0"/>
            <w:bCs w:val="0"/>
            <w:i w:val="0"/>
            <w:iCs w:val="0"/>
            <w:caps w:val="0"/>
            <w:smallCaps w:val="0"/>
            <w:strike w:val="0"/>
            <w:dstrike w:val="0"/>
            <w:noProof w:val="0"/>
            <w:sz w:val="24"/>
            <w:szCs w:val="24"/>
            <w:lang w:val="en-US"/>
          </w:rPr>
          <w:t>https://birthto5matters.org.uk/transitions/</w:t>
        </w:r>
      </w:hyperlink>
      <w:r w:rsidRPr="2E4DB1E2" w:rsidR="2C1F58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(Accessed: 27</w:t>
      </w:r>
      <w:r w:rsidRPr="2E4DB1E2" w:rsidR="2C1F58C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November 2024)</w:t>
      </w:r>
    </w:p>
    <w:p w:rsidR="2C1F58C7" w:rsidP="2E4DB1E2" w:rsidRDefault="2C1F58C7" w14:paraId="644123E9" w14:textId="624EAC08">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Broström, S., 2013.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Play as the main road in children's transition to school. Varied perspectives on play and learning: Theory and research on early years education, pp.37-53.</w:t>
      </w:r>
    </w:p>
    <w:p w:rsidR="2C1F58C7" w:rsidP="2E4DB1E2" w:rsidRDefault="2C1F58C7" w14:paraId="59CA5BD1" w14:textId="7443E97F">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Davids, J. (2010)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The nursery age child</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First edition. London: Karnac Books.</w:t>
      </w:r>
    </w:p>
    <w:p w:rsidR="2C1F58C7" w:rsidP="2E4DB1E2" w:rsidRDefault="2C1F58C7" w14:paraId="40E9B808" w14:textId="5DE58834">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Early Years (2024)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Maslow’s Hierarchy of Needs</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Early Years TV</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a30955b45c194297">
        <w:r w:rsidRPr="2E4DB1E2" w:rsidR="2C1F58C7">
          <w:rPr>
            <w:rStyle w:val="Hyperlink"/>
            <w:rFonts w:ascii="Arial" w:hAnsi="Arial" w:eastAsia="Arial" w:cs="Arial"/>
            <w:b w:val="0"/>
            <w:bCs w:val="0"/>
            <w:i w:val="0"/>
            <w:iCs w:val="0"/>
            <w:caps w:val="0"/>
            <w:smallCaps w:val="0"/>
            <w:strike w:val="0"/>
            <w:dstrike w:val="0"/>
            <w:noProof w:val="0"/>
            <w:sz w:val="24"/>
            <w:szCs w:val="24"/>
            <w:lang w:val="en-US"/>
          </w:rPr>
          <w:t>https://www.earlyyears.tv/maslows-hierarchy-of-needs/</w:t>
        </w:r>
      </w:hyperlink>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29</w:t>
      </w:r>
      <w:r w:rsidRPr="2E4DB1E2" w:rsidR="2C1F58C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November 2024].</w:t>
      </w:r>
    </w:p>
    <w:p w:rsidR="2C1F58C7" w:rsidP="2E4DB1E2" w:rsidRDefault="2C1F58C7" w14:paraId="15ED6F0A" w14:textId="56C2743F">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Gov.Wales (no date)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Flying Start programme | GOV.WALES</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w:r w:rsidRPr="2E4DB1E2" w:rsidR="2C1F58C7">
          <w:rPr>
            <w:rStyle w:val="Hyperlink"/>
            <w:rFonts w:ascii="Arial" w:hAnsi="Arial" w:eastAsia="Arial" w:cs="Arial"/>
            <w:b w:val="0"/>
            <w:bCs w:val="0"/>
            <w:i w:val="1"/>
            <w:iCs w:val="1"/>
            <w:caps w:val="0"/>
            <w:smallCaps w:val="0"/>
            <w:noProof w:val="0"/>
            <w:sz w:val="24"/>
            <w:szCs w:val="24"/>
            <w:lang w:val="en-US"/>
          </w:rPr>
          <w:t>www.gov.wales</w:t>
        </w:r>
      </w:hyperlink>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fcc3e91ea6de4784">
        <w:r w:rsidRPr="2E4DB1E2" w:rsidR="2C1F58C7">
          <w:rPr>
            <w:rStyle w:val="Hyperlink"/>
            <w:rFonts w:ascii="Arial" w:hAnsi="Arial" w:eastAsia="Arial" w:cs="Arial"/>
            <w:b w:val="0"/>
            <w:bCs w:val="0"/>
            <w:i w:val="0"/>
            <w:iCs w:val="0"/>
            <w:caps w:val="0"/>
            <w:smallCaps w:val="0"/>
            <w:strike w:val="0"/>
            <w:dstrike w:val="0"/>
            <w:noProof w:val="0"/>
            <w:sz w:val="24"/>
            <w:szCs w:val="24"/>
            <w:lang w:val="en-US"/>
          </w:rPr>
          <w:t>https://www.gov.wales/flying-start-programme</w:t>
        </w:r>
      </w:hyperlink>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[accessed: 29</w:t>
      </w:r>
      <w:r w:rsidRPr="2E4DB1E2" w:rsidR="2C1F58C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November 2024)</w:t>
      </w:r>
    </w:p>
    <w:p w:rsidR="2C1F58C7" w:rsidP="2E4DB1E2" w:rsidRDefault="2C1F58C7" w14:paraId="6A29C63A" w14:textId="3C134F2A">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Koltko-Rivera, M.E. (2006)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Rediscovering the Later Version of Maslow’s Hierarchy of Needs: Self-Transcendence and Opportunities for Theory, Research, and Unification</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Review of general psychology</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10(4), pp. 302–317. Available at: </w:t>
      </w:r>
      <w:hyperlink r:id="R759c56eeeac44927">
        <w:r w:rsidRPr="2E4DB1E2" w:rsidR="2C1F58C7">
          <w:rPr>
            <w:rStyle w:val="Hyperlink"/>
            <w:rFonts w:ascii="Arial" w:hAnsi="Arial" w:eastAsia="Arial" w:cs="Arial"/>
            <w:b w:val="0"/>
            <w:bCs w:val="0"/>
            <w:i w:val="0"/>
            <w:iCs w:val="0"/>
            <w:caps w:val="0"/>
            <w:smallCaps w:val="0"/>
            <w:strike w:val="0"/>
            <w:dstrike w:val="0"/>
            <w:noProof w:val="0"/>
            <w:sz w:val="24"/>
            <w:szCs w:val="24"/>
            <w:lang w:val="en-US"/>
          </w:rPr>
          <w:t>https://doi.org/10.1037/1089-2680.10.4.302</w:t>
        </w:r>
      </w:hyperlink>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2C1F58C7" w:rsidP="2E4DB1E2" w:rsidRDefault="2C1F58C7" w14:paraId="1375F43D" w14:textId="5ADE6C93">
      <w:pPr>
        <w:shd w:val="clear" w:color="auto" w:fill="FFFFFF" w:themeFill="background1"/>
        <w:spacing w:before="0" w:beforeAutospacing="off" w:after="0" w:afterAutospacing="off" w:line="384"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LoCasale-Crouch, J., Mashburn, A. J., Downer, J. T. and Pianta, R. C. (2008) ‘</w:t>
      </w:r>
      <w:hyperlink r:id="Rd407537f7ba54b1f">
        <w:r w:rsidRPr="2E4DB1E2" w:rsidR="2C1F58C7">
          <w:rPr>
            <w:rStyle w:val="Hyperlink"/>
            <w:rFonts w:ascii="Arial" w:hAnsi="Arial" w:eastAsia="Arial" w:cs="Arial"/>
            <w:b w:val="0"/>
            <w:bCs w:val="0"/>
            <w:i w:val="1"/>
            <w:iCs w:val="1"/>
            <w:caps w:val="0"/>
            <w:smallCaps w:val="0"/>
            <w:strike w:val="0"/>
            <w:dstrike w:val="0"/>
            <w:noProof w:val="0"/>
            <w:sz w:val="24"/>
            <w:szCs w:val="24"/>
            <w:lang w:val="en-US"/>
          </w:rPr>
          <w:t>Pre- kindergarten teachers’ use of transition practices and children’s adjustment to kindergarten</w:t>
        </w:r>
      </w:hyperlink>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in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Early Childhood Research Quarterly</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23(1), 124–139. </w:t>
      </w:r>
    </w:p>
    <w:p w:rsidR="2C1F58C7" w:rsidP="2E4DB1E2" w:rsidRDefault="2C1F58C7" w14:paraId="0BE0CD55" w14:textId="54265319">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O’Connor, A. (2017)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Understanding transitions in the early years : supporting change through attachment and resilience’</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Second edition. London: Routledge.</w:t>
      </w:r>
    </w:p>
    <w:p w:rsidR="2C1F58C7" w:rsidP="2E4DB1E2" w:rsidRDefault="2C1F58C7" w14:paraId="6962FB6A" w14:textId="568E6F9C">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O’Kane, M., 2015.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Multiple transitions. In A Paper prepared for the symposium Early Educational Alignment: Reflecting on Context, Curriculum and Pedagogy.</w:t>
      </w:r>
    </w:p>
    <w:p w:rsidR="2C1F58C7" w:rsidP="2E4DB1E2" w:rsidRDefault="2C1F58C7" w14:paraId="5E39EDA0" w14:textId="26A14965">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Macdonald, N., Gealy, A.-M. and Tinney, G. (2019)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Exploring the effect of an attachment intervention in areas of multiple deprivation on adult–child interaction and the implications for children’s social, emotional and behavioral development’</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Early Child Development and Care</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191(5), pp. 670–684. doi: 10.1080/03004430.2019.1641704.</w:t>
      </w:r>
    </w:p>
    <w:p w:rsidR="2C1F58C7" w:rsidP="2E4DB1E2" w:rsidRDefault="2C1F58C7" w14:paraId="4FE56816" w14:textId="7BAF3206">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NSPCC (2021)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Attachment and child development, NSPCC Learning</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bea149fcdb3489f">
        <w:r w:rsidRPr="2E4DB1E2" w:rsidR="2C1F58C7">
          <w:rPr>
            <w:rStyle w:val="Hyperlink"/>
            <w:rFonts w:ascii="Arial" w:hAnsi="Arial" w:eastAsia="Arial" w:cs="Arial"/>
            <w:b w:val="0"/>
            <w:bCs w:val="0"/>
            <w:i w:val="0"/>
            <w:iCs w:val="0"/>
            <w:caps w:val="0"/>
            <w:smallCaps w:val="0"/>
            <w:strike w:val="0"/>
            <w:dstrike w:val="0"/>
            <w:noProof w:val="0"/>
            <w:sz w:val="24"/>
            <w:szCs w:val="24"/>
            <w:lang w:val="en-US"/>
          </w:rPr>
          <w:t>https://learning.nspcc.org.uk/child-health-development/attachment-early-years</w:t>
        </w:r>
      </w:hyperlink>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29</w:t>
      </w:r>
      <w:r w:rsidRPr="2E4DB1E2" w:rsidR="2C1F58C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November 2024].</w:t>
      </w:r>
    </w:p>
    <w:p w:rsidR="2C1F58C7" w:rsidP="2E4DB1E2" w:rsidRDefault="2C1F58C7" w14:paraId="1EA2F599" w14:textId="321D2294">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Play, Learn, Thrive.com.</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(2021).</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 xml:space="preserve"> Episode 8: Building Attachment through Play - </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1290e3589df5489c">
        <w:r w:rsidRPr="2E4DB1E2" w:rsidR="2C1F58C7">
          <w:rPr>
            <w:rStyle w:val="Hyperlink"/>
            <w:rFonts w:ascii="Arial" w:hAnsi="Arial" w:eastAsia="Arial" w:cs="Arial"/>
            <w:b w:val="0"/>
            <w:bCs w:val="0"/>
            <w:i w:val="0"/>
            <w:iCs w:val="0"/>
            <w:caps w:val="0"/>
            <w:smallCaps w:val="0"/>
            <w:strike w:val="0"/>
            <w:dstrike w:val="0"/>
            <w:noProof w:val="0"/>
            <w:sz w:val="24"/>
            <w:szCs w:val="24"/>
            <w:lang w:val="en-US"/>
          </w:rPr>
          <w:t>https://playlearnthrive.com/building-attachment-through-play/</w:t>
        </w:r>
      </w:hyperlink>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 accessed 1</w:t>
      </w:r>
      <w:r w:rsidRPr="2E4DB1E2" w:rsidR="2C1F58C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December 2024]</w:t>
      </w:r>
    </w:p>
    <w:p w:rsidR="2C1F58C7" w:rsidP="2E4DB1E2" w:rsidRDefault="2C1F58C7" w14:paraId="6956BFC8" w14:textId="5053225F">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Trodd, L. (2013) ‘</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Transitions in the early years : working with children and families’.</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London ; SAGE Publications</w:t>
      </w:r>
    </w:p>
    <w:p w:rsidR="2C1F58C7" w:rsidP="2E4DB1E2" w:rsidRDefault="2C1F58C7" w14:paraId="497A7878" w14:textId="0149776E">
      <w:pPr>
        <w:rPr>
          <w:rFonts w:ascii="Arial" w:hAnsi="Arial" w:eastAsia="Arial" w:cs="Arial"/>
          <w:b w:val="0"/>
          <w:bCs w:val="0"/>
          <w:i w:val="0"/>
          <w:iCs w:val="0"/>
          <w:caps w:val="0"/>
          <w:smallCaps w:val="0"/>
          <w:noProof w:val="0"/>
          <w:color w:val="000000" w:themeColor="text1" w:themeTint="FF" w:themeShade="FF"/>
          <w:sz w:val="24"/>
          <w:szCs w:val="24"/>
          <w:lang w:val="en-US"/>
        </w:rPr>
      </w:pP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Welsh Government (2024)</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 xml:space="preserve"> ‘A curriculum for funded non-maintained nursery settings’ [PDF] </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Available at:</w:t>
      </w:r>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 xml:space="preserve"> </w:t>
      </w:r>
      <w:hyperlink r:id="Rdd1f6d6b05374b1d">
        <w:r w:rsidRPr="2E4DB1E2" w:rsidR="2C1F58C7">
          <w:rPr>
            <w:rStyle w:val="Hyperlink"/>
            <w:rFonts w:ascii="Arial" w:hAnsi="Arial" w:eastAsia="Arial" w:cs="Arial"/>
            <w:b w:val="0"/>
            <w:bCs w:val="0"/>
            <w:i w:val="1"/>
            <w:iCs w:val="1"/>
            <w:caps w:val="0"/>
            <w:smallCaps w:val="0"/>
            <w:strike w:val="0"/>
            <w:dstrike w:val="0"/>
            <w:noProof w:val="0"/>
            <w:sz w:val="24"/>
            <w:szCs w:val="24"/>
            <w:lang w:val="en-US"/>
          </w:rPr>
          <w:t>https://hwb.gov.wales/api/storage/1f581142-6b91-41e4-845d-3d6c7765df20/a-curriculum-for-funded-non-maintained-nursery-settings.pdf</w:t>
        </w:r>
      </w:hyperlink>
      <w:r w:rsidRPr="2E4DB1E2" w:rsidR="2C1F58C7">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(Accessed: 27</w:t>
      </w:r>
      <w:r w:rsidRPr="2E4DB1E2" w:rsidR="2C1F58C7">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E4DB1E2" w:rsidR="2C1F58C7">
        <w:rPr>
          <w:rFonts w:ascii="Arial" w:hAnsi="Arial" w:eastAsia="Arial" w:cs="Arial"/>
          <w:b w:val="0"/>
          <w:bCs w:val="0"/>
          <w:i w:val="0"/>
          <w:iCs w:val="0"/>
          <w:caps w:val="0"/>
          <w:smallCaps w:val="0"/>
          <w:noProof w:val="0"/>
          <w:color w:val="000000" w:themeColor="text1" w:themeTint="FF" w:themeShade="FF"/>
          <w:sz w:val="24"/>
          <w:szCs w:val="24"/>
          <w:lang w:val="en-US"/>
        </w:rPr>
        <w:t xml:space="preserve"> November 2024)</w:t>
      </w:r>
    </w:p>
    <w:p w:rsidR="2E4DB1E2" w:rsidP="2E4DB1E2" w:rsidRDefault="2E4DB1E2" w14:paraId="31BB4D9B" w14:textId="0DF1124C">
      <w:pPr>
        <w:spacing w:before="135" w:beforeAutospacing="off" w:after="135" w:afterAutospacing="off" w:line="360" w:lineRule="auto"/>
        <w:rPr>
          <w:rFonts w:ascii="Arial" w:hAnsi="Arial" w:eastAsia="Arial" w:cs="Arial"/>
          <w:b w:val="1"/>
          <w:bCs w:val="1"/>
          <w:noProof w:val="0"/>
          <w:color w:val="010A10"/>
          <w:sz w:val="24"/>
          <w:szCs w:val="24"/>
          <w:lang w:val="en-US"/>
        </w:rPr>
      </w:pPr>
    </w:p>
    <w:sectPr>
      <w:pgSz w:w="15840" w:h="12240" w:orient="landscape"/>
      <w:pgMar w:top="1440" w:right="1440" w:bottom="1440" w:left="1440" w:header="720" w:footer="720" w:gutter="0"/>
      <w:cols w:space="720"/>
      <w:docGrid w:linePitch="360"/>
      <w:headerReference w:type="default" r:id="R25e32aaa6c08410f"/>
      <w:footerReference w:type="default" r:id="R566c015b5f6b4b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68EBABED" w:rsidTr="68EBABED" w14:paraId="732E503C">
      <w:trPr>
        <w:trHeight w:val="300"/>
      </w:trPr>
      <w:tc>
        <w:tcPr>
          <w:tcW w:w="4320" w:type="dxa"/>
          <w:tcMar/>
        </w:tcPr>
        <w:p w:rsidR="68EBABED" w:rsidP="68EBABED" w:rsidRDefault="68EBABED" w14:paraId="2F67037F" w14:textId="0EC651A6">
          <w:pPr>
            <w:pStyle w:val="Header"/>
            <w:bidi w:val="0"/>
            <w:ind w:left="-115"/>
            <w:jc w:val="left"/>
          </w:pPr>
        </w:p>
      </w:tc>
      <w:tc>
        <w:tcPr>
          <w:tcW w:w="4320" w:type="dxa"/>
          <w:tcMar/>
        </w:tcPr>
        <w:p w:rsidR="68EBABED" w:rsidP="68EBABED" w:rsidRDefault="68EBABED" w14:paraId="0C2A2F8A" w14:textId="5E059929">
          <w:pPr>
            <w:pStyle w:val="Header"/>
            <w:bidi w:val="0"/>
            <w:jc w:val="center"/>
          </w:pPr>
        </w:p>
      </w:tc>
      <w:tc>
        <w:tcPr>
          <w:tcW w:w="4320" w:type="dxa"/>
          <w:tcMar/>
        </w:tcPr>
        <w:p w:rsidR="68EBABED" w:rsidP="68EBABED" w:rsidRDefault="68EBABED" w14:paraId="6DBD61DD" w14:textId="2B9AA538">
          <w:pPr>
            <w:pStyle w:val="Header"/>
            <w:bidi w:val="0"/>
            <w:ind w:right="-115"/>
            <w:jc w:val="right"/>
          </w:pPr>
        </w:p>
      </w:tc>
    </w:tr>
  </w:tbl>
  <w:p w:rsidR="68EBABED" w:rsidP="68EBABED" w:rsidRDefault="68EBABED" w14:paraId="2ED68A98" w14:textId="192C32F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320"/>
      <w:gridCol w:w="4320"/>
      <w:gridCol w:w="4320"/>
    </w:tblGrid>
    <w:tr w:rsidR="68EBABED" w:rsidTr="2E4DB1E2" w14:paraId="57D623F0">
      <w:trPr>
        <w:trHeight w:val="300"/>
      </w:trPr>
      <w:tc>
        <w:tcPr>
          <w:tcW w:w="4320" w:type="dxa"/>
          <w:tcMar/>
        </w:tcPr>
        <w:p w:rsidR="68EBABED" w:rsidP="68EBABED" w:rsidRDefault="68EBABED" w14:paraId="02E5777F" w14:textId="0B3E5DBD">
          <w:pPr>
            <w:pStyle w:val="Header"/>
            <w:bidi w:val="0"/>
            <w:ind w:left="-115"/>
            <w:jc w:val="left"/>
            <w:rPr>
              <w:rFonts w:ascii="Arial" w:hAnsi="Arial" w:eastAsia="Arial" w:cs="Arial"/>
              <w:sz w:val="18"/>
              <w:szCs w:val="18"/>
            </w:rPr>
          </w:pPr>
        </w:p>
      </w:tc>
      <w:tc>
        <w:tcPr>
          <w:tcW w:w="4320" w:type="dxa"/>
          <w:tcMar/>
        </w:tcPr>
        <w:p w:rsidR="68EBABED" w:rsidP="68EBABED" w:rsidRDefault="68EBABED" w14:paraId="0F3F437E" w14:textId="539D0ACC">
          <w:pPr>
            <w:pStyle w:val="Header"/>
            <w:bidi w:val="0"/>
            <w:jc w:val="center"/>
            <w:rPr>
              <w:rFonts w:ascii="Arial" w:hAnsi="Arial" w:eastAsia="Arial" w:cs="Arial"/>
              <w:sz w:val="18"/>
              <w:szCs w:val="18"/>
            </w:rPr>
          </w:pPr>
        </w:p>
      </w:tc>
      <w:tc>
        <w:tcPr>
          <w:tcW w:w="4320" w:type="dxa"/>
          <w:tcMar/>
        </w:tcPr>
        <w:p w:rsidR="68EBABED" w:rsidP="68EBABED" w:rsidRDefault="68EBABED" w14:paraId="5D633A51" w14:textId="6077D15E">
          <w:pPr>
            <w:pStyle w:val="Header"/>
            <w:bidi w:val="0"/>
            <w:ind w:right="-115"/>
            <w:jc w:val="right"/>
            <w:rPr>
              <w:rFonts w:ascii="Arial" w:hAnsi="Arial" w:eastAsia="Arial" w:cs="Arial"/>
              <w:sz w:val="18"/>
              <w:szCs w:val="18"/>
            </w:rPr>
          </w:pPr>
          <w:r w:rsidRPr="2E4DB1E2" w:rsidR="2E4DB1E2">
            <w:rPr>
              <w:rFonts w:ascii="Arial" w:hAnsi="Arial" w:eastAsia="Arial" w:cs="Arial"/>
              <w:sz w:val="18"/>
              <w:szCs w:val="18"/>
            </w:rPr>
            <w:t>ECEY4001</w:t>
          </w:r>
          <w:r>
            <w:br/>
          </w:r>
          <w:r w:rsidRPr="2E4DB1E2" w:rsidR="2E4DB1E2">
            <w:rPr>
              <w:rFonts w:ascii="Arial" w:hAnsi="Arial" w:eastAsia="Arial" w:cs="Arial"/>
              <w:sz w:val="18"/>
              <w:szCs w:val="18"/>
            </w:rPr>
            <w:t>2411206</w:t>
          </w:r>
          <w:r>
            <w:br/>
          </w:r>
          <w:r w:rsidRPr="2E4DB1E2" w:rsidR="2E4DB1E2">
            <w:rPr>
              <w:rFonts w:ascii="Arial" w:hAnsi="Arial" w:eastAsia="Arial" w:cs="Arial"/>
              <w:sz w:val="18"/>
              <w:szCs w:val="18"/>
            </w:rPr>
            <w:t xml:space="preserve">3098 </w:t>
          </w:r>
          <w:r w:rsidRPr="2E4DB1E2" w:rsidR="2E4DB1E2">
            <w:rPr>
              <w:rFonts w:ascii="Arial" w:hAnsi="Arial" w:eastAsia="Arial" w:cs="Arial"/>
              <w:sz w:val="18"/>
              <w:szCs w:val="18"/>
            </w:rPr>
            <w:t>Total</w:t>
          </w:r>
          <w:r w:rsidRPr="2E4DB1E2" w:rsidR="2E4DB1E2">
            <w:rPr>
              <w:rFonts w:ascii="Arial" w:hAnsi="Arial" w:eastAsia="Arial" w:cs="Arial"/>
              <w:sz w:val="18"/>
              <w:szCs w:val="18"/>
            </w:rPr>
            <w:t xml:space="preserve"> </w:t>
          </w:r>
          <w:r w:rsidRPr="2E4DB1E2" w:rsidR="2E4DB1E2">
            <w:rPr>
              <w:rFonts w:ascii="Arial" w:hAnsi="Arial" w:eastAsia="Arial" w:cs="Arial"/>
              <w:sz w:val="18"/>
              <w:szCs w:val="18"/>
            </w:rPr>
            <w:t>word count</w:t>
          </w:r>
        </w:p>
      </w:tc>
    </w:tr>
  </w:tbl>
  <w:p w:rsidR="68EBABED" w:rsidP="68EBABED" w:rsidRDefault="68EBABED" w14:paraId="01190346" w14:textId="20253178">
    <w:pPr>
      <w:pStyle w:val="Header"/>
      <w:bidi w:val="0"/>
      <w:rPr>
        <w:rFonts w:ascii="Arial" w:hAnsi="Arial" w:eastAsia="Arial" w:cs="Arial"/>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D32D8E"/>
    <w:rsid w:val="01377532"/>
    <w:rsid w:val="01A5DB66"/>
    <w:rsid w:val="01C2D769"/>
    <w:rsid w:val="022A20B0"/>
    <w:rsid w:val="0277A7F3"/>
    <w:rsid w:val="05377E84"/>
    <w:rsid w:val="05562FAE"/>
    <w:rsid w:val="0649D809"/>
    <w:rsid w:val="068E7BB7"/>
    <w:rsid w:val="06986D96"/>
    <w:rsid w:val="071DB970"/>
    <w:rsid w:val="074A57F8"/>
    <w:rsid w:val="07B13168"/>
    <w:rsid w:val="07F3185F"/>
    <w:rsid w:val="0827FE53"/>
    <w:rsid w:val="08B133ED"/>
    <w:rsid w:val="092A2B8A"/>
    <w:rsid w:val="0934D460"/>
    <w:rsid w:val="097DC8D4"/>
    <w:rsid w:val="098B5AF5"/>
    <w:rsid w:val="0AD75363"/>
    <w:rsid w:val="0AE1511D"/>
    <w:rsid w:val="0B78CDD2"/>
    <w:rsid w:val="0B9F1F46"/>
    <w:rsid w:val="0C9CA2AA"/>
    <w:rsid w:val="0CA03EE3"/>
    <w:rsid w:val="0CA6EDAB"/>
    <w:rsid w:val="0D6D3286"/>
    <w:rsid w:val="0D7B7E09"/>
    <w:rsid w:val="0DBAED64"/>
    <w:rsid w:val="0DD0E0A1"/>
    <w:rsid w:val="0E89D79A"/>
    <w:rsid w:val="0EAD97FD"/>
    <w:rsid w:val="0FD313A5"/>
    <w:rsid w:val="11D102BB"/>
    <w:rsid w:val="12D0A8E9"/>
    <w:rsid w:val="13A2A308"/>
    <w:rsid w:val="13D18EDB"/>
    <w:rsid w:val="13EE58EB"/>
    <w:rsid w:val="14A4F75F"/>
    <w:rsid w:val="152A301C"/>
    <w:rsid w:val="156F8DFC"/>
    <w:rsid w:val="15BD913C"/>
    <w:rsid w:val="15E2454D"/>
    <w:rsid w:val="182A76D4"/>
    <w:rsid w:val="187C34B9"/>
    <w:rsid w:val="18D43399"/>
    <w:rsid w:val="19A2631D"/>
    <w:rsid w:val="1A6A8B8D"/>
    <w:rsid w:val="1A97CC7F"/>
    <w:rsid w:val="1BB67B51"/>
    <w:rsid w:val="1C14DF36"/>
    <w:rsid w:val="1C53AC7A"/>
    <w:rsid w:val="1CFEFE1A"/>
    <w:rsid w:val="1D7E243B"/>
    <w:rsid w:val="1E1C6106"/>
    <w:rsid w:val="1E98C587"/>
    <w:rsid w:val="1ED6CA51"/>
    <w:rsid w:val="1F49F75D"/>
    <w:rsid w:val="1F5F2A43"/>
    <w:rsid w:val="21131F38"/>
    <w:rsid w:val="2119FA71"/>
    <w:rsid w:val="22F4165F"/>
    <w:rsid w:val="23B5D322"/>
    <w:rsid w:val="25197E31"/>
    <w:rsid w:val="25822196"/>
    <w:rsid w:val="2598C925"/>
    <w:rsid w:val="25B8E5EB"/>
    <w:rsid w:val="26A0D220"/>
    <w:rsid w:val="26E3FA51"/>
    <w:rsid w:val="27645CCF"/>
    <w:rsid w:val="278BCA89"/>
    <w:rsid w:val="279015B7"/>
    <w:rsid w:val="27A6291B"/>
    <w:rsid w:val="28B260B6"/>
    <w:rsid w:val="2922F4E7"/>
    <w:rsid w:val="2A826DBC"/>
    <w:rsid w:val="2BFD55E4"/>
    <w:rsid w:val="2C1F58C7"/>
    <w:rsid w:val="2C389DFD"/>
    <w:rsid w:val="2C521833"/>
    <w:rsid w:val="2C8C9C8F"/>
    <w:rsid w:val="2CFA25C1"/>
    <w:rsid w:val="2D85C595"/>
    <w:rsid w:val="2DAE437E"/>
    <w:rsid w:val="2E0B366E"/>
    <w:rsid w:val="2E4CE02A"/>
    <w:rsid w:val="2E4DB1E2"/>
    <w:rsid w:val="2E6E2D29"/>
    <w:rsid w:val="2EBB752B"/>
    <w:rsid w:val="2ED69414"/>
    <w:rsid w:val="2F861390"/>
    <w:rsid w:val="2F9E61E6"/>
    <w:rsid w:val="2FC58CF5"/>
    <w:rsid w:val="2FEBEC71"/>
    <w:rsid w:val="3038D100"/>
    <w:rsid w:val="3168CBFE"/>
    <w:rsid w:val="3199133E"/>
    <w:rsid w:val="31A8A3EC"/>
    <w:rsid w:val="31CC7338"/>
    <w:rsid w:val="31D2ABE8"/>
    <w:rsid w:val="31DDC939"/>
    <w:rsid w:val="335F696D"/>
    <w:rsid w:val="336883B8"/>
    <w:rsid w:val="33EC4A14"/>
    <w:rsid w:val="34A484A9"/>
    <w:rsid w:val="353F1E25"/>
    <w:rsid w:val="366A54A1"/>
    <w:rsid w:val="3765FBE4"/>
    <w:rsid w:val="377C886A"/>
    <w:rsid w:val="37908861"/>
    <w:rsid w:val="37C04011"/>
    <w:rsid w:val="37E42AD9"/>
    <w:rsid w:val="38426252"/>
    <w:rsid w:val="3896F555"/>
    <w:rsid w:val="38D4B3C5"/>
    <w:rsid w:val="391CD3AC"/>
    <w:rsid w:val="399551FC"/>
    <w:rsid w:val="3AB8451F"/>
    <w:rsid w:val="3B86CAEB"/>
    <w:rsid w:val="3C3F2196"/>
    <w:rsid w:val="3C4B7A03"/>
    <w:rsid w:val="3CDE34C6"/>
    <w:rsid w:val="3D9B50C8"/>
    <w:rsid w:val="3DF05BB8"/>
    <w:rsid w:val="3E6CC2E5"/>
    <w:rsid w:val="3E9CC32C"/>
    <w:rsid w:val="3EDCED93"/>
    <w:rsid w:val="40A7AA16"/>
    <w:rsid w:val="418718A7"/>
    <w:rsid w:val="425046D0"/>
    <w:rsid w:val="42B0A94F"/>
    <w:rsid w:val="449D45E7"/>
    <w:rsid w:val="44A5A9F8"/>
    <w:rsid w:val="44BEA24D"/>
    <w:rsid w:val="45663AF2"/>
    <w:rsid w:val="46304029"/>
    <w:rsid w:val="4634507D"/>
    <w:rsid w:val="465172B1"/>
    <w:rsid w:val="48A1BF7F"/>
    <w:rsid w:val="491D6297"/>
    <w:rsid w:val="49ACE42F"/>
    <w:rsid w:val="49F80592"/>
    <w:rsid w:val="4A039D4F"/>
    <w:rsid w:val="4A86B8E2"/>
    <w:rsid w:val="4A9F8145"/>
    <w:rsid w:val="4B1DDE7B"/>
    <w:rsid w:val="4B2FDDB7"/>
    <w:rsid w:val="4B7BDB44"/>
    <w:rsid w:val="4B8A7C09"/>
    <w:rsid w:val="4C1CFA94"/>
    <w:rsid w:val="4C368F39"/>
    <w:rsid w:val="4C4C42A5"/>
    <w:rsid w:val="4CC140C8"/>
    <w:rsid w:val="4D056DEA"/>
    <w:rsid w:val="4D6D8C59"/>
    <w:rsid w:val="4D7F4098"/>
    <w:rsid w:val="4E974EA5"/>
    <w:rsid w:val="4EE252E9"/>
    <w:rsid w:val="4F6B8424"/>
    <w:rsid w:val="4F9B0C1D"/>
    <w:rsid w:val="4FB410BE"/>
    <w:rsid w:val="4FB91933"/>
    <w:rsid w:val="506E53EB"/>
    <w:rsid w:val="50C1D32D"/>
    <w:rsid w:val="510851BC"/>
    <w:rsid w:val="51F31CEA"/>
    <w:rsid w:val="5203C95B"/>
    <w:rsid w:val="530577D3"/>
    <w:rsid w:val="536ECBE3"/>
    <w:rsid w:val="53795466"/>
    <w:rsid w:val="53C4DD62"/>
    <w:rsid w:val="54E8476D"/>
    <w:rsid w:val="5506D750"/>
    <w:rsid w:val="55352F6E"/>
    <w:rsid w:val="55D32D8E"/>
    <w:rsid w:val="56D71CB6"/>
    <w:rsid w:val="57D23E39"/>
    <w:rsid w:val="5804FD74"/>
    <w:rsid w:val="581AC8E7"/>
    <w:rsid w:val="5831C6E8"/>
    <w:rsid w:val="595B4749"/>
    <w:rsid w:val="596A64B3"/>
    <w:rsid w:val="5B36BC5E"/>
    <w:rsid w:val="5C18176B"/>
    <w:rsid w:val="5C5741E7"/>
    <w:rsid w:val="5CE67C65"/>
    <w:rsid w:val="5D7419D2"/>
    <w:rsid w:val="5D965D53"/>
    <w:rsid w:val="5DA66B92"/>
    <w:rsid w:val="6045CEA8"/>
    <w:rsid w:val="60D76040"/>
    <w:rsid w:val="63068334"/>
    <w:rsid w:val="6351797B"/>
    <w:rsid w:val="64A5886D"/>
    <w:rsid w:val="654FCF3F"/>
    <w:rsid w:val="6738A6B3"/>
    <w:rsid w:val="675CAEF9"/>
    <w:rsid w:val="686F248C"/>
    <w:rsid w:val="68914558"/>
    <w:rsid w:val="68EBABED"/>
    <w:rsid w:val="6A973874"/>
    <w:rsid w:val="6A9CB5A0"/>
    <w:rsid w:val="6AC213E8"/>
    <w:rsid w:val="6BCE22C7"/>
    <w:rsid w:val="6C0D7F6F"/>
    <w:rsid w:val="6CDD8135"/>
    <w:rsid w:val="6E188FFC"/>
    <w:rsid w:val="6E251F64"/>
    <w:rsid w:val="6E755651"/>
    <w:rsid w:val="6E9935A0"/>
    <w:rsid w:val="6F35C71A"/>
    <w:rsid w:val="6FAF0A1A"/>
    <w:rsid w:val="713B1102"/>
    <w:rsid w:val="718B8045"/>
    <w:rsid w:val="71EFCD31"/>
    <w:rsid w:val="723269DA"/>
    <w:rsid w:val="72D7D30C"/>
    <w:rsid w:val="73C58E97"/>
    <w:rsid w:val="7515C4CE"/>
    <w:rsid w:val="75CD12B6"/>
    <w:rsid w:val="7644173E"/>
    <w:rsid w:val="77EF1F40"/>
    <w:rsid w:val="786862B3"/>
    <w:rsid w:val="78AAAF54"/>
    <w:rsid w:val="79AF8101"/>
    <w:rsid w:val="7A02FE58"/>
    <w:rsid w:val="7B1D2C9C"/>
    <w:rsid w:val="7B32AAB7"/>
    <w:rsid w:val="7D2F253C"/>
    <w:rsid w:val="7D61DDBD"/>
    <w:rsid w:val="7D836A33"/>
    <w:rsid w:val="7D85CFB6"/>
    <w:rsid w:val="7E83B95B"/>
    <w:rsid w:val="7FF5A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32D8E"/>
  <w15:chartTrackingRefBased/>
  <w15:docId w15:val="{B84FF1DB-5C1B-4B10-A71C-90B02870B3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25e32aaa6c08410f" /><Relationship Type="http://schemas.openxmlformats.org/officeDocument/2006/relationships/footer" Target="footer.xml" Id="R566c015b5f6b4b78" /><Relationship Type="http://schemas.openxmlformats.org/officeDocument/2006/relationships/hyperlink" Target="https://uowtsd-my.sharepoint.com/personal/2411206_student_uwtsd_ac_uk/_layouts/15/Doc.aspx?sourcedoc=%7B1D9FB55B-57B1-488C-9F54-C206229D2CA9%7D&amp;file=The%20Concept%20of%20Holistic%20Child%20Development%20(main%20topic).docx&amp;action=default&amp;mobileredirect=true" TargetMode="External" Id="R03defb641d434404" /><Relationship Type="http://schemas.openxmlformats.org/officeDocument/2006/relationships/hyperlink" Target="https://doi.org/10.56687/9781447358299" TargetMode="External" Id="R645a33a5ecec4d4b" /><Relationship Type="http://schemas.openxmlformats.org/officeDocument/2006/relationships/hyperlink" Target="https://childrensrightswales.org.uk/why-childrens-rights.aspx" TargetMode="External" Id="Rf3aa5bbc0bd54583" /><Relationship Type="http://schemas.openxmlformats.org/officeDocument/2006/relationships/hyperlink" Target="https://dictionary.cambridge.org/dictionary/english/concept" TargetMode="External" Id="R20d1c68e80cf43fc" /><Relationship Type="http://schemas.openxmlformats.org/officeDocument/2006/relationships/hyperlink" Target="https://www.britannica.com/topic/love-emotion" TargetMode="External" Id="Rfaf708f07fe94e61" /><Relationship Type="http://schemas.openxmlformats.org/officeDocument/2006/relationships/hyperlink" Target="https://www.nurseryandschoolguide.co.uk/post/what-is-holistic-development-and-why-is-it-the-best-approach-for-educating-our-children" TargetMode="External" Id="R77e6a49b9e4d4a8b" /><Relationship Type="http://schemas.openxmlformats.org/officeDocument/2006/relationships/hyperlink" Target="https://assets.education.govt.nz/public/Documents/Early-Childhood/Te-Whariki-1996.pdf" TargetMode="External" Id="R286bd11d62e542b6" /><Relationship Type="http://schemas.openxmlformats.org/officeDocument/2006/relationships/hyperlink" Target="https://policylab.chop.edu/sites/default/files/pdf/publications/Understanding_Povertys_Influence_On_Child_Development-singles.pdf" TargetMode="External" Id="Rd5f75a9ef1b745e8" /><Relationship Type="http://schemas.openxmlformats.org/officeDocument/2006/relationships/hyperlink" Target="https://research-ebsco-com.ezproxy.uwtsd.ac.uk/linkprocessor/plink?id=a8e4c502-6c51-3027-85b9-59e687a9e53c" TargetMode="External" Id="R13d136b15abe4785" /><Relationship Type="http://schemas.openxmlformats.org/officeDocument/2006/relationships/hyperlink" Target="https://hwb.gov.wales/api/storage/031bbc2d-d2f8-429d-a944-5fc33484827d/a-quality-framework-for-early-childhood-play-learning-and-care-v1.pdf" TargetMode="External" Id="R7ce7cc8bfca648c7" /><Relationship Type="http://schemas.openxmlformats.org/officeDocument/2006/relationships/hyperlink" Target="https://www.who.int/about/accountability/results/who-results-report-2020-mtr/output/pb-2024-2025/3.3.2-countries-supported-to-create-an-enabling-environment-for-healthy-settings" TargetMode="External" Id="R20a762f6ba404a90" /><Relationship Type="http://schemas.openxmlformats.org/officeDocument/2006/relationships/hyperlink" Target="https://www.unicef.org.uk/wp-content/uploads/2010/05/UNCRC_PRESS200910web.pdf" TargetMode="External" Id="Rdbc020a881cd46f4" /><Relationship Type="http://schemas.openxmlformats.org/officeDocument/2006/relationships/hyperlink" Target="https://www.unicef.org.uk/wp-content/uplaods/2010/05/UNCRC_press200910web.pdf" TargetMode="External" Id="R99665906cb0c4d13" /><Relationship Type="http://schemas.openxmlformats.org/officeDocument/2006/relationships/hyperlink" Target="https://infograph.venngage.com/ps/MsRuOpG3jDA" TargetMode="External" Id="R118e662107d4400c" /><Relationship Type="http://schemas.openxmlformats.org/officeDocument/2006/relationships/image" Target="/media/image4.png" Id="Reb90daf2dfc648dc" /><Relationship Type="http://schemas.openxmlformats.org/officeDocument/2006/relationships/image" Target="/media/image5.png" Id="R997f129b38d4482d" /><Relationship Type="http://schemas.openxmlformats.org/officeDocument/2006/relationships/image" Target="/media/image6.png" Id="Rae626ea3d5674709" /><Relationship Type="http://schemas.openxmlformats.org/officeDocument/2006/relationships/hyperlink" Target="https://doi.org/10.1179/0024363914z.00000000087" TargetMode="External" Id="R068d6226df004698" /><Relationship Type="http://schemas.openxmlformats.org/officeDocument/2006/relationships/hyperlink" Target="https://www.earlyyears.tv/maslows-hierarchy-of-needs/" TargetMode="External" Id="R7cf7de0cfe4644a7" /><Relationship Type="http://schemas.openxmlformats.org/officeDocument/2006/relationships/hyperlink" Target="https://doi.org/10.1111/j.1741-3737.2010.00740.x" TargetMode="External" Id="R76e07424bf9b4842" /><Relationship Type="http://schemas.openxmlformats.org/officeDocument/2006/relationships/hyperlink" Target="https://doi.org/10.1080/00405841.2023.2226560" TargetMode="External" Id="R43d0f80becfa4871" /><Relationship Type="http://schemas.openxmlformats.org/officeDocument/2006/relationships/hyperlink" Target="https://doi.org/10.2307/1602478" TargetMode="External" Id="R900f61a14e3c4c7f" /><Relationship Type="http://schemas.openxmlformats.org/officeDocument/2006/relationships/hyperlink" Target="http://dspace.sxcjpr.edu.in:8080/jspui/bitstream/123456789/1031/1/Copy%20of%20attachment-theory-separation-anxiety-and-mourning.pdf" TargetMode="External" Id="R7ba176e6b29f479e" /><Relationship Type="http://schemas.openxmlformats.org/officeDocument/2006/relationships/hyperlink" Target="https://birthto5matters.org.uk/transitions/" TargetMode="External" Id="R09284d5c709a4d3c" /><Relationship Type="http://schemas.openxmlformats.org/officeDocument/2006/relationships/hyperlink" Target="https://www.earlyyears.tv/maslows-hierarchy-of-needs/" TargetMode="External" Id="Ra30955b45c194297" /><Relationship Type="http://schemas.openxmlformats.org/officeDocument/2006/relationships/hyperlink" Target="https://www.gov.wales/flying-start-programme" TargetMode="External" Id="Rfcc3e91ea6de4784" /><Relationship Type="http://schemas.openxmlformats.org/officeDocument/2006/relationships/hyperlink" Target="https://doi.org/10.1037/1089-2680.10.4.302" TargetMode="External" Id="R759c56eeeac44927" /><Relationship Type="http://schemas.openxmlformats.org/officeDocument/2006/relationships/hyperlink" Target="http://mnprek-3.wdfiles.com/local--files/research-studies/Preschool%20Teachers%20Use%20of%20Transitions.pdf" TargetMode="External" Id="Rd407537f7ba54b1f" /><Relationship Type="http://schemas.openxmlformats.org/officeDocument/2006/relationships/hyperlink" Target="https://learning.nspcc.org.uk/child-health-development/attachment-early-years" TargetMode="External" Id="R1bea149fcdb3489f" /><Relationship Type="http://schemas.openxmlformats.org/officeDocument/2006/relationships/hyperlink" Target="https://playlearnthrive.com/building-attachment-through-play/" TargetMode="External" Id="R1290e3589df5489c" /><Relationship Type="http://schemas.openxmlformats.org/officeDocument/2006/relationships/hyperlink" Target="https://hwb.gov.wales/api/storage/1f581142-6b91-41e4-845d-3d6c7765df20/a-curriculum-for-funded-non-maintained-nursery-settings.pdf" TargetMode="External" Id="Rdd1f6d6b05374b1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2024-11-17T03:13:59.7872338Z</dcterms:created>
  <dcterms:modified xsi:type="dcterms:W3CDTF">2024-12-01T17:58:31.9534587Z</dcterms:modified>
  <dc:creator>Jordan MacDonald (2411206)</dc:creator>
  <lastModifiedBy>Jordan MacDonald (2411206)</lastModifiedBy>
</coreProperties>
</file>