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410D1" w14:textId="2DD09855" w:rsidR="00903CB5" w:rsidRPr="00C13951" w:rsidRDefault="00D21802" w:rsidP="00903CB5">
      <w:pPr>
        <w:spacing w:after="160" w:line="259" w:lineRule="auto"/>
        <w:jc w:val="center"/>
        <w:rPr>
          <w:rFonts w:ascii="Arial" w:hAnsi="Arial" w:cs="Arial"/>
          <w:b/>
          <w:bCs/>
          <w:sz w:val="32"/>
          <w:szCs w:val="32"/>
        </w:rPr>
      </w:pPr>
      <w:r w:rsidRPr="00C13951">
        <w:rPr>
          <w:rFonts w:ascii="Arial" w:hAnsi="Arial" w:cs="Arial"/>
        </w:rPr>
        <w:fldChar w:fldCharType="begin"/>
      </w:r>
      <w:r w:rsidR="007516DC">
        <w:rPr>
          <w:rFonts w:ascii="Arial" w:hAnsi="Arial" w:cs="Arial"/>
        </w:rPr>
        <w:instrText xml:space="preserve"> INCLUDEPICTURE "C:\\Users\\ijtehad\\Library\\Group Containers\\UBF8T346G9.ms\\WebArchiveCopyPasteTempFiles\\com.microsoft.Word\\University-of-Wales-Trinity-Saint-David.png" \* MERGEFORMAT </w:instrText>
      </w:r>
      <w:r w:rsidRPr="00C13951">
        <w:rPr>
          <w:rFonts w:ascii="Arial" w:hAnsi="Arial" w:cs="Arial"/>
        </w:rPr>
        <w:fldChar w:fldCharType="separate"/>
      </w:r>
      <w:r w:rsidRPr="00C13951">
        <w:rPr>
          <w:rFonts w:ascii="Arial" w:hAnsi="Arial" w:cs="Arial"/>
          <w:noProof/>
        </w:rPr>
        <w:drawing>
          <wp:inline distT="0" distB="0" distL="0" distR="0" wp14:anchorId="20C99120" wp14:editId="7BBD8EFF">
            <wp:extent cx="2566679" cy="1023257"/>
            <wp:effectExtent l="0" t="0" r="0" b="0"/>
            <wp:docPr id="2011830755"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6084" cy="1030993"/>
                    </a:xfrm>
                    <a:prstGeom prst="rect">
                      <a:avLst/>
                    </a:prstGeom>
                    <a:noFill/>
                    <a:ln>
                      <a:noFill/>
                    </a:ln>
                  </pic:spPr>
                </pic:pic>
              </a:graphicData>
            </a:graphic>
          </wp:inline>
        </w:drawing>
      </w:r>
      <w:r w:rsidRPr="00C13951">
        <w:rPr>
          <w:rFonts w:ascii="Arial" w:hAnsi="Arial" w:cs="Arial"/>
        </w:rPr>
        <w:fldChar w:fldCharType="end"/>
      </w:r>
    </w:p>
    <w:p w14:paraId="02407FA5" w14:textId="77777777" w:rsidR="00903CB5" w:rsidRPr="00C13951" w:rsidRDefault="00903CB5" w:rsidP="00903CB5">
      <w:pPr>
        <w:spacing w:after="160" w:line="259" w:lineRule="auto"/>
        <w:jc w:val="center"/>
        <w:rPr>
          <w:rFonts w:ascii="Arial" w:hAnsi="Arial" w:cs="Arial"/>
          <w:b/>
          <w:bCs/>
          <w:sz w:val="32"/>
          <w:szCs w:val="32"/>
        </w:rPr>
      </w:pPr>
    </w:p>
    <w:p w14:paraId="3655CF7B" w14:textId="77777777" w:rsidR="00D21802" w:rsidRPr="00C13951" w:rsidRDefault="00D21802" w:rsidP="00D21802">
      <w:pPr>
        <w:jc w:val="center"/>
        <w:rPr>
          <w:rFonts w:ascii="Arial" w:hAnsi="Arial" w:cs="Arial"/>
          <w:b/>
          <w:bCs/>
          <w:sz w:val="32"/>
          <w:szCs w:val="32"/>
        </w:rPr>
      </w:pPr>
      <w:r w:rsidRPr="00C13951">
        <w:rPr>
          <w:rFonts w:ascii="Arial" w:hAnsi="Arial" w:cs="Arial"/>
          <w:b/>
          <w:bCs/>
          <w:sz w:val="32"/>
          <w:szCs w:val="32"/>
        </w:rPr>
        <w:t>Master of Business Administration Programme</w:t>
      </w:r>
    </w:p>
    <w:p w14:paraId="294D0A6B" w14:textId="7EFD9888" w:rsidR="00903CB5" w:rsidRPr="00C13951" w:rsidRDefault="00D21802" w:rsidP="00D21802">
      <w:pPr>
        <w:jc w:val="center"/>
        <w:rPr>
          <w:rFonts w:ascii="Arial" w:hAnsi="Arial" w:cs="Arial"/>
          <w:b/>
          <w:bCs/>
          <w:sz w:val="32"/>
          <w:szCs w:val="32"/>
        </w:rPr>
      </w:pPr>
      <w:r w:rsidRPr="00C13951">
        <w:rPr>
          <w:rFonts w:ascii="Arial" w:hAnsi="Arial" w:cs="Arial"/>
          <w:b/>
          <w:bCs/>
          <w:sz w:val="32"/>
          <w:szCs w:val="32"/>
        </w:rPr>
        <w:t>LCMB7035 - Dissertation</w:t>
      </w:r>
    </w:p>
    <w:p w14:paraId="7F146E30" w14:textId="77777777" w:rsidR="00903CB5" w:rsidRPr="00C13951" w:rsidRDefault="00903CB5" w:rsidP="00903CB5">
      <w:pPr>
        <w:spacing w:after="160" w:line="259" w:lineRule="auto"/>
        <w:jc w:val="center"/>
        <w:rPr>
          <w:rFonts w:ascii="Arial" w:hAnsi="Arial" w:cs="Arial"/>
          <w:b/>
          <w:bCs/>
          <w:sz w:val="32"/>
          <w:szCs w:val="32"/>
        </w:rPr>
      </w:pPr>
    </w:p>
    <w:p w14:paraId="6568E732" w14:textId="121643A5" w:rsidR="00903CB5" w:rsidRPr="00C13951" w:rsidRDefault="00903CB5" w:rsidP="00D21802">
      <w:pPr>
        <w:spacing w:after="160" w:line="259" w:lineRule="auto"/>
        <w:jc w:val="center"/>
        <w:rPr>
          <w:rFonts w:ascii="Arial" w:hAnsi="Arial" w:cs="Arial"/>
          <w:b/>
          <w:bCs/>
        </w:rPr>
      </w:pPr>
      <w:r w:rsidRPr="00C13951">
        <w:rPr>
          <w:rFonts w:ascii="Arial" w:hAnsi="Arial" w:cs="Arial"/>
          <w:b/>
          <w:bCs/>
        </w:rPr>
        <w:t xml:space="preserve"> </w:t>
      </w:r>
    </w:p>
    <w:p w14:paraId="0595D3A8" w14:textId="7B2DC4DD" w:rsidR="00D21802" w:rsidRPr="00C13951" w:rsidRDefault="00D21802" w:rsidP="00D21802">
      <w:pPr>
        <w:spacing w:after="160" w:line="259" w:lineRule="auto"/>
        <w:jc w:val="center"/>
        <w:rPr>
          <w:rFonts w:ascii="Arial" w:hAnsi="Arial" w:cs="Arial"/>
          <w:b/>
          <w:bCs/>
        </w:rPr>
      </w:pPr>
      <w:r w:rsidRPr="00C13951">
        <w:rPr>
          <w:rFonts w:ascii="Arial" w:hAnsi="Arial" w:cs="Arial"/>
          <w:b/>
          <w:bCs/>
          <w:noProof/>
          <w:sz w:val="32"/>
          <w:szCs w:val="32"/>
        </w:rPr>
        <mc:AlternateContent>
          <mc:Choice Requires="wps">
            <w:drawing>
              <wp:anchor distT="0" distB="0" distL="114300" distR="114300" simplePos="0" relativeHeight="251659264" behindDoc="0" locked="0" layoutInCell="1" allowOverlap="1" wp14:anchorId="5C6DF900" wp14:editId="5394EDC7">
                <wp:simplePos x="0" y="0"/>
                <wp:positionH relativeFrom="column">
                  <wp:posOffset>21590</wp:posOffset>
                </wp:positionH>
                <wp:positionV relativeFrom="paragraph">
                  <wp:posOffset>144417</wp:posOffset>
                </wp:positionV>
                <wp:extent cx="5758180" cy="1143000"/>
                <wp:effectExtent l="0" t="0" r="7620" b="12700"/>
                <wp:wrapNone/>
                <wp:docPr id="1899946560" name="Rectangle 6"/>
                <wp:cNvGraphicFramePr/>
                <a:graphic xmlns:a="http://schemas.openxmlformats.org/drawingml/2006/main">
                  <a:graphicData uri="http://schemas.microsoft.com/office/word/2010/wordprocessingShape">
                    <wps:wsp>
                      <wps:cNvSpPr/>
                      <wps:spPr>
                        <a:xfrm>
                          <a:off x="0" y="0"/>
                          <a:ext cx="5758180" cy="1143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14E54B" w14:textId="5845B38F" w:rsidR="00903CB5" w:rsidRDefault="00903CB5" w:rsidP="00903CB5">
                            <w:pPr>
                              <w:jc w:val="center"/>
                            </w:pPr>
                            <w:r w:rsidRPr="00903CB5">
                              <w:rPr>
                                <w:b/>
                                <w:bCs/>
                                <w:sz w:val="32"/>
                                <w:szCs w:val="32"/>
                              </w:rPr>
                              <w:t>Reputation Recovery: Managing Consumer Trust After Quality Failures in the International Clothing Industry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6DF900" id="Rectangle 6" o:spid="_x0000_s1026" style="position:absolute;left:0;text-align:left;margin-left:1.7pt;margin-top:11.35pt;width:453.4pt;height:9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" fillcolor="#4472c4 [3204]" strokecolor="#09101d [484]" strokeweight="1pt">
                <v:textbox>
                  <w:txbxContent>
                    <w:p w14:paraId="3814E54B" w14:textId="5845B38F" w:rsidR="00903CB5" w:rsidRDefault="00903CB5" w:rsidP="00903CB5">
                      <w:pPr>
                        <w:jc w:val="center"/>
                      </w:pPr>
                      <w:r w:rsidRPr="00903CB5">
                        <w:rPr>
                          <w:b/>
                          <w:bCs/>
                          <w:sz w:val="32"/>
                          <w:szCs w:val="32"/>
                        </w:rPr>
                        <w:t>Reputation Recovery: Managing Consumer Trust After Quality Failures in the International Clothing Industry</w:t>
                      </w:r>
                    </w:p>
                  </w:txbxContent>
                </v:textbox>
              </v:rect>
            </w:pict>
          </mc:Fallback>
        </mc:AlternateContent>
      </w:r>
    </w:p>
    <w:p w14:paraId="017B6FB3" w14:textId="318D5864" w:rsidR="00D21802" w:rsidRPr="00C13951" w:rsidRDefault="00D21802" w:rsidP="00D21802">
      <w:pPr>
        <w:spacing w:after="160" w:line="259" w:lineRule="auto"/>
        <w:jc w:val="center"/>
        <w:rPr>
          <w:rFonts w:ascii="Arial" w:hAnsi="Arial" w:cs="Arial"/>
          <w:b/>
          <w:bCs/>
        </w:rPr>
      </w:pPr>
    </w:p>
    <w:p w14:paraId="70D2CBD4" w14:textId="467C5643" w:rsidR="00D21802" w:rsidRPr="00C13951" w:rsidRDefault="00D21802" w:rsidP="00D21802">
      <w:pPr>
        <w:spacing w:after="160" w:line="259" w:lineRule="auto"/>
        <w:jc w:val="center"/>
        <w:rPr>
          <w:rFonts w:ascii="Arial" w:hAnsi="Arial" w:cs="Arial"/>
          <w:b/>
          <w:bCs/>
        </w:rPr>
      </w:pPr>
    </w:p>
    <w:p w14:paraId="641B2FFF" w14:textId="77777777" w:rsidR="00903CB5" w:rsidRPr="00C13951" w:rsidRDefault="00903CB5" w:rsidP="00903CB5">
      <w:pPr>
        <w:spacing w:after="160" w:line="259" w:lineRule="auto"/>
        <w:jc w:val="center"/>
        <w:rPr>
          <w:rFonts w:ascii="Arial" w:hAnsi="Arial" w:cs="Arial"/>
          <w:b/>
          <w:bCs/>
        </w:rPr>
      </w:pPr>
    </w:p>
    <w:p w14:paraId="4E478348" w14:textId="77777777" w:rsidR="00903CB5" w:rsidRPr="00C13951" w:rsidRDefault="00903CB5" w:rsidP="00903CB5">
      <w:pPr>
        <w:spacing w:after="160" w:line="259" w:lineRule="auto"/>
        <w:jc w:val="center"/>
        <w:rPr>
          <w:rFonts w:ascii="Arial" w:hAnsi="Arial" w:cs="Arial"/>
          <w:b/>
          <w:bCs/>
        </w:rPr>
      </w:pPr>
    </w:p>
    <w:p w14:paraId="774D897A" w14:textId="77777777" w:rsidR="00903CB5" w:rsidRPr="00C13951" w:rsidRDefault="00903CB5" w:rsidP="00903CB5">
      <w:pPr>
        <w:spacing w:after="160" w:line="259" w:lineRule="auto"/>
        <w:jc w:val="center"/>
        <w:rPr>
          <w:rFonts w:ascii="Arial" w:hAnsi="Arial" w:cs="Arial"/>
          <w:b/>
          <w:bCs/>
        </w:rPr>
      </w:pPr>
    </w:p>
    <w:p w14:paraId="3D888143" w14:textId="77777777" w:rsidR="00903CB5" w:rsidRPr="00C13951" w:rsidRDefault="00903CB5" w:rsidP="00903CB5">
      <w:pPr>
        <w:spacing w:after="160" w:line="259" w:lineRule="auto"/>
        <w:jc w:val="center"/>
        <w:rPr>
          <w:rFonts w:ascii="Arial" w:hAnsi="Arial" w:cs="Arial"/>
          <w:b/>
          <w:bCs/>
        </w:rPr>
      </w:pPr>
    </w:p>
    <w:p w14:paraId="2D2B6475" w14:textId="77777777" w:rsidR="00903CB5" w:rsidRPr="00C13951" w:rsidRDefault="00903CB5" w:rsidP="00903CB5">
      <w:pPr>
        <w:spacing w:after="160" w:line="259" w:lineRule="auto"/>
        <w:jc w:val="center"/>
        <w:rPr>
          <w:rFonts w:ascii="Arial" w:hAnsi="Arial" w:cs="Arial"/>
          <w:b/>
          <w:bCs/>
        </w:rPr>
      </w:pPr>
    </w:p>
    <w:p w14:paraId="0ECC96BD" w14:textId="77777777" w:rsidR="00903CB5" w:rsidRPr="00C13951" w:rsidRDefault="00903CB5" w:rsidP="00903CB5">
      <w:pPr>
        <w:spacing w:after="160" w:line="259" w:lineRule="auto"/>
        <w:jc w:val="center"/>
        <w:rPr>
          <w:rFonts w:ascii="Arial" w:hAnsi="Arial" w:cs="Arial"/>
          <w:b/>
          <w:bCs/>
        </w:rPr>
      </w:pPr>
    </w:p>
    <w:p w14:paraId="21CD14F1" w14:textId="77777777" w:rsidR="00903CB5" w:rsidRPr="00C13951" w:rsidRDefault="00903CB5" w:rsidP="00903CB5">
      <w:pPr>
        <w:spacing w:after="160" w:line="259" w:lineRule="auto"/>
        <w:jc w:val="center"/>
        <w:rPr>
          <w:rFonts w:ascii="Arial" w:hAnsi="Arial" w:cs="Arial"/>
          <w:b/>
          <w:bCs/>
        </w:rPr>
      </w:pPr>
    </w:p>
    <w:p w14:paraId="5FAE519B" w14:textId="1EF4E8BD" w:rsidR="00D21802" w:rsidRPr="00C13951" w:rsidRDefault="00D21802" w:rsidP="00D21802">
      <w:pPr>
        <w:spacing w:after="160" w:line="259" w:lineRule="auto"/>
        <w:jc w:val="left"/>
        <w:rPr>
          <w:rFonts w:ascii="Arial" w:hAnsi="Arial" w:cs="Arial"/>
          <w:b/>
          <w:bCs/>
          <w:lang w:val="en-US"/>
        </w:rPr>
      </w:pPr>
      <w:r w:rsidRPr="00C13951">
        <w:rPr>
          <w:rFonts w:ascii="Arial" w:hAnsi="Arial" w:cs="Arial"/>
          <w:b/>
          <w:bCs/>
          <w:lang w:val="en-US"/>
        </w:rPr>
        <w:t xml:space="preserve">Student </w:t>
      </w:r>
      <w:proofErr w:type="gramStart"/>
      <w:r w:rsidRPr="00C13951">
        <w:rPr>
          <w:rFonts w:ascii="Arial" w:hAnsi="Arial" w:cs="Arial"/>
          <w:b/>
          <w:bCs/>
          <w:lang w:val="en-US"/>
        </w:rPr>
        <w:t>Name:</w:t>
      </w:r>
      <w:r w:rsidR="00FA3B3B">
        <w:rPr>
          <w:rFonts w:ascii="Arial" w:hAnsi="Arial" w:cs="Arial"/>
          <w:b/>
          <w:bCs/>
          <w:lang w:val="en-US"/>
        </w:rPr>
        <w:t>Nusrat</w:t>
      </w:r>
      <w:proofErr w:type="gramEnd"/>
      <w:r w:rsidR="00FA3B3B">
        <w:rPr>
          <w:rFonts w:ascii="Arial" w:hAnsi="Arial" w:cs="Arial"/>
          <w:b/>
          <w:bCs/>
          <w:lang w:val="en-US"/>
        </w:rPr>
        <w:t xml:space="preserve"> Jahan Onameka</w:t>
      </w:r>
    </w:p>
    <w:p w14:paraId="1255B868" w14:textId="19DE1F6E" w:rsidR="00D21802" w:rsidRPr="00C13951" w:rsidRDefault="00D21802" w:rsidP="00D21802">
      <w:pPr>
        <w:spacing w:after="160" w:line="259" w:lineRule="auto"/>
        <w:jc w:val="left"/>
        <w:rPr>
          <w:rFonts w:ascii="Arial" w:hAnsi="Arial" w:cs="Arial"/>
          <w:b/>
          <w:bCs/>
          <w:lang w:val="en-US"/>
        </w:rPr>
      </w:pPr>
      <w:r w:rsidRPr="00C13951">
        <w:rPr>
          <w:rFonts w:ascii="Arial" w:hAnsi="Arial" w:cs="Arial"/>
          <w:b/>
          <w:bCs/>
          <w:lang w:val="en-US"/>
        </w:rPr>
        <w:t>ID:</w:t>
      </w:r>
      <w:r w:rsidR="00FA3B3B">
        <w:rPr>
          <w:rFonts w:ascii="Arial" w:hAnsi="Arial" w:cs="Arial"/>
          <w:b/>
          <w:bCs/>
          <w:lang w:val="en-US"/>
        </w:rPr>
        <w:t>2422956</w:t>
      </w:r>
    </w:p>
    <w:p w14:paraId="039B7461" w14:textId="77777777" w:rsidR="00D21802" w:rsidRPr="00C13951" w:rsidRDefault="00D21802" w:rsidP="00D21802">
      <w:pPr>
        <w:spacing w:after="160" w:line="259" w:lineRule="auto"/>
        <w:jc w:val="left"/>
        <w:rPr>
          <w:rFonts w:ascii="Arial" w:hAnsi="Arial" w:cs="Arial"/>
          <w:b/>
          <w:bCs/>
        </w:rPr>
      </w:pPr>
    </w:p>
    <w:p w14:paraId="250BB9A1" w14:textId="77777777" w:rsidR="00D21802" w:rsidRPr="00C13951" w:rsidRDefault="00D21802" w:rsidP="00D21802">
      <w:pPr>
        <w:spacing w:after="160" w:line="259" w:lineRule="auto"/>
        <w:jc w:val="left"/>
        <w:rPr>
          <w:rFonts w:ascii="Arial" w:hAnsi="Arial" w:cs="Arial"/>
          <w:b/>
          <w:bCs/>
        </w:rPr>
      </w:pPr>
    </w:p>
    <w:p w14:paraId="419113A8" w14:textId="5BF0A2E0" w:rsidR="00D21802" w:rsidRPr="00C13951" w:rsidRDefault="00D21802" w:rsidP="00D21802">
      <w:pPr>
        <w:spacing w:after="160" w:line="259" w:lineRule="auto"/>
        <w:jc w:val="left"/>
        <w:rPr>
          <w:rFonts w:ascii="Arial" w:hAnsi="Arial" w:cs="Arial"/>
          <w:b/>
          <w:bCs/>
          <w:lang w:val="en-US"/>
        </w:rPr>
      </w:pPr>
      <w:r w:rsidRPr="00C13951">
        <w:rPr>
          <w:rFonts w:ascii="Arial" w:hAnsi="Arial" w:cs="Arial"/>
          <w:b/>
          <w:bCs/>
          <w:lang w:val="en-US"/>
        </w:rPr>
        <w:t>Word Count: 2700</w:t>
      </w:r>
    </w:p>
    <w:p w14:paraId="6B05EADE" w14:textId="1ECEDF89" w:rsidR="009D7F40" w:rsidRPr="00C13951" w:rsidRDefault="00D21802" w:rsidP="00D21802">
      <w:pPr>
        <w:spacing w:after="160" w:line="259" w:lineRule="auto"/>
        <w:jc w:val="left"/>
        <w:rPr>
          <w:rFonts w:ascii="Arial" w:hAnsi="Arial" w:cs="Arial"/>
          <w:b/>
          <w:bCs/>
        </w:rPr>
      </w:pPr>
      <w:r w:rsidRPr="00C13951">
        <w:rPr>
          <w:rFonts w:ascii="Arial" w:hAnsi="Arial" w:cs="Arial"/>
          <w:b/>
          <w:bCs/>
          <w:lang w:val="en-US"/>
        </w:rPr>
        <w:t xml:space="preserve">Date of Submission: </w:t>
      </w:r>
      <w:r w:rsidR="00121EF2">
        <w:rPr>
          <w:rFonts w:ascii="Arial" w:hAnsi="Arial" w:cs="Arial"/>
          <w:b/>
          <w:bCs/>
          <w:lang w:val="en-US"/>
        </w:rPr>
        <w:t>12</w:t>
      </w:r>
      <w:r w:rsidR="0026033D">
        <w:rPr>
          <w:rFonts w:ascii="Arial" w:hAnsi="Arial" w:cs="Arial"/>
          <w:b/>
          <w:bCs/>
          <w:lang w:val="en-US"/>
        </w:rPr>
        <w:t>/11/2025</w:t>
      </w:r>
      <w:r w:rsidR="009D7F40" w:rsidRPr="00C13951">
        <w:rPr>
          <w:rFonts w:ascii="Arial" w:hAnsi="Arial" w:cs="Arial"/>
          <w:b/>
          <w:bCs/>
        </w:rPr>
        <w:br w:type="page"/>
      </w:r>
    </w:p>
    <w:sdt>
      <w:sdtPr>
        <w:rPr>
          <w:rFonts w:ascii="Arial" w:hAnsi="Arial" w:cs="Arial"/>
          <w:b w:val="0"/>
          <w:sz w:val="24"/>
          <w:szCs w:val="24"/>
          <w:lang w:eastAsia="en-GB" w:bidi="bn-IN"/>
        </w:rPr>
        <w:id w:val="2008561670"/>
        <w:docPartObj>
          <w:docPartGallery w:val="Table of Contents"/>
          <w:docPartUnique/>
        </w:docPartObj>
      </w:sdtPr>
      <w:sdtEndPr>
        <w:rPr>
          <w:bCs/>
          <w:noProof/>
        </w:rPr>
      </w:sdtEndPr>
      <w:sdtContent>
        <w:p w14:paraId="7736B064" w14:textId="4E4EB0AD" w:rsidR="00D21802" w:rsidRPr="00C13951" w:rsidRDefault="00D21802">
          <w:pPr>
            <w:pStyle w:val="TOCHeading"/>
            <w:rPr>
              <w:rFonts w:ascii="Arial" w:hAnsi="Arial" w:cs="Arial"/>
            </w:rPr>
          </w:pPr>
          <w:r w:rsidRPr="00C13951">
            <w:rPr>
              <w:rFonts w:ascii="Arial" w:hAnsi="Arial" w:cs="Arial"/>
            </w:rPr>
            <w:t>Table of Contents</w:t>
          </w:r>
        </w:p>
        <w:p w14:paraId="232E82AE" w14:textId="7B3663D6" w:rsidR="00C13951" w:rsidRPr="00C13951" w:rsidRDefault="00D21802"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r w:rsidRPr="00C13951">
            <w:rPr>
              <w:rFonts w:ascii="Arial" w:hAnsi="Arial" w:cs="Arial"/>
              <w:b w:val="0"/>
              <w:bCs w:val="0"/>
              <w:i w:val="0"/>
              <w:iCs w:val="0"/>
            </w:rPr>
            <w:fldChar w:fldCharType="begin"/>
          </w:r>
          <w:r w:rsidRPr="00C13951">
            <w:rPr>
              <w:rFonts w:ascii="Arial" w:hAnsi="Arial" w:cs="Arial"/>
              <w:b w:val="0"/>
              <w:bCs w:val="0"/>
              <w:i w:val="0"/>
              <w:iCs w:val="0"/>
            </w:rPr>
            <w:instrText xml:space="preserve"> TOC \o "1-3" \h \z \u </w:instrText>
          </w:r>
          <w:r w:rsidRPr="00C13951">
            <w:rPr>
              <w:rFonts w:ascii="Arial" w:hAnsi="Arial" w:cs="Arial"/>
              <w:b w:val="0"/>
              <w:bCs w:val="0"/>
              <w:i w:val="0"/>
              <w:iCs w:val="0"/>
            </w:rPr>
            <w:fldChar w:fldCharType="separate"/>
          </w:r>
          <w:hyperlink w:anchor="_Toc213198960" w:history="1">
            <w:r w:rsidR="00C13951" w:rsidRPr="00C13951">
              <w:rPr>
                <w:rStyle w:val="Hyperlink"/>
                <w:rFonts w:ascii="Arial" w:hAnsi="Arial" w:cs="Arial"/>
                <w:b w:val="0"/>
                <w:bCs w:val="0"/>
                <w:i w:val="0"/>
                <w:iCs w:val="0"/>
                <w:noProof/>
              </w:rPr>
              <w:t>1. Introduction</w:t>
            </w:r>
            <w:r w:rsidR="00C13951" w:rsidRPr="00C13951">
              <w:rPr>
                <w:rFonts w:ascii="Arial" w:hAnsi="Arial" w:cs="Arial"/>
                <w:b w:val="0"/>
                <w:bCs w:val="0"/>
                <w:i w:val="0"/>
                <w:iCs w:val="0"/>
                <w:noProof/>
                <w:webHidden/>
              </w:rPr>
              <w:tab/>
            </w:r>
            <w:r w:rsidR="00C13951" w:rsidRPr="00C13951">
              <w:rPr>
                <w:rFonts w:ascii="Arial" w:hAnsi="Arial" w:cs="Arial"/>
                <w:b w:val="0"/>
                <w:bCs w:val="0"/>
                <w:i w:val="0"/>
                <w:iCs w:val="0"/>
                <w:noProof/>
                <w:webHidden/>
              </w:rPr>
              <w:fldChar w:fldCharType="begin"/>
            </w:r>
            <w:r w:rsidR="00C13951" w:rsidRPr="00C13951">
              <w:rPr>
                <w:rFonts w:ascii="Arial" w:hAnsi="Arial" w:cs="Arial"/>
                <w:b w:val="0"/>
                <w:bCs w:val="0"/>
                <w:i w:val="0"/>
                <w:iCs w:val="0"/>
                <w:noProof/>
                <w:webHidden/>
              </w:rPr>
              <w:instrText xml:space="preserve"> PAGEREF _Toc213198960 \h </w:instrText>
            </w:r>
            <w:r w:rsidR="00C13951" w:rsidRPr="00C13951">
              <w:rPr>
                <w:rFonts w:ascii="Arial" w:hAnsi="Arial" w:cs="Arial"/>
                <w:b w:val="0"/>
                <w:bCs w:val="0"/>
                <w:i w:val="0"/>
                <w:iCs w:val="0"/>
                <w:noProof/>
                <w:webHidden/>
              </w:rPr>
            </w:r>
            <w:r w:rsidR="00C13951" w:rsidRPr="00C13951">
              <w:rPr>
                <w:rFonts w:ascii="Arial" w:hAnsi="Arial" w:cs="Arial"/>
                <w:b w:val="0"/>
                <w:bCs w:val="0"/>
                <w:i w:val="0"/>
                <w:iCs w:val="0"/>
                <w:noProof/>
                <w:webHidden/>
              </w:rPr>
              <w:fldChar w:fldCharType="separate"/>
            </w:r>
            <w:r w:rsidR="00C13951" w:rsidRPr="00C13951">
              <w:rPr>
                <w:rFonts w:ascii="Arial" w:hAnsi="Arial" w:cs="Arial"/>
                <w:b w:val="0"/>
                <w:bCs w:val="0"/>
                <w:i w:val="0"/>
                <w:iCs w:val="0"/>
                <w:noProof/>
                <w:webHidden/>
              </w:rPr>
              <w:t>4</w:t>
            </w:r>
            <w:r w:rsidR="00C13951" w:rsidRPr="00C13951">
              <w:rPr>
                <w:rFonts w:ascii="Arial" w:hAnsi="Arial" w:cs="Arial"/>
                <w:b w:val="0"/>
                <w:bCs w:val="0"/>
                <w:i w:val="0"/>
                <w:iCs w:val="0"/>
                <w:noProof/>
                <w:webHidden/>
              </w:rPr>
              <w:fldChar w:fldCharType="end"/>
            </w:r>
          </w:hyperlink>
        </w:p>
        <w:p w14:paraId="4A581B23" w14:textId="633F6360"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1" w:history="1">
            <w:r w:rsidRPr="00C13951">
              <w:rPr>
                <w:rStyle w:val="Hyperlink"/>
                <w:rFonts w:ascii="Arial" w:hAnsi="Arial" w:cs="Arial"/>
                <w:b w:val="0"/>
                <w:bCs w:val="0"/>
                <w:noProof/>
                <w:sz w:val="24"/>
                <w:szCs w:val="24"/>
              </w:rPr>
              <w:t>1.1 Background and Rationale</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_Toc213198961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4</w:t>
            </w:r>
            <w:r w:rsidRPr="00C13951">
              <w:rPr>
                <w:rFonts w:ascii="Arial" w:hAnsi="Arial" w:cs="Arial"/>
                <w:b w:val="0"/>
                <w:bCs w:val="0"/>
                <w:noProof/>
                <w:webHidden/>
                <w:sz w:val="24"/>
                <w:szCs w:val="24"/>
              </w:rPr>
              <w:fldChar w:fldCharType="end"/>
            </w:r>
          </w:hyperlink>
        </w:p>
        <w:p w14:paraId="3115E3F5" w14:textId="164F8F58"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2" w:history="1">
            <w:r w:rsidRPr="00C13951">
              <w:rPr>
                <w:rStyle w:val="Hyperlink"/>
                <w:rFonts w:ascii="Arial" w:hAnsi="Arial" w:cs="Arial"/>
                <w:b w:val="0"/>
                <w:bCs w:val="0"/>
                <w:noProof/>
                <w:sz w:val="24"/>
                <w:szCs w:val="24"/>
              </w:rPr>
              <w:t>1.2 Research Aim</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_Toc213198962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4</w:t>
            </w:r>
            <w:r w:rsidRPr="00C13951">
              <w:rPr>
                <w:rFonts w:ascii="Arial" w:hAnsi="Arial" w:cs="Arial"/>
                <w:b w:val="0"/>
                <w:bCs w:val="0"/>
                <w:noProof/>
                <w:webHidden/>
                <w:sz w:val="24"/>
                <w:szCs w:val="24"/>
              </w:rPr>
              <w:fldChar w:fldCharType="end"/>
            </w:r>
          </w:hyperlink>
        </w:p>
        <w:p w14:paraId="2FD70A77" w14:textId="7C89793F"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3" w:history="1">
            <w:r w:rsidRPr="00C13951">
              <w:rPr>
                <w:rStyle w:val="Hyperlink"/>
                <w:rFonts w:ascii="Arial" w:hAnsi="Arial" w:cs="Arial"/>
                <w:b w:val="0"/>
                <w:bCs w:val="0"/>
                <w:noProof/>
                <w:sz w:val="24"/>
                <w:szCs w:val="24"/>
              </w:rPr>
              <w:t>1.3 Research Objectives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_Toc213198963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5</w:t>
            </w:r>
            <w:r w:rsidRPr="00C13951">
              <w:rPr>
                <w:rFonts w:ascii="Arial" w:hAnsi="Arial" w:cs="Arial"/>
                <w:b w:val="0"/>
                <w:bCs w:val="0"/>
                <w:noProof/>
                <w:webHidden/>
                <w:sz w:val="24"/>
                <w:szCs w:val="24"/>
              </w:rPr>
              <w:fldChar w:fldCharType="end"/>
            </w:r>
          </w:hyperlink>
        </w:p>
        <w:p w14:paraId="67B9569D" w14:textId="1BB6D10B"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4" w:history="1">
            <w:r w:rsidRPr="00C13951">
              <w:rPr>
                <w:rStyle w:val="Hyperlink"/>
                <w:rFonts w:ascii="Arial" w:hAnsi="Arial" w:cs="Arial"/>
                <w:b w:val="0"/>
                <w:bCs w:val="0"/>
                <w:noProof/>
                <w:sz w:val="24"/>
                <w:szCs w:val="24"/>
              </w:rPr>
              <w:t>1.4 Research Questions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_Toc213198964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5</w:t>
            </w:r>
            <w:r w:rsidRPr="00C13951">
              <w:rPr>
                <w:rFonts w:ascii="Arial" w:hAnsi="Arial" w:cs="Arial"/>
                <w:b w:val="0"/>
                <w:bCs w:val="0"/>
                <w:noProof/>
                <w:webHidden/>
                <w:sz w:val="24"/>
                <w:szCs w:val="24"/>
              </w:rPr>
              <w:fldChar w:fldCharType="end"/>
            </w:r>
          </w:hyperlink>
        </w:p>
        <w:p w14:paraId="4C3CA7A4" w14:textId="66BFC01B"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65" w:history="1">
            <w:r w:rsidRPr="00C13951">
              <w:rPr>
                <w:rStyle w:val="Hyperlink"/>
                <w:rFonts w:ascii="Arial" w:hAnsi="Arial" w:cs="Arial"/>
                <w:b w:val="0"/>
                <w:bCs w:val="0"/>
                <w:i w:val="0"/>
                <w:iCs w:val="0"/>
                <w:noProof/>
              </w:rPr>
              <w:t>2. Literature Review</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_Toc213198965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5</w:t>
            </w:r>
            <w:r w:rsidRPr="00C13951">
              <w:rPr>
                <w:rFonts w:ascii="Arial" w:hAnsi="Arial" w:cs="Arial"/>
                <w:b w:val="0"/>
                <w:bCs w:val="0"/>
                <w:i w:val="0"/>
                <w:iCs w:val="0"/>
                <w:noProof/>
                <w:webHidden/>
              </w:rPr>
              <w:fldChar w:fldCharType="end"/>
            </w:r>
          </w:hyperlink>
        </w:p>
        <w:p w14:paraId="4DF819EA" w14:textId="3F492B46"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6" w:history="1">
            <w:r w:rsidRPr="00C13951">
              <w:rPr>
                <w:rStyle w:val="Hyperlink"/>
                <w:rFonts w:ascii="Arial" w:hAnsi="Arial" w:cs="Arial"/>
                <w:b w:val="0"/>
                <w:bCs w:val="0"/>
                <w:noProof/>
                <w:sz w:val="24"/>
                <w:szCs w:val="24"/>
              </w:rPr>
              <w:t>2.1 Key Themes and Theories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_Toc213198966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5</w:t>
            </w:r>
            <w:r w:rsidRPr="00C13951">
              <w:rPr>
                <w:rFonts w:ascii="Arial" w:hAnsi="Arial" w:cs="Arial"/>
                <w:b w:val="0"/>
                <w:bCs w:val="0"/>
                <w:noProof/>
                <w:webHidden/>
                <w:sz w:val="24"/>
                <w:szCs w:val="24"/>
              </w:rPr>
              <w:fldChar w:fldCharType="end"/>
            </w:r>
          </w:hyperlink>
        </w:p>
        <w:p w14:paraId="42070FF5" w14:textId="6261A23B"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7" w:history="1">
            <w:r w:rsidRPr="00C13951">
              <w:rPr>
                <w:rStyle w:val="Hyperlink"/>
                <w:rFonts w:ascii="Arial" w:hAnsi="Arial" w:cs="Arial"/>
                <w:b w:val="0"/>
                <w:bCs w:val="0"/>
                <w:noProof/>
                <w:sz w:val="24"/>
                <w:szCs w:val="24"/>
              </w:rPr>
              <w:t>2.2 Key Studies and Debates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_Toc213198967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7</w:t>
            </w:r>
            <w:r w:rsidRPr="00C13951">
              <w:rPr>
                <w:rFonts w:ascii="Arial" w:hAnsi="Arial" w:cs="Arial"/>
                <w:b w:val="0"/>
                <w:bCs w:val="0"/>
                <w:noProof/>
                <w:webHidden/>
                <w:sz w:val="24"/>
                <w:szCs w:val="24"/>
              </w:rPr>
              <w:fldChar w:fldCharType="end"/>
            </w:r>
          </w:hyperlink>
        </w:p>
        <w:p w14:paraId="23FBFDB3" w14:textId="08EAF0BC"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8" w:history="1">
            <w:r w:rsidRPr="00C13951">
              <w:rPr>
                <w:rStyle w:val="Hyperlink"/>
                <w:rFonts w:ascii="Arial" w:hAnsi="Arial" w:cs="Arial"/>
                <w:b w:val="0"/>
                <w:bCs w:val="0"/>
                <w:noProof/>
                <w:sz w:val="24"/>
                <w:szCs w:val="24"/>
              </w:rPr>
              <w:t>2.3 Research Gap</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_Toc213198968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8</w:t>
            </w:r>
            <w:r w:rsidRPr="00C13951">
              <w:rPr>
                <w:rFonts w:ascii="Arial" w:hAnsi="Arial" w:cs="Arial"/>
                <w:b w:val="0"/>
                <w:bCs w:val="0"/>
                <w:noProof/>
                <w:webHidden/>
                <w:sz w:val="24"/>
                <w:szCs w:val="24"/>
              </w:rPr>
              <w:fldChar w:fldCharType="end"/>
            </w:r>
          </w:hyperlink>
        </w:p>
        <w:p w14:paraId="154091C0" w14:textId="36E503BE"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69" w:history="1">
            <w:r w:rsidRPr="00C13951">
              <w:rPr>
                <w:rStyle w:val="Hyperlink"/>
                <w:rFonts w:ascii="Arial" w:hAnsi="Arial" w:cs="Arial"/>
                <w:b w:val="0"/>
                <w:bCs w:val="0"/>
                <w:noProof/>
                <w:sz w:val="24"/>
                <w:szCs w:val="24"/>
              </w:rPr>
              <w:t>2.4 Conceptual Framework</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_Toc213198969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9</w:t>
            </w:r>
            <w:r w:rsidRPr="00C13951">
              <w:rPr>
                <w:rFonts w:ascii="Arial" w:hAnsi="Arial" w:cs="Arial"/>
                <w:b w:val="0"/>
                <w:bCs w:val="0"/>
                <w:noProof/>
                <w:webHidden/>
                <w:sz w:val="24"/>
                <w:szCs w:val="24"/>
              </w:rPr>
              <w:fldChar w:fldCharType="end"/>
            </w:r>
          </w:hyperlink>
        </w:p>
        <w:p w14:paraId="69241E6E" w14:textId="1E44375F"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70" w:history="1">
            <w:r w:rsidRPr="00C13951">
              <w:rPr>
                <w:rStyle w:val="Hyperlink"/>
                <w:rFonts w:ascii="Arial" w:hAnsi="Arial" w:cs="Arial"/>
                <w:b w:val="0"/>
                <w:bCs w:val="0"/>
                <w:i w:val="0"/>
                <w:iCs w:val="0"/>
                <w:noProof/>
              </w:rPr>
              <w:t>3. Methodology</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_Toc213198970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9</w:t>
            </w:r>
            <w:r w:rsidRPr="00C13951">
              <w:rPr>
                <w:rFonts w:ascii="Arial" w:hAnsi="Arial" w:cs="Arial"/>
                <w:b w:val="0"/>
                <w:bCs w:val="0"/>
                <w:i w:val="0"/>
                <w:iCs w:val="0"/>
                <w:noProof/>
                <w:webHidden/>
              </w:rPr>
              <w:fldChar w:fldCharType="end"/>
            </w:r>
          </w:hyperlink>
        </w:p>
        <w:p w14:paraId="29B05E32" w14:textId="5A1278B1"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1" w:history="1">
            <w:r w:rsidRPr="00C13951">
              <w:rPr>
                <w:rStyle w:val="Hyperlink"/>
                <w:rFonts w:ascii="Arial" w:hAnsi="Arial" w:cs="Arial"/>
                <w:b w:val="0"/>
                <w:bCs w:val="0"/>
                <w:noProof/>
                <w:sz w:val="24"/>
                <w:szCs w:val="24"/>
              </w:rPr>
              <w:t>3.1 Research Philosophy</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_Toc213198971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10</w:t>
            </w:r>
            <w:r w:rsidRPr="00C13951">
              <w:rPr>
                <w:rFonts w:ascii="Arial" w:hAnsi="Arial" w:cs="Arial"/>
                <w:b w:val="0"/>
                <w:bCs w:val="0"/>
                <w:noProof/>
                <w:webHidden/>
                <w:sz w:val="24"/>
                <w:szCs w:val="24"/>
              </w:rPr>
              <w:fldChar w:fldCharType="end"/>
            </w:r>
          </w:hyperlink>
        </w:p>
        <w:p w14:paraId="6E1A5DC8" w14:textId="561A3645"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2" w:history="1">
            <w:r w:rsidRPr="00C13951">
              <w:rPr>
                <w:rStyle w:val="Hyperlink"/>
                <w:rFonts w:ascii="Arial" w:hAnsi="Arial" w:cs="Arial"/>
                <w:b w:val="0"/>
                <w:bCs w:val="0"/>
                <w:noProof/>
                <w:sz w:val="24"/>
                <w:szCs w:val="24"/>
              </w:rPr>
              <w:t>3.2 Research Approach</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_Toc213198972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11</w:t>
            </w:r>
            <w:r w:rsidRPr="00C13951">
              <w:rPr>
                <w:rFonts w:ascii="Arial" w:hAnsi="Arial" w:cs="Arial"/>
                <w:b w:val="0"/>
                <w:bCs w:val="0"/>
                <w:noProof/>
                <w:webHidden/>
                <w:sz w:val="24"/>
                <w:szCs w:val="24"/>
              </w:rPr>
              <w:fldChar w:fldCharType="end"/>
            </w:r>
          </w:hyperlink>
        </w:p>
        <w:p w14:paraId="048CB5A6" w14:textId="0383A99D"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3" w:history="1">
            <w:r w:rsidRPr="00C13951">
              <w:rPr>
                <w:rStyle w:val="Hyperlink"/>
                <w:rFonts w:ascii="Arial" w:hAnsi="Arial" w:cs="Arial"/>
                <w:b w:val="0"/>
                <w:bCs w:val="0"/>
                <w:noProof/>
                <w:sz w:val="24"/>
                <w:szCs w:val="24"/>
              </w:rPr>
              <w:t>3.3 Research Strategy</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_Toc213198973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11</w:t>
            </w:r>
            <w:r w:rsidRPr="00C13951">
              <w:rPr>
                <w:rFonts w:ascii="Arial" w:hAnsi="Arial" w:cs="Arial"/>
                <w:b w:val="0"/>
                <w:bCs w:val="0"/>
                <w:noProof/>
                <w:webHidden/>
                <w:sz w:val="24"/>
                <w:szCs w:val="24"/>
              </w:rPr>
              <w:fldChar w:fldCharType="end"/>
            </w:r>
          </w:hyperlink>
        </w:p>
        <w:p w14:paraId="25215BAD" w14:textId="0F0F4793"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4" w:history="1">
            <w:r w:rsidRPr="00C13951">
              <w:rPr>
                <w:rStyle w:val="Hyperlink"/>
                <w:rFonts w:ascii="Arial" w:hAnsi="Arial" w:cs="Arial"/>
                <w:b w:val="0"/>
                <w:bCs w:val="0"/>
                <w:noProof/>
                <w:sz w:val="24"/>
                <w:szCs w:val="24"/>
              </w:rPr>
              <w:t xml:space="preserve">3.4 </w:t>
            </w:r>
            <w:r w:rsidRPr="00C13951">
              <w:rPr>
                <w:rStyle w:val="Hyperlink"/>
                <w:rFonts w:ascii="Arial" w:hAnsi="Arial" w:cs="Arial"/>
                <w:b w:val="0"/>
                <w:bCs w:val="0"/>
                <w:noProof/>
                <w:sz w:val="24"/>
                <w:szCs w:val="24"/>
                <w:lang w:val="en-US"/>
              </w:rPr>
              <w:t>Gantt Chart</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_Toc213198974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11</w:t>
            </w:r>
            <w:r w:rsidRPr="00C13951">
              <w:rPr>
                <w:rFonts w:ascii="Arial" w:hAnsi="Arial" w:cs="Arial"/>
                <w:b w:val="0"/>
                <w:bCs w:val="0"/>
                <w:noProof/>
                <w:webHidden/>
                <w:sz w:val="24"/>
                <w:szCs w:val="24"/>
              </w:rPr>
              <w:fldChar w:fldCharType="end"/>
            </w:r>
          </w:hyperlink>
        </w:p>
        <w:p w14:paraId="0BC6C26F" w14:textId="4B204FB4"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5" w:history="1">
            <w:r w:rsidRPr="00C13951">
              <w:rPr>
                <w:rStyle w:val="Hyperlink"/>
                <w:rFonts w:ascii="Arial" w:hAnsi="Arial" w:cs="Arial"/>
                <w:b w:val="0"/>
                <w:bCs w:val="0"/>
                <w:noProof/>
                <w:sz w:val="24"/>
                <w:szCs w:val="24"/>
              </w:rPr>
              <w:t>3.5 Data Collection Methods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_Toc213198975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12</w:t>
            </w:r>
            <w:r w:rsidRPr="00C13951">
              <w:rPr>
                <w:rFonts w:ascii="Arial" w:hAnsi="Arial" w:cs="Arial"/>
                <w:b w:val="0"/>
                <w:bCs w:val="0"/>
                <w:noProof/>
                <w:webHidden/>
                <w:sz w:val="24"/>
                <w:szCs w:val="24"/>
              </w:rPr>
              <w:fldChar w:fldCharType="end"/>
            </w:r>
          </w:hyperlink>
        </w:p>
        <w:p w14:paraId="631DD3D8" w14:textId="1BB5D402"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6" w:history="1">
            <w:r w:rsidRPr="00C13951">
              <w:rPr>
                <w:rStyle w:val="Hyperlink"/>
                <w:rFonts w:ascii="Arial" w:hAnsi="Arial" w:cs="Arial"/>
                <w:b w:val="0"/>
                <w:bCs w:val="0"/>
                <w:noProof/>
                <w:sz w:val="24"/>
                <w:szCs w:val="24"/>
              </w:rPr>
              <w:t>3.6 Sampling and Case Selection</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_Toc213198976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12</w:t>
            </w:r>
            <w:r w:rsidRPr="00C13951">
              <w:rPr>
                <w:rFonts w:ascii="Arial" w:hAnsi="Arial" w:cs="Arial"/>
                <w:b w:val="0"/>
                <w:bCs w:val="0"/>
                <w:noProof/>
                <w:webHidden/>
                <w:sz w:val="24"/>
                <w:szCs w:val="24"/>
              </w:rPr>
              <w:fldChar w:fldCharType="end"/>
            </w:r>
          </w:hyperlink>
        </w:p>
        <w:p w14:paraId="0A54F62A" w14:textId="63A753BA"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7" w:history="1">
            <w:r w:rsidRPr="00C13951">
              <w:rPr>
                <w:rStyle w:val="Hyperlink"/>
                <w:rFonts w:ascii="Arial" w:hAnsi="Arial" w:cs="Arial"/>
                <w:b w:val="0"/>
                <w:bCs w:val="0"/>
                <w:noProof/>
                <w:sz w:val="24"/>
                <w:szCs w:val="24"/>
              </w:rPr>
              <w:t>3.7 Data Analysis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_Toc213198977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12</w:t>
            </w:r>
            <w:r w:rsidRPr="00C13951">
              <w:rPr>
                <w:rFonts w:ascii="Arial" w:hAnsi="Arial" w:cs="Arial"/>
                <w:b w:val="0"/>
                <w:bCs w:val="0"/>
                <w:noProof/>
                <w:webHidden/>
                <w:sz w:val="24"/>
                <w:szCs w:val="24"/>
              </w:rPr>
              <w:fldChar w:fldCharType="end"/>
            </w:r>
          </w:hyperlink>
        </w:p>
        <w:p w14:paraId="787463EC" w14:textId="6C51055D"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8" w:history="1">
            <w:r w:rsidRPr="00C13951">
              <w:rPr>
                <w:rStyle w:val="Hyperlink"/>
                <w:rFonts w:ascii="Arial" w:hAnsi="Arial" w:cs="Arial"/>
                <w:b w:val="0"/>
                <w:bCs w:val="0"/>
                <w:noProof/>
                <w:sz w:val="24"/>
                <w:szCs w:val="24"/>
              </w:rPr>
              <w:t>3.8 Ethical Considerations</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_Toc213198978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13</w:t>
            </w:r>
            <w:r w:rsidRPr="00C13951">
              <w:rPr>
                <w:rFonts w:ascii="Arial" w:hAnsi="Arial" w:cs="Arial"/>
                <w:b w:val="0"/>
                <w:bCs w:val="0"/>
                <w:noProof/>
                <w:webHidden/>
                <w:sz w:val="24"/>
                <w:szCs w:val="24"/>
              </w:rPr>
              <w:fldChar w:fldCharType="end"/>
            </w:r>
          </w:hyperlink>
        </w:p>
        <w:p w14:paraId="242A5D8E" w14:textId="30839CB0" w:rsidR="00C13951" w:rsidRPr="00C13951" w:rsidRDefault="00C13951" w:rsidP="00C13951">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198979" w:history="1">
            <w:r w:rsidRPr="00C13951">
              <w:rPr>
                <w:rStyle w:val="Hyperlink"/>
                <w:rFonts w:ascii="Arial" w:hAnsi="Arial" w:cs="Arial"/>
                <w:b w:val="0"/>
                <w:bCs w:val="0"/>
                <w:noProof/>
                <w:sz w:val="24"/>
                <w:szCs w:val="24"/>
              </w:rPr>
              <w:t>3.9 Feasibility</w:t>
            </w:r>
            <w:r w:rsidRPr="00C13951">
              <w:rPr>
                <w:rFonts w:ascii="Arial" w:hAnsi="Arial" w:cs="Arial"/>
                <w:b w:val="0"/>
                <w:bCs w:val="0"/>
                <w:noProof/>
                <w:webHidden/>
                <w:sz w:val="24"/>
                <w:szCs w:val="24"/>
              </w:rPr>
              <w:tab/>
            </w:r>
            <w:r w:rsidRPr="00C13951">
              <w:rPr>
                <w:rFonts w:ascii="Arial" w:hAnsi="Arial" w:cs="Arial"/>
                <w:b w:val="0"/>
                <w:bCs w:val="0"/>
                <w:noProof/>
                <w:webHidden/>
                <w:sz w:val="24"/>
                <w:szCs w:val="24"/>
              </w:rPr>
              <w:fldChar w:fldCharType="begin"/>
            </w:r>
            <w:r w:rsidRPr="00C13951">
              <w:rPr>
                <w:rFonts w:ascii="Arial" w:hAnsi="Arial" w:cs="Arial"/>
                <w:b w:val="0"/>
                <w:bCs w:val="0"/>
                <w:noProof/>
                <w:webHidden/>
                <w:sz w:val="24"/>
                <w:szCs w:val="24"/>
              </w:rPr>
              <w:instrText xml:space="preserve"> PAGEREF _Toc213198979 \h </w:instrText>
            </w:r>
            <w:r w:rsidRPr="00C13951">
              <w:rPr>
                <w:rFonts w:ascii="Arial" w:hAnsi="Arial" w:cs="Arial"/>
                <w:b w:val="0"/>
                <w:bCs w:val="0"/>
                <w:noProof/>
                <w:webHidden/>
                <w:sz w:val="24"/>
                <w:szCs w:val="24"/>
              </w:rPr>
            </w:r>
            <w:r w:rsidRPr="00C13951">
              <w:rPr>
                <w:rFonts w:ascii="Arial" w:hAnsi="Arial" w:cs="Arial"/>
                <w:b w:val="0"/>
                <w:bCs w:val="0"/>
                <w:noProof/>
                <w:webHidden/>
                <w:sz w:val="24"/>
                <w:szCs w:val="24"/>
              </w:rPr>
              <w:fldChar w:fldCharType="separate"/>
            </w:r>
            <w:r w:rsidRPr="00C13951">
              <w:rPr>
                <w:rFonts w:ascii="Arial" w:hAnsi="Arial" w:cs="Arial"/>
                <w:b w:val="0"/>
                <w:bCs w:val="0"/>
                <w:noProof/>
                <w:webHidden/>
                <w:sz w:val="24"/>
                <w:szCs w:val="24"/>
              </w:rPr>
              <w:t>13</w:t>
            </w:r>
            <w:r w:rsidRPr="00C13951">
              <w:rPr>
                <w:rFonts w:ascii="Arial" w:hAnsi="Arial" w:cs="Arial"/>
                <w:b w:val="0"/>
                <w:bCs w:val="0"/>
                <w:noProof/>
                <w:webHidden/>
                <w:sz w:val="24"/>
                <w:szCs w:val="24"/>
              </w:rPr>
              <w:fldChar w:fldCharType="end"/>
            </w:r>
          </w:hyperlink>
        </w:p>
        <w:p w14:paraId="0853DDFE" w14:textId="3AFB1C73"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80" w:history="1">
            <w:r w:rsidRPr="00C13951">
              <w:rPr>
                <w:rStyle w:val="Hyperlink"/>
                <w:rFonts w:ascii="Arial" w:hAnsi="Arial" w:cs="Arial"/>
                <w:b w:val="0"/>
                <w:bCs w:val="0"/>
                <w:i w:val="0"/>
                <w:iCs w:val="0"/>
                <w:noProof/>
              </w:rPr>
              <w:t>4. Expected Findings</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_Toc213198980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13</w:t>
            </w:r>
            <w:r w:rsidRPr="00C13951">
              <w:rPr>
                <w:rFonts w:ascii="Arial" w:hAnsi="Arial" w:cs="Arial"/>
                <w:b w:val="0"/>
                <w:bCs w:val="0"/>
                <w:i w:val="0"/>
                <w:iCs w:val="0"/>
                <w:noProof/>
                <w:webHidden/>
              </w:rPr>
              <w:fldChar w:fldCharType="end"/>
            </w:r>
          </w:hyperlink>
        </w:p>
        <w:p w14:paraId="1477FEBE" w14:textId="1354C388"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81" w:history="1">
            <w:r w:rsidRPr="00C13951">
              <w:rPr>
                <w:rStyle w:val="Hyperlink"/>
                <w:rFonts w:ascii="Arial" w:hAnsi="Arial" w:cs="Arial"/>
                <w:b w:val="0"/>
                <w:bCs w:val="0"/>
                <w:i w:val="0"/>
                <w:iCs w:val="0"/>
                <w:noProof/>
              </w:rPr>
              <w:t>5. Limitations</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_Toc213198981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14</w:t>
            </w:r>
            <w:r w:rsidRPr="00C13951">
              <w:rPr>
                <w:rFonts w:ascii="Arial" w:hAnsi="Arial" w:cs="Arial"/>
                <w:b w:val="0"/>
                <w:bCs w:val="0"/>
                <w:i w:val="0"/>
                <w:iCs w:val="0"/>
                <w:noProof/>
                <w:webHidden/>
              </w:rPr>
              <w:fldChar w:fldCharType="end"/>
            </w:r>
          </w:hyperlink>
        </w:p>
        <w:p w14:paraId="5A746B9B" w14:textId="20AAF03F"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82" w:history="1">
            <w:r w:rsidRPr="00C13951">
              <w:rPr>
                <w:rStyle w:val="Hyperlink"/>
                <w:rFonts w:ascii="Arial" w:hAnsi="Arial" w:cs="Arial"/>
                <w:b w:val="0"/>
                <w:bCs w:val="0"/>
                <w:i w:val="0"/>
                <w:iCs w:val="0"/>
                <w:noProof/>
              </w:rPr>
              <w:t>6. Timeframe</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_Toc213198982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14</w:t>
            </w:r>
            <w:r w:rsidRPr="00C13951">
              <w:rPr>
                <w:rFonts w:ascii="Arial" w:hAnsi="Arial" w:cs="Arial"/>
                <w:b w:val="0"/>
                <w:bCs w:val="0"/>
                <w:i w:val="0"/>
                <w:iCs w:val="0"/>
                <w:noProof/>
                <w:webHidden/>
              </w:rPr>
              <w:fldChar w:fldCharType="end"/>
            </w:r>
          </w:hyperlink>
        </w:p>
        <w:p w14:paraId="3F50F612" w14:textId="63CCFE77"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83" w:history="1">
            <w:r w:rsidRPr="00C13951">
              <w:rPr>
                <w:rStyle w:val="Hyperlink"/>
                <w:rFonts w:ascii="Arial" w:hAnsi="Arial" w:cs="Arial"/>
                <w:b w:val="0"/>
                <w:bCs w:val="0"/>
                <w:i w:val="0"/>
                <w:iCs w:val="0"/>
                <w:noProof/>
              </w:rPr>
              <w:t>7. Conclusion</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_Toc213198983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16</w:t>
            </w:r>
            <w:r w:rsidRPr="00C13951">
              <w:rPr>
                <w:rFonts w:ascii="Arial" w:hAnsi="Arial" w:cs="Arial"/>
                <w:b w:val="0"/>
                <w:bCs w:val="0"/>
                <w:i w:val="0"/>
                <w:iCs w:val="0"/>
                <w:noProof/>
                <w:webHidden/>
              </w:rPr>
              <w:fldChar w:fldCharType="end"/>
            </w:r>
          </w:hyperlink>
        </w:p>
        <w:p w14:paraId="1FFCE56F" w14:textId="53534EC7" w:rsidR="00C13951" w:rsidRPr="00C13951" w:rsidRDefault="00C13951" w:rsidP="00C13951">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198984" w:history="1">
            <w:r w:rsidRPr="00C13951">
              <w:rPr>
                <w:rStyle w:val="Hyperlink"/>
                <w:rFonts w:ascii="Arial" w:hAnsi="Arial" w:cs="Arial"/>
                <w:b w:val="0"/>
                <w:bCs w:val="0"/>
                <w:i w:val="0"/>
                <w:iCs w:val="0"/>
                <w:noProof/>
                <w:lang w:val="en-US"/>
              </w:rPr>
              <w:t>Reference</w:t>
            </w:r>
            <w:r w:rsidRPr="00C13951">
              <w:rPr>
                <w:rFonts w:ascii="Arial" w:hAnsi="Arial" w:cs="Arial"/>
                <w:b w:val="0"/>
                <w:bCs w:val="0"/>
                <w:i w:val="0"/>
                <w:iCs w:val="0"/>
                <w:noProof/>
                <w:webHidden/>
              </w:rPr>
              <w:tab/>
            </w:r>
            <w:r w:rsidRPr="00C13951">
              <w:rPr>
                <w:rFonts w:ascii="Arial" w:hAnsi="Arial" w:cs="Arial"/>
                <w:b w:val="0"/>
                <w:bCs w:val="0"/>
                <w:i w:val="0"/>
                <w:iCs w:val="0"/>
                <w:noProof/>
                <w:webHidden/>
              </w:rPr>
              <w:fldChar w:fldCharType="begin"/>
            </w:r>
            <w:r w:rsidRPr="00C13951">
              <w:rPr>
                <w:rFonts w:ascii="Arial" w:hAnsi="Arial" w:cs="Arial"/>
                <w:b w:val="0"/>
                <w:bCs w:val="0"/>
                <w:i w:val="0"/>
                <w:iCs w:val="0"/>
                <w:noProof/>
                <w:webHidden/>
              </w:rPr>
              <w:instrText xml:space="preserve"> PAGEREF _Toc213198984 \h </w:instrText>
            </w:r>
            <w:r w:rsidRPr="00C13951">
              <w:rPr>
                <w:rFonts w:ascii="Arial" w:hAnsi="Arial" w:cs="Arial"/>
                <w:b w:val="0"/>
                <w:bCs w:val="0"/>
                <w:i w:val="0"/>
                <w:iCs w:val="0"/>
                <w:noProof/>
                <w:webHidden/>
              </w:rPr>
            </w:r>
            <w:r w:rsidRPr="00C13951">
              <w:rPr>
                <w:rFonts w:ascii="Arial" w:hAnsi="Arial" w:cs="Arial"/>
                <w:b w:val="0"/>
                <w:bCs w:val="0"/>
                <w:i w:val="0"/>
                <w:iCs w:val="0"/>
                <w:noProof/>
                <w:webHidden/>
              </w:rPr>
              <w:fldChar w:fldCharType="separate"/>
            </w:r>
            <w:r w:rsidRPr="00C13951">
              <w:rPr>
                <w:rFonts w:ascii="Arial" w:hAnsi="Arial" w:cs="Arial"/>
                <w:b w:val="0"/>
                <w:bCs w:val="0"/>
                <w:i w:val="0"/>
                <w:iCs w:val="0"/>
                <w:noProof/>
                <w:webHidden/>
              </w:rPr>
              <w:t>17</w:t>
            </w:r>
            <w:r w:rsidRPr="00C13951">
              <w:rPr>
                <w:rFonts w:ascii="Arial" w:hAnsi="Arial" w:cs="Arial"/>
                <w:b w:val="0"/>
                <w:bCs w:val="0"/>
                <w:i w:val="0"/>
                <w:iCs w:val="0"/>
                <w:noProof/>
                <w:webHidden/>
              </w:rPr>
              <w:fldChar w:fldCharType="end"/>
            </w:r>
          </w:hyperlink>
        </w:p>
        <w:p w14:paraId="0819F2C1" w14:textId="43FAA572" w:rsidR="00D21802" w:rsidRPr="00C13951" w:rsidRDefault="00D21802" w:rsidP="00C13951">
          <w:pPr>
            <w:spacing w:line="276" w:lineRule="auto"/>
            <w:rPr>
              <w:rFonts w:ascii="Arial" w:hAnsi="Arial" w:cs="Arial"/>
            </w:rPr>
          </w:pPr>
          <w:r w:rsidRPr="00C13951">
            <w:rPr>
              <w:rFonts w:ascii="Arial" w:hAnsi="Arial" w:cs="Arial"/>
              <w:noProof/>
            </w:rPr>
            <w:fldChar w:fldCharType="end"/>
          </w:r>
        </w:p>
      </w:sdtContent>
    </w:sdt>
    <w:p w14:paraId="156860DC" w14:textId="636D1685" w:rsidR="009D7F40" w:rsidRPr="00C13951" w:rsidRDefault="009D7F40" w:rsidP="009D7F40">
      <w:pPr>
        <w:rPr>
          <w:rFonts w:ascii="Arial" w:hAnsi="Arial" w:cs="Arial"/>
          <w:sz w:val="32"/>
          <w:szCs w:val="32"/>
          <w:lang w:eastAsia="en-US"/>
        </w:rPr>
      </w:pPr>
      <w:r w:rsidRPr="00C13951">
        <w:rPr>
          <w:rFonts w:ascii="Arial" w:hAnsi="Arial" w:cs="Arial"/>
        </w:rPr>
        <w:br w:type="page"/>
      </w:r>
    </w:p>
    <w:p w14:paraId="3E8C1181" w14:textId="28A32252" w:rsidR="009D7F40" w:rsidRPr="00C13951" w:rsidRDefault="009D7F40" w:rsidP="009D7F40">
      <w:pPr>
        <w:pStyle w:val="Heading1"/>
        <w:rPr>
          <w:rFonts w:ascii="Arial" w:hAnsi="Arial" w:cs="Arial"/>
          <w:lang w:val="en-US"/>
        </w:rPr>
      </w:pPr>
      <w:bookmarkStart w:id="0" w:name="_Toc213198960"/>
      <w:r w:rsidRPr="00C13951">
        <w:rPr>
          <w:rFonts w:ascii="Arial" w:hAnsi="Arial" w:cs="Arial"/>
        </w:rPr>
        <w:t>1. Introduction</w:t>
      </w:r>
      <w:bookmarkEnd w:id="0"/>
    </w:p>
    <w:p w14:paraId="1E8862E6" w14:textId="77777777" w:rsidR="009D7F40" w:rsidRPr="00C13951" w:rsidRDefault="009D7F40" w:rsidP="009D7F40">
      <w:pPr>
        <w:pStyle w:val="Heading2"/>
        <w:rPr>
          <w:rFonts w:ascii="Arial" w:hAnsi="Arial" w:cs="Arial"/>
        </w:rPr>
      </w:pPr>
      <w:bookmarkStart w:id="1" w:name="_Toc213198961"/>
      <w:r w:rsidRPr="00C13951">
        <w:rPr>
          <w:rFonts w:ascii="Arial" w:hAnsi="Arial" w:cs="Arial"/>
        </w:rPr>
        <w:t>1.1 Background and Rationale</w:t>
      </w:r>
      <w:bookmarkEnd w:id="1"/>
    </w:p>
    <w:p w14:paraId="7146CDA5" w14:textId="77777777" w:rsidR="009D7F40" w:rsidRPr="00C13951" w:rsidRDefault="009D7F40" w:rsidP="009D7F40">
      <w:pPr>
        <w:rPr>
          <w:rFonts w:ascii="Arial" w:hAnsi="Arial" w:cs="Arial"/>
          <w:color w:val="000000"/>
        </w:rPr>
      </w:pPr>
      <w:r w:rsidRPr="00C13951">
        <w:rPr>
          <w:rFonts w:ascii="Arial" w:hAnsi="Arial" w:cs="Arial"/>
          <w:color w:val="000000"/>
        </w:rPr>
        <w:t xml:space="preserve">Corporate reputation is one of the most valuable intangible assets a firm has, especially in the extremely dynamic international apparel industry. The reputation of a brand has such a strong impact on consumer trust, intention and long-term loyalty. However, in recent years, fashion companies have been faced with growing criticism on issues of product-quality breakdowns, unethical labour use, and lack of environmental responsibility (Kim, Giroux and Lee, 2021). The example of the Boohoo scandal of 2020, when the company was accused of labour exploitation, the accusations of greenwashing in H&amp;M and the controversies of the supply chain in Primark demonstrate how quickly the public trust begins to depreciate in the age of digital transparency (Chandrruangphen, Assarut and Sinthupinyo, 2022). The increased visibility worldwide, social media activism, and consumer awareness have intensified the harm arising due to such a crisis, making reputation management more complex and </w:t>
      </w:r>
      <w:proofErr w:type="gramStart"/>
      <w:r w:rsidRPr="00C13951">
        <w:rPr>
          <w:rFonts w:ascii="Arial" w:hAnsi="Arial" w:cs="Arial"/>
          <w:color w:val="000000"/>
        </w:rPr>
        <w:t>time-sensitive</w:t>
      </w:r>
      <w:proofErr w:type="gramEnd"/>
      <w:r w:rsidRPr="00C13951">
        <w:rPr>
          <w:rFonts w:ascii="Arial" w:hAnsi="Arial" w:cs="Arial"/>
          <w:color w:val="000000"/>
        </w:rPr>
        <w:t>. Although many studies determine what is behind the loss of brand reputation, very little has been done on the mechanisms involved in restoring trust after the crisis. It is vital to know how brands restore credibility rather than just how they lose credibility to be competitive in a socially aware market (Chandrruangphen, Assarut and Sinthupinyo, 2022). The current study, therefore, tries to fill this gap by investigating reputation-recovery practices and trust-repair strategies that are used by the global fashion brands and seeks to bring meaningful information as to how corrective measures, communication strategies and stakeholder relationships can be used to restore consumer trust and integrity of the corporate reputation.</w:t>
      </w:r>
    </w:p>
    <w:p w14:paraId="444C26B5" w14:textId="77777777" w:rsidR="009D7F40" w:rsidRPr="00C13951" w:rsidRDefault="009D7F40" w:rsidP="009D7F40">
      <w:pPr>
        <w:rPr>
          <w:rFonts w:ascii="Arial" w:hAnsi="Arial" w:cs="Arial"/>
          <w:color w:val="000000"/>
        </w:rPr>
      </w:pPr>
    </w:p>
    <w:p w14:paraId="3875B9A8" w14:textId="77777777" w:rsidR="009D7F40" w:rsidRPr="00C13951" w:rsidRDefault="009D7F40" w:rsidP="009D7F40">
      <w:pPr>
        <w:pStyle w:val="Heading2"/>
        <w:rPr>
          <w:rFonts w:ascii="Arial" w:hAnsi="Arial" w:cs="Arial"/>
        </w:rPr>
      </w:pPr>
      <w:bookmarkStart w:id="2" w:name="_Toc213198962"/>
      <w:r w:rsidRPr="00C13951">
        <w:rPr>
          <w:rFonts w:ascii="Arial" w:hAnsi="Arial" w:cs="Arial"/>
        </w:rPr>
        <w:t>1.2 Research Aim</w:t>
      </w:r>
      <w:bookmarkEnd w:id="2"/>
    </w:p>
    <w:p w14:paraId="17603BF3" w14:textId="77777777" w:rsidR="009D7F40" w:rsidRPr="00C13951" w:rsidRDefault="009D7F40" w:rsidP="009D7F40">
      <w:pPr>
        <w:rPr>
          <w:rFonts w:ascii="Arial" w:hAnsi="Arial" w:cs="Arial"/>
          <w:color w:val="000000"/>
        </w:rPr>
      </w:pPr>
      <w:r w:rsidRPr="00C13951">
        <w:rPr>
          <w:rFonts w:ascii="Arial" w:hAnsi="Arial" w:cs="Arial"/>
          <w:color w:val="000000"/>
        </w:rPr>
        <w:t>To investigate how international clothing brands manage reputation recovery and rebuild consumer trust after quality or ethical failures, using a comparative case study of selected fashion brands such as Boohoo, Primark, and H&amp;M, which have experienced significant public trust crises.</w:t>
      </w:r>
    </w:p>
    <w:p w14:paraId="61E88B8D" w14:textId="77777777" w:rsidR="009D7F40" w:rsidRPr="00C13951" w:rsidRDefault="009D7F40" w:rsidP="009D7F40">
      <w:pPr>
        <w:rPr>
          <w:rFonts w:ascii="Arial" w:hAnsi="Arial" w:cs="Arial"/>
          <w:color w:val="000000"/>
        </w:rPr>
      </w:pPr>
    </w:p>
    <w:p w14:paraId="313E9BDB" w14:textId="77777777" w:rsidR="009D7F40" w:rsidRPr="00C13951" w:rsidRDefault="009D7F40" w:rsidP="009D7F40">
      <w:pPr>
        <w:pStyle w:val="Heading2"/>
        <w:rPr>
          <w:rFonts w:ascii="Arial" w:hAnsi="Arial" w:cs="Arial"/>
        </w:rPr>
      </w:pPr>
      <w:bookmarkStart w:id="3" w:name="_Toc213198963"/>
      <w:r w:rsidRPr="00C13951">
        <w:rPr>
          <w:rFonts w:ascii="Arial" w:hAnsi="Arial" w:cs="Arial"/>
        </w:rPr>
        <w:t>1.3 Research Objectives</w:t>
      </w:r>
      <w:bookmarkEnd w:id="3"/>
      <w:r w:rsidRPr="00C13951">
        <w:rPr>
          <w:rFonts w:ascii="Arial" w:hAnsi="Arial" w:cs="Arial"/>
        </w:rPr>
        <w:t> </w:t>
      </w:r>
    </w:p>
    <w:p w14:paraId="49EDEF28" w14:textId="77777777" w:rsidR="009D7F40" w:rsidRPr="00C13951" w:rsidRDefault="009D7F40" w:rsidP="009D7F40">
      <w:pPr>
        <w:pStyle w:val="ListParagraph"/>
        <w:numPr>
          <w:ilvl w:val="0"/>
          <w:numId w:val="24"/>
        </w:numPr>
        <w:rPr>
          <w:rFonts w:ascii="Arial" w:hAnsi="Arial" w:cs="Arial"/>
          <w:color w:val="000000"/>
        </w:rPr>
      </w:pPr>
      <w:r w:rsidRPr="00C13951">
        <w:rPr>
          <w:rFonts w:ascii="Arial" w:hAnsi="Arial" w:cs="Arial"/>
          <w:color w:val="000000"/>
        </w:rPr>
        <w:t>To examine the key causes and consequences of quality failures in global clothing brands.</w:t>
      </w:r>
    </w:p>
    <w:p w14:paraId="47FCC020" w14:textId="77777777" w:rsidR="009D7F40" w:rsidRPr="00C13951" w:rsidRDefault="009D7F40" w:rsidP="009D7F40">
      <w:pPr>
        <w:pStyle w:val="ListParagraph"/>
        <w:numPr>
          <w:ilvl w:val="0"/>
          <w:numId w:val="24"/>
        </w:numPr>
        <w:rPr>
          <w:rFonts w:ascii="Arial" w:hAnsi="Arial" w:cs="Arial"/>
          <w:color w:val="000000"/>
        </w:rPr>
      </w:pPr>
      <w:r w:rsidRPr="00C13951">
        <w:rPr>
          <w:rFonts w:ascii="Arial" w:hAnsi="Arial" w:cs="Arial"/>
          <w:color w:val="000000"/>
        </w:rPr>
        <w:t>To analyse the strategies used by brands to restore trust after crises.</w:t>
      </w:r>
    </w:p>
    <w:p w14:paraId="4663695C" w14:textId="77777777" w:rsidR="009D7F40" w:rsidRPr="00C13951" w:rsidRDefault="009D7F40" w:rsidP="009D7F40">
      <w:pPr>
        <w:pStyle w:val="ListParagraph"/>
        <w:numPr>
          <w:ilvl w:val="0"/>
          <w:numId w:val="24"/>
        </w:numPr>
        <w:rPr>
          <w:rFonts w:ascii="Arial" w:hAnsi="Arial" w:cs="Arial"/>
          <w:color w:val="000000"/>
        </w:rPr>
      </w:pPr>
      <w:r w:rsidRPr="00C13951">
        <w:rPr>
          <w:rFonts w:ascii="Arial" w:hAnsi="Arial" w:cs="Arial"/>
          <w:color w:val="000000"/>
        </w:rPr>
        <w:t>To assess the effectiveness of corporate communication and corrective actions in reputation recovery.</w:t>
      </w:r>
    </w:p>
    <w:p w14:paraId="6ECDD12D" w14:textId="77777777" w:rsidR="009D7F40" w:rsidRPr="00C13951" w:rsidRDefault="009D7F40" w:rsidP="009D7F40">
      <w:pPr>
        <w:pStyle w:val="ListParagraph"/>
        <w:numPr>
          <w:ilvl w:val="0"/>
          <w:numId w:val="24"/>
        </w:numPr>
        <w:rPr>
          <w:rFonts w:ascii="Arial" w:hAnsi="Arial" w:cs="Arial"/>
          <w:color w:val="000000"/>
        </w:rPr>
      </w:pPr>
      <w:r w:rsidRPr="00C13951">
        <w:rPr>
          <w:rFonts w:ascii="Arial" w:hAnsi="Arial" w:cs="Arial"/>
          <w:color w:val="000000"/>
        </w:rPr>
        <w:t>To identify consumer perceptions influencing post-crisis brand credibility.</w:t>
      </w:r>
    </w:p>
    <w:p w14:paraId="68DE949F" w14:textId="77777777" w:rsidR="009D7F40" w:rsidRPr="00C13951" w:rsidRDefault="009D7F40" w:rsidP="009D7F40">
      <w:pPr>
        <w:pStyle w:val="ListParagraph"/>
        <w:numPr>
          <w:ilvl w:val="0"/>
          <w:numId w:val="24"/>
        </w:numPr>
        <w:rPr>
          <w:rFonts w:ascii="Arial" w:hAnsi="Arial" w:cs="Arial"/>
          <w:color w:val="000000"/>
        </w:rPr>
      </w:pPr>
      <w:r w:rsidRPr="00C13951">
        <w:rPr>
          <w:rFonts w:ascii="Arial" w:hAnsi="Arial" w:cs="Arial"/>
          <w:color w:val="000000"/>
        </w:rPr>
        <w:t>To recommend best practices for sustainable reputation management in the fashion sector.</w:t>
      </w:r>
    </w:p>
    <w:p w14:paraId="3DF8798B" w14:textId="77777777" w:rsidR="009D7F40" w:rsidRPr="00C13951" w:rsidRDefault="009D7F40" w:rsidP="009D7F40">
      <w:pPr>
        <w:rPr>
          <w:rFonts w:ascii="Arial" w:hAnsi="Arial" w:cs="Arial"/>
          <w:color w:val="000000"/>
        </w:rPr>
      </w:pPr>
    </w:p>
    <w:p w14:paraId="005BA4EA" w14:textId="77777777" w:rsidR="009D7F40" w:rsidRPr="00C13951" w:rsidRDefault="009D7F40" w:rsidP="009D7F40">
      <w:pPr>
        <w:pStyle w:val="Heading2"/>
        <w:rPr>
          <w:rFonts w:ascii="Arial" w:hAnsi="Arial" w:cs="Arial"/>
        </w:rPr>
      </w:pPr>
      <w:bookmarkStart w:id="4" w:name="_Toc213198964"/>
      <w:r w:rsidRPr="00C13951">
        <w:rPr>
          <w:rFonts w:ascii="Arial" w:hAnsi="Arial" w:cs="Arial"/>
        </w:rPr>
        <w:t>1.4 Research Questions</w:t>
      </w:r>
      <w:bookmarkEnd w:id="4"/>
    </w:p>
    <w:p w14:paraId="56D24932" w14:textId="77777777" w:rsidR="009D7F40" w:rsidRPr="00C13951" w:rsidRDefault="009D7F40" w:rsidP="009D7F40">
      <w:pPr>
        <w:pStyle w:val="ListParagraph"/>
        <w:numPr>
          <w:ilvl w:val="0"/>
          <w:numId w:val="25"/>
        </w:numPr>
        <w:rPr>
          <w:rFonts w:ascii="Arial" w:hAnsi="Arial" w:cs="Arial"/>
          <w:color w:val="000000"/>
        </w:rPr>
      </w:pPr>
      <w:r w:rsidRPr="00C13951">
        <w:rPr>
          <w:rFonts w:ascii="Arial" w:hAnsi="Arial" w:cs="Arial"/>
          <w:color w:val="000000"/>
        </w:rPr>
        <w:t>What factors contribute to reputation loss in the international clothing industry?</w:t>
      </w:r>
    </w:p>
    <w:p w14:paraId="5C4EF91A" w14:textId="77777777" w:rsidR="009D7F40" w:rsidRPr="00C13951" w:rsidRDefault="009D7F40" w:rsidP="009D7F40">
      <w:pPr>
        <w:pStyle w:val="ListParagraph"/>
        <w:numPr>
          <w:ilvl w:val="0"/>
          <w:numId w:val="25"/>
        </w:numPr>
        <w:rPr>
          <w:rFonts w:ascii="Arial" w:hAnsi="Arial" w:cs="Arial"/>
          <w:color w:val="000000"/>
        </w:rPr>
      </w:pPr>
      <w:r w:rsidRPr="00C13951">
        <w:rPr>
          <w:rFonts w:ascii="Arial" w:hAnsi="Arial" w:cs="Arial"/>
          <w:color w:val="000000"/>
        </w:rPr>
        <w:t>How do brands design and implement recovery strategies after quality or ethical failures?</w:t>
      </w:r>
    </w:p>
    <w:p w14:paraId="5CB73EEC" w14:textId="77777777" w:rsidR="009D7F40" w:rsidRPr="00C13951" w:rsidRDefault="009D7F40" w:rsidP="009D7F40">
      <w:pPr>
        <w:pStyle w:val="ListParagraph"/>
        <w:numPr>
          <w:ilvl w:val="0"/>
          <w:numId w:val="25"/>
        </w:numPr>
        <w:rPr>
          <w:rFonts w:ascii="Arial" w:hAnsi="Arial" w:cs="Arial"/>
          <w:color w:val="000000"/>
        </w:rPr>
      </w:pPr>
      <w:r w:rsidRPr="00C13951">
        <w:rPr>
          <w:rFonts w:ascii="Arial" w:hAnsi="Arial" w:cs="Arial"/>
          <w:color w:val="000000"/>
        </w:rPr>
        <w:t>Which trust-building mechanisms most effectively influence post-crisis consumer perceptions?</w:t>
      </w:r>
    </w:p>
    <w:p w14:paraId="7CF5D3D3" w14:textId="77777777" w:rsidR="009D7F40" w:rsidRPr="00C13951" w:rsidRDefault="009D7F40" w:rsidP="009D7F40">
      <w:pPr>
        <w:pStyle w:val="ListParagraph"/>
        <w:numPr>
          <w:ilvl w:val="0"/>
          <w:numId w:val="25"/>
        </w:numPr>
        <w:rPr>
          <w:rFonts w:ascii="Arial" w:hAnsi="Arial" w:cs="Arial"/>
          <w:color w:val="000000"/>
        </w:rPr>
      </w:pPr>
      <w:r w:rsidRPr="00C13951">
        <w:rPr>
          <w:rFonts w:ascii="Arial" w:hAnsi="Arial" w:cs="Arial"/>
          <w:color w:val="000000"/>
        </w:rPr>
        <w:t>How do case studies like Boohoo, Primark, and H&amp;M illustrate similarities or differences in recovery approaches?</w:t>
      </w:r>
    </w:p>
    <w:p w14:paraId="7DCC3BA9" w14:textId="77777777" w:rsidR="009D7F40" w:rsidRPr="00C13951" w:rsidRDefault="009D7F40" w:rsidP="009D7F40">
      <w:pPr>
        <w:rPr>
          <w:rFonts w:ascii="Arial" w:hAnsi="Arial" w:cs="Arial"/>
          <w:color w:val="000000"/>
        </w:rPr>
      </w:pPr>
    </w:p>
    <w:p w14:paraId="1F19C5E5" w14:textId="77777777" w:rsidR="009D7F40" w:rsidRPr="00C13951" w:rsidRDefault="009D7F40" w:rsidP="009D7F40">
      <w:pPr>
        <w:pStyle w:val="Heading1"/>
        <w:rPr>
          <w:rFonts w:ascii="Arial" w:hAnsi="Arial" w:cs="Arial"/>
        </w:rPr>
      </w:pPr>
      <w:bookmarkStart w:id="5" w:name="_Toc213198965"/>
      <w:r w:rsidRPr="00C13951">
        <w:rPr>
          <w:rFonts w:ascii="Arial" w:hAnsi="Arial" w:cs="Arial"/>
        </w:rPr>
        <w:t>2. Literature Review</w:t>
      </w:r>
      <w:bookmarkEnd w:id="5"/>
    </w:p>
    <w:p w14:paraId="3AC9B3A4" w14:textId="77777777" w:rsidR="009D7F40" w:rsidRPr="00C13951" w:rsidRDefault="009D7F40" w:rsidP="009D7F40">
      <w:pPr>
        <w:pStyle w:val="Heading2"/>
        <w:rPr>
          <w:rFonts w:ascii="Arial" w:hAnsi="Arial" w:cs="Arial"/>
        </w:rPr>
      </w:pPr>
      <w:bookmarkStart w:id="6" w:name="_Toc213198966"/>
      <w:r w:rsidRPr="00C13951">
        <w:rPr>
          <w:rFonts w:ascii="Arial" w:hAnsi="Arial" w:cs="Arial"/>
        </w:rPr>
        <w:t>2.1 Key Themes and Theories</w:t>
      </w:r>
      <w:bookmarkEnd w:id="6"/>
    </w:p>
    <w:p w14:paraId="66FD5F0F" w14:textId="77777777" w:rsidR="009D7F40" w:rsidRPr="00C13951" w:rsidRDefault="009D7F40" w:rsidP="009D7F40">
      <w:pPr>
        <w:rPr>
          <w:rFonts w:ascii="Arial" w:hAnsi="Arial" w:cs="Arial"/>
          <w:color w:val="000000"/>
        </w:rPr>
      </w:pPr>
      <w:r w:rsidRPr="00C13951">
        <w:rPr>
          <w:rFonts w:ascii="Arial" w:hAnsi="Arial" w:cs="Arial"/>
          <w:color w:val="000000"/>
        </w:rPr>
        <w:t xml:space="preserve">The corporate reputation concept entails the sum of perception of the past activities and future opportunities of an organisation by its stakeholders (Gorton </w:t>
      </w:r>
      <w:r w:rsidRPr="00C13951">
        <w:rPr>
          <w:rFonts w:ascii="Arial" w:hAnsi="Arial" w:cs="Arial"/>
          <w:i/>
          <w:iCs/>
          <w:color w:val="000000"/>
        </w:rPr>
        <w:t>et al.</w:t>
      </w:r>
      <w:r w:rsidRPr="00C13951">
        <w:rPr>
          <w:rFonts w:ascii="Arial" w:hAnsi="Arial" w:cs="Arial"/>
          <w:color w:val="000000"/>
        </w:rPr>
        <w:t>, 2021). It has been built on continuity, integrity, and genuine branding. Representation has an impact on customer confidence in the international apparel industry, as well as social legitimacy in a market that is now more focused on transparency and responsibility. The reputation is a difficult strategic and psychological task to rebuild once it is damaged by a product failure or ethical scandals.</w:t>
      </w:r>
    </w:p>
    <w:p w14:paraId="74C1DB78" w14:textId="019ADCAC" w:rsidR="00903CB5" w:rsidRPr="00C13951" w:rsidRDefault="00903CB5" w:rsidP="00903CB5">
      <w:pPr>
        <w:keepNext/>
        <w:jc w:val="center"/>
        <w:rPr>
          <w:rFonts w:ascii="Arial" w:hAnsi="Arial" w:cs="Arial"/>
        </w:rPr>
      </w:pPr>
      <w:r w:rsidRPr="00C13951">
        <w:rPr>
          <w:rFonts w:ascii="Arial" w:hAnsi="Arial" w:cs="Arial"/>
        </w:rPr>
        <w:fldChar w:fldCharType="begin"/>
      </w:r>
      <w:r w:rsidR="007516DC">
        <w:rPr>
          <w:rFonts w:ascii="Arial" w:hAnsi="Arial" w:cs="Arial"/>
        </w:rPr>
        <w:instrText xml:space="preserve"> INCLUDEPICTURE "C:\\Users\\ijtehad\\Library\\Group Containers\\UBF8T346G9.ms\\WebArchiveCopyPasteTempFiles\\com.microsoft.Word\\1-s2.0-S0378216614001696-gr2.gif" \* MERGEFORMAT </w:instrText>
      </w:r>
      <w:r w:rsidRPr="00C13951">
        <w:rPr>
          <w:rFonts w:ascii="Arial" w:hAnsi="Arial" w:cs="Arial"/>
        </w:rPr>
        <w:fldChar w:fldCharType="separate"/>
      </w:r>
      <w:r w:rsidRPr="00C13951">
        <w:rPr>
          <w:rFonts w:ascii="Arial" w:hAnsi="Arial" w:cs="Arial"/>
          <w:noProof/>
        </w:rPr>
        <w:drawing>
          <wp:inline distT="0" distB="0" distL="0" distR="0" wp14:anchorId="232ACB75" wp14:editId="0473FBC7">
            <wp:extent cx="5288971" cy="2852057"/>
            <wp:effectExtent l="0" t="0" r="0" b="5715"/>
            <wp:docPr id="219382778" name="Picture 2" descr="A model of trust-repair discourse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odel of trust-repair discourse - ScienceDi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3094" cy="2854280"/>
                    </a:xfrm>
                    <a:prstGeom prst="rect">
                      <a:avLst/>
                    </a:prstGeom>
                    <a:noFill/>
                    <a:ln>
                      <a:noFill/>
                    </a:ln>
                  </pic:spPr>
                </pic:pic>
              </a:graphicData>
            </a:graphic>
          </wp:inline>
        </w:drawing>
      </w:r>
      <w:r w:rsidRPr="00C13951">
        <w:rPr>
          <w:rFonts w:ascii="Arial" w:hAnsi="Arial" w:cs="Arial"/>
        </w:rPr>
        <w:fldChar w:fldCharType="end"/>
      </w:r>
    </w:p>
    <w:p w14:paraId="35DA827E" w14:textId="3DB9B3A7" w:rsidR="00903CB5" w:rsidRPr="00C13951" w:rsidRDefault="00903CB5" w:rsidP="00903CB5">
      <w:pPr>
        <w:pStyle w:val="Caption"/>
        <w:rPr>
          <w:rFonts w:ascii="Arial" w:hAnsi="Arial" w:cs="Arial"/>
        </w:rPr>
      </w:pPr>
      <w:r w:rsidRPr="00C13951">
        <w:rPr>
          <w:rFonts w:ascii="Arial" w:hAnsi="Arial" w:cs="Arial"/>
        </w:rPr>
        <w:t xml:space="preserve">Figure </w:t>
      </w:r>
      <w:r w:rsidRPr="00C13951">
        <w:rPr>
          <w:rFonts w:ascii="Arial" w:hAnsi="Arial" w:cs="Arial"/>
        </w:rPr>
        <w:fldChar w:fldCharType="begin"/>
      </w:r>
      <w:r w:rsidRPr="00C13951">
        <w:rPr>
          <w:rFonts w:ascii="Arial" w:hAnsi="Arial" w:cs="Arial"/>
        </w:rPr>
        <w:instrText xml:space="preserve"> SEQ Figure \* ARABIC </w:instrText>
      </w:r>
      <w:r w:rsidRPr="00C13951">
        <w:rPr>
          <w:rFonts w:ascii="Arial" w:hAnsi="Arial" w:cs="Arial"/>
        </w:rPr>
        <w:fldChar w:fldCharType="separate"/>
      </w:r>
      <w:r w:rsidRPr="00C13951">
        <w:rPr>
          <w:rFonts w:ascii="Arial" w:hAnsi="Arial" w:cs="Arial"/>
          <w:noProof/>
        </w:rPr>
        <w:t>1</w:t>
      </w:r>
      <w:r w:rsidRPr="00C13951">
        <w:rPr>
          <w:rFonts w:ascii="Arial" w:hAnsi="Arial" w:cs="Arial"/>
        </w:rPr>
        <w:fldChar w:fldCharType="end"/>
      </w:r>
      <w:r w:rsidRPr="00C13951">
        <w:rPr>
          <w:rFonts w:ascii="Arial" w:hAnsi="Arial" w:cs="Arial"/>
          <w:lang w:val="en-US"/>
        </w:rPr>
        <w:t xml:space="preserve">: </w:t>
      </w:r>
      <w:r w:rsidRPr="00903CB5">
        <w:rPr>
          <w:rFonts w:ascii="Arial" w:hAnsi="Arial" w:cs="Arial"/>
        </w:rPr>
        <w:t xml:space="preserve">The Trust Repair Theory </w:t>
      </w:r>
    </w:p>
    <w:p w14:paraId="3A323A75" w14:textId="32BA7300" w:rsidR="00903CB5" w:rsidRPr="00C13951" w:rsidRDefault="00903CB5" w:rsidP="00903CB5">
      <w:pPr>
        <w:pStyle w:val="Caption"/>
        <w:rPr>
          <w:rFonts w:ascii="Arial" w:hAnsi="Arial" w:cs="Arial"/>
          <w:color w:val="000000"/>
        </w:rPr>
      </w:pPr>
      <w:r w:rsidRPr="00C13951">
        <w:rPr>
          <w:rFonts w:ascii="Arial" w:hAnsi="Arial" w:cs="Arial"/>
          <w:lang w:val="en-US"/>
        </w:rPr>
        <w:t xml:space="preserve">Source: </w:t>
      </w:r>
      <w:r w:rsidRPr="00903CB5">
        <w:rPr>
          <w:rFonts w:ascii="Arial" w:hAnsi="Arial" w:cs="Arial"/>
        </w:rPr>
        <w:t>(Akoglu and Özbek, 2022)</w:t>
      </w:r>
    </w:p>
    <w:p w14:paraId="0039110D" w14:textId="358B94C5" w:rsidR="009D7F40" w:rsidRPr="00C13951" w:rsidRDefault="009D7F40" w:rsidP="009D7F40">
      <w:pPr>
        <w:rPr>
          <w:rFonts w:ascii="Arial" w:hAnsi="Arial" w:cs="Arial"/>
          <w:color w:val="000000"/>
        </w:rPr>
      </w:pPr>
      <w:r w:rsidRPr="00C13951">
        <w:rPr>
          <w:rFonts w:ascii="Arial" w:hAnsi="Arial" w:cs="Arial"/>
          <w:color w:val="000000"/>
        </w:rPr>
        <w:t>The Trust Repair Theory is a theory that explains how consumer confidence can be regained after a breach. It recognises three main processes that include recognition of wrong, taking corrective measures and showing long-term ethical behaviour</w:t>
      </w:r>
      <w:r w:rsidR="00903CB5" w:rsidRPr="00C13951">
        <w:rPr>
          <w:rFonts w:ascii="Arial" w:hAnsi="Arial" w:cs="Arial"/>
          <w:color w:val="000000"/>
          <w:lang w:val="en-US"/>
        </w:rPr>
        <w:t xml:space="preserve"> </w:t>
      </w:r>
      <w:r w:rsidR="00903CB5" w:rsidRPr="00903CB5">
        <w:rPr>
          <w:rFonts w:ascii="Arial" w:hAnsi="Arial" w:cs="Arial"/>
          <w:color w:val="000000"/>
        </w:rPr>
        <w:t>(Akoglu and Özbek, 2022)</w:t>
      </w:r>
      <w:r w:rsidRPr="00C13951">
        <w:rPr>
          <w:rFonts w:ascii="Arial" w:hAnsi="Arial" w:cs="Arial"/>
          <w:color w:val="000000"/>
        </w:rPr>
        <w:t>. This model is highly coincidental with how fashion companies have been handling the reconstruction of consumer confidence with apologies to the public, increased labour standards or sustainability policies (Akoglu and Özbek, 2022).</w:t>
      </w:r>
    </w:p>
    <w:p w14:paraId="5CDC9E87" w14:textId="642FD3A7" w:rsidR="00903CB5" w:rsidRPr="00C13951" w:rsidRDefault="00903CB5" w:rsidP="00903CB5">
      <w:pPr>
        <w:keepNext/>
        <w:jc w:val="center"/>
        <w:rPr>
          <w:rFonts w:ascii="Arial" w:hAnsi="Arial" w:cs="Arial"/>
        </w:rPr>
      </w:pPr>
      <w:r w:rsidRPr="00C13951">
        <w:rPr>
          <w:rFonts w:ascii="Arial" w:hAnsi="Arial" w:cs="Arial"/>
        </w:rPr>
        <w:fldChar w:fldCharType="begin"/>
      </w:r>
      <w:r w:rsidR="007516DC">
        <w:rPr>
          <w:rFonts w:ascii="Arial" w:hAnsi="Arial" w:cs="Arial"/>
        </w:rPr>
        <w:instrText xml:space="preserve"> INCLUDEPICTURE "C:\\Users\\ijtehad\\Library\\Group Containers\\UBF8T346G9.ms\\WebArchiveCopyPasteTempFiles\\com.microsoft.Word\\The-model-of-theoretical-variables-of-situational-crisis-communication-4-In-case-of.png" \* MERGEFORMAT </w:instrText>
      </w:r>
      <w:r w:rsidRPr="00C13951">
        <w:rPr>
          <w:rFonts w:ascii="Arial" w:hAnsi="Arial" w:cs="Arial"/>
        </w:rPr>
        <w:fldChar w:fldCharType="separate"/>
      </w:r>
      <w:r w:rsidRPr="00C13951">
        <w:rPr>
          <w:rFonts w:ascii="Arial" w:hAnsi="Arial" w:cs="Arial"/>
          <w:noProof/>
        </w:rPr>
        <w:drawing>
          <wp:inline distT="0" distB="0" distL="0" distR="0" wp14:anchorId="269597E0" wp14:editId="4620FEDB">
            <wp:extent cx="4308622" cy="2373086"/>
            <wp:effectExtent l="0" t="0" r="0" b="1905"/>
            <wp:docPr id="1489524771" name="Picture 3" descr="1 The model of theoretical variables of situational crisi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The model of theoretical variables of situational crisi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6996" cy="2377698"/>
                    </a:xfrm>
                    <a:prstGeom prst="rect">
                      <a:avLst/>
                    </a:prstGeom>
                    <a:noFill/>
                    <a:ln>
                      <a:noFill/>
                    </a:ln>
                  </pic:spPr>
                </pic:pic>
              </a:graphicData>
            </a:graphic>
          </wp:inline>
        </w:drawing>
      </w:r>
      <w:r w:rsidRPr="00C13951">
        <w:rPr>
          <w:rFonts w:ascii="Arial" w:hAnsi="Arial" w:cs="Arial"/>
        </w:rPr>
        <w:fldChar w:fldCharType="end"/>
      </w:r>
    </w:p>
    <w:p w14:paraId="7CDD2410" w14:textId="672A5E1D" w:rsidR="00903CB5" w:rsidRPr="00C13951" w:rsidRDefault="00903CB5" w:rsidP="00903CB5">
      <w:pPr>
        <w:pStyle w:val="Caption"/>
        <w:rPr>
          <w:rFonts w:ascii="Arial" w:hAnsi="Arial" w:cs="Arial"/>
          <w:lang w:val="en-US"/>
        </w:rPr>
      </w:pPr>
      <w:r w:rsidRPr="00C13951">
        <w:rPr>
          <w:rFonts w:ascii="Arial" w:hAnsi="Arial" w:cs="Arial"/>
        </w:rPr>
        <w:t xml:space="preserve">Figure </w:t>
      </w:r>
      <w:r w:rsidRPr="00C13951">
        <w:rPr>
          <w:rFonts w:ascii="Arial" w:hAnsi="Arial" w:cs="Arial"/>
        </w:rPr>
        <w:fldChar w:fldCharType="begin"/>
      </w:r>
      <w:r w:rsidRPr="00C13951">
        <w:rPr>
          <w:rFonts w:ascii="Arial" w:hAnsi="Arial" w:cs="Arial"/>
        </w:rPr>
        <w:instrText xml:space="preserve"> SEQ Figure \* ARABIC </w:instrText>
      </w:r>
      <w:r w:rsidRPr="00C13951">
        <w:rPr>
          <w:rFonts w:ascii="Arial" w:hAnsi="Arial" w:cs="Arial"/>
        </w:rPr>
        <w:fldChar w:fldCharType="separate"/>
      </w:r>
      <w:r w:rsidRPr="00C13951">
        <w:rPr>
          <w:rFonts w:ascii="Arial" w:hAnsi="Arial" w:cs="Arial"/>
          <w:noProof/>
        </w:rPr>
        <w:t>2</w:t>
      </w:r>
      <w:r w:rsidRPr="00C13951">
        <w:rPr>
          <w:rFonts w:ascii="Arial" w:hAnsi="Arial" w:cs="Arial"/>
        </w:rPr>
        <w:fldChar w:fldCharType="end"/>
      </w:r>
      <w:r w:rsidRPr="00C13951">
        <w:rPr>
          <w:rFonts w:ascii="Arial" w:hAnsi="Arial" w:cs="Arial"/>
          <w:lang w:val="en-US"/>
        </w:rPr>
        <w:t>: Situational Crisis Communication Theory</w:t>
      </w:r>
    </w:p>
    <w:p w14:paraId="2D06C785" w14:textId="040CDF3F" w:rsidR="00903CB5" w:rsidRPr="00C13951" w:rsidRDefault="00903CB5" w:rsidP="00903CB5">
      <w:pPr>
        <w:pStyle w:val="Caption"/>
        <w:rPr>
          <w:rFonts w:ascii="Arial" w:hAnsi="Arial" w:cs="Arial"/>
          <w:color w:val="000000"/>
        </w:rPr>
      </w:pPr>
      <w:r w:rsidRPr="00C13951">
        <w:rPr>
          <w:rFonts w:ascii="Arial" w:hAnsi="Arial" w:cs="Arial"/>
          <w:lang w:val="en-US"/>
        </w:rPr>
        <w:t xml:space="preserve">Source: </w:t>
      </w:r>
      <w:r w:rsidRPr="00903CB5">
        <w:rPr>
          <w:rFonts w:ascii="Arial" w:hAnsi="Arial" w:cs="Arial"/>
        </w:rPr>
        <w:t>(Isabel, Bergey and Smith, 2024)</w:t>
      </w:r>
    </w:p>
    <w:p w14:paraId="172C7FD0" w14:textId="77777777" w:rsidR="00903CB5" w:rsidRPr="00C13951" w:rsidRDefault="009D7F40" w:rsidP="009D7F40">
      <w:pPr>
        <w:rPr>
          <w:rFonts w:ascii="Arial" w:hAnsi="Arial" w:cs="Arial"/>
          <w:color w:val="000000"/>
        </w:rPr>
      </w:pPr>
      <w:r w:rsidRPr="00C13951">
        <w:rPr>
          <w:rFonts w:ascii="Arial" w:hAnsi="Arial" w:cs="Arial"/>
          <w:color w:val="000000"/>
        </w:rPr>
        <w:t xml:space="preserve">Another lens that is invaluable is the Situational Crisis Communication Theory (SCCT) by Coombs. It classifies crisis response strategies, which include denial, diminishing, rebuilding and bolstering strategies, based on the level of responsibility attributed to the firm (Isabel, Bergey and Smith, 2024). To illustrate, the first refusal to acknowledge labour problems by Boohoos is in contrast with the active sustainability marketing of H&amp;M, which is the model of reconstruction. </w:t>
      </w:r>
    </w:p>
    <w:p w14:paraId="6A662BB3" w14:textId="7A6E25C8" w:rsidR="00903CB5" w:rsidRPr="00C13951" w:rsidRDefault="00903CB5" w:rsidP="00903CB5">
      <w:pPr>
        <w:keepNext/>
        <w:jc w:val="center"/>
        <w:rPr>
          <w:rFonts w:ascii="Arial" w:hAnsi="Arial" w:cs="Arial"/>
        </w:rPr>
      </w:pPr>
      <w:r w:rsidRPr="00C13951">
        <w:rPr>
          <w:rFonts w:ascii="Arial" w:hAnsi="Arial" w:cs="Arial"/>
        </w:rPr>
        <w:fldChar w:fldCharType="begin"/>
      </w:r>
      <w:r w:rsidR="007516DC">
        <w:rPr>
          <w:rFonts w:ascii="Arial" w:hAnsi="Arial" w:cs="Arial"/>
        </w:rPr>
        <w:instrText xml:space="preserve"> INCLUDEPICTURE "C:\\Users\\ijtehad\\Library\\Group Containers\\UBF8T346G9.ms\\WebArchiveCopyPasteTempFiles\\com.microsoft.Word\\Conceptual-Framework-of-Brand-Equity-and-Relationship-Marketing.png" \* MERGEFORMAT </w:instrText>
      </w:r>
      <w:r w:rsidRPr="00C13951">
        <w:rPr>
          <w:rFonts w:ascii="Arial" w:hAnsi="Arial" w:cs="Arial"/>
        </w:rPr>
        <w:fldChar w:fldCharType="separate"/>
      </w:r>
      <w:r w:rsidRPr="00C13951">
        <w:rPr>
          <w:rFonts w:ascii="Arial" w:hAnsi="Arial" w:cs="Arial"/>
          <w:noProof/>
        </w:rPr>
        <w:drawing>
          <wp:inline distT="0" distB="0" distL="0" distR="0" wp14:anchorId="5B27DD50" wp14:editId="64DD58BF">
            <wp:extent cx="4666350" cy="1556657"/>
            <wp:effectExtent l="0" t="0" r="0" b="5715"/>
            <wp:docPr id="145660991" name="Picture 4" descr="Conceptual Framework of Brand Equity and Relationship Marketing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ceptual Framework of Brand Equity and Relationship Marketing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392" cy="1562342"/>
                    </a:xfrm>
                    <a:prstGeom prst="rect">
                      <a:avLst/>
                    </a:prstGeom>
                    <a:noFill/>
                    <a:ln>
                      <a:noFill/>
                    </a:ln>
                  </pic:spPr>
                </pic:pic>
              </a:graphicData>
            </a:graphic>
          </wp:inline>
        </w:drawing>
      </w:r>
      <w:r w:rsidRPr="00C13951">
        <w:rPr>
          <w:rFonts w:ascii="Arial" w:hAnsi="Arial" w:cs="Arial"/>
        </w:rPr>
        <w:fldChar w:fldCharType="end"/>
      </w:r>
    </w:p>
    <w:p w14:paraId="6E1A4631" w14:textId="57108439" w:rsidR="00903CB5" w:rsidRPr="00C13951" w:rsidRDefault="00903CB5" w:rsidP="00903CB5">
      <w:pPr>
        <w:pStyle w:val="Caption"/>
        <w:rPr>
          <w:rFonts w:ascii="Arial" w:hAnsi="Arial" w:cs="Arial"/>
        </w:rPr>
      </w:pPr>
      <w:r w:rsidRPr="00C13951">
        <w:rPr>
          <w:rFonts w:ascii="Arial" w:hAnsi="Arial" w:cs="Arial"/>
        </w:rPr>
        <w:t xml:space="preserve">Figure </w:t>
      </w:r>
      <w:r w:rsidRPr="00C13951">
        <w:rPr>
          <w:rFonts w:ascii="Arial" w:hAnsi="Arial" w:cs="Arial"/>
        </w:rPr>
        <w:fldChar w:fldCharType="begin"/>
      </w:r>
      <w:r w:rsidRPr="00C13951">
        <w:rPr>
          <w:rFonts w:ascii="Arial" w:hAnsi="Arial" w:cs="Arial"/>
        </w:rPr>
        <w:instrText xml:space="preserve"> SEQ Figure \* ARABIC </w:instrText>
      </w:r>
      <w:r w:rsidRPr="00C13951">
        <w:rPr>
          <w:rFonts w:ascii="Arial" w:hAnsi="Arial" w:cs="Arial"/>
        </w:rPr>
        <w:fldChar w:fldCharType="separate"/>
      </w:r>
      <w:r w:rsidRPr="00C13951">
        <w:rPr>
          <w:rFonts w:ascii="Arial" w:hAnsi="Arial" w:cs="Arial"/>
          <w:noProof/>
        </w:rPr>
        <w:t>3</w:t>
      </w:r>
      <w:r w:rsidRPr="00C13951">
        <w:rPr>
          <w:rFonts w:ascii="Arial" w:hAnsi="Arial" w:cs="Arial"/>
        </w:rPr>
        <w:fldChar w:fldCharType="end"/>
      </w:r>
      <w:r w:rsidRPr="00C13951">
        <w:rPr>
          <w:rFonts w:ascii="Arial" w:hAnsi="Arial" w:cs="Arial"/>
          <w:lang w:val="en-US"/>
        </w:rPr>
        <w:t xml:space="preserve">: </w:t>
      </w:r>
      <w:r w:rsidRPr="00903CB5">
        <w:rPr>
          <w:rFonts w:ascii="Arial" w:hAnsi="Arial" w:cs="Arial"/>
        </w:rPr>
        <w:t xml:space="preserve">Brand Equity and Relationship Marketing Theory </w:t>
      </w:r>
    </w:p>
    <w:p w14:paraId="4D548291" w14:textId="4CD6F8F9" w:rsidR="00903CB5" w:rsidRPr="00C13951" w:rsidRDefault="00903CB5" w:rsidP="00903CB5">
      <w:pPr>
        <w:pStyle w:val="Caption"/>
        <w:rPr>
          <w:rFonts w:ascii="Arial" w:hAnsi="Arial" w:cs="Arial"/>
          <w:color w:val="000000"/>
        </w:rPr>
      </w:pPr>
      <w:r w:rsidRPr="00C13951">
        <w:rPr>
          <w:rFonts w:ascii="Arial" w:hAnsi="Arial" w:cs="Arial"/>
          <w:lang w:val="en-US"/>
        </w:rPr>
        <w:t xml:space="preserve">Source: </w:t>
      </w:r>
      <w:r w:rsidRPr="00903CB5">
        <w:rPr>
          <w:rFonts w:ascii="Arial" w:hAnsi="Arial" w:cs="Arial"/>
        </w:rPr>
        <w:t>(Pyle, Smith and Chevtchouk, 2021)</w:t>
      </w:r>
    </w:p>
    <w:p w14:paraId="18E7A2E5" w14:textId="56374424" w:rsidR="009D7F40" w:rsidRPr="00C13951" w:rsidRDefault="009D7F40" w:rsidP="009D7F40">
      <w:pPr>
        <w:rPr>
          <w:rFonts w:ascii="Arial" w:hAnsi="Arial" w:cs="Arial"/>
          <w:color w:val="000000"/>
        </w:rPr>
      </w:pPr>
      <w:r w:rsidRPr="00C13951">
        <w:rPr>
          <w:rFonts w:ascii="Arial" w:hAnsi="Arial" w:cs="Arial"/>
          <w:color w:val="000000"/>
        </w:rPr>
        <w:t xml:space="preserve">The Brand Equity and Relationship Marketing Theory focus on the importance of emotional involvement and openness as the key elements of recapturing long-term consumer loyalty </w:t>
      </w:r>
      <w:r w:rsidR="00903CB5" w:rsidRPr="00C13951">
        <w:rPr>
          <w:rFonts w:ascii="Arial" w:hAnsi="Arial" w:cs="Arial"/>
          <w:color w:val="000000"/>
        </w:rPr>
        <w:t>(Pyle, Smith and Chevtchouk, 2021)</w:t>
      </w:r>
      <w:r w:rsidRPr="00C13951">
        <w:rPr>
          <w:rFonts w:ascii="Arial" w:hAnsi="Arial" w:cs="Arial"/>
          <w:color w:val="000000"/>
        </w:rPr>
        <w:t>. Consumers often reevaluate their perception when they see brands display honesty, shared values, and conspicuous reform, and this leads to incremental reputation recovery.</w:t>
      </w:r>
    </w:p>
    <w:p w14:paraId="0960E21E" w14:textId="77777777" w:rsidR="009D7F40" w:rsidRPr="00C13951" w:rsidRDefault="009D7F40" w:rsidP="009D7F40">
      <w:pPr>
        <w:rPr>
          <w:rFonts w:ascii="Arial" w:hAnsi="Arial" w:cs="Arial"/>
          <w:color w:val="000000"/>
        </w:rPr>
      </w:pPr>
    </w:p>
    <w:p w14:paraId="64CF51D8" w14:textId="77777777" w:rsidR="009D7F40" w:rsidRPr="00C13951" w:rsidRDefault="009D7F40" w:rsidP="009D7F40">
      <w:pPr>
        <w:pStyle w:val="Heading2"/>
        <w:rPr>
          <w:rFonts w:ascii="Arial" w:hAnsi="Arial" w:cs="Arial"/>
        </w:rPr>
      </w:pPr>
      <w:bookmarkStart w:id="7" w:name="_Toc213198967"/>
      <w:r w:rsidRPr="00C13951">
        <w:rPr>
          <w:rFonts w:ascii="Arial" w:hAnsi="Arial" w:cs="Arial"/>
        </w:rPr>
        <w:t>2.2 Key Studies and Debates</w:t>
      </w:r>
      <w:bookmarkEnd w:id="7"/>
    </w:p>
    <w:p w14:paraId="0083A71C" w14:textId="77777777" w:rsidR="009D7F40" w:rsidRPr="00C13951" w:rsidRDefault="009D7F40" w:rsidP="009D7F40">
      <w:pPr>
        <w:rPr>
          <w:rFonts w:ascii="Arial" w:hAnsi="Arial" w:cs="Arial"/>
          <w:color w:val="000000"/>
        </w:rPr>
      </w:pPr>
      <w:r w:rsidRPr="00C13951">
        <w:rPr>
          <w:rFonts w:ascii="Arial" w:hAnsi="Arial" w:cs="Arial"/>
          <w:color w:val="000000"/>
        </w:rPr>
        <w:t xml:space="preserve">It is proven that the reputation crises in the fashion industry are systematic cases of consumer confidence erosion due to ethical violations as well as supply-chain dilemmas. Jones et al (2018) have performed a strict study of brand reputation restoration after corporate scandals and have established that open communication and a real corrective action are the key factor that initiates stakeholder forgiveness. Similarly, Quintus </w:t>
      </w:r>
      <w:r w:rsidRPr="00C13951">
        <w:rPr>
          <w:rFonts w:ascii="Arial" w:hAnsi="Arial" w:cs="Arial"/>
          <w:i/>
          <w:iCs/>
          <w:color w:val="000000"/>
        </w:rPr>
        <w:t>et al.</w:t>
      </w:r>
      <w:r w:rsidRPr="00C13951">
        <w:rPr>
          <w:rFonts w:ascii="Arial" w:hAnsi="Arial" w:cs="Arial"/>
          <w:color w:val="000000"/>
        </w:rPr>
        <w:t xml:space="preserve"> (2024) investigated the way people react towards apologetic messages of companies in the apparel industry and discovered that the perceived credibility of the message has a strong effect on the rebuilding of trust.</w:t>
      </w:r>
    </w:p>
    <w:p w14:paraId="25C79848" w14:textId="77777777" w:rsidR="009D7F40" w:rsidRPr="00C13951" w:rsidRDefault="009D7F40" w:rsidP="009D7F40">
      <w:pPr>
        <w:rPr>
          <w:rFonts w:ascii="Arial" w:hAnsi="Arial" w:cs="Arial"/>
          <w:color w:val="000000"/>
        </w:rPr>
      </w:pPr>
      <w:r w:rsidRPr="00C13951">
        <w:rPr>
          <w:rFonts w:ascii="Arial" w:hAnsi="Arial" w:cs="Arial"/>
          <w:color w:val="000000"/>
        </w:rPr>
        <w:t xml:space="preserve">Murphy </w:t>
      </w:r>
      <w:r w:rsidRPr="00C13951">
        <w:rPr>
          <w:rFonts w:ascii="Arial" w:hAnsi="Arial" w:cs="Arial"/>
          <w:i/>
          <w:iCs/>
          <w:color w:val="000000"/>
        </w:rPr>
        <w:t>et al.</w:t>
      </w:r>
      <w:r w:rsidRPr="00C13951">
        <w:rPr>
          <w:rFonts w:ascii="Arial" w:hAnsi="Arial" w:cs="Arial"/>
          <w:color w:val="000000"/>
        </w:rPr>
        <w:t xml:space="preserve"> (2022) made a significant contribution to the crisis management theory in this field because they were able to empirically test the Situational Crisis Communication Theory (SCCT) during fashion-related crises. Their results show that denial or justification (reactive strategies) tends to augment negative perceptions, and acceptance and restitution (proactive strategies) are effective in lessening reputational damage. Conversely, Su </w:t>
      </w:r>
      <w:r w:rsidRPr="00C13951">
        <w:rPr>
          <w:rFonts w:ascii="Arial" w:hAnsi="Arial" w:cs="Arial"/>
          <w:i/>
          <w:iCs/>
          <w:color w:val="000000"/>
        </w:rPr>
        <w:t>et al.</w:t>
      </w:r>
      <w:r w:rsidRPr="00C13951">
        <w:rPr>
          <w:rFonts w:ascii="Arial" w:hAnsi="Arial" w:cs="Arial"/>
          <w:color w:val="000000"/>
        </w:rPr>
        <w:t xml:space="preserve"> (2022) claimed that, especially in the digital realm, the pace and permanence of communication have an even stronger impact on the outcome of recovery than does the strategic decision.</w:t>
      </w:r>
    </w:p>
    <w:p w14:paraId="5D7D0A43" w14:textId="77777777" w:rsidR="009D7F40" w:rsidRPr="00C13951" w:rsidRDefault="009D7F40" w:rsidP="009D7F40">
      <w:pPr>
        <w:rPr>
          <w:rFonts w:ascii="Arial" w:hAnsi="Arial" w:cs="Arial"/>
          <w:color w:val="000000"/>
        </w:rPr>
      </w:pPr>
      <w:r w:rsidRPr="00C13951">
        <w:rPr>
          <w:rFonts w:ascii="Arial" w:hAnsi="Arial" w:cs="Arial"/>
          <w:color w:val="000000"/>
        </w:rPr>
        <w:t xml:space="preserve">Recent scholarship also questions the dichotomous position of social media as a channel of amplification of risks and recovery. Wang </w:t>
      </w:r>
      <w:r w:rsidRPr="00C13951">
        <w:rPr>
          <w:rFonts w:ascii="Arial" w:hAnsi="Arial" w:cs="Arial"/>
          <w:i/>
          <w:iCs/>
          <w:color w:val="000000"/>
        </w:rPr>
        <w:t>et al.</w:t>
      </w:r>
      <w:r w:rsidRPr="00C13951">
        <w:rPr>
          <w:rFonts w:ascii="Arial" w:hAnsi="Arial" w:cs="Arial"/>
          <w:color w:val="000000"/>
        </w:rPr>
        <w:t xml:space="preserve"> (2021) proved that social media networks simplify the spread of brand crises quickly and create a space to discuss the issue openly and present corrections to the narrative. Within the context of fast fashion in particular, such duality requires a form of brand reaction not only fast but also emotionally moving and clearly explained (Pyle, Smith and Chevtchouk, 2021). Despite these changes, the available literature has largely been focused on examining individual brands, thus creating a significant knowledge gap on comparative understanding of various apparel brands in the world that face similar typologies of crises.</w:t>
      </w:r>
    </w:p>
    <w:p w14:paraId="20FF922B" w14:textId="77777777" w:rsidR="009D7F40" w:rsidRPr="00C13951" w:rsidRDefault="009D7F40" w:rsidP="009D7F40">
      <w:pPr>
        <w:rPr>
          <w:rFonts w:ascii="Arial" w:hAnsi="Arial" w:cs="Arial"/>
          <w:color w:val="000000"/>
        </w:rPr>
      </w:pPr>
    </w:p>
    <w:p w14:paraId="07974FB2" w14:textId="77777777" w:rsidR="009D7F40" w:rsidRPr="00C13951" w:rsidRDefault="009D7F40" w:rsidP="009D7F40">
      <w:pPr>
        <w:pStyle w:val="Heading2"/>
        <w:rPr>
          <w:rFonts w:ascii="Arial" w:hAnsi="Arial" w:cs="Arial"/>
        </w:rPr>
      </w:pPr>
      <w:bookmarkStart w:id="8" w:name="_Toc213198968"/>
      <w:r w:rsidRPr="00C13951">
        <w:rPr>
          <w:rFonts w:ascii="Arial" w:hAnsi="Arial" w:cs="Arial"/>
        </w:rPr>
        <w:t>2.3 Research Gap</w:t>
      </w:r>
      <w:bookmarkEnd w:id="8"/>
    </w:p>
    <w:p w14:paraId="52D90B7F" w14:textId="77777777" w:rsidR="009D7F40" w:rsidRPr="00C13951" w:rsidRDefault="009D7F40" w:rsidP="009D7F40">
      <w:pPr>
        <w:rPr>
          <w:rFonts w:ascii="Arial" w:hAnsi="Arial" w:cs="Arial"/>
          <w:color w:val="000000"/>
        </w:rPr>
      </w:pPr>
      <w:r w:rsidRPr="00C13951">
        <w:rPr>
          <w:rFonts w:ascii="Arial" w:hAnsi="Arial" w:cs="Arial"/>
          <w:color w:val="000000"/>
        </w:rPr>
        <w:t xml:space="preserve">The existing literature is mostly concerned with the factors that contribute to the reduction of reputation and the concept of corporate social responsibility practices in general; nevertheless, the research on trust-recovery mechanisms in the fast-fashion sector is insignificant. Numerous studies focus on one crisis or a single segment of the market, thus failing to carry out comparative studies and cross-brand interactions (Pyle, Smith and Chevtchouk, 2021). In addition, case-studies based on secondary data that incorporate media reporting, corporate literature and consumer reactions have been under minimal academic criticism. This study fills the given gap by using a multi-case comparative study on Boohoo, Primark, and H&amp;M, focusing on how post-crisis recovery strategies, i.e. transparency, ethical repositioning, and communication, impact consumer trust and brand reputation permanence (Roh </w:t>
      </w:r>
      <w:r w:rsidRPr="00C13951">
        <w:rPr>
          <w:rFonts w:ascii="Arial" w:hAnsi="Arial" w:cs="Arial"/>
          <w:i/>
          <w:iCs/>
          <w:color w:val="000000"/>
        </w:rPr>
        <w:t>et al.</w:t>
      </w:r>
      <w:r w:rsidRPr="00C13951">
        <w:rPr>
          <w:rFonts w:ascii="Arial" w:hAnsi="Arial" w:cs="Arial"/>
          <w:color w:val="000000"/>
        </w:rPr>
        <w:t>, 2024). The derived empirical findings are expected to apply existing crisis management and trust-repair theoretical models to the fast-fashion setting.</w:t>
      </w:r>
    </w:p>
    <w:p w14:paraId="69E35CD9" w14:textId="77777777" w:rsidR="009D7F40" w:rsidRPr="00C13951" w:rsidRDefault="009D7F40" w:rsidP="009D7F40">
      <w:pPr>
        <w:rPr>
          <w:rFonts w:ascii="Arial" w:hAnsi="Arial" w:cs="Arial"/>
          <w:color w:val="000000"/>
        </w:rPr>
      </w:pPr>
    </w:p>
    <w:p w14:paraId="3133F74B" w14:textId="77777777" w:rsidR="009D7F40" w:rsidRPr="00C13951" w:rsidRDefault="009D7F40" w:rsidP="009D7F40">
      <w:pPr>
        <w:pStyle w:val="Heading2"/>
        <w:rPr>
          <w:rFonts w:ascii="Arial" w:hAnsi="Arial" w:cs="Arial"/>
        </w:rPr>
      </w:pPr>
      <w:bookmarkStart w:id="9" w:name="_Toc213198969"/>
      <w:r w:rsidRPr="00C13951">
        <w:rPr>
          <w:rFonts w:ascii="Arial" w:hAnsi="Arial" w:cs="Arial"/>
        </w:rPr>
        <w:t>2.4 Conceptual Framework</w:t>
      </w:r>
      <w:bookmarkEnd w:id="9"/>
    </w:p>
    <w:p w14:paraId="31A2C6B2" w14:textId="77777777" w:rsidR="009D7F40" w:rsidRPr="00C13951" w:rsidRDefault="009D7F40" w:rsidP="009D7F40">
      <w:pPr>
        <w:rPr>
          <w:rFonts w:ascii="Arial" w:hAnsi="Arial" w:cs="Arial"/>
          <w:b/>
          <w:bCs/>
          <w:color w:val="000000"/>
        </w:rPr>
      </w:pPr>
      <w:r w:rsidRPr="00C13951">
        <w:rPr>
          <w:rFonts w:ascii="Arial" w:hAnsi="Arial" w:cs="Arial"/>
          <w:color w:val="000000"/>
        </w:rPr>
        <w:t>The conceptual model guiding this study proposes a sequential relationship:</w:t>
      </w:r>
      <w:r w:rsidRPr="00C13951">
        <w:rPr>
          <w:rFonts w:ascii="Arial" w:hAnsi="Arial" w:cs="Arial"/>
          <w:color w:val="000000"/>
        </w:rPr>
        <w:br/>
      </w:r>
      <w:r w:rsidRPr="00C13951">
        <w:rPr>
          <w:rFonts w:ascii="Arial" w:hAnsi="Arial" w:cs="Arial"/>
          <w:b/>
          <w:bCs/>
          <w:color w:val="000000"/>
        </w:rPr>
        <w:t>Crisis Response Strategy → Consumer Trust Recovery → Reputation Restoration → Long-term Brand Loyalty.</w:t>
      </w:r>
    </w:p>
    <w:p w14:paraId="3F149AFB" w14:textId="77777777" w:rsidR="00903CB5" w:rsidRPr="00C13951" w:rsidRDefault="00903CB5" w:rsidP="00903CB5">
      <w:pPr>
        <w:keepNext/>
        <w:jc w:val="center"/>
        <w:rPr>
          <w:rFonts w:ascii="Arial" w:hAnsi="Arial" w:cs="Arial"/>
        </w:rPr>
      </w:pPr>
      <w:r w:rsidRPr="00C13951">
        <w:rPr>
          <w:rFonts w:ascii="Arial" w:hAnsi="Arial" w:cs="Arial"/>
          <w:noProof/>
          <w:color w:val="000000"/>
        </w:rPr>
        <w:drawing>
          <wp:inline distT="0" distB="0" distL="0" distR="0" wp14:anchorId="42E08EF3" wp14:editId="0FF5D001">
            <wp:extent cx="4550229" cy="2810534"/>
            <wp:effectExtent l="0" t="0" r="0" b="0"/>
            <wp:docPr id="9221298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29807" name="Picture 922129807"/>
                    <pic:cNvPicPr/>
                  </pic:nvPicPr>
                  <pic:blipFill rotWithShape="1">
                    <a:blip r:embed="rId12">
                      <a:extLst>
                        <a:ext uri="{28A0092B-C50C-407E-A947-70E740481C1C}">
                          <a14:useLocalDpi xmlns:a14="http://schemas.microsoft.com/office/drawing/2010/main" val="0"/>
                        </a:ext>
                      </a:extLst>
                    </a:blip>
                    <a:srcRect t="6842" b="31390"/>
                    <a:stretch/>
                  </pic:blipFill>
                  <pic:spPr bwMode="auto">
                    <a:xfrm>
                      <a:off x="0" y="0"/>
                      <a:ext cx="4595898" cy="2838742"/>
                    </a:xfrm>
                    <a:prstGeom prst="rect">
                      <a:avLst/>
                    </a:prstGeom>
                    <a:ln>
                      <a:noFill/>
                    </a:ln>
                    <a:extLst>
                      <a:ext uri="{53640926-AAD7-44D8-BBD7-CCE9431645EC}">
                        <a14:shadowObscured xmlns:a14="http://schemas.microsoft.com/office/drawing/2010/main"/>
                      </a:ext>
                    </a:extLst>
                  </pic:spPr>
                </pic:pic>
              </a:graphicData>
            </a:graphic>
          </wp:inline>
        </w:drawing>
      </w:r>
    </w:p>
    <w:p w14:paraId="5C00FEE6" w14:textId="77777777" w:rsidR="00903CB5" w:rsidRPr="00C13951" w:rsidRDefault="00903CB5" w:rsidP="00903CB5">
      <w:pPr>
        <w:pStyle w:val="Caption"/>
        <w:rPr>
          <w:rFonts w:ascii="Arial" w:hAnsi="Arial" w:cs="Arial"/>
          <w:lang w:val="en-US"/>
        </w:rPr>
      </w:pPr>
      <w:r w:rsidRPr="00C13951">
        <w:rPr>
          <w:rFonts w:ascii="Arial" w:hAnsi="Arial" w:cs="Arial"/>
        </w:rPr>
        <w:t xml:space="preserve">Figure </w:t>
      </w:r>
      <w:r w:rsidRPr="00C13951">
        <w:rPr>
          <w:rFonts w:ascii="Arial" w:hAnsi="Arial" w:cs="Arial"/>
        </w:rPr>
        <w:fldChar w:fldCharType="begin"/>
      </w:r>
      <w:r w:rsidRPr="00C13951">
        <w:rPr>
          <w:rFonts w:ascii="Arial" w:hAnsi="Arial" w:cs="Arial"/>
        </w:rPr>
        <w:instrText xml:space="preserve"> SEQ Figure \* ARABIC </w:instrText>
      </w:r>
      <w:r w:rsidRPr="00C13951">
        <w:rPr>
          <w:rFonts w:ascii="Arial" w:hAnsi="Arial" w:cs="Arial"/>
        </w:rPr>
        <w:fldChar w:fldCharType="separate"/>
      </w:r>
      <w:r w:rsidRPr="00C13951">
        <w:rPr>
          <w:rFonts w:ascii="Arial" w:hAnsi="Arial" w:cs="Arial"/>
          <w:noProof/>
        </w:rPr>
        <w:t>4</w:t>
      </w:r>
      <w:r w:rsidRPr="00C13951">
        <w:rPr>
          <w:rFonts w:ascii="Arial" w:hAnsi="Arial" w:cs="Arial"/>
        </w:rPr>
        <w:fldChar w:fldCharType="end"/>
      </w:r>
      <w:r w:rsidRPr="00C13951">
        <w:rPr>
          <w:rFonts w:ascii="Arial" w:hAnsi="Arial" w:cs="Arial"/>
          <w:lang w:val="en-US"/>
        </w:rPr>
        <w:t xml:space="preserve">: Conceptual Framework </w:t>
      </w:r>
    </w:p>
    <w:p w14:paraId="046638DD" w14:textId="56AD9383" w:rsidR="00903CB5" w:rsidRPr="00C13951" w:rsidRDefault="00903CB5" w:rsidP="00903CB5">
      <w:pPr>
        <w:pStyle w:val="Caption"/>
        <w:rPr>
          <w:rFonts w:ascii="Arial" w:hAnsi="Arial" w:cs="Arial"/>
          <w:color w:val="000000"/>
        </w:rPr>
      </w:pPr>
      <w:r w:rsidRPr="00C13951">
        <w:rPr>
          <w:rFonts w:ascii="Arial" w:hAnsi="Arial" w:cs="Arial"/>
          <w:lang w:val="en-US"/>
        </w:rPr>
        <w:t>Source: Self-Made</w:t>
      </w:r>
    </w:p>
    <w:p w14:paraId="4CAD7B52" w14:textId="77777777" w:rsidR="009D7F40" w:rsidRPr="00C13951" w:rsidRDefault="009D7F40" w:rsidP="009D7F40">
      <w:pPr>
        <w:rPr>
          <w:rFonts w:ascii="Arial" w:hAnsi="Arial" w:cs="Arial"/>
          <w:color w:val="000000"/>
        </w:rPr>
      </w:pPr>
      <w:r w:rsidRPr="00C13951">
        <w:rPr>
          <w:rFonts w:ascii="Arial" w:hAnsi="Arial" w:cs="Arial"/>
          <w:color w:val="000000"/>
        </w:rPr>
        <w:t xml:space="preserve">Communication, transparency, and corrective action constructs can be used as mediating variables that mediate between crisis management efforts and the consumer perception outcomes. The proposed framework, synthesising tenets based on the literature of the Situational Crisis Communication Theory, Trust Repair Theory, and Brand Equity, provides a comprehensive insight into the role of strategic responses in the process of putting back in place the image of the global apparel industry (Roh </w:t>
      </w:r>
      <w:r w:rsidRPr="00C13951">
        <w:rPr>
          <w:rFonts w:ascii="Arial" w:hAnsi="Arial" w:cs="Arial"/>
          <w:i/>
          <w:iCs/>
          <w:color w:val="000000"/>
        </w:rPr>
        <w:t>et al.</w:t>
      </w:r>
      <w:r w:rsidRPr="00C13951">
        <w:rPr>
          <w:rFonts w:ascii="Arial" w:hAnsi="Arial" w:cs="Arial"/>
          <w:color w:val="000000"/>
        </w:rPr>
        <w:t>, 2024). This model, therefore, shall be a structural framework of the subsequent case study analysis.</w:t>
      </w:r>
    </w:p>
    <w:p w14:paraId="3660DEC4" w14:textId="77777777" w:rsidR="009D7F40" w:rsidRPr="00C13951" w:rsidRDefault="009D7F40" w:rsidP="009D7F40">
      <w:pPr>
        <w:rPr>
          <w:rFonts w:ascii="Arial" w:hAnsi="Arial" w:cs="Arial"/>
          <w:color w:val="000000"/>
        </w:rPr>
      </w:pPr>
    </w:p>
    <w:p w14:paraId="3D4EE736" w14:textId="77777777" w:rsidR="009D7F40" w:rsidRPr="00C13951" w:rsidRDefault="009D7F40" w:rsidP="009D7F40">
      <w:pPr>
        <w:pStyle w:val="Heading1"/>
        <w:rPr>
          <w:rFonts w:ascii="Arial" w:hAnsi="Arial" w:cs="Arial"/>
        </w:rPr>
      </w:pPr>
      <w:bookmarkStart w:id="10" w:name="_Toc213198970"/>
      <w:r w:rsidRPr="00C13951">
        <w:rPr>
          <w:rFonts w:ascii="Arial" w:hAnsi="Arial" w:cs="Arial"/>
        </w:rPr>
        <w:t>3. Methodology</w:t>
      </w:r>
      <w:bookmarkEnd w:id="10"/>
      <w:r w:rsidRPr="00C13951">
        <w:rPr>
          <w:rFonts w:ascii="Arial" w:hAnsi="Arial" w:cs="Arial"/>
        </w:rPr>
        <w:t> </w:t>
      </w:r>
    </w:p>
    <w:p w14:paraId="1708CC93" w14:textId="77777777" w:rsidR="009D7F40" w:rsidRPr="00C13951" w:rsidRDefault="009D7F40" w:rsidP="009D7F40">
      <w:pPr>
        <w:rPr>
          <w:rFonts w:ascii="Arial" w:hAnsi="Arial" w:cs="Arial"/>
          <w:color w:val="000000"/>
        </w:rPr>
      </w:pPr>
      <w:r w:rsidRPr="00C13951">
        <w:rPr>
          <w:rFonts w:ascii="Arial" w:hAnsi="Arial" w:cs="Arial"/>
          <w:color w:val="000000"/>
        </w:rPr>
        <w:t xml:space="preserve">The methodology chapter specifies the research design using Saunders' Research Onion, which provides a systematic framework in which to clarify the philosophical orientation, methodological approach, strategic plan, data collection methods and analysis (Tseng </w:t>
      </w:r>
      <w:r w:rsidRPr="00C13951">
        <w:rPr>
          <w:rFonts w:ascii="Arial" w:hAnsi="Arial" w:cs="Arial"/>
          <w:i/>
          <w:iCs/>
          <w:color w:val="000000"/>
        </w:rPr>
        <w:t>et al.</w:t>
      </w:r>
      <w:r w:rsidRPr="00C13951">
        <w:rPr>
          <w:rFonts w:ascii="Arial" w:hAnsi="Arial" w:cs="Arial"/>
          <w:color w:val="000000"/>
        </w:rPr>
        <w:t>, 2022). Each new layer of the onion provides the basis for and rationale for the research on reputation restoration and consumer trust.</w:t>
      </w:r>
    </w:p>
    <w:p w14:paraId="506BA6B9" w14:textId="62CDDAE1" w:rsidR="00903CB5" w:rsidRPr="00C13951" w:rsidRDefault="009D7F40" w:rsidP="00903CB5">
      <w:pPr>
        <w:keepNext/>
        <w:jc w:val="center"/>
        <w:rPr>
          <w:rFonts w:ascii="Arial" w:hAnsi="Arial" w:cs="Arial"/>
        </w:rPr>
      </w:pPr>
      <w:r w:rsidRPr="00C13951">
        <w:rPr>
          <w:rFonts w:ascii="Arial" w:hAnsi="Arial" w:cs="Arial"/>
        </w:rPr>
        <w:fldChar w:fldCharType="begin"/>
      </w:r>
      <w:r w:rsidR="007516DC">
        <w:rPr>
          <w:rFonts w:ascii="Arial" w:hAnsi="Arial" w:cs="Arial"/>
        </w:rPr>
        <w:instrText xml:space="preserve"> INCLUDEPICTURE "C:\\Users\\ijtehad\\Library\\Group Containers\\UBF8T346G9.ms\\WebArchiveCopyPasteTempFiles\\com.microsoft.Word\\Screenshot-2019-01-16-12.26.42.png?resize=572,410&amp;ssl=1" \* MERGEFORMAT </w:instrText>
      </w:r>
      <w:r w:rsidRPr="00C13951">
        <w:rPr>
          <w:rFonts w:ascii="Arial" w:hAnsi="Arial" w:cs="Arial"/>
        </w:rPr>
        <w:fldChar w:fldCharType="separate"/>
      </w:r>
      <w:r w:rsidRPr="00C13951">
        <w:rPr>
          <w:rFonts w:ascii="Arial" w:hAnsi="Arial" w:cs="Arial"/>
          <w:noProof/>
        </w:rPr>
        <w:drawing>
          <wp:inline distT="0" distB="0" distL="0" distR="0" wp14:anchorId="7DEE69DF" wp14:editId="2284251F">
            <wp:extent cx="5727700" cy="3743325"/>
            <wp:effectExtent l="0" t="0" r="0" b="3175"/>
            <wp:docPr id="1474859176" name="Picture 1" descr="Towards an Explicit Research Methodology: Adapting Research Onion Model for  Futures Studies * Journal of Futures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ards an Explicit Research Methodology: Adapting Research Onion Model for  Futures Studies * Journal of Futures Studies"/>
                    <pic:cNvPicPr>
                      <a:picLocks noChangeAspect="1" noChangeArrowheads="1"/>
                    </pic:cNvPicPr>
                  </pic:nvPicPr>
                  <pic:blipFill rotWithShape="1">
                    <a:blip r:embed="rId13">
                      <a:extLst>
                        <a:ext uri="{28A0092B-C50C-407E-A947-70E740481C1C}">
                          <a14:useLocalDpi xmlns:a14="http://schemas.microsoft.com/office/drawing/2010/main" val="0"/>
                        </a:ext>
                      </a:extLst>
                    </a:blip>
                    <a:srcRect b="8845"/>
                    <a:stretch/>
                  </pic:blipFill>
                  <pic:spPr bwMode="auto">
                    <a:xfrm>
                      <a:off x="0" y="0"/>
                      <a:ext cx="5727700" cy="3743325"/>
                    </a:xfrm>
                    <a:prstGeom prst="rect">
                      <a:avLst/>
                    </a:prstGeom>
                    <a:noFill/>
                    <a:ln>
                      <a:noFill/>
                    </a:ln>
                    <a:extLst>
                      <a:ext uri="{53640926-AAD7-44D8-BBD7-CCE9431645EC}">
                        <a14:shadowObscured xmlns:a14="http://schemas.microsoft.com/office/drawing/2010/main"/>
                      </a:ext>
                    </a:extLst>
                  </pic:spPr>
                </pic:pic>
              </a:graphicData>
            </a:graphic>
          </wp:inline>
        </w:drawing>
      </w:r>
      <w:r w:rsidRPr="00C13951">
        <w:rPr>
          <w:rFonts w:ascii="Arial" w:hAnsi="Arial" w:cs="Arial"/>
        </w:rPr>
        <w:fldChar w:fldCharType="end"/>
      </w:r>
    </w:p>
    <w:p w14:paraId="63C0C0B5" w14:textId="5BBA8B0C" w:rsidR="00903CB5" w:rsidRPr="00C13951" w:rsidRDefault="00903CB5" w:rsidP="00903CB5">
      <w:pPr>
        <w:pStyle w:val="Caption"/>
        <w:rPr>
          <w:rFonts w:ascii="Arial" w:hAnsi="Arial" w:cs="Arial"/>
          <w:lang w:val="en-US"/>
        </w:rPr>
      </w:pPr>
      <w:r w:rsidRPr="00C13951">
        <w:rPr>
          <w:rFonts w:ascii="Arial" w:hAnsi="Arial" w:cs="Arial"/>
        </w:rPr>
        <w:t xml:space="preserve">Figure </w:t>
      </w:r>
      <w:r w:rsidRPr="00C13951">
        <w:rPr>
          <w:rFonts w:ascii="Arial" w:hAnsi="Arial" w:cs="Arial"/>
        </w:rPr>
        <w:fldChar w:fldCharType="begin"/>
      </w:r>
      <w:r w:rsidRPr="00C13951">
        <w:rPr>
          <w:rFonts w:ascii="Arial" w:hAnsi="Arial" w:cs="Arial"/>
        </w:rPr>
        <w:instrText xml:space="preserve"> SEQ Figure \* ARABIC </w:instrText>
      </w:r>
      <w:r w:rsidRPr="00C13951">
        <w:rPr>
          <w:rFonts w:ascii="Arial" w:hAnsi="Arial" w:cs="Arial"/>
        </w:rPr>
        <w:fldChar w:fldCharType="separate"/>
      </w:r>
      <w:r w:rsidRPr="00C13951">
        <w:rPr>
          <w:rFonts w:ascii="Arial" w:hAnsi="Arial" w:cs="Arial"/>
          <w:noProof/>
        </w:rPr>
        <w:t>5</w:t>
      </w:r>
      <w:r w:rsidRPr="00C13951">
        <w:rPr>
          <w:rFonts w:ascii="Arial" w:hAnsi="Arial" w:cs="Arial"/>
        </w:rPr>
        <w:fldChar w:fldCharType="end"/>
      </w:r>
      <w:r w:rsidRPr="00C13951">
        <w:rPr>
          <w:rFonts w:ascii="Arial" w:hAnsi="Arial" w:cs="Arial"/>
          <w:lang w:val="en-US"/>
        </w:rPr>
        <w:t>: Research Onion</w:t>
      </w:r>
    </w:p>
    <w:p w14:paraId="2DD326B8" w14:textId="1A2DAD74" w:rsidR="009D7F40" w:rsidRPr="00C13951" w:rsidRDefault="00903CB5" w:rsidP="00903CB5">
      <w:pPr>
        <w:pStyle w:val="Caption"/>
        <w:rPr>
          <w:rFonts w:ascii="Arial" w:hAnsi="Arial" w:cs="Arial"/>
          <w:color w:val="000000"/>
        </w:rPr>
      </w:pPr>
      <w:r w:rsidRPr="00C13951">
        <w:rPr>
          <w:rFonts w:ascii="Arial" w:hAnsi="Arial" w:cs="Arial"/>
          <w:lang w:val="en-US"/>
        </w:rPr>
        <w:t xml:space="preserve">Source: </w:t>
      </w:r>
      <w:r w:rsidRPr="00903CB5">
        <w:rPr>
          <w:rFonts w:ascii="Arial" w:hAnsi="Arial" w:cs="Arial"/>
        </w:rPr>
        <w:t xml:space="preserve">(Tseng </w:t>
      </w:r>
      <w:r w:rsidRPr="00903CB5">
        <w:rPr>
          <w:rFonts w:ascii="Arial" w:hAnsi="Arial" w:cs="Arial"/>
          <w:i/>
        </w:rPr>
        <w:t>et al.</w:t>
      </w:r>
      <w:r w:rsidRPr="00903CB5">
        <w:rPr>
          <w:rFonts w:ascii="Arial" w:hAnsi="Arial" w:cs="Arial"/>
        </w:rPr>
        <w:t>, 2022)</w:t>
      </w:r>
    </w:p>
    <w:p w14:paraId="479CE198" w14:textId="77777777" w:rsidR="009D7F40" w:rsidRPr="00C13951" w:rsidRDefault="009D7F40" w:rsidP="009D7F40">
      <w:pPr>
        <w:rPr>
          <w:rFonts w:ascii="Arial" w:hAnsi="Arial" w:cs="Arial"/>
          <w:color w:val="000000"/>
        </w:rPr>
      </w:pPr>
    </w:p>
    <w:p w14:paraId="688754EA" w14:textId="77777777" w:rsidR="009D7F40" w:rsidRPr="00C13951" w:rsidRDefault="009D7F40" w:rsidP="009D7F40">
      <w:pPr>
        <w:pStyle w:val="Heading2"/>
        <w:rPr>
          <w:rFonts w:ascii="Arial" w:hAnsi="Arial" w:cs="Arial"/>
        </w:rPr>
      </w:pPr>
      <w:bookmarkStart w:id="11" w:name="_Toc213198971"/>
      <w:r w:rsidRPr="00C13951">
        <w:rPr>
          <w:rFonts w:ascii="Arial" w:hAnsi="Arial" w:cs="Arial"/>
        </w:rPr>
        <w:t>3.1 Research Philosophy</w:t>
      </w:r>
      <w:bookmarkEnd w:id="11"/>
    </w:p>
    <w:p w14:paraId="2AD186E7" w14:textId="77777777" w:rsidR="009D7F40" w:rsidRPr="00C13951" w:rsidRDefault="009D7F40" w:rsidP="009D7F40">
      <w:pPr>
        <w:rPr>
          <w:rFonts w:ascii="Arial" w:hAnsi="Arial" w:cs="Arial"/>
          <w:color w:val="000000"/>
        </w:rPr>
      </w:pPr>
      <w:r w:rsidRPr="00C13951">
        <w:rPr>
          <w:rFonts w:ascii="Arial" w:hAnsi="Arial" w:cs="Arial"/>
          <w:color w:val="000000"/>
        </w:rPr>
        <w:t xml:space="preserve">This research takes an interpretivist approach, focusing on the understanding of subjective meanings and socially constructed realities that are created by individuals and organisations. In the context of the reputation recovery process, consumer trust and brand reputation are inherently perceptual and context-dependent constructs (Tseng </w:t>
      </w:r>
      <w:r w:rsidRPr="00C13951">
        <w:rPr>
          <w:rFonts w:ascii="Arial" w:hAnsi="Arial" w:cs="Arial"/>
          <w:i/>
          <w:iCs/>
          <w:color w:val="000000"/>
        </w:rPr>
        <w:t>et al.</w:t>
      </w:r>
      <w:r w:rsidRPr="00C13951">
        <w:rPr>
          <w:rFonts w:ascii="Arial" w:hAnsi="Arial" w:cs="Arial"/>
          <w:color w:val="000000"/>
        </w:rPr>
        <w:t>, 2022). Interpretivism allows the researcher to analyse the meaning of crisis in fashion brands and the modus for transferring trust-restoring actions, while analysing the reactions of stakeholders. The worldview enables qualitative reasoning, which emphasises rich and nuanced interpretation instead of numerical generalisation and accommodates the exploratory and comparative nature of the study.</w:t>
      </w:r>
    </w:p>
    <w:p w14:paraId="433102FE" w14:textId="77777777" w:rsidR="009D7F40" w:rsidRPr="00C13951" w:rsidRDefault="009D7F40" w:rsidP="009D7F40">
      <w:pPr>
        <w:rPr>
          <w:rFonts w:ascii="Arial" w:hAnsi="Arial" w:cs="Arial"/>
          <w:color w:val="000000"/>
        </w:rPr>
      </w:pPr>
    </w:p>
    <w:p w14:paraId="4A4C9128" w14:textId="77777777" w:rsidR="009D7F40" w:rsidRPr="00C13951" w:rsidRDefault="009D7F40" w:rsidP="009D7F40">
      <w:pPr>
        <w:pStyle w:val="Heading2"/>
        <w:rPr>
          <w:rFonts w:ascii="Arial" w:hAnsi="Arial" w:cs="Arial"/>
        </w:rPr>
      </w:pPr>
      <w:bookmarkStart w:id="12" w:name="_Toc213198972"/>
      <w:r w:rsidRPr="00C13951">
        <w:rPr>
          <w:rFonts w:ascii="Arial" w:hAnsi="Arial" w:cs="Arial"/>
        </w:rPr>
        <w:t>3.2 Research Approach</w:t>
      </w:r>
      <w:bookmarkEnd w:id="12"/>
      <w:r w:rsidRPr="00C13951">
        <w:rPr>
          <w:rFonts w:ascii="Arial" w:hAnsi="Arial" w:cs="Arial"/>
        </w:rPr>
        <w:t> </w:t>
      </w:r>
    </w:p>
    <w:p w14:paraId="76697EEC" w14:textId="77777777" w:rsidR="009D7F40" w:rsidRPr="00C13951" w:rsidRDefault="009D7F40" w:rsidP="009D7F40">
      <w:pPr>
        <w:rPr>
          <w:rFonts w:ascii="Arial" w:hAnsi="Arial" w:cs="Arial"/>
          <w:color w:val="000000"/>
        </w:rPr>
      </w:pPr>
      <w:r w:rsidRPr="00C13951">
        <w:rPr>
          <w:rFonts w:ascii="Arial" w:hAnsi="Arial" w:cs="Arial"/>
          <w:color w:val="000000"/>
        </w:rPr>
        <w:t xml:space="preserve">Inductive research is used, and theory is extracted from the patterns which emerge from the case studies. This approach endorses the development of a conceptual framework based on empirical evidence of how brand recovery is achieved in real-world crises, rather than the testing of pre-determined hypotheses, as is the case in other methodologies (Hidayat </w:t>
      </w:r>
      <w:r w:rsidRPr="00C13951">
        <w:rPr>
          <w:rFonts w:ascii="Arial" w:hAnsi="Arial" w:cs="Arial"/>
          <w:i/>
          <w:iCs/>
          <w:color w:val="000000"/>
        </w:rPr>
        <w:t>et al.</w:t>
      </w:r>
      <w:r w:rsidRPr="00C13951">
        <w:rPr>
          <w:rFonts w:ascii="Arial" w:hAnsi="Arial" w:cs="Arial"/>
          <w:color w:val="000000"/>
        </w:rPr>
        <w:t xml:space="preserve">, 2021). Induction is especially suitable for researching new and changing problems like the reputation repair of ethically questionable companies, where theory </w:t>
      </w:r>
      <w:proofErr w:type="gramStart"/>
      <w:r w:rsidRPr="00C13951">
        <w:rPr>
          <w:rFonts w:ascii="Arial" w:hAnsi="Arial" w:cs="Arial"/>
          <w:color w:val="000000"/>
        </w:rPr>
        <w:t>has to</w:t>
      </w:r>
      <w:proofErr w:type="gramEnd"/>
      <w:r w:rsidRPr="00C13951">
        <w:rPr>
          <w:rFonts w:ascii="Arial" w:hAnsi="Arial" w:cs="Arial"/>
          <w:color w:val="000000"/>
        </w:rPr>
        <w:t xml:space="preserve"> keep pace with the changing consumer behaviour. The experience from the recoveries of Boohoo, H&amp;M and Primark will be used to shape an environment-specific model of trust recovery and reputation management.</w:t>
      </w:r>
    </w:p>
    <w:p w14:paraId="48372A4E" w14:textId="77777777" w:rsidR="009D7F40" w:rsidRPr="00C13951" w:rsidRDefault="009D7F40" w:rsidP="009D7F40">
      <w:pPr>
        <w:pStyle w:val="Heading2"/>
        <w:rPr>
          <w:rFonts w:ascii="Arial" w:hAnsi="Arial" w:cs="Arial"/>
        </w:rPr>
      </w:pPr>
      <w:bookmarkStart w:id="13" w:name="_Toc213198973"/>
      <w:r w:rsidRPr="00C13951">
        <w:rPr>
          <w:rFonts w:ascii="Arial" w:hAnsi="Arial" w:cs="Arial"/>
        </w:rPr>
        <w:t>3.3 Research Strategy</w:t>
      </w:r>
      <w:bookmarkEnd w:id="13"/>
      <w:r w:rsidRPr="00C13951">
        <w:rPr>
          <w:rFonts w:ascii="Arial" w:hAnsi="Arial" w:cs="Arial"/>
        </w:rPr>
        <w:t> </w:t>
      </w:r>
    </w:p>
    <w:p w14:paraId="2610A3BD" w14:textId="4C8FD44F" w:rsidR="00C13951" w:rsidRPr="00C13951" w:rsidRDefault="00C13951" w:rsidP="00C13951">
      <w:pPr>
        <w:rPr>
          <w:rFonts w:ascii="Arial" w:hAnsi="Arial" w:cs="Arial"/>
          <w:lang w:eastAsia="en-US"/>
        </w:rPr>
      </w:pPr>
      <w:r w:rsidRPr="00C13951">
        <w:rPr>
          <w:rFonts w:ascii="Arial" w:hAnsi="Arial" w:cs="Arial"/>
          <w:lang w:eastAsia="en-US"/>
        </w:rPr>
        <w:t>The given investigation utilises a multiple-case study approach, as it compares three major clothing brands</w:t>
      </w:r>
      <w:r w:rsidRPr="00C13951">
        <w:rPr>
          <w:rFonts w:ascii="Arial" w:hAnsi="Arial" w:cs="Arial"/>
          <w:lang w:val="en-US" w:eastAsia="en-US"/>
        </w:rPr>
        <w:t>,</w:t>
      </w:r>
      <w:r w:rsidRPr="00C13951">
        <w:rPr>
          <w:rFonts w:ascii="Arial" w:hAnsi="Arial" w:cs="Arial"/>
          <w:lang w:eastAsia="en-US"/>
        </w:rPr>
        <w:t xml:space="preserve"> Boohoo, H&amp;M, and Primark, which have faced a crisis of their reputation in the public in 2019-2024. The design will answer both how and why questions related to the reconstruction of the post</w:t>
      </w:r>
      <w:r w:rsidRPr="00C13951">
        <w:rPr>
          <w:rFonts w:ascii="Arial" w:hAnsi="Arial" w:cs="Arial"/>
          <w:lang w:val="en-US" w:eastAsia="en-US"/>
        </w:rPr>
        <w:t>-</w:t>
      </w:r>
      <w:r w:rsidRPr="00C13951">
        <w:rPr>
          <w:rFonts w:ascii="Arial" w:hAnsi="Arial" w:cs="Arial"/>
          <w:lang w:eastAsia="en-US"/>
        </w:rPr>
        <w:t>crisis trust. Based on the secondary sources, such as sustainability reports, corporate communications, media coverage, and NGO publications, the analysis focuses on differences in communicative approaches and remedial measures</w:t>
      </w:r>
      <w:r w:rsidRPr="00C13951">
        <w:rPr>
          <w:rFonts w:ascii="Arial" w:hAnsi="Arial" w:cs="Arial"/>
          <w:lang w:val="en-US" w:eastAsia="en-US"/>
        </w:rPr>
        <w:t xml:space="preserve"> </w:t>
      </w:r>
      <w:r w:rsidRPr="00C13951">
        <w:rPr>
          <w:rFonts w:ascii="Arial" w:hAnsi="Arial" w:cs="Arial"/>
          <w:color w:val="000000"/>
        </w:rPr>
        <w:t>(Jaspers and Pearson, 2022)</w:t>
      </w:r>
      <w:r w:rsidRPr="00C13951">
        <w:rPr>
          <w:rFonts w:ascii="Arial" w:hAnsi="Arial" w:cs="Arial"/>
          <w:lang w:eastAsia="en-US"/>
        </w:rPr>
        <w:t>. The case study methodology provides a detailed understanding of each brand and a general cross-case analysis in the context of the apparel industry in the world.</w:t>
      </w:r>
    </w:p>
    <w:p w14:paraId="73F75908" w14:textId="77777777" w:rsidR="009D7F40" w:rsidRPr="00C13951" w:rsidRDefault="009D7F40" w:rsidP="009D7F40">
      <w:pPr>
        <w:rPr>
          <w:rFonts w:ascii="Arial" w:hAnsi="Arial" w:cs="Arial"/>
          <w:color w:val="000000"/>
        </w:rPr>
      </w:pPr>
    </w:p>
    <w:p w14:paraId="4A7B1086" w14:textId="6988B88F" w:rsidR="009D7F40" w:rsidRPr="00C13951" w:rsidRDefault="009D7F40" w:rsidP="009D7F40">
      <w:pPr>
        <w:pStyle w:val="Heading2"/>
        <w:rPr>
          <w:rFonts w:ascii="Arial" w:hAnsi="Arial" w:cs="Arial"/>
          <w:lang w:val="en-US"/>
        </w:rPr>
      </w:pPr>
      <w:bookmarkStart w:id="14" w:name="_Toc213198974"/>
      <w:r w:rsidRPr="00C13951">
        <w:rPr>
          <w:rFonts w:ascii="Arial" w:hAnsi="Arial" w:cs="Arial"/>
        </w:rPr>
        <w:t xml:space="preserve">3.4 </w:t>
      </w:r>
      <w:r w:rsidR="00C13951" w:rsidRPr="00C13951">
        <w:rPr>
          <w:rFonts w:ascii="Arial" w:hAnsi="Arial" w:cs="Arial"/>
          <w:lang w:val="en-US"/>
        </w:rPr>
        <w:t>Gantt Chart</w:t>
      </w:r>
      <w:bookmarkEnd w:id="14"/>
    </w:p>
    <w:tbl>
      <w:tblPr>
        <w:tblStyle w:val="TableGrid"/>
        <w:tblW w:w="0" w:type="auto"/>
        <w:tblLook w:val="04A0" w:firstRow="1" w:lastRow="0" w:firstColumn="1" w:lastColumn="0" w:noHBand="0" w:noVBand="1"/>
      </w:tblPr>
      <w:tblGrid>
        <w:gridCol w:w="1631"/>
        <w:gridCol w:w="577"/>
        <w:gridCol w:w="577"/>
        <w:gridCol w:w="585"/>
        <w:gridCol w:w="585"/>
        <w:gridCol w:w="585"/>
        <w:gridCol w:w="585"/>
        <w:gridCol w:w="585"/>
        <w:gridCol w:w="585"/>
        <w:gridCol w:w="585"/>
        <w:gridCol w:w="710"/>
        <w:gridCol w:w="710"/>
        <w:gridCol w:w="710"/>
      </w:tblGrid>
      <w:tr w:rsidR="009D7F40" w:rsidRPr="00C13951" w14:paraId="21309CF6" w14:textId="77777777" w:rsidTr="009D7F40">
        <w:tc>
          <w:tcPr>
            <w:tcW w:w="1885" w:type="dxa"/>
            <w:shd w:val="clear" w:color="auto" w:fill="385623" w:themeFill="accent6" w:themeFillShade="80"/>
          </w:tcPr>
          <w:p w14:paraId="5D103ED5"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Milestones</w:t>
            </w:r>
          </w:p>
        </w:tc>
        <w:tc>
          <w:tcPr>
            <w:tcW w:w="272" w:type="dxa"/>
            <w:shd w:val="clear" w:color="auto" w:fill="385623" w:themeFill="accent6" w:themeFillShade="80"/>
          </w:tcPr>
          <w:p w14:paraId="534758B4"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W1</w:t>
            </w:r>
          </w:p>
        </w:tc>
        <w:tc>
          <w:tcPr>
            <w:tcW w:w="563" w:type="dxa"/>
            <w:shd w:val="clear" w:color="auto" w:fill="385623" w:themeFill="accent6" w:themeFillShade="80"/>
          </w:tcPr>
          <w:p w14:paraId="7322DDBC"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W2</w:t>
            </w:r>
          </w:p>
        </w:tc>
        <w:tc>
          <w:tcPr>
            <w:tcW w:w="648" w:type="dxa"/>
            <w:shd w:val="clear" w:color="auto" w:fill="385623" w:themeFill="accent6" w:themeFillShade="80"/>
          </w:tcPr>
          <w:p w14:paraId="1BA1682A"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W3</w:t>
            </w:r>
          </w:p>
        </w:tc>
        <w:tc>
          <w:tcPr>
            <w:tcW w:w="648" w:type="dxa"/>
            <w:shd w:val="clear" w:color="auto" w:fill="385623" w:themeFill="accent6" w:themeFillShade="80"/>
          </w:tcPr>
          <w:p w14:paraId="1A25D845"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W4</w:t>
            </w:r>
          </w:p>
        </w:tc>
        <w:tc>
          <w:tcPr>
            <w:tcW w:w="648" w:type="dxa"/>
            <w:shd w:val="clear" w:color="auto" w:fill="385623" w:themeFill="accent6" w:themeFillShade="80"/>
          </w:tcPr>
          <w:p w14:paraId="38E68DB5"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W5</w:t>
            </w:r>
          </w:p>
        </w:tc>
        <w:tc>
          <w:tcPr>
            <w:tcW w:w="648" w:type="dxa"/>
            <w:shd w:val="clear" w:color="auto" w:fill="385623" w:themeFill="accent6" w:themeFillShade="80"/>
          </w:tcPr>
          <w:p w14:paraId="7FD72CE5"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W6</w:t>
            </w:r>
          </w:p>
        </w:tc>
        <w:tc>
          <w:tcPr>
            <w:tcW w:w="648" w:type="dxa"/>
            <w:shd w:val="clear" w:color="auto" w:fill="385623" w:themeFill="accent6" w:themeFillShade="80"/>
          </w:tcPr>
          <w:p w14:paraId="7CE24CB7"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W7</w:t>
            </w:r>
          </w:p>
        </w:tc>
        <w:tc>
          <w:tcPr>
            <w:tcW w:w="648" w:type="dxa"/>
            <w:shd w:val="clear" w:color="auto" w:fill="385623" w:themeFill="accent6" w:themeFillShade="80"/>
          </w:tcPr>
          <w:p w14:paraId="10A60E88"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W8</w:t>
            </w:r>
          </w:p>
        </w:tc>
        <w:tc>
          <w:tcPr>
            <w:tcW w:w="648" w:type="dxa"/>
            <w:shd w:val="clear" w:color="auto" w:fill="385623" w:themeFill="accent6" w:themeFillShade="80"/>
          </w:tcPr>
          <w:p w14:paraId="4D88293C"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W9</w:t>
            </w:r>
          </w:p>
        </w:tc>
        <w:tc>
          <w:tcPr>
            <w:tcW w:w="699" w:type="dxa"/>
            <w:shd w:val="clear" w:color="auto" w:fill="385623" w:themeFill="accent6" w:themeFillShade="80"/>
          </w:tcPr>
          <w:p w14:paraId="7BA2B49E"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W10</w:t>
            </w:r>
          </w:p>
        </w:tc>
        <w:tc>
          <w:tcPr>
            <w:tcW w:w="696" w:type="dxa"/>
            <w:shd w:val="clear" w:color="auto" w:fill="385623" w:themeFill="accent6" w:themeFillShade="80"/>
          </w:tcPr>
          <w:p w14:paraId="2BF7F8BA" w14:textId="77777777" w:rsidR="009D7F40" w:rsidRPr="00C13951" w:rsidRDefault="009D7F40" w:rsidP="007E0B18">
            <w:pPr>
              <w:rPr>
                <w:rFonts w:ascii="Arial" w:hAnsi="Arial" w:cs="Arial"/>
                <w:b/>
                <w:bCs/>
                <w:i/>
                <w:iCs/>
                <w:color w:val="FFFFFF" w:themeColor="background1"/>
              </w:rPr>
            </w:pPr>
            <w:r w:rsidRPr="00C13951">
              <w:rPr>
                <w:rFonts w:ascii="Arial" w:hAnsi="Arial" w:cs="Arial"/>
                <w:b/>
                <w:bCs/>
                <w:i/>
                <w:iCs/>
                <w:color w:val="FFFFFF" w:themeColor="background1"/>
              </w:rPr>
              <w:t>W11</w:t>
            </w:r>
          </w:p>
        </w:tc>
        <w:tc>
          <w:tcPr>
            <w:tcW w:w="699" w:type="dxa"/>
            <w:shd w:val="clear" w:color="auto" w:fill="385623" w:themeFill="accent6" w:themeFillShade="80"/>
          </w:tcPr>
          <w:p w14:paraId="630DBDA0" w14:textId="5B00251B" w:rsidR="009D7F40" w:rsidRPr="00C13951" w:rsidRDefault="009D7F40" w:rsidP="007E0B18">
            <w:pPr>
              <w:rPr>
                <w:rFonts w:ascii="Arial" w:hAnsi="Arial" w:cs="Arial"/>
                <w:b/>
                <w:bCs/>
                <w:i/>
                <w:iCs/>
                <w:color w:val="FFFFFF" w:themeColor="background1"/>
                <w:lang w:val="en-US"/>
              </w:rPr>
            </w:pPr>
            <w:r w:rsidRPr="00C13951">
              <w:rPr>
                <w:rFonts w:ascii="Arial" w:hAnsi="Arial" w:cs="Arial"/>
                <w:b/>
                <w:bCs/>
                <w:i/>
                <w:iCs/>
                <w:color w:val="FFFFFF" w:themeColor="background1"/>
              </w:rPr>
              <w:t>W1</w:t>
            </w:r>
            <w:r w:rsidRPr="00C13951">
              <w:rPr>
                <w:rFonts w:ascii="Arial" w:hAnsi="Arial" w:cs="Arial"/>
                <w:b/>
                <w:bCs/>
                <w:i/>
                <w:iCs/>
                <w:color w:val="FFFFFF" w:themeColor="background1"/>
                <w:lang w:val="en-US"/>
              </w:rPr>
              <w:t>3</w:t>
            </w:r>
          </w:p>
        </w:tc>
      </w:tr>
      <w:tr w:rsidR="009D7F40" w:rsidRPr="00C13951" w14:paraId="6D0FBB9B" w14:textId="77777777" w:rsidTr="009D7F40">
        <w:tc>
          <w:tcPr>
            <w:tcW w:w="1885" w:type="dxa"/>
            <w:shd w:val="clear" w:color="auto" w:fill="C5E0B3" w:themeFill="accent6" w:themeFillTint="66"/>
          </w:tcPr>
          <w:p w14:paraId="61024A2E" w14:textId="77777777" w:rsidR="009D7F40" w:rsidRPr="00C13951" w:rsidRDefault="009D7F40" w:rsidP="007E0B18">
            <w:pPr>
              <w:rPr>
                <w:rFonts w:ascii="Arial" w:hAnsi="Arial" w:cs="Arial"/>
              </w:rPr>
            </w:pPr>
            <w:r w:rsidRPr="00C13951">
              <w:rPr>
                <w:rFonts w:ascii="Arial" w:hAnsi="Arial" w:cs="Arial"/>
              </w:rPr>
              <w:t>Introduction</w:t>
            </w:r>
          </w:p>
        </w:tc>
        <w:tc>
          <w:tcPr>
            <w:tcW w:w="272" w:type="dxa"/>
            <w:shd w:val="clear" w:color="auto" w:fill="000000" w:themeFill="text1"/>
          </w:tcPr>
          <w:p w14:paraId="2FE4A51F" w14:textId="77777777" w:rsidR="009D7F40" w:rsidRPr="00C13951" w:rsidRDefault="009D7F40" w:rsidP="007E0B18">
            <w:pPr>
              <w:rPr>
                <w:rFonts w:ascii="Arial" w:hAnsi="Arial" w:cs="Arial"/>
              </w:rPr>
            </w:pPr>
          </w:p>
        </w:tc>
        <w:tc>
          <w:tcPr>
            <w:tcW w:w="563" w:type="dxa"/>
            <w:shd w:val="clear" w:color="auto" w:fill="000000" w:themeFill="text1"/>
          </w:tcPr>
          <w:p w14:paraId="719F6B01" w14:textId="77777777" w:rsidR="009D7F40" w:rsidRPr="00C13951" w:rsidRDefault="009D7F40" w:rsidP="007E0B18">
            <w:pPr>
              <w:rPr>
                <w:rFonts w:ascii="Arial" w:hAnsi="Arial" w:cs="Arial"/>
              </w:rPr>
            </w:pPr>
          </w:p>
        </w:tc>
        <w:tc>
          <w:tcPr>
            <w:tcW w:w="648" w:type="dxa"/>
          </w:tcPr>
          <w:p w14:paraId="0BD8EFEA" w14:textId="77777777" w:rsidR="009D7F40" w:rsidRPr="00C13951" w:rsidRDefault="009D7F40" w:rsidP="007E0B18">
            <w:pPr>
              <w:rPr>
                <w:rFonts w:ascii="Arial" w:hAnsi="Arial" w:cs="Arial"/>
              </w:rPr>
            </w:pPr>
          </w:p>
        </w:tc>
        <w:tc>
          <w:tcPr>
            <w:tcW w:w="648" w:type="dxa"/>
          </w:tcPr>
          <w:p w14:paraId="1C78A2BA" w14:textId="77777777" w:rsidR="009D7F40" w:rsidRPr="00C13951" w:rsidRDefault="009D7F40" w:rsidP="007E0B18">
            <w:pPr>
              <w:rPr>
                <w:rFonts w:ascii="Arial" w:hAnsi="Arial" w:cs="Arial"/>
              </w:rPr>
            </w:pPr>
          </w:p>
        </w:tc>
        <w:tc>
          <w:tcPr>
            <w:tcW w:w="648" w:type="dxa"/>
          </w:tcPr>
          <w:p w14:paraId="5B076E52" w14:textId="77777777" w:rsidR="009D7F40" w:rsidRPr="00C13951" w:rsidRDefault="009D7F40" w:rsidP="007E0B18">
            <w:pPr>
              <w:rPr>
                <w:rFonts w:ascii="Arial" w:hAnsi="Arial" w:cs="Arial"/>
              </w:rPr>
            </w:pPr>
          </w:p>
        </w:tc>
        <w:tc>
          <w:tcPr>
            <w:tcW w:w="648" w:type="dxa"/>
          </w:tcPr>
          <w:p w14:paraId="472014D5" w14:textId="77777777" w:rsidR="009D7F40" w:rsidRPr="00C13951" w:rsidRDefault="009D7F40" w:rsidP="007E0B18">
            <w:pPr>
              <w:rPr>
                <w:rFonts w:ascii="Arial" w:hAnsi="Arial" w:cs="Arial"/>
              </w:rPr>
            </w:pPr>
          </w:p>
        </w:tc>
        <w:tc>
          <w:tcPr>
            <w:tcW w:w="648" w:type="dxa"/>
          </w:tcPr>
          <w:p w14:paraId="34CC0F70" w14:textId="77777777" w:rsidR="009D7F40" w:rsidRPr="00C13951" w:rsidRDefault="009D7F40" w:rsidP="007E0B18">
            <w:pPr>
              <w:rPr>
                <w:rFonts w:ascii="Arial" w:hAnsi="Arial" w:cs="Arial"/>
              </w:rPr>
            </w:pPr>
          </w:p>
        </w:tc>
        <w:tc>
          <w:tcPr>
            <w:tcW w:w="648" w:type="dxa"/>
          </w:tcPr>
          <w:p w14:paraId="13791049" w14:textId="77777777" w:rsidR="009D7F40" w:rsidRPr="00C13951" w:rsidRDefault="009D7F40" w:rsidP="007E0B18">
            <w:pPr>
              <w:rPr>
                <w:rFonts w:ascii="Arial" w:hAnsi="Arial" w:cs="Arial"/>
              </w:rPr>
            </w:pPr>
          </w:p>
        </w:tc>
        <w:tc>
          <w:tcPr>
            <w:tcW w:w="648" w:type="dxa"/>
          </w:tcPr>
          <w:p w14:paraId="267276C5" w14:textId="77777777" w:rsidR="009D7F40" w:rsidRPr="00C13951" w:rsidRDefault="009D7F40" w:rsidP="007E0B18">
            <w:pPr>
              <w:rPr>
                <w:rFonts w:ascii="Arial" w:hAnsi="Arial" w:cs="Arial"/>
              </w:rPr>
            </w:pPr>
          </w:p>
        </w:tc>
        <w:tc>
          <w:tcPr>
            <w:tcW w:w="699" w:type="dxa"/>
          </w:tcPr>
          <w:p w14:paraId="10432A87" w14:textId="77777777" w:rsidR="009D7F40" w:rsidRPr="00C13951" w:rsidRDefault="009D7F40" w:rsidP="007E0B18">
            <w:pPr>
              <w:rPr>
                <w:rFonts w:ascii="Arial" w:hAnsi="Arial" w:cs="Arial"/>
              </w:rPr>
            </w:pPr>
          </w:p>
        </w:tc>
        <w:tc>
          <w:tcPr>
            <w:tcW w:w="696" w:type="dxa"/>
          </w:tcPr>
          <w:p w14:paraId="7BC3310A" w14:textId="77777777" w:rsidR="009D7F40" w:rsidRPr="00C13951" w:rsidRDefault="009D7F40" w:rsidP="007E0B18">
            <w:pPr>
              <w:rPr>
                <w:rFonts w:ascii="Arial" w:hAnsi="Arial" w:cs="Arial"/>
              </w:rPr>
            </w:pPr>
          </w:p>
        </w:tc>
        <w:tc>
          <w:tcPr>
            <w:tcW w:w="699" w:type="dxa"/>
          </w:tcPr>
          <w:p w14:paraId="0A3D4F16" w14:textId="77777777" w:rsidR="009D7F40" w:rsidRPr="00C13951" w:rsidRDefault="009D7F40" w:rsidP="007E0B18">
            <w:pPr>
              <w:rPr>
                <w:rFonts w:ascii="Arial" w:hAnsi="Arial" w:cs="Arial"/>
              </w:rPr>
            </w:pPr>
          </w:p>
        </w:tc>
      </w:tr>
      <w:tr w:rsidR="00962811" w:rsidRPr="00C13951" w14:paraId="4FD17B88" w14:textId="77777777" w:rsidTr="009D7F40">
        <w:tc>
          <w:tcPr>
            <w:tcW w:w="1885" w:type="dxa"/>
            <w:shd w:val="clear" w:color="auto" w:fill="C5E0B3" w:themeFill="accent6" w:themeFillTint="66"/>
          </w:tcPr>
          <w:p w14:paraId="0F9D277E" w14:textId="77777777" w:rsidR="009D7F40" w:rsidRPr="00C13951" w:rsidRDefault="009D7F40" w:rsidP="007E0B18">
            <w:pPr>
              <w:rPr>
                <w:rFonts w:ascii="Arial" w:hAnsi="Arial" w:cs="Arial"/>
              </w:rPr>
            </w:pPr>
            <w:r w:rsidRPr="00C13951">
              <w:rPr>
                <w:rFonts w:ascii="Arial" w:hAnsi="Arial" w:cs="Arial"/>
              </w:rPr>
              <w:t xml:space="preserve">Literature Review </w:t>
            </w:r>
          </w:p>
        </w:tc>
        <w:tc>
          <w:tcPr>
            <w:tcW w:w="272" w:type="dxa"/>
          </w:tcPr>
          <w:p w14:paraId="1B00BBC2" w14:textId="77777777" w:rsidR="009D7F40" w:rsidRPr="00C13951" w:rsidRDefault="009D7F40" w:rsidP="007E0B18">
            <w:pPr>
              <w:rPr>
                <w:rFonts w:ascii="Arial" w:hAnsi="Arial" w:cs="Arial"/>
              </w:rPr>
            </w:pPr>
          </w:p>
        </w:tc>
        <w:tc>
          <w:tcPr>
            <w:tcW w:w="563" w:type="dxa"/>
            <w:shd w:val="clear" w:color="auto" w:fill="000000" w:themeFill="text1"/>
          </w:tcPr>
          <w:p w14:paraId="062FB0AF" w14:textId="77777777" w:rsidR="009D7F40" w:rsidRPr="00C13951" w:rsidRDefault="009D7F40" w:rsidP="007E0B18">
            <w:pPr>
              <w:rPr>
                <w:rFonts w:ascii="Arial" w:hAnsi="Arial" w:cs="Arial"/>
              </w:rPr>
            </w:pPr>
          </w:p>
        </w:tc>
        <w:tc>
          <w:tcPr>
            <w:tcW w:w="648" w:type="dxa"/>
            <w:shd w:val="clear" w:color="auto" w:fill="000000" w:themeFill="text1"/>
          </w:tcPr>
          <w:p w14:paraId="6E99EDAE" w14:textId="77777777" w:rsidR="009D7F40" w:rsidRPr="00C13951" w:rsidRDefault="009D7F40" w:rsidP="007E0B18">
            <w:pPr>
              <w:rPr>
                <w:rFonts w:ascii="Arial" w:hAnsi="Arial" w:cs="Arial"/>
              </w:rPr>
            </w:pPr>
          </w:p>
        </w:tc>
        <w:tc>
          <w:tcPr>
            <w:tcW w:w="648" w:type="dxa"/>
            <w:shd w:val="clear" w:color="auto" w:fill="000000" w:themeFill="text1"/>
          </w:tcPr>
          <w:p w14:paraId="224030B0" w14:textId="77777777" w:rsidR="009D7F40" w:rsidRPr="00C13951" w:rsidRDefault="009D7F40" w:rsidP="007E0B18">
            <w:pPr>
              <w:rPr>
                <w:rFonts w:ascii="Arial" w:hAnsi="Arial" w:cs="Arial"/>
              </w:rPr>
            </w:pPr>
          </w:p>
        </w:tc>
        <w:tc>
          <w:tcPr>
            <w:tcW w:w="648" w:type="dxa"/>
          </w:tcPr>
          <w:p w14:paraId="139888D0" w14:textId="77777777" w:rsidR="009D7F40" w:rsidRPr="00C13951" w:rsidRDefault="009D7F40" w:rsidP="007E0B18">
            <w:pPr>
              <w:rPr>
                <w:rFonts w:ascii="Arial" w:hAnsi="Arial" w:cs="Arial"/>
              </w:rPr>
            </w:pPr>
          </w:p>
        </w:tc>
        <w:tc>
          <w:tcPr>
            <w:tcW w:w="648" w:type="dxa"/>
          </w:tcPr>
          <w:p w14:paraId="5DC541DE" w14:textId="77777777" w:rsidR="009D7F40" w:rsidRPr="00C13951" w:rsidRDefault="009D7F40" w:rsidP="007E0B18">
            <w:pPr>
              <w:rPr>
                <w:rFonts w:ascii="Arial" w:hAnsi="Arial" w:cs="Arial"/>
              </w:rPr>
            </w:pPr>
          </w:p>
        </w:tc>
        <w:tc>
          <w:tcPr>
            <w:tcW w:w="648" w:type="dxa"/>
          </w:tcPr>
          <w:p w14:paraId="737CC53A" w14:textId="77777777" w:rsidR="009D7F40" w:rsidRPr="00C13951" w:rsidRDefault="009D7F40" w:rsidP="007E0B18">
            <w:pPr>
              <w:rPr>
                <w:rFonts w:ascii="Arial" w:hAnsi="Arial" w:cs="Arial"/>
              </w:rPr>
            </w:pPr>
          </w:p>
        </w:tc>
        <w:tc>
          <w:tcPr>
            <w:tcW w:w="648" w:type="dxa"/>
          </w:tcPr>
          <w:p w14:paraId="14A72B46" w14:textId="77777777" w:rsidR="009D7F40" w:rsidRPr="00C13951" w:rsidRDefault="009D7F40" w:rsidP="007E0B18">
            <w:pPr>
              <w:rPr>
                <w:rFonts w:ascii="Arial" w:hAnsi="Arial" w:cs="Arial"/>
              </w:rPr>
            </w:pPr>
          </w:p>
        </w:tc>
        <w:tc>
          <w:tcPr>
            <w:tcW w:w="648" w:type="dxa"/>
          </w:tcPr>
          <w:p w14:paraId="6C33D0CD" w14:textId="77777777" w:rsidR="009D7F40" w:rsidRPr="00C13951" w:rsidRDefault="009D7F40" w:rsidP="007E0B18">
            <w:pPr>
              <w:rPr>
                <w:rFonts w:ascii="Arial" w:hAnsi="Arial" w:cs="Arial"/>
              </w:rPr>
            </w:pPr>
          </w:p>
        </w:tc>
        <w:tc>
          <w:tcPr>
            <w:tcW w:w="699" w:type="dxa"/>
          </w:tcPr>
          <w:p w14:paraId="1ADE4767" w14:textId="77777777" w:rsidR="009D7F40" w:rsidRPr="00C13951" w:rsidRDefault="009D7F40" w:rsidP="007E0B18">
            <w:pPr>
              <w:rPr>
                <w:rFonts w:ascii="Arial" w:hAnsi="Arial" w:cs="Arial"/>
              </w:rPr>
            </w:pPr>
          </w:p>
        </w:tc>
        <w:tc>
          <w:tcPr>
            <w:tcW w:w="696" w:type="dxa"/>
          </w:tcPr>
          <w:p w14:paraId="5C6608B7" w14:textId="77777777" w:rsidR="009D7F40" w:rsidRPr="00C13951" w:rsidRDefault="009D7F40" w:rsidP="007E0B18">
            <w:pPr>
              <w:rPr>
                <w:rFonts w:ascii="Arial" w:hAnsi="Arial" w:cs="Arial"/>
              </w:rPr>
            </w:pPr>
          </w:p>
        </w:tc>
        <w:tc>
          <w:tcPr>
            <w:tcW w:w="699" w:type="dxa"/>
          </w:tcPr>
          <w:p w14:paraId="51694D90" w14:textId="77777777" w:rsidR="009D7F40" w:rsidRPr="00C13951" w:rsidRDefault="009D7F40" w:rsidP="007E0B18">
            <w:pPr>
              <w:rPr>
                <w:rFonts w:ascii="Arial" w:hAnsi="Arial" w:cs="Arial"/>
              </w:rPr>
            </w:pPr>
          </w:p>
        </w:tc>
      </w:tr>
      <w:tr w:rsidR="009D7F40" w:rsidRPr="00C13951" w14:paraId="0E819E0B" w14:textId="77777777" w:rsidTr="009D7F40">
        <w:tc>
          <w:tcPr>
            <w:tcW w:w="1885" w:type="dxa"/>
            <w:shd w:val="clear" w:color="auto" w:fill="C5E0B3" w:themeFill="accent6" w:themeFillTint="66"/>
          </w:tcPr>
          <w:p w14:paraId="327CF1AA" w14:textId="77777777" w:rsidR="009D7F40" w:rsidRPr="00C13951" w:rsidRDefault="009D7F40" w:rsidP="007E0B18">
            <w:pPr>
              <w:rPr>
                <w:rFonts w:ascii="Arial" w:hAnsi="Arial" w:cs="Arial"/>
              </w:rPr>
            </w:pPr>
            <w:r w:rsidRPr="00C13951">
              <w:rPr>
                <w:rFonts w:ascii="Arial" w:hAnsi="Arial" w:cs="Arial"/>
              </w:rPr>
              <w:t xml:space="preserve">Methodology </w:t>
            </w:r>
          </w:p>
        </w:tc>
        <w:tc>
          <w:tcPr>
            <w:tcW w:w="272" w:type="dxa"/>
          </w:tcPr>
          <w:p w14:paraId="7E4FD7C0" w14:textId="77777777" w:rsidR="009D7F40" w:rsidRPr="00C13951" w:rsidRDefault="009D7F40" w:rsidP="007E0B18">
            <w:pPr>
              <w:rPr>
                <w:rFonts w:ascii="Arial" w:hAnsi="Arial" w:cs="Arial"/>
              </w:rPr>
            </w:pPr>
          </w:p>
        </w:tc>
        <w:tc>
          <w:tcPr>
            <w:tcW w:w="563" w:type="dxa"/>
          </w:tcPr>
          <w:p w14:paraId="5814EE83" w14:textId="77777777" w:rsidR="009D7F40" w:rsidRPr="00C13951" w:rsidRDefault="009D7F40" w:rsidP="007E0B18">
            <w:pPr>
              <w:rPr>
                <w:rFonts w:ascii="Arial" w:hAnsi="Arial" w:cs="Arial"/>
              </w:rPr>
            </w:pPr>
          </w:p>
        </w:tc>
        <w:tc>
          <w:tcPr>
            <w:tcW w:w="648" w:type="dxa"/>
          </w:tcPr>
          <w:p w14:paraId="360F0AE8" w14:textId="77777777" w:rsidR="009D7F40" w:rsidRPr="00C13951" w:rsidRDefault="009D7F40" w:rsidP="007E0B18">
            <w:pPr>
              <w:rPr>
                <w:rFonts w:ascii="Arial" w:hAnsi="Arial" w:cs="Arial"/>
              </w:rPr>
            </w:pPr>
          </w:p>
        </w:tc>
        <w:tc>
          <w:tcPr>
            <w:tcW w:w="648" w:type="dxa"/>
            <w:shd w:val="clear" w:color="auto" w:fill="000000" w:themeFill="text1"/>
          </w:tcPr>
          <w:p w14:paraId="7A222EA9" w14:textId="77777777" w:rsidR="009D7F40" w:rsidRPr="00C13951" w:rsidRDefault="009D7F40" w:rsidP="007E0B18">
            <w:pPr>
              <w:rPr>
                <w:rFonts w:ascii="Arial" w:hAnsi="Arial" w:cs="Arial"/>
              </w:rPr>
            </w:pPr>
          </w:p>
        </w:tc>
        <w:tc>
          <w:tcPr>
            <w:tcW w:w="648" w:type="dxa"/>
            <w:shd w:val="clear" w:color="auto" w:fill="000000" w:themeFill="text1"/>
          </w:tcPr>
          <w:p w14:paraId="0C64F512" w14:textId="77777777" w:rsidR="009D7F40" w:rsidRPr="00C13951" w:rsidRDefault="009D7F40" w:rsidP="007E0B18">
            <w:pPr>
              <w:rPr>
                <w:rFonts w:ascii="Arial" w:hAnsi="Arial" w:cs="Arial"/>
              </w:rPr>
            </w:pPr>
          </w:p>
        </w:tc>
        <w:tc>
          <w:tcPr>
            <w:tcW w:w="648" w:type="dxa"/>
          </w:tcPr>
          <w:p w14:paraId="181A67C4" w14:textId="77777777" w:rsidR="009D7F40" w:rsidRPr="00C13951" w:rsidRDefault="009D7F40" w:rsidP="007E0B18">
            <w:pPr>
              <w:rPr>
                <w:rFonts w:ascii="Arial" w:hAnsi="Arial" w:cs="Arial"/>
              </w:rPr>
            </w:pPr>
          </w:p>
        </w:tc>
        <w:tc>
          <w:tcPr>
            <w:tcW w:w="648" w:type="dxa"/>
          </w:tcPr>
          <w:p w14:paraId="480B94D5" w14:textId="77777777" w:rsidR="009D7F40" w:rsidRPr="00C13951" w:rsidRDefault="009D7F40" w:rsidP="007E0B18">
            <w:pPr>
              <w:rPr>
                <w:rFonts w:ascii="Arial" w:hAnsi="Arial" w:cs="Arial"/>
              </w:rPr>
            </w:pPr>
          </w:p>
        </w:tc>
        <w:tc>
          <w:tcPr>
            <w:tcW w:w="648" w:type="dxa"/>
          </w:tcPr>
          <w:p w14:paraId="7F5985EB" w14:textId="77777777" w:rsidR="009D7F40" w:rsidRPr="00C13951" w:rsidRDefault="009D7F40" w:rsidP="007E0B18">
            <w:pPr>
              <w:rPr>
                <w:rFonts w:ascii="Arial" w:hAnsi="Arial" w:cs="Arial"/>
              </w:rPr>
            </w:pPr>
          </w:p>
        </w:tc>
        <w:tc>
          <w:tcPr>
            <w:tcW w:w="648" w:type="dxa"/>
          </w:tcPr>
          <w:p w14:paraId="287380B5" w14:textId="77777777" w:rsidR="009D7F40" w:rsidRPr="00C13951" w:rsidRDefault="009D7F40" w:rsidP="007E0B18">
            <w:pPr>
              <w:rPr>
                <w:rFonts w:ascii="Arial" w:hAnsi="Arial" w:cs="Arial"/>
              </w:rPr>
            </w:pPr>
          </w:p>
        </w:tc>
        <w:tc>
          <w:tcPr>
            <w:tcW w:w="699" w:type="dxa"/>
          </w:tcPr>
          <w:p w14:paraId="721D6EA7" w14:textId="77777777" w:rsidR="009D7F40" w:rsidRPr="00C13951" w:rsidRDefault="009D7F40" w:rsidP="007E0B18">
            <w:pPr>
              <w:rPr>
                <w:rFonts w:ascii="Arial" w:hAnsi="Arial" w:cs="Arial"/>
              </w:rPr>
            </w:pPr>
          </w:p>
        </w:tc>
        <w:tc>
          <w:tcPr>
            <w:tcW w:w="696" w:type="dxa"/>
          </w:tcPr>
          <w:p w14:paraId="6E2AE0C5" w14:textId="77777777" w:rsidR="009D7F40" w:rsidRPr="00C13951" w:rsidRDefault="009D7F40" w:rsidP="007E0B18">
            <w:pPr>
              <w:rPr>
                <w:rFonts w:ascii="Arial" w:hAnsi="Arial" w:cs="Arial"/>
              </w:rPr>
            </w:pPr>
          </w:p>
        </w:tc>
        <w:tc>
          <w:tcPr>
            <w:tcW w:w="699" w:type="dxa"/>
          </w:tcPr>
          <w:p w14:paraId="7DFDD92D" w14:textId="77777777" w:rsidR="009D7F40" w:rsidRPr="00C13951" w:rsidRDefault="009D7F40" w:rsidP="007E0B18">
            <w:pPr>
              <w:rPr>
                <w:rFonts w:ascii="Arial" w:hAnsi="Arial" w:cs="Arial"/>
              </w:rPr>
            </w:pPr>
          </w:p>
        </w:tc>
      </w:tr>
      <w:tr w:rsidR="009D7F40" w:rsidRPr="00C13951" w14:paraId="7BD559EE" w14:textId="77777777" w:rsidTr="009D7F40">
        <w:tc>
          <w:tcPr>
            <w:tcW w:w="1885" w:type="dxa"/>
            <w:shd w:val="clear" w:color="auto" w:fill="C5E0B3" w:themeFill="accent6" w:themeFillTint="66"/>
          </w:tcPr>
          <w:p w14:paraId="1D98C7DE" w14:textId="77777777" w:rsidR="009D7F40" w:rsidRPr="00C13951" w:rsidRDefault="009D7F40" w:rsidP="007E0B18">
            <w:pPr>
              <w:rPr>
                <w:rFonts w:ascii="Arial" w:hAnsi="Arial" w:cs="Arial"/>
              </w:rPr>
            </w:pPr>
            <w:r w:rsidRPr="00C13951">
              <w:rPr>
                <w:rFonts w:ascii="Arial" w:hAnsi="Arial" w:cs="Arial"/>
              </w:rPr>
              <w:t xml:space="preserve">Data collection </w:t>
            </w:r>
          </w:p>
        </w:tc>
        <w:tc>
          <w:tcPr>
            <w:tcW w:w="272" w:type="dxa"/>
          </w:tcPr>
          <w:p w14:paraId="09384826" w14:textId="77777777" w:rsidR="009D7F40" w:rsidRPr="00C13951" w:rsidRDefault="009D7F40" w:rsidP="007E0B18">
            <w:pPr>
              <w:rPr>
                <w:rFonts w:ascii="Arial" w:hAnsi="Arial" w:cs="Arial"/>
              </w:rPr>
            </w:pPr>
          </w:p>
        </w:tc>
        <w:tc>
          <w:tcPr>
            <w:tcW w:w="563" w:type="dxa"/>
          </w:tcPr>
          <w:p w14:paraId="4F348BA2" w14:textId="77777777" w:rsidR="009D7F40" w:rsidRPr="00C13951" w:rsidRDefault="009D7F40" w:rsidP="007E0B18">
            <w:pPr>
              <w:rPr>
                <w:rFonts w:ascii="Arial" w:hAnsi="Arial" w:cs="Arial"/>
              </w:rPr>
            </w:pPr>
          </w:p>
        </w:tc>
        <w:tc>
          <w:tcPr>
            <w:tcW w:w="648" w:type="dxa"/>
          </w:tcPr>
          <w:p w14:paraId="2DDD97AD" w14:textId="77777777" w:rsidR="009D7F40" w:rsidRPr="00C13951" w:rsidRDefault="009D7F40" w:rsidP="007E0B18">
            <w:pPr>
              <w:rPr>
                <w:rFonts w:ascii="Arial" w:hAnsi="Arial" w:cs="Arial"/>
              </w:rPr>
            </w:pPr>
          </w:p>
        </w:tc>
        <w:tc>
          <w:tcPr>
            <w:tcW w:w="648" w:type="dxa"/>
          </w:tcPr>
          <w:p w14:paraId="291088D0" w14:textId="77777777" w:rsidR="009D7F40" w:rsidRPr="00C13951" w:rsidRDefault="009D7F40" w:rsidP="007E0B18">
            <w:pPr>
              <w:rPr>
                <w:rFonts w:ascii="Arial" w:hAnsi="Arial" w:cs="Arial"/>
              </w:rPr>
            </w:pPr>
          </w:p>
        </w:tc>
        <w:tc>
          <w:tcPr>
            <w:tcW w:w="648" w:type="dxa"/>
            <w:shd w:val="clear" w:color="auto" w:fill="000000" w:themeFill="text1"/>
          </w:tcPr>
          <w:p w14:paraId="7A5D598B" w14:textId="77777777" w:rsidR="009D7F40" w:rsidRPr="00C13951" w:rsidRDefault="009D7F40" w:rsidP="007E0B18">
            <w:pPr>
              <w:rPr>
                <w:rFonts w:ascii="Arial" w:hAnsi="Arial" w:cs="Arial"/>
              </w:rPr>
            </w:pPr>
          </w:p>
        </w:tc>
        <w:tc>
          <w:tcPr>
            <w:tcW w:w="648" w:type="dxa"/>
            <w:shd w:val="clear" w:color="auto" w:fill="000000" w:themeFill="text1"/>
          </w:tcPr>
          <w:p w14:paraId="6A411C5C" w14:textId="77777777" w:rsidR="009D7F40" w:rsidRPr="00C13951" w:rsidRDefault="009D7F40" w:rsidP="007E0B18">
            <w:pPr>
              <w:rPr>
                <w:rFonts w:ascii="Arial" w:hAnsi="Arial" w:cs="Arial"/>
              </w:rPr>
            </w:pPr>
          </w:p>
        </w:tc>
        <w:tc>
          <w:tcPr>
            <w:tcW w:w="648" w:type="dxa"/>
            <w:shd w:val="clear" w:color="auto" w:fill="000000" w:themeFill="text1"/>
          </w:tcPr>
          <w:p w14:paraId="5EE9E0CB" w14:textId="77777777" w:rsidR="009D7F40" w:rsidRPr="00C13951" w:rsidRDefault="009D7F40" w:rsidP="007E0B18">
            <w:pPr>
              <w:rPr>
                <w:rFonts w:ascii="Arial" w:hAnsi="Arial" w:cs="Arial"/>
              </w:rPr>
            </w:pPr>
          </w:p>
        </w:tc>
        <w:tc>
          <w:tcPr>
            <w:tcW w:w="648" w:type="dxa"/>
            <w:shd w:val="clear" w:color="auto" w:fill="000000" w:themeFill="text1"/>
          </w:tcPr>
          <w:p w14:paraId="4D61B0C0" w14:textId="77777777" w:rsidR="009D7F40" w:rsidRPr="00C13951" w:rsidRDefault="009D7F40" w:rsidP="007E0B18">
            <w:pPr>
              <w:rPr>
                <w:rFonts w:ascii="Arial" w:hAnsi="Arial" w:cs="Arial"/>
              </w:rPr>
            </w:pPr>
          </w:p>
        </w:tc>
        <w:tc>
          <w:tcPr>
            <w:tcW w:w="648" w:type="dxa"/>
          </w:tcPr>
          <w:p w14:paraId="37C689E5" w14:textId="77777777" w:rsidR="009D7F40" w:rsidRPr="00C13951" w:rsidRDefault="009D7F40" w:rsidP="007E0B18">
            <w:pPr>
              <w:rPr>
                <w:rFonts w:ascii="Arial" w:hAnsi="Arial" w:cs="Arial"/>
              </w:rPr>
            </w:pPr>
          </w:p>
        </w:tc>
        <w:tc>
          <w:tcPr>
            <w:tcW w:w="699" w:type="dxa"/>
          </w:tcPr>
          <w:p w14:paraId="56A4EF5B" w14:textId="77777777" w:rsidR="009D7F40" w:rsidRPr="00C13951" w:rsidRDefault="009D7F40" w:rsidP="007E0B18">
            <w:pPr>
              <w:rPr>
                <w:rFonts w:ascii="Arial" w:hAnsi="Arial" w:cs="Arial"/>
              </w:rPr>
            </w:pPr>
          </w:p>
        </w:tc>
        <w:tc>
          <w:tcPr>
            <w:tcW w:w="696" w:type="dxa"/>
          </w:tcPr>
          <w:p w14:paraId="107F55BF" w14:textId="77777777" w:rsidR="009D7F40" w:rsidRPr="00C13951" w:rsidRDefault="009D7F40" w:rsidP="007E0B18">
            <w:pPr>
              <w:rPr>
                <w:rFonts w:ascii="Arial" w:hAnsi="Arial" w:cs="Arial"/>
              </w:rPr>
            </w:pPr>
          </w:p>
        </w:tc>
        <w:tc>
          <w:tcPr>
            <w:tcW w:w="699" w:type="dxa"/>
          </w:tcPr>
          <w:p w14:paraId="00093225" w14:textId="77777777" w:rsidR="009D7F40" w:rsidRPr="00C13951" w:rsidRDefault="009D7F40" w:rsidP="007E0B18">
            <w:pPr>
              <w:rPr>
                <w:rFonts w:ascii="Arial" w:hAnsi="Arial" w:cs="Arial"/>
              </w:rPr>
            </w:pPr>
          </w:p>
        </w:tc>
      </w:tr>
      <w:tr w:rsidR="00962811" w:rsidRPr="00C13951" w14:paraId="1424C7F9" w14:textId="77777777" w:rsidTr="009D7F40">
        <w:tc>
          <w:tcPr>
            <w:tcW w:w="1885" w:type="dxa"/>
            <w:shd w:val="clear" w:color="auto" w:fill="C5E0B3" w:themeFill="accent6" w:themeFillTint="66"/>
          </w:tcPr>
          <w:p w14:paraId="42E7EAE9" w14:textId="77777777" w:rsidR="009D7F40" w:rsidRPr="00C13951" w:rsidRDefault="009D7F40" w:rsidP="007E0B18">
            <w:pPr>
              <w:rPr>
                <w:rFonts w:ascii="Arial" w:hAnsi="Arial" w:cs="Arial"/>
              </w:rPr>
            </w:pPr>
            <w:r w:rsidRPr="00C13951">
              <w:rPr>
                <w:rFonts w:ascii="Arial" w:hAnsi="Arial" w:cs="Arial"/>
              </w:rPr>
              <w:t xml:space="preserve">Data analysis </w:t>
            </w:r>
          </w:p>
        </w:tc>
        <w:tc>
          <w:tcPr>
            <w:tcW w:w="272" w:type="dxa"/>
          </w:tcPr>
          <w:p w14:paraId="562BBFE4" w14:textId="77777777" w:rsidR="009D7F40" w:rsidRPr="00C13951" w:rsidRDefault="009D7F40" w:rsidP="007E0B18">
            <w:pPr>
              <w:rPr>
                <w:rFonts w:ascii="Arial" w:hAnsi="Arial" w:cs="Arial"/>
              </w:rPr>
            </w:pPr>
          </w:p>
        </w:tc>
        <w:tc>
          <w:tcPr>
            <w:tcW w:w="563" w:type="dxa"/>
          </w:tcPr>
          <w:p w14:paraId="676D6019" w14:textId="77777777" w:rsidR="009D7F40" w:rsidRPr="00C13951" w:rsidRDefault="009D7F40" w:rsidP="007E0B18">
            <w:pPr>
              <w:rPr>
                <w:rFonts w:ascii="Arial" w:hAnsi="Arial" w:cs="Arial"/>
              </w:rPr>
            </w:pPr>
          </w:p>
        </w:tc>
        <w:tc>
          <w:tcPr>
            <w:tcW w:w="648" w:type="dxa"/>
          </w:tcPr>
          <w:p w14:paraId="6A0C89DA" w14:textId="77777777" w:rsidR="009D7F40" w:rsidRPr="00C13951" w:rsidRDefault="009D7F40" w:rsidP="007E0B18">
            <w:pPr>
              <w:rPr>
                <w:rFonts w:ascii="Arial" w:hAnsi="Arial" w:cs="Arial"/>
              </w:rPr>
            </w:pPr>
          </w:p>
        </w:tc>
        <w:tc>
          <w:tcPr>
            <w:tcW w:w="648" w:type="dxa"/>
          </w:tcPr>
          <w:p w14:paraId="7E116A2D" w14:textId="77777777" w:rsidR="009D7F40" w:rsidRPr="00C13951" w:rsidRDefault="009D7F40" w:rsidP="007E0B18">
            <w:pPr>
              <w:rPr>
                <w:rFonts w:ascii="Arial" w:hAnsi="Arial" w:cs="Arial"/>
              </w:rPr>
            </w:pPr>
          </w:p>
        </w:tc>
        <w:tc>
          <w:tcPr>
            <w:tcW w:w="648" w:type="dxa"/>
          </w:tcPr>
          <w:p w14:paraId="7D233575" w14:textId="77777777" w:rsidR="009D7F40" w:rsidRPr="00C13951" w:rsidRDefault="009D7F40" w:rsidP="007E0B18">
            <w:pPr>
              <w:rPr>
                <w:rFonts w:ascii="Arial" w:hAnsi="Arial" w:cs="Arial"/>
              </w:rPr>
            </w:pPr>
          </w:p>
        </w:tc>
        <w:tc>
          <w:tcPr>
            <w:tcW w:w="648" w:type="dxa"/>
          </w:tcPr>
          <w:p w14:paraId="4AC6C61C" w14:textId="77777777" w:rsidR="009D7F40" w:rsidRPr="00C13951" w:rsidRDefault="009D7F40" w:rsidP="007E0B18">
            <w:pPr>
              <w:rPr>
                <w:rFonts w:ascii="Arial" w:hAnsi="Arial" w:cs="Arial"/>
              </w:rPr>
            </w:pPr>
          </w:p>
        </w:tc>
        <w:tc>
          <w:tcPr>
            <w:tcW w:w="648" w:type="dxa"/>
          </w:tcPr>
          <w:p w14:paraId="46AAFCB5" w14:textId="77777777" w:rsidR="009D7F40" w:rsidRPr="00C13951" w:rsidRDefault="009D7F40" w:rsidP="007E0B18">
            <w:pPr>
              <w:rPr>
                <w:rFonts w:ascii="Arial" w:hAnsi="Arial" w:cs="Arial"/>
              </w:rPr>
            </w:pPr>
          </w:p>
        </w:tc>
        <w:tc>
          <w:tcPr>
            <w:tcW w:w="648" w:type="dxa"/>
            <w:shd w:val="clear" w:color="auto" w:fill="000000" w:themeFill="text1"/>
          </w:tcPr>
          <w:p w14:paraId="28AD921C" w14:textId="77777777" w:rsidR="009D7F40" w:rsidRPr="00C13951" w:rsidRDefault="009D7F40" w:rsidP="007E0B18">
            <w:pPr>
              <w:rPr>
                <w:rFonts w:ascii="Arial" w:hAnsi="Arial" w:cs="Arial"/>
              </w:rPr>
            </w:pPr>
          </w:p>
        </w:tc>
        <w:tc>
          <w:tcPr>
            <w:tcW w:w="648" w:type="dxa"/>
            <w:shd w:val="clear" w:color="auto" w:fill="000000" w:themeFill="text1"/>
          </w:tcPr>
          <w:p w14:paraId="25CAF44C" w14:textId="77777777" w:rsidR="009D7F40" w:rsidRPr="00C13951" w:rsidRDefault="009D7F40" w:rsidP="007E0B18">
            <w:pPr>
              <w:rPr>
                <w:rFonts w:ascii="Arial" w:hAnsi="Arial" w:cs="Arial"/>
              </w:rPr>
            </w:pPr>
          </w:p>
        </w:tc>
        <w:tc>
          <w:tcPr>
            <w:tcW w:w="699" w:type="dxa"/>
            <w:shd w:val="clear" w:color="auto" w:fill="000000" w:themeFill="text1"/>
          </w:tcPr>
          <w:p w14:paraId="760ABCF5" w14:textId="77777777" w:rsidR="009D7F40" w:rsidRPr="00C13951" w:rsidRDefault="009D7F40" w:rsidP="007E0B18">
            <w:pPr>
              <w:rPr>
                <w:rFonts w:ascii="Arial" w:hAnsi="Arial" w:cs="Arial"/>
              </w:rPr>
            </w:pPr>
          </w:p>
        </w:tc>
        <w:tc>
          <w:tcPr>
            <w:tcW w:w="696" w:type="dxa"/>
          </w:tcPr>
          <w:p w14:paraId="14FFE96F" w14:textId="77777777" w:rsidR="009D7F40" w:rsidRPr="00C13951" w:rsidRDefault="009D7F40" w:rsidP="007E0B18">
            <w:pPr>
              <w:rPr>
                <w:rFonts w:ascii="Arial" w:hAnsi="Arial" w:cs="Arial"/>
              </w:rPr>
            </w:pPr>
          </w:p>
        </w:tc>
        <w:tc>
          <w:tcPr>
            <w:tcW w:w="699" w:type="dxa"/>
          </w:tcPr>
          <w:p w14:paraId="38AB067D" w14:textId="77777777" w:rsidR="009D7F40" w:rsidRPr="00C13951" w:rsidRDefault="009D7F40" w:rsidP="007E0B18">
            <w:pPr>
              <w:rPr>
                <w:rFonts w:ascii="Arial" w:hAnsi="Arial" w:cs="Arial"/>
              </w:rPr>
            </w:pPr>
          </w:p>
        </w:tc>
      </w:tr>
      <w:tr w:rsidR="009D7F40" w:rsidRPr="00C13951" w14:paraId="1D2AD2AD" w14:textId="77777777" w:rsidTr="009D7F40">
        <w:tc>
          <w:tcPr>
            <w:tcW w:w="1885" w:type="dxa"/>
            <w:shd w:val="clear" w:color="auto" w:fill="C5E0B3" w:themeFill="accent6" w:themeFillTint="66"/>
          </w:tcPr>
          <w:p w14:paraId="621857C6" w14:textId="77777777" w:rsidR="009D7F40" w:rsidRPr="00C13951" w:rsidRDefault="009D7F40" w:rsidP="007E0B18">
            <w:pPr>
              <w:rPr>
                <w:rFonts w:ascii="Arial" w:hAnsi="Arial" w:cs="Arial"/>
              </w:rPr>
            </w:pPr>
            <w:r w:rsidRPr="00C13951">
              <w:rPr>
                <w:rFonts w:ascii="Arial" w:hAnsi="Arial" w:cs="Arial"/>
              </w:rPr>
              <w:t xml:space="preserve">Report writing </w:t>
            </w:r>
          </w:p>
        </w:tc>
        <w:tc>
          <w:tcPr>
            <w:tcW w:w="272" w:type="dxa"/>
          </w:tcPr>
          <w:p w14:paraId="5AEC293C" w14:textId="77777777" w:rsidR="009D7F40" w:rsidRPr="00C13951" w:rsidRDefault="009D7F40" w:rsidP="007E0B18">
            <w:pPr>
              <w:rPr>
                <w:rFonts w:ascii="Arial" w:hAnsi="Arial" w:cs="Arial"/>
              </w:rPr>
            </w:pPr>
          </w:p>
        </w:tc>
        <w:tc>
          <w:tcPr>
            <w:tcW w:w="563" w:type="dxa"/>
          </w:tcPr>
          <w:p w14:paraId="30F6C8A0" w14:textId="77777777" w:rsidR="009D7F40" w:rsidRPr="00C13951" w:rsidRDefault="009D7F40" w:rsidP="007E0B18">
            <w:pPr>
              <w:rPr>
                <w:rFonts w:ascii="Arial" w:hAnsi="Arial" w:cs="Arial"/>
              </w:rPr>
            </w:pPr>
          </w:p>
        </w:tc>
        <w:tc>
          <w:tcPr>
            <w:tcW w:w="648" w:type="dxa"/>
          </w:tcPr>
          <w:p w14:paraId="067B7633" w14:textId="77777777" w:rsidR="009D7F40" w:rsidRPr="00C13951" w:rsidRDefault="009D7F40" w:rsidP="007E0B18">
            <w:pPr>
              <w:rPr>
                <w:rFonts w:ascii="Arial" w:hAnsi="Arial" w:cs="Arial"/>
              </w:rPr>
            </w:pPr>
          </w:p>
        </w:tc>
        <w:tc>
          <w:tcPr>
            <w:tcW w:w="648" w:type="dxa"/>
          </w:tcPr>
          <w:p w14:paraId="49722E5C" w14:textId="77777777" w:rsidR="009D7F40" w:rsidRPr="00C13951" w:rsidRDefault="009D7F40" w:rsidP="007E0B18">
            <w:pPr>
              <w:rPr>
                <w:rFonts w:ascii="Arial" w:hAnsi="Arial" w:cs="Arial"/>
              </w:rPr>
            </w:pPr>
          </w:p>
        </w:tc>
        <w:tc>
          <w:tcPr>
            <w:tcW w:w="648" w:type="dxa"/>
          </w:tcPr>
          <w:p w14:paraId="3C69633A" w14:textId="77777777" w:rsidR="009D7F40" w:rsidRPr="00C13951" w:rsidRDefault="009D7F40" w:rsidP="007E0B18">
            <w:pPr>
              <w:rPr>
                <w:rFonts w:ascii="Arial" w:hAnsi="Arial" w:cs="Arial"/>
              </w:rPr>
            </w:pPr>
          </w:p>
        </w:tc>
        <w:tc>
          <w:tcPr>
            <w:tcW w:w="648" w:type="dxa"/>
          </w:tcPr>
          <w:p w14:paraId="32107FD0" w14:textId="77777777" w:rsidR="009D7F40" w:rsidRPr="00C13951" w:rsidRDefault="009D7F40" w:rsidP="007E0B18">
            <w:pPr>
              <w:rPr>
                <w:rFonts w:ascii="Arial" w:hAnsi="Arial" w:cs="Arial"/>
              </w:rPr>
            </w:pPr>
          </w:p>
        </w:tc>
        <w:tc>
          <w:tcPr>
            <w:tcW w:w="648" w:type="dxa"/>
          </w:tcPr>
          <w:p w14:paraId="3E041CF0" w14:textId="77777777" w:rsidR="009D7F40" w:rsidRPr="00C13951" w:rsidRDefault="009D7F40" w:rsidP="007E0B18">
            <w:pPr>
              <w:rPr>
                <w:rFonts w:ascii="Arial" w:hAnsi="Arial" w:cs="Arial"/>
              </w:rPr>
            </w:pPr>
          </w:p>
        </w:tc>
        <w:tc>
          <w:tcPr>
            <w:tcW w:w="648" w:type="dxa"/>
          </w:tcPr>
          <w:p w14:paraId="3ED6FCE1" w14:textId="77777777" w:rsidR="009D7F40" w:rsidRPr="00C13951" w:rsidRDefault="009D7F40" w:rsidP="007E0B18">
            <w:pPr>
              <w:rPr>
                <w:rFonts w:ascii="Arial" w:hAnsi="Arial" w:cs="Arial"/>
              </w:rPr>
            </w:pPr>
          </w:p>
        </w:tc>
        <w:tc>
          <w:tcPr>
            <w:tcW w:w="648" w:type="dxa"/>
          </w:tcPr>
          <w:p w14:paraId="58B00779" w14:textId="77777777" w:rsidR="009D7F40" w:rsidRPr="00C13951" w:rsidRDefault="009D7F40" w:rsidP="007E0B18">
            <w:pPr>
              <w:rPr>
                <w:rFonts w:ascii="Arial" w:hAnsi="Arial" w:cs="Arial"/>
              </w:rPr>
            </w:pPr>
          </w:p>
        </w:tc>
        <w:tc>
          <w:tcPr>
            <w:tcW w:w="699" w:type="dxa"/>
            <w:shd w:val="clear" w:color="auto" w:fill="000000" w:themeFill="text1"/>
          </w:tcPr>
          <w:p w14:paraId="741B8E96" w14:textId="77777777" w:rsidR="009D7F40" w:rsidRPr="00C13951" w:rsidRDefault="009D7F40" w:rsidP="007E0B18">
            <w:pPr>
              <w:rPr>
                <w:rFonts w:ascii="Arial" w:hAnsi="Arial" w:cs="Arial"/>
              </w:rPr>
            </w:pPr>
          </w:p>
        </w:tc>
        <w:tc>
          <w:tcPr>
            <w:tcW w:w="696" w:type="dxa"/>
            <w:shd w:val="clear" w:color="auto" w:fill="000000" w:themeFill="text1"/>
          </w:tcPr>
          <w:p w14:paraId="603A0454" w14:textId="77777777" w:rsidR="009D7F40" w:rsidRPr="00C13951" w:rsidRDefault="009D7F40" w:rsidP="007E0B18">
            <w:pPr>
              <w:rPr>
                <w:rFonts w:ascii="Arial" w:hAnsi="Arial" w:cs="Arial"/>
              </w:rPr>
            </w:pPr>
          </w:p>
        </w:tc>
        <w:tc>
          <w:tcPr>
            <w:tcW w:w="699" w:type="dxa"/>
          </w:tcPr>
          <w:p w14:paraId="2CC503AD" w14:textId="77777777" w:rsidR="009D7F40" w:rsidRPr="00C13951" w:rsidRDefault="009D7F40" w:rsidP="007E0B18">
            <w:pPr>
              <w:rPr>
                <w:rFonts w:ascii="Arial" w:hAnsi="Arial" w:cs="Arial"/>
              </w:rPr>
            </w:pPr>
          </w:p>
        </w:tc>
      </w:tr>
      <w:tr w:rsidR="009D7F40" w:rsidRPr="00C13951" w14:paraId="0D6D1B9E" w14:textId="77777777" w:rsidTr="009D7F40">
        <w:tc>
          <w:tcPr>
            <w:tcW w:w="1885" w:type="dxa"/>
            <w:shd w:val="clear" w:color="auto" w:fill="C5E0B3" w:themeFill="accent6" w:themeFillTint="66"/>
          </w:tcPr>
          <w:p w14:paraId="0EE0EDA0" w14:textId="77777777" w:rsidR="009D7F40" w:rsidRPr="00C13951" w:rsidRDefault="009D7F40" w:rsidP="007E0B18">
            <w:pPr>
              <w:rPr>
                <w:rFonts w:ascii="Arial" w:hAnsi="Arial" w:cs="Arial"/>
              </w:rPr>
            </w:pPr>
            <w:r w:rsidRPr="00C13951">
              <w:rPr>
                <w:rFonts w:ascii="Arial" w:hAnsi="Arial" w:cs="Arial"/>
              </w:rPr>
              <w:t>Completion</w:t>
            </w:r>
          </w:p>
        </w:tc>
        <w:tc>
          <w:tcPr>
            <w:tcW w:w="272" w:type="dxa"/>
          </w:tcPr>
          <w:p w14:paraId="6608BE22" w14:textId="77777777" w:rsidR="009D7F40" w:rsidRPr="00C13951" w:rsidRDefault="009D7F40" w:rsidP="007E0B18">
            <w:pPr>
              <w:rPr>
                <w:rFonts w:ascii="Arial" w:hAnsi="Arial" w:cs="Arial"/>
              </w:rPr>
            </w:pPr>
          </w:p>
        </w:tc>
        <w:tc>
          <w:tcPr>
            <w:tcW w:w="563" w:type="dxa"/>
          </w:tcPr>
          <w:p w14:paraId="7873023A" w14:textId="77777777" w:rsidR="009D7F40" w:rsidRPr="00C13951" w:rsidRDefault="009D7F40" w:rsidP="007E0B18">
            <w:pPr>
              <w:rPr>
                <w:rFonts w:ascii="Arial" w:hAnsi="Arial" w:cs="Arial"/>
              </w:rPr>
            </w:pPr>
          </w:p>
        </w:tc>
        <w:tc>
          <w:tcPr>
            <w:tcW w:w="648" w:type="dxa"/>
          </w:tcPr>
          <w:p w14:paraId="6F297024" w14:textId="77777777" w:rsidR="009D7F40" w:rsidRPr="00C13951" w:rsidRDefault="009D7F40" w:rsidP="007E0B18">
            <w:pPr>
              <w:rPr>
                <w:rFonts w:ascii="Arial" w:hAnsi="Arial" w:cs="Arial"/>
              </w:rPr>
            </w:pPr>
          </w:p>
        </w:tc>
        <w:tc>
          <w:tcPr>
            <w:tcW w:w="648" w:type="dxa"/>
          </w:tcPr>
          <w:p w14:paraId="23C005B3" w14:textId="77777777" w:rsidR="009D7F40" w:rsidRPr="00C13951" w:rsidRDefault="009D7F40" w:rsidP="007E0B18">
            <w:pPr>
              <w:rPr>
                <w:rFonts w:ascii="Arial" w:hAnsi="Arial" w:cs="Arial"/>
              </w:rPr>
            </w:pPr>
          </w:p>
        </w:tc>
        <w:tc>
          <w:tcPr>
            <w:tcW w:w="648" w:type="dxa"/>
          </w:tcPr>
          <w:p w14:paraId="18A757CE" w14:textId="77777777" w:rsidR="009D7F40" w:rsidRPr="00C13951" w:rsidRDefault="009D7F40" w:rsidP="007E0B18">
            <w:pPr>
              <w:rPr>
                <w:rFonts w:ascii="Arial" w:hAnsi="Arial" w:cs="Arial"/>
              </w:rPr>
            </w:pPr>
          </w:p>
        </w:tc>
        <w:tc>
          <w:tcPr>
            <w:tcW w:w="648" w:type="dxa"/>
          </w:tcPr>
          <w:p w14:paraId="66E04104" w14:textId="77777777" w:rsidR="009D7F40" w:rsidRPr="00C13951" w:rsidRDefault="009D7F40" w:rsidP="007E0B18">
            <w:pPr>
              <w:rPr>
                <w:rFonts w:ascii="Arial" w:hAnsi="Arial" w:cs="Arial"/>
              </w:rPr>
            </w:pPr>
          </w:p>
        </w:tc>
        <w:tc>
          <w:tcPr>
            <w:tcW w:w="648" w:type="dxa"/>
          </w:tcPr>
          <w:p w14:paraId="442B25B9" w14:textId="77777777" w:rsidR="009D7F40" w:rsidRPr="00C13951" w:rsidRDefault="009D7F40" w:rsidP="007E0B18">
            <w:pPr>
              <w:rPr>
                <w:rFonts w:ascii="Arial" w:hAnsi="Arial" w:cs="Arial"/>
              </w:rPr>
            </w:pPr>
          </w:p>
        </w:tc>
        <w:tc>
          <w:tcPr>
            <w:tcW w:w="648" w:type="dxa"/>
          </w:tcPr>
          <w:p w14:paraId="4652F9EE" w14:textId="77777777" w:rsidR="009D7F40" w:rsidRPr="00C13951" w:rsidRDefault="009D7F40" w:rsidP="007E0B18">
            <w:pPr>
              <w:rPr>
                <w:rFonts w:ascii="Arial" w:hAnsi="Arial" w:cs="Arial"/>
              </w:rPr>
            </w:pPr>
          </w:p>
        </w:tc>
        <w:tc>
          <w:tcPr>
            <w:tcW w:w="648" w:type="dxa"/>
          </w:tcPr>
          <w:p w14:paraId="784B037D" w14:textId="77777777" w:rsidR="009D7F40" w:rsidRPr="00C13951" w:rsidRDefault="009D7F40" w:rsidP="007E0B18">
            <w:pPr>
              <w:rPr>
                <w:rFonts w:ascii="Arial" w:hAnsi="Arial" w:cs="Arial"/>
              </w:rPr>
            </w:pPr>
          </w:p>
        </w:tc>
        <w:tc>
          <w:tcPr>
            <w:tcW w:w="699" w:type="dxa"/>
          </w:tcPr>
          <w:p w14:paraId="70D1BF0E" w14:textId="77777777" w:rsidR="009D7F40" w:rsidRPr="00C13951" w:rsidRDefault="009D7F40" w:rsidP="007E0B18">
            <w:pPr>
              <w:rPr>
                <w:rFonts w:ascii="Arial" w:hAnsi="Arial" w:cs="Arial"/>
              </w:rPr>
            </w:pPr>
          </w:p>
        </w:tc>
        <w:tc>
          <w:tcPr>
            <w:tcW w:w="696" w:type="dxa"/>
            <w:shd w:val="clear" w:color="auto" w:fill="000000" w:themeFill="text1"/>
          </w:tcPr>
          <w:p w14:paraId="399B6476" w14:textId="77777777" w:rsidR="009D7F40" w:rsidRPr="00C13951" w:rsidRDefault="009D7F40" w:rsidP="007E0B18">
            <w:pPr>
              <w:rPr>
                <w:rFonts w:ascii="Arial" w:hAnsi="Arial" w:cs="Arial"/>
              </w:rPr>
            </w:pPr>
          </w:p>
        </w:tc>
        <w:tc>
          <w:tcPr>
            <w:tcW w:w="699" w:type="dxa"/>
            <w:shd w:val="clear" w:color="auto" w:fill="000000" w:themeFill="text1"/>
          </w:tcPr>
          <w:p w14:paraId="1969DDC2" w14:textId="77777777" w:rsidR="009D7F40" w:rsidRPr="00C13951" w:rsidRDefault="009D7F40" w:rsidP="007E0B18">
            <w:pPr>
              <w:rPr>
                <w:rFonts w:ascii="Arial" w:hAnsi="Arial" w:cs="Arial"/>
              </w:rPr>
            </w:pPr>
          </w:p>
        </w:tc>
      </w:tr>
    </w:tbl>
    <w:p w14:paraId="1DE0B13E" w14:textId="77777777" w:rsidR="009D7F40" w:rsidRPr="00C13951" w:rsidRDefault="009D7F40" w:rsidP="009D7F40">
      <w:pPr>
        <w:rPr>
          <w:rFonts w:ascii="Arial" w:hAnsi="Arial" w:cs="Arial"/>
          <w:color w:val="000000"/>
        </w:rPr>
      </w:pPr>
    </w:p>
    <w:p w14:paraId="4FFC57E3" w14:textId="77777777" w:rsidR="009D7F40" w:rsidRPr="00C13951" w:rsidRDefault="009D7F40" w:rsidP="009D7F40">
      <w:pPr>
        <w:pStyle w:val="Heading2"/>
        <w:rPr>
          <w:rFonts w:ascii="Arial" w:hAnsi="Arial" w:cs="Arial"/>
        </w:rPr>
      </w:pPr>
      <w:bookmarkStart w:id="15" w:name="_Toc213198975"/>
      <w:r w:rsidRPr="00C13951">
        <w:rPr>
          <w:rFonts w:ascii="Arial" w:hAnsi="Arial" w:cs="Arial"/>
        </w:rPr>
        <w:t>3.5 Data Collection Methods</w:t>
      </w:r>
      <w:bookmarkEnd w:id="15"/>
    </w:p>
    <w:p w14:paraId="1EC47A6E" w14:textId="74C62250" w:rsidR="009D7F40" w:rsidRPr="00C13951" w:rsidRDefault="009D7F40" w:rsidP="009D7F40">
      <w:pPr>
        <w:rPr>
          <w:rFonts w:ascii="Arial" w:hAnsi="Arial" w:cs="Arial"/>
          <w:color w:val="000000"/>
        </w:rPr>
      </w:pPr>
      <w:r w:rsidRPr="00C13951">
        <w:rPr>
          <w:rFonts w:ascii="Arial" w:hAnsi="Arial" w:cs="Arial"/>
          <w:color w:val="000000"/>
        </w:rPr>
        <w:t xml:space="preserve">Data collection is exclusively secondary with adequate coverage, reliability and feasibility. Sources include company annual and sustainability reports, press releases, independent audit documents, social media statements and investigative media articles. Evidence from NGO reports, academic journals and government publications </w:t>
      </w:r>
      <w:r w:rsidR="00311A89">
        <w:rPr>
          <w:rFonts w:ascii="Arial" w:hAnsi="Arial" w:cs="Arial"/>
          <w:color w:val="000000"/>
          <w:lang w:val="en-US"/>
        </w:rPr>
        <w:t xml:space="preserve">will be </w:t>
      </w:r>
      <w:r w:rsidRPr="00C13951">
        <w:rPr>
          <w:rFonts w:ascii="Arial" w:hAnsi="Arial" w:cs="Arial"/>
          <w:color w:val="000000"/>
        </w:rPr>
        <w:t xml:space="preserve">used to triangulate these findings with additional information from various stakeholders and to gain further insight into their views and perspectives (Wang </w:t>
      </w:r>
      <w:r w:rsidRPr="00C13951">
        <w:rPr>
          <w:rFonts w:ascii="Arial" w:hAnsi="Arial" w:cs="Arial"/>
          <w:i/>
          <w:iCs/>
          <w:color w:val="000000"/>
        </w:rPr>
        <w:t>et al.</w:t>
      </w:r>
      <w:r w:rsidRPr="00C13951">
        <w:rPr>
          <w:rFonts w:ascii="Arial" w:hAnsi="Arial" w:cs="Arial"/>
          <w:color w:val="000000"/>
        </w:rPr>
        <w:t>, 2023). Publishing openly accessible documents helps to increase transparency and objectivity. Secondary data techniques lend themselves well to the interpretivist and inductive approach of this study by allowing thematic examination of actual events with no interference through fieldwork. Although several data sources are used, primary interviews are not used due to access and ethical reasons, which ensures the depth and credibility of the analysis.</w:t>
      </w:r>
    </w:p>
    <w:p w14:paraId="72999511" w14:textId="77777777" w:rsidR="009D7F40" w:rsidRPr="00C13951" w:rsidRDefault="009D7F40" w:rsidP="009D7F40">
      <w:pPr>
        <w:rPr>
          <w:rFonts w:ascii="Arial" w:hAnsi="Arial" w:cs="Arial"/>
          <w:color w:val="000000"/>
        </w:rPr>
      </w:pPr>
    </w:p>
    <w:p w14:paraId="08F8957B" w14:textId="77777777" w:rsidR="009D7F40" w:rsidRPr="00C13951" w:rsidRDefault="009D7F40" w:rsidP="009D7F40">
      <w:pPr>
        <w:pStyle w:val="Heading2"/>
        <w:rPr>
          <w:rFonts w:ascii="Arial" w:hAnsi="Arial" w:cs="Arial"/>
        </w:rPr>
      </w:pPr>
      <w:bookmarkStart w:id="16" w:name="_Toc213198976"/>
      <w:r w:rsidRPr="00C13951">
        <w:rPr>
          <w:rFonts w:ascii="Arial" w:hAnsi="Arial" w:cs="Arial"/>
        </w:rPr>
        <w:t>3.6 Sampling and Case Selection</w:t>
      </w:r>
      <w:bookmarkEnd w:id="16"/>
      <w:r w:rsidRPr="00C13951">
        <w:rPr>
          <w:rFonts w:ascii="Arial" w:hAnsi="Arial" w:cs="Arial"/>
        </w:rPr>
        <w:t> </w:t>
      </w:r>
    </w:p>
    <w:p w14:paraId="438B3D2A" w14:textId="77777777" w:rsidR="009D7F40" w:rsidRPr="00C13951" w:rsidRDefault="009D7F40" w:rsidP="009D7F40">
      <w:pPr>
        <w:rPr>
          <w:rFonts w:ascii="Arial" w:hAnsi="Arial" w:cs="Arial"/>
          <w:color w:val="000000"/>
        </w:rPr>
      </w:pPr>
      <w:r w:rsidRPr="00C13951">
        <w:rPr>
          <w:rFonts w:ascii="Arial" w:hAnsi="Arial" w:cs="Arial"/>
          <w:color w:val="000000"/>
        </w:rPr>
        <w:t>Purposive sampling: Cases that have met certain inclusion criteria, namely: (1) global footprint of the case, (2) documented quality or ethical controversies, and (3) availability of credible secondary data. Boohoo, H&amp;M and Primark were selected because each organisation suffered high-profile scandals, but each had to follow different routes to recovery. Boohoo highlighted transparency with independent audits, H&amp;M increased sustainability marketing, whereas Primark built on supply chain ethics. The comparative analysis of these cases allows for the examination of alternative models of recovery and the drawing of conclusions for the restoration of trust in international apparel markets.</w:t>
      </w:r>
    </w:p>
    <w:p w14:paraId="4FB657E9" w14:textId="77777777" w:rsidR="009D7F40" w:rsidRPr="00C13951" w:rsidRDefault="009D7F40" w:rsidP="009D7F40">
      <w:pPr>
        <w:rPr>
          <w:rFonts w:ascii="Arial" w:hAnsi="Arial" w:cs="Arial"/>
          <w:color w:val="000000"/>
        </w:rPr>
      </w:pPr>
    </w:p>
    <w:p w14:paraId="215775D0" w14:textId="77777777" w:rsidR="009D7F40" w:rsidRPr="00C13951" w:rsidRDefault="009D7F40" w:rsidP="009D7F40">
      <w:pPr>
        <w:pStyle w:val="Heading2"/>
        <w:rPr>
          <w:rFonts w:ascii="Arial" w:hAnsi="Arial" w:cs="Arial"/>
        </w:rPr>
      </w:pPr>
      <w:bookmarkStart w:id="17" w:name="_Toc213198977"/>
      <w:r w:rsidRPr="00C13951">
        <w:rPr>
          <w:rFonts w:ascii="Arial" w:hAnsi="Arial" w:cs="Arial"/>
        </w:rPr>
        <w:t>3.7 Data Analysis</w:t>
      </w:r>
      <w:bookmarkEnd w:id="17"/>
      <w:r w:rsidRPr="00C13951">
        <w:rPr>
          <w:rFonts w:ascii="Arial" w:hAnsi="Arial" w:cs="Arial"/>
        </w:rPr>
        <w:t> </w:t>
      </w:r>
    </w:p>
    <w:p w14:paraId="20748DF3" w14:textId="211DC6E8" w:rsidR="00DC12B7" w:rsidRDefault="00DC12B7" w:rsidP="009D7F40">
      <w:pPr>
        <w:rPr>
          <w:rFonts w:ascii="Arial" w:hAnsi="Arial" w:cs="Arial"/>
          <w:color w:val="000000"/>
        </w:rPr>
      </w:pPr>
      <w:r w:rsidRPr="00DC12B7">
        <w:rPr>
          <w:rFonts w:ascii="Arial" w:hAnsi="Arial" w:cs="Arial"/>
          <w:color w:val="000000"/>
        </w:rPr>
        <w:t xml:space="preserve">Thematic analysis will be used to identify and interpret patterns of crisis response, trust recovery and reputation rebuilding. Themes will be formed using deductive coding based on SCCT and Trust Repair Theory and inductive coding based on evidence found in cases (Singh and Sharma, 2023). </w:t>
      </w:r>
      <w:r w:rsidR="0024459F" w:rsidRPr="0024459F">
        <w:rPr>
          <w:rFonts w:ascii="Arial" w:hAnsi="Arial" w:cs="Arial"/>
          <w:color w:val="000000"/>
        </w:rPr>
        <w:t>The brands are examined in terms of transparency, responsibility and customer engagement. The synthesis, data coding, and categori</w:t>
      </w:r>
      <w:r w:rsidR="0024459F">
        <w:rPr>
          <w:rFonts w:ascii="Arial" w:hAnsi="Arial" w:cs="Arial"/>
          <w:color w:val="000000"/>
          <w:lang w:val="en-US"/>
        </w:rPr>
        <w:t>s</w:t>
      </w:r>
      <w:r w:rsidR="0024459F" w:rsidRPr="0024459F">
        <w:rPr>
          <w:rFonts w:ascii="Arial" w:hAnsi="Arial" w:cs="Arial"/>
          <w:color w:val="000000"/>
        </w:rPr>
        <w:t xml:space="preserve">ation explain the differences and similarities in strategies </w:t>
      </w:r>
      <w:r w:rsidR="006C2C6C" w:rsidRPr="006C2C6C">
        <w:rPr>
          <w:rFonts w:ascii="Arial" w:hAnsi="Arial" w:cs="Arial"/>
          <w:color w:val="000000"/>
        </w:rPr>
        <w:t xml:space="preserve">(Wu </w:t>
      </w:r>
      <w:r w:rsidR="006C2C6C" w:rsidRPr="006C2C6C">
        <w:rPr>
          <w:rFonts w:ascii="Arial" w:hAnsi="Arial" w:cs="Arial"/>
          <w:i/>
          <w:iCs/>
          <w:color w:val="000000"/>
        </w:rPr>
        <w:t>et al.</w:t>
      </w:r>
      <w:r w:rsidR="006C2C6C" w:rsidRPr="006C2C6C">
        <w:rPr>
          <w:rFonts w:ascii="Arial" w:hAnsi="Arial" w:cs="Arial"/>
          <w:color w:val="000000"/>
        </w:rPr>
        <w:t>, 2021)</w:t>
      </w:r>
      <w:r w:rsidR="0024459F" w:rsidRPr="0024459F">
        <w:rPr>
          <w:rFonts w:ascii="Arial" w:hAnsi="Arial" w:cs="Arial"/>
          <w:color w:val="000000"/>
        </w:rPr>
        <w:t>. This two-pronged approach</w:t>
      </w:r>
      <w:r w:rsidR="0024459F">
        <w:rPr>
          <w:rFonts w:ascii="Arial" w:hAnsi="Arial" w:cs="Arial"/>
          <w:color w:val="000000"/>
          <w:lang w:val="en-US"/>
        </w:rPr>
        <w:t>,</w:t>
      </w:r>
      <w:r w:rsidR="0024459F" w:rsidRPr="0024459F">
        <w:rPr>
          <w:rFonts w:ascii="Arial" w:hAnsi="Arial" w:cs="Arial"/>
          <w:color w:val="000000"/>
        </w:rPr>
        <w:t xml:space="preserve"> based on reliability and theoretical flexibility</w:t>
      </w:r>
      <w:r w:rsidR="0024459F">
        <w:rPr>
          <w:rFonts w:ascii="Arial" w:hAnsi="Arial" w:cs="Arial"/>
          <w:color w:val="000000"/>
          <w:lang w:val="en-US"/>
        </w:rPr>
        <w:t>,</w:t>
      </w:r>
      <w:r w:rsidR="0024459F" w:rsidRPr="0024459F">
        <w:rPr>
          <w:rFonts w:ascii="Arial" w:hAnsi="Arial" w:cs="Arial"/>
          <w:color w:val="000000"/>
        </w:rPr>
        <w:t xml:space="preserve"> can provide some fine-tuning on brand behavio</w:t>
      </w:r>
      <w:r w:rsidR="0024459F">
        <w:rPr>
          <w:rFonts w:ascii="Arial" w:hAnsi="Arial" w:cs="Arial"/>
          <w:color w:val="000000"/>
          <w:lang w:val="en-US"/>
        </w:rPr>
        <w:t>u</w:t>
      </w:r>
      <w:r w:rsidR="0024459F" w:rsidRPr="0024459F">
        <w:rPr>
          <w:rFonts w:ascii="Arial" w:hAnsi="Arial" w:cs="Arial"/>
          <w:color w:val="000000"/>
        </w:rPr>
        <w:t>r in the unique cultural and business dimensions.</w:t>
      </w:r>
    </w:p>
    <w:p w14:paraId="0C6854A7" w14:textId="77777777" w:rsidR="009D7F40" w:rsidRPr="00C13951" w:rsidRDefault="009D7F40" w:rsidP="009D7F40">
      <w:pPr>
        <w:rPr>
          <w:rFonts w:ascii="Arial" w:hAnsi="Arial" w:cs="Arial"/>
          <w:color w:val="000000"/>
        </w:rPr>
      </w:pPr>
    </w:p>
    <w:p w14:paraId="19845573" w14:textId="77777777" w:rsidR="009D7F40" w:rsidRPr="00C13951" w:rsidRDefault="009D7F40" w:rsidP="009D7F40">
      <w:pPr>
        <w:pStyle w:val="Heading2"/>
        <w:rPr>
          <w:rFonts w:ascii="Arial" w:hAnsi="Arial" w:cs="Arial"/>
        </w:rPr>
      </w:pPr>
      <w:bookmarkStart w:id="18" w:name="_Toc213198978"/>
      <w:r w:rsidRPr="00C13951">
        <w:rPr>
          <w:rFonts w:ascii="Arial" w:hAnsi="Arial" w:cs="Arial"/>
        </w:rPr>
        <w:t>3.8 Ethical Considerations</w:t>
      </w:r>
      <w:bookmarkEnd w:id="18"/>
    </w:p>
    <w:p w14:paraId="04CEDAE6" w14:textId="77777777" w:rsidR="009D7F40" w:rsidRPr="00C13951" w:rsidRDefault="009D7F40" w:rsidP="009D7F40">
      <w:pPr>
        <w:rPr>
          <w:rFonts w:ascii="Arial" w:hAnsi="Arial" w:cs="Arial"/>
          <w:color w:val="000000"/>
        </w:rPr>
      </w:pPr>
      <w:r w:rsidRPr="00C13951">
        <w:rPr>
          <w:rFonts w:ascii="Arial" w:hAnsi="Arial" w:cs="Arial"/>
          <w:color w:val="000000"/>
        </w:rPr>
        <w:t>The research is ethically sound because only known secondary data, which is published and made available to the public, has been used. All sources will be referenced according to the Harvard referencing method (Wu and Huang, 2023). No private or confidential information will be perused. Due to the sensitivity of the brand, we will maintain a neutral and evidence-based approach throughout the analysis.</w:t>
      </w:r>
    </w:p>
    <w:p w14:paraId="0EB04CED" w14:textId="77777777" w:rsidR="009D7F40" w:rsidRPr="00C13951" w:rsidRDefault="009D7F40" w:rsidP="009D7F40">
      <w:pPr>
        <w:rPr>
          <w:rFonts w:ascii="Arial" w:hAnsi="Arial" w:cs="Arial"/>
          <w:color w:val="000000"/>
        </w:rPr>
      </w:pPr>
    </w:p>
    <w:p w14:paraId="1C83C963" w14:textId="77777777" w:rsidR="009D7F40" w:rsidRPr="00C13951" w:rsidRDefault="009D7F40" w:rsidP="009D7F40">
      <w:pPr>
        <w:pStyle w:val="Heading2"/>
        <w:rPr>
          <w:rFonts w:ascii="Arial" w:hAnsi="Arial" w:cs="Arial"/>
        </w:rPr>
      </w:pPr>
      <w:bookmarkStart w:id="19" w:name="_Toc213198979"/>
      <w:r w:rsidRPr="00C13951">
        <w:rPr>
          <w:rFonts w:ascii="Arial" w:hAnsi="Arial" w:cs="Arial"/>
        </w:rPr>
        <w:t>3.9 Feasibility</w:t>
      </w:r>
      <w:bookmarkEnd w:id="19"/>
    </w:p>
    <w:p w14:paraId="06D191AB" w14:textId="77777777" w:rsidR="009D7F40" w:rsidRPr="00C13951" w:rsidRDefault="009D7F40" w:rsidP="009D7F40">
      <w:pPr>
        <w:rPr>
          <w:rFonts w:ascii="Arial" w:hAnsi="Arial" w:cs="Arial"/>
          <w:color w:val="000000"/>
        </w:rPr>
      </w:pPr>
      <w:r w:rsidRPr="00C13951">
        <w:rPr>
          <w:rFonts w:ascii="Arial" w:hAnsi="Arial" w:cs="Arial"/>
          <w:color w:val="000000"/>
        </w:rPr>
        <w:t xml:space="preserve">This research work is very feasible because it is based on available, credible secondary data and requires fewer resources. It doesn't require direct organisational access, allowing completion within the </w:t>
      </w:r>
      <w:proofErr w:type="gramStart"/>
      <w:r w:rsidRPr="00C13951">
        <w:rPr>
          <w:rFonts w:ascii="Arial" w:hAnsi="Arial" w:cs="Arial"/>
          <w:color w:val="000000"/>
        </w:rPr>
        <w:t>12-16 week</w:t>
      </w:r>
      <w:proofErr w:type="gramEnd"/>
      <w:r w:rsidRPr="00C13951">
        <w:rPr>
          <w:rFonts w:ascii="Arial" w:hAnsi="Arial" w:cs="Arial"/>
          <w:color w:val="000000"/>
        </w:rPr>
        <w:t xml:space="preserve"> MBA dissertation time-constrained period. The systematic approach ensures that data collection, analysis, and reporting are done efficiently while maintaining academic rigour (Wu and Huang, 2023).</w:t>
      </w:r>
    </w:p>
    <w:p w14:paraId="30CDF12A" w14:textId="77777777" w:rsidR="009D7F40" w:rsidRPr="00C13951" w:rsidRDefault="009D7F40" w:rsidP="009D7F40">
      <w:pPr>
        <w:rPr>
          <w:rFonts w:ascii="Arial" w:hAnsi="Arial" w:cs="Arial"/>
          <w:color w:val="000000"/>
        </w:rPr>
      </w:pPr>
    </w:p>
    <w:p w14:paraId="67A999E5" w14:textId="77777777" w:rsidR="009D7F40" w:rsidRPr="00C13951" w:rsidRDefault="009D7F40" w:rsidP="009D7F40">
      <w:pPr>
        <w:pStyle w:val="Heading1"/>
        <w:rPr>
          <w:rFonts w:ascii="Arial" w:hAnsi="Arial" w:cs="Arial"/>
        </w:rPr>
      </w:pPr>
      <w:bookmarkStart w:id="20" w:name="_Toc213198980"/>
      <w:r w:rsidRPr="00C13951">
        <w:rPr>
          <w:rFonts w:ascii="Arial" w:hAnsi="Arial" w:cs="Arial"/>
        </w:rPr>
        <w:t>4. Expected Findings</w:t>
      </w:r>
      <w:bookmarkEnd w:id="20"/>
    </w:p>
    <w:p w14:paraId="7081C486" w14:textId="77777777" w:rsidR="009D7F40" w:rsidRPr="00C13951" w:rsidRDefault="009D7F40" w:rsidP="009D7F40">
      <w:pPr>
        <w:rPr>
          <w:rFonts w:ascii="Arial" w:hAnsi="Arial" w:cs="Arial"/>
          <w:color w:val="000000"/>
        </w:rPr>
      </w:pPr>
      <w:r w:rsidRPr="00C13951">
        <w:rPr>
          <w:rFonts w:ascii="Arial" w:hAnsi="Arial" w:cs="Arial"/>
          <w:color w:val="000000"/>
        </w:rPr>
        <w:t xml:space="preserve">The research is likely to yield three common themes, which are critical to successful reputation rehabilitation. Transparency and accountability, consistent messaging, and genuine corrective action. It is also likely that companies taking responsibility and honestly reporting accurate information about their failures will regain consumer trust more quickly than those that use denial or image repair tactics only (Wu and Huang, 2023). Straightforward, consistent and compassionate communication is predicted to reduce uncertainty, whereas action - supply chain reforms, ethical repositioning - is likely to facilitate a sustainable reputation rebuild. It might also be shown that symbolic gestures or apologies are insufficient without accompanying structural and operational changes. Successful and sustained recovery of trust is expected to be driven largely by continued engagement, accountability and demonstrating reform rather than one-off marketing initiatives (Bandara, Fernando and Akter, 2021). Theoretically, this research is an extension of Trust Repair Theory and the Situational Crisis Communication Theory (SCCT) to explain the role of transparency and hybrid response strategies in post-crisis trust reconstruction </w:t>
      </w:r>
      <w:proofErr w:type="gramStart"/>
      <w:r w:rsidRPr="00C13951">
        <w:rPr>
          <w:rFonts w:ascii="Arial" w:hAnsi="Arial" w:cs="Arial"/>
          <w:color w:val="000000"/>
        </w:rPr>
        <w:t>in order to</w:t>
      </w:r>
      <w:proofErr w:type="gramEnd"/>
      <w:r w:rsidRPr="00C13951">
        <w:rPr>
          <w:rFonts w:ascii="Arial" w:hAnsi="Arial" w:cs="Arial"/>
          <w:color w:val="000000"/>
        </w:rPr>
        <w:t xml:space="preserve"> provide practical guidance for the managers of global fashion companies.</w:t>
      </w:r>
    </w:p>
    <w:p w14:paraId="2C92F603" w14:textId="77777777" w:rsidR="009D7F40" w:rsidRPr="00C13951" w:rsidRDefault="009D7F40" w:rsidP="009D7F40">
      <w:pPr>
        <w:rPr>
          <w:rFonts w:ascii="Arial" w:hAnsi="Arial" w:cs="Arial"/>
          <w:color w:val="000000"/>
        </w:rPr>
      </w:pPr>
    </w:p>
    <w:p w14:paraId="3CF30C98" w14:textId="4F7C5635" w:rsidR="009D7F40" w:rsidRPr="00C13951" w:rsidRDefault="009D7F40" w:rsidP="009D7F40">
      <w:pPr>
        <w:pStyle w:val="Heading1"/>
        <w:rPr>
          <w:rFonts w:ascii="Arial" w:hAnsi="Arial" w:cs="Arial"/>
        </w:rPr>
      </w:pPr>
      <w:bookmarkStart w:id="21" w:name="_Toc213198981"/>
      <w:r w:rsidRPr="00C13951">
        <w:rPr>
          <w:rFonts w:ascii="Arial" w:hAnsi="Arial" w:cs="Arial"/>
        </w:rPr>
        <w:t>5. Limitations</w:t>
      </w:r>
      <w:bookmarkEnd w:id="21"/>
    </w:p>
    <w:p w14:paraId="533707EC" w14:textId="77777777" w:rsidR="009D7F40" w:rsidRPr="00C13951" w:rsidRDefault="009D7F40" w:rsidP="009D7F40">
      <w:pPr>
        <w:rPr>
          <w:rFonts w:ascii="Arial" w:hAnsi="Arial" w:cs="Arial"/>
          <w:color w:val="000000"/>
        </w:rPr>
      </w:pPr>
      <w:r w:rsidRPr="00C13951">
        <w:rPr>
          <w:rFonts w:ascii="Arial" w:hAnsi="Arial" w:cs="Arial"/>
          <w:color w:val="000000"/>
        </w:rPr>
        <w:t>Because it is based on secondary data, the study could be limited in access to in-depth information about the corporate decision-making and managerial attitudes. Furthermore, brand responses may be influenced by media bias, which can affect the interpretive objectivity. However, the analysis sample is restricted to only three cases, which may restrict general statistical generalisation across the industry (Bandara, Fernando and Akter, 2021). Third, time constraints render it impossible to track reputation dynamics over a long period of time. To counteract these limitations, the research will utilise data triangulation between several different and credible sources and build upon a well-developed theory to ensure analytical depth, reliability, and validity when primary data is not available.</w:t>
      </w:r>
    </w:p>
    <w:p w14:paraId="0137C75F" w14:textId="77777777" w:rsidR="009D7F40" w:rsidRPr="00C13951" w:rsidRDefault="009D7F40" w:rsidP="009D7F40">
      <w:pPr>
        <w:rPr>
          <w:rFonts w:ascii="Arial" w:hAnsi="Arial" w:cs="Arial"/>
          <w:color w:val="000000"/>
        </w:rPr>
      </w:pPr>
    </w:p>
    <w:p w14:paraId="53E84ACC" w14:textId="77777777" w:rsidR="009D7F40" w:rsidRPr="00C13951" w:rsidRDefault="009D7F40" w:rsidP="009D7F40">
      <w:pPr>
        <w:pStyle w:val="Heading1"/>
        <w:rPr>
          <w:rFonts w:ascii="Arial" w:hAnsi="Arial" w:cs="Arial"/>
        </w:rPr>
      </w:pPr>
      <w:bookmarkStart w:id="22" w:name="_Toc213198982"/>
      <w:r w:rsidRPr="00C13951">
        <w:rPr>
          <w:rFonts w:ascii="Arial" w:hAnsi="Arial" w:cs="Arial"/>
        </w:rPr>
        <w:t>6. Timeframe</w:t>
      </w:r>
      <w:bookmarkEnd w:id="22"/>
    </w:p>
    <w:tbl>
      <w:tblPr>
        <w:tblStyle w:val="GridTable5Dark-Accent6"/>
        <w:tblW w:w="0" w:type="auto"/>
        <w:tblLook w:val="04A0" w:firstRow="1" w:lastRow="0" w:firstColumn="1" w:lastColumn="0" w:noHBand="0" w:noVBand="1"/>
      </w:tblPr>
      <w:tblGrid>
        <w:gridCol w:w="3690"/>
        <w:gridCol w:w="1869"/>
        <w:gridCol w:w="3451"/>
      </w:tblGrid>
      <w:tr w:rsidR="009D7F40" w:rsidRPr="00C13951" w14:paraId="056F0E62" w14:textId="77777777" w:rsidTr="009D7F40">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18A524C" w14:textId="77777777" w:rsidR="009D7F40" w:rsidRPr="00C13951" w:rsidRDefault="009D7F40" w:rsidP="009D7F40">
            <w:pPr>
              <w:rPr>
                <w:rFonts w:ascii="Arial" w:hAnsi="Arial" w:cs="Arial"/>
              </w:rPr>
            </w:pPr>
            <w:r w:rsidRPr="00C13951">
              <w:rPr>
                <w:rFonts w:ascii="Arial" w:hAnsi="Arial" w:cs="Arial"/>
              </w:rPr>
              <w:t>Phase / Task</w:t>
            </w:r>
          </w:p>
        </w:tc>
        <w:tc>
          <w:tcPr>
            <w:tcW w:w="0" w:type="auto"/>
            <w:hideMark/>
          </w:tcPr>
          <w:p w14:paraId="0283F8EB" w14:textId="77777777" w:rsidR="009D7F40" w:rsidRPr="00C13951" w:rsidRDefault="009D7F40" w:rsidP="009D7F4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rPr>
              <w:t>Duration (Weeks)</w:t>
            </w:r>
          </w:p>
        </w:tc>
        <w:tc>
          <w:tcPr>
            <w:tcW w:w="0" w:type="auto"/>
            <w:hideMark/>
          </w:tcPr>
          <w:p w14:paraId="1BF0F18A" w14:textId="77777777" w:rsidR="009D7F40" w:rsidRPr="00C13951" w:rsidRDefault="009D7F40" w:rsidP="009D7F4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rPr>
              <w:t>Notes</w:t>
            </w:r>
          </w:p>
        </w:tc>
      </w:tr>
      <w:tr w:rsidR="009D7F40" w:rsidRPr="00C13951" w14:paraId="624EC2C2" w14:textId="77777777" w:rsidTr="009D7F4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0878884" w14:textId="77777777" w:rsidR="009D7F40" w:rsidRPr="00C13951" w:rsidRDefault="009D7F40" w:rsidP="009D7F40">
            <w:pPr>
              <w:rPr>
                <w:rFonts w:ascii="Arial" w:hAnsi="Arial" w:cs="Arial"/>
              </w:rPr>
            </w:pPr>
            <w:r w:rsidRPr="00C13951">
              <w:rPr>
                <w:rFonts w:ascii="Arial" w:hAnsi="Arial" w:cs="Arial"/>
              </w:rPr>
              <w:t>Topic selection &amp; background reading</w:t>
            </w:r>
          </w:p>
        </w:tc>
        <w:tc>
          <w:tcPr>
            <w:tcW w:w="0" w:type="auto"/>
            <w:hideMark/>
          </w:tcPr>
          <w:p w14:paraId="3A8CEB4C"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1–2</w:t>
            </w:r>
          </w:p>
        </w:tc>
        <w:tc>
          <w:tcPr>
            <w:tcW w:w="0" w:type="auto"/>
            <w:hideMark/>
          </w:tcPr>
          <w:p w14:paraId="4B2B970E"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Identify key crises &amp; case brands</w:t>
            </w:r>
          </w:p>
        </w:tc>
      </w:tr>
      <w:tr w:rsidR="009D7F40" w:rsidRPr="00C13951" w14:paraId="28078536" w14:textId="77777777" w:rsidTr="009D7F40">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292820B" w14:textId="77777777" w:rsidR="009D7F40" w:rsidRPr="00C13951" w:rsidRDefault="009D7F40" w:rsidP="009D7F40">
            <w:pPr>
              <w:rPr>
                <w:rFonts w:ascii="Arial" w:hAnsi="Arial" w:cs="Arial"/>
              </w:rPr>
            </w:pPr>
            <w:r w:rsidRPr="00C13951">
              <w:rPr>
                <w:rFonts w:ascii="Arial" w:hAnsi="Arial" w:cs="Arial"/>
              </w:rPr>
              <w:t>Literature review</w:t>
            </w:r>
          </w:p>
        </w:tc>
        <w:tc>
          <w:tcPr>
            <w:tcW w:w="0" w:type="auto"/>
            <w:hideMark/>
          </w:tcPr>
          <w:p w14:paraId="4993933F" w14:textId="77777777" w:rsidR="009D7F40" w:rsidRPr="00C13951" w:rsidRDefault="009D7F40" w:rsidP="009D7F4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color w:val="000000"/>
              </w:rPr>
              <w:t>3–6</w:t>
            </w:r>
          </w:p>
        </w:tc>
        <w:tc>
          <w:tcPr>
            <w:tcW w:w="0" w:type="auto"/>
            <w:hideMark/>
          </w:tcPr>
          <w:p w14:paraId="3D84BB05" w14:textId="77777777" w:rsidR="009D7F40" w:rsidRPr="00C13951" w:rsidRDefault="009D7F40" w:rsidP="009D7F4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color w:val="000000"/>
              </w:rPr>
              <w:t>Thematic synthesis &amp; gap identification</w:t>
            </w:r>
          </w:p>
        </w:tc>
      </w:tr>
      <w:tr w:rsidR="009D7F40" w:rsidRPr="00C13951" w14:paraId="4E8FC4E1" w14:textId="77777777" w:rsidTr="009D7F4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38E2CA7" w14:textId="77777777" w:rsidR="009D7F40" w:rsidRPr="00C13951" w:rsidRDefault="009D7F40" w:rsidP="009D7F40">
            <w:pPr>
              <w:rPr>
                <w:rFonts w:ascii="Arial" w:hAnsi="Arial" w:cs="Arial"/>
              </w:rPr>
            </w:pPr>
            <w:r w:rsidRPr="00C13951">
              <w:rPr>
                <w:rFonts w:ascii="Arial" w:hAnsi="Arial" w:cs="Arial"/>
              </w:rPr>
              <w:t>Methodology design (Research Onion)</w:t>
            </w:r>
          </w:p>
        </w:tc>
        <w:tc>
          <w:tcPr>
            <w:tcW w:w="0" w:type="auto"/>
            <w:hideMark/>
          </w:tcPr>
          <w:p w14:paraId="4053D9CF"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7–8</w:t>
            </w:r>
          </w:p>
        </w:tc>
        <w:tc>
          <w:tcPr>
            <w:tcW w:w="0" w:type="auto"/>
            <w:hideMark/>
          </w:tcPr>
          <w:p w14:paraId="6BD7BD8D"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Align approach &amp; framework</w:t>
            </w:r>
          </w:p>
        </w:tc>
      </w:tr>
      <w:tr w:rsidR="009D7F40" w:rsidRPr="00C13951" w14:paraId="73187BA8" w14:textId="77777777" w:rsidTr="009D7F40">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C80D2E9" w14:textId="77777777" w:rsidR="009D7F40" w:rsidRPr="00C13951" w:rsidRDefault="009D7F40" w:rsidP="009D7F40">
            <w:pPr>
              <w:rPr>
                <w:rFonts w:ascii="Arial" w:hAnsi="Arial" w:cs="Arial"/>
              </w:rPr>
            </w:pPr>
            <w:r w:rsidRPr="00C13951">
              <w:rPr>
                <w:rFonts w:ascii="Arial" w:hAnsi="Arial" w:cs="Arial"/>
              </w:rPr>
              <w:t>Data collection &amp; coding</w:t>
            </w:r>
          </w:p>
        </w:tc>
        <w:tc>
          <w:tcPr>
            <w:tcW w:w="0" w:type="auto"/>
            <w:hideMark/>
          </w:tcPr>
          <w:p w14:paraId="7528396A" w14:textId="77777777" w:rsidR="009D7F40" w:rsidRPr="00C13951" w:rsidRDefault="009D7F40" w:rsidP="009D7F4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color w:val="000000"/>
              </w:rPr>
              <w:t>9–10</w:t>
            </w:r>
          </w:p>
        </w:tc>
        <w:tc>
          <w:tcPr>
            <w:tcW w:w="0" w:type="auto"/>
            <w:hideMark/>
          </w:tcPr>
          <w:p w14:paraId="232F929E" w14:textId="77777777" w:rsidR="009D7F40" w:rsidRPr="00C13951" w:rsidRDefault="009D7F40" w:rsidP="009D7F4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color w:val="000000"/>
              </w:rPr>
              <w:t>Gather secondary data</w:t>
            </w:r>
          </w:p>
        </w:tc>
      </w:tr>
      <w:tr w:rsidR="009D7F40" w:rsidRPr="00C13951" w14:paraId="0300223B" w14:textId="77777777" w:rsidTr="009D7F4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D4CC815" w14:textId="77777777" w:rsidR="009D7F40" w:rsidRPr="00C13951" w:rsidRDefault="009D7F40" w:rsidP="009D7F40">
            <w:pPr>
              <w:rPr>
                <w:rFonts w:ascii="Arial" w:hAnsi="Arial" w:cs="Arial"/>
              </w:rPr>
            </w:pPr>
            <w:r w:rsidRPr="00C13951">
              <w:rPr>
                <w:rFonts w:ascii="Arial" w:hAnsi="Arial" w:cs="Arial"/>
              </w:rPr>
              <w:t>Thematic analysis &amp; interpretation</w:t>
            </w:r>
          </w:p>
        </w:tc>
        <w:tc>
          <w:tcPr>
            <w:tcW w:w="0" w:type="auto"/>
            <w:hideMark/>
          </w:tcPr>
          <w:p w14:paraId="55A47E42"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11–12</w:t>
            </w:r>
          </w:p>
        </w:tc>
        <w:tc>
          <w:tcPr>
            <w:tcW w:w="0" w:type="auto"/>
            <w:hideMark/>
          </w:tcPr>
          <w:p w14:paraId="228C7F66"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Compare cases</w:t>
            </w:r>
          </w:p>
        </w:tc>
      </w:tr>
      <w:tr w:rsidR="009D7F40" w:rsidRPr="00C13951" w14:paraId="072E8663" w14:textId="77777777" w:rsidTr="009D7F40">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72DF16C" w14:textId="77777777" w:rsidR="009D7F40" w:rsidRPr="00C13951" w:rsidRDefault="009D7F40" w:rsidP="009D7F40">
            <w:pPr>
              <w:rPr>
                <w:rFonts w:ascii="Arial" w:hAnsi="Arial" w:cs="Arial"/>
              </w:rPr>
            </w:pPr>
            <w:r w:rsidRPr="00C13951">
              <w:rPr>
                <w:rFonts w:ascii="Arial" w:hAnsi="Arial" w:cs="Arial"/>
              </w:rPr>
              <w:t>Drafting proposal &amp; editing</w:t>
            </w:r>
          </w:p>
        </w:tc>
        <w:tc>
          <w:tcPr>
            <w:tcW w:w="0" w:type="auto"/>
            <w:hideMark/>
          </w:tcPr>
          <w:p w14:paraId="78939AB8" w14:textId="77777777" w:rsidR="009D7F40" w:rsidRPr="00C13951" w:rsidRDefault="009D7F40" w:rsidP="009D7F4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color w:val="000000"/>
              </w:rPr>
              <w:t>13–15</w:t>
            </w:r>
          </w:p>
        </w:tc>
        <w:tc>
          <w:tcPr>
            <w:tcW w:w="0" w:type="auto"/>
            <w:hideMark/>
          </w:tcPr>
          <w:p w14:paraId="51A3778F" w14:textId="77777777" w:rsidR="009D7F40" w:rsidRPr="00C13951" w:rsidRDefault="009D7F40" w:rsidP="009D7F4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13951">
              <w:rPr>
                <w:rFonts w:ascii="Arial" w:hAnsi="Arial" w:cs="Arial"/>
                <w:color w:val="000000"/>
              </w:rPr>
              <w:t>Structure &amp; refine</w:t>
            </w:r>
          </w:p>
        </w:tc>
      </w:tr>
      <w:tr w:rsidR="009D7F40" w:rsidRPr="00C13951" w14:paraId="2054BD53" w14:textId="77777777" w:rsidTr="009D7F4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EE64AD9" w14:textId="77777777" w:rsidR="009D7F40" w:rsidRPr="00C13951" w:rsidRDefault="009D7F40" w:rsidP="009D7F40">
            <w:pPr>
              <w:rPr>
                <w:rFonts w:ascii="Arial" w:hAnsi="Arial" w:cs="Arial"/>
              </w:rPr>
            </w:pPr>
            <w:r w:rsidRPr="00C13951">
              <w:rPr>
                <w:rFonts w:ascii="Arial" w:hAnsi="Arial" w:cs="Arial"/>
              </w:rPr>
              <w:t>Final review &amp; submission</w:t>
            </w:r>
          </w:p>
        </w:tc>
        <w:tc>
          <w:tcPr>
            <w:tcW w:w="0" w:type="auto"/>
            <w:hideMark/>
          </w:tcPr>
          <w:p w14:paraId="03D23A3B"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16</w:t>
            </w:r>
          </w:p>
        </w:tc>
        <w:tc>
          <w:tcPr>
            <w:tcW w:w="0" w:type="auto"/>
            <w:hideMark/>
          </w:tcPr>
          <w:p w14:paraId="3310A348" w14:textId="77777777" w:rsidR="009D7F40" w:rsidRPr="00C13951" w:rsidRDefault="009D7F40" w:rsidP="009D7F4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13951">
              <w:rPr>
                <w:rFonts w:ascii="Arial" w:hAnsi="Arial" w:cs="Arial"/>
                <w:color w:val="000000"/>
              </w:rPr>
              <w:t>Proofread &amp; submit</w:t>
            </w:r>
          </w:p>
        </w:tc>
      </w:tr>
    </w:tbl>
    <w:p w14:paraId="6DEFED85" w14:textId="77777777" w:rsidR="009D7F40" w:rsidRPr="00C13951" w:rsidRDefault="009D7F40" w:rsidP="009D7F40">
      <w:pPr>
        <w:rPr>
          <w:rFonts w:ascii="Arial" w:hAnsi="Arial" w:cs="Arial"/>
          <w:color w:val="000000"/>
        </w:rPr>
      </w:pPr>
    </w:p>
    <w:p w14:paraId="464ED050" w14:textId="77777777" w:rsidR="009D7F40" w:rsidRPr="00C13951" w:rsidRDefault="009D7F40">
      <w:pPr>
        <w:spacing w:after="160" w:line="259" w:lineRule="auto"/>
        <w:jc w:val="left"/>
        <w:rPr>
          <w:rFonts w:ascii="Arial" w:hAnsi="Arial" w:cs="Arial"/>
          <w:b/>
          <w:sz w:val="32"/>
          <w:szCs w:val="32"/>
          <w:lang w:eastAsia="en-US"/>
        </w:rPr>
      </w:pPr>
      <w:r w:rsidRPr="00C13951">
        <w:rPr>
          <w:rFonts w:ascii="Arial" w:hAnsi="Arial" w:cs="Arial"/>
        </w:rPr>
        <w:br w:type="page"/>
      </w:r>
    </w:p>
    <w:p w14:paraId="2877F563" w14:textId="184FBE93" w:rsidR="009D7F40" w:rsidRPr="00C13951" w:rsidRDefault="009D7F40" w:rsidP="009D7F40">
      <w:pPr>
        <w:pStyle w:val="Heading1"/>
        <w:rPr>
          <w:rFonts w:ascii="Arial" w:hAnsi="Arial" w:cs="Arial"/>
        </w:rPr>
      </w:pPr>
      <w:bookmarkStart w:id="23" w:name="_Toc213198983"/>
      <w:r w:rsidRPr="00C13951">
        <w:rPr>
          <w:rFonts w:ascii="Arial" w:hAnsi="Arial" w:cs="Arial"/>
        </w:rPr>
        <w:t>7. Conclusion</w:t>
      </w:r>
      <w:bookmarkEnd w:id="23"/>
    </w:p>
    <w:p w14:paraId="1D0DAA5D" w14:textId="77777777" w:rsidR="009D7F40" w:rsidRPr="00C13951" w:rsidRDefault="009D7F40" w:rsidP="009D7F40">
      <w:pPr>
        <w:rPr>
          <w:rFonts w:ascii="Arial" w:hAnsi="Arial" w:cs="Arial"/>
          <w:color w:val="000000"/>
        </w:rPr>
      </w:pPr>
      <w:r w:rsidRPr="00C13951">
        <w:rPr>
          <w:rFonts w:ascii="Arial" w:hAnsi="Arial" w:cs="Arial"/>
          <w:color w:val="000000"/>
        </w:rPr>
        <w:t>This dissertation proposal examines how global apparel conglomerates rebuild consumer confidence after quality or ethical crises. By bringing together interlinking crisis response, restitution of trust and reputational rehabilitation, it brings together the two theoretical frameworks and practical exigencies of the field of crisis management (Chen, Hyun and Lee, 2022). A comparative case study of Boohoo, H&amp;M and Primark is designed to discover which strategic measures engender authentic, long-term reputation repair. The methodological framework (Saunders Research Onion) ensures a philosophically coherent and analytical approach (Chen, Hyun and Lee, 2022). The projected empirical contributions will expand the knowledge of corporate resilience in fast fashion situations and provide actionable information for managerial practice. Ultimately, this research aims to contribute to the scholarly discussion on trust repair and crisis communication and, therefore, the immediate imperative of restoring global brand credibility.</w:t>
      </w:r>
    </w:p>
    <w:p w14:paraId="645DC358" w14:textId="7C1BEFF1" w:rsidR="009D7F40" w:rsidRPr="00C13951" w:rsidRDefault="009D7F40">
      <w:pPr>
        <w:spacing w:after="160" w:line="259" w:lineRule="auto"/>
        <w:jc w:val="left"/>
        <w:rPr>
          <w:rFonts w:ascii="Arial" w:hAnsi="Arial" w:cs="Arial"/>
          <w:color w:val="000000"/>
        </w:rPr>
      </w:pPr>
      <w:r w:rsidRPr="00C13951">
        <w:rPr>
          <w:rFonts w:ascii="Arial" w:hAnsi="Arial" w:cs="Arial"/>
          <w:color w:val="000000"/>
        </w:rPr>
        <w:br w:type="page"/>
      </w:r>
    </w:p>
    <w:p w14:paraId="56D0DCBF" w14:textId="20421CDC" w:rsidR="009D7F40" w:rsidRPr="00C13951" w:rsidRDefault="009D7F40" w:rsidP="009D7F40">
      <w:pPr>
        <w:pStyle w:val="Heading1"/>
        <w:rPr>
          <w:rFonts w:ascii="Arial" w:hAnsi="Arial" w:cs="Arial"/>
          <w:lang w:val="en-US"/>
        </w:rPr>
      </w:pPr>
      <w:bookmarkStart w:id="24" w:name="_Toc213198984"/>
      <w:r w:rsidRPr="00C13951">
        <w:rPr>
          <w:rFonts w:ascii="Arial" w:hAnsi="Arial" w:cs="Arial"/>
          <w:lang w:val="en-US"/>
        </w:rPr>
        <w:t>Reference</w:t>
      </w:r>
      <w:bookmarkEnd w:id="24"/>
    </w:p>
    <w:p w14:paraId="432B85C1" w14:textId="77777777" w:rsidR="009D7F40" w:rsidRPr="00C13951" w:rsidRDefault="009D7F40" w:rsidP="009D7F40">
      <w:pPr>
        <w:rPr>
          <w:rFonts w:ascii="Arial" w:hAnsi="Arial" w:cs="Arial"/>
        </w:rPr>
      </w:pPr>
      <w:r w:rsidRPr="00C13951">
        <w:rPr>
          <w:rFonts w:ascii="Arial" w:hAnsi="Arial" w:cs="Arial"/>
        </w:rPr>
        <w:t>Akoglu, H.E. and Özbek, O. (2022) ‘The Effect of Brand Experiences on Brand Loyalty through Perceived Quality and Brand trust: a Study on Sports Consumers’, </w:t>
      </w:r>
      <w:r w:rsidRPr="00C13951">
        <w:rPr>
          <w:rFonts w:ascii="Arial" w:hAnsi="Arial" w:cs="Arial"/>
          <w:i/>
          <w:iCs/>
        </w:rPr>
        <w:t>Asia Pacific Journal of Marketing and Logistics</w:t>
      </w:r>
      <w:r w:rsidRPr="00C13951">
        <w:rPr>
          <w:rFonts w:ascii="Arial" w:hAnsi="Arial" w:cs="Arial"/>
        </w:rPr>
        <w:t>, 34(10), pp. 2130–2148.</w:t>
      </w:r>
    </w:p>
    <w:p w14:paraId="77B70F75" w14:textId="77777777" w:rsidR="009D7F40" w:rsidRPr="00C13951" w:rsidRDefault="009D7F40" w:rsidP="009D7F40">
      <w:pPr>
        <w:rPr>
          <w:rFonts w:ascii="Arial" w:hAnsi="Arial" w:cs="Arial"/>
        </w:rPr>
      </w:pPr>
      <w:r w:rsidRPr="00C13951">
        <w:rPr>
          <w:rFonts w:ascii="Arial" w:hAnsi="Arial" w:cs="Arial"/>
        </w:rPr>
        <w:t>Bandara, R., Fernando, M. and Akter, S. (2021) ‘Managing consumer privacy concerns and defensive behaviours in the digital marketplace’, </w:t>
      </w:r>
      <w:r w:rsidRPr="00C13951">
        <w:rPr>
          <w:rFonts w:ascii="Arial" w:hAnsi="Arial" w:cs="Arial"/>
          <w:i/>
          <w:iCs/>
        </w:rPr>
        <w:t>European Journal of Marketing</w:t>
      </w:r>
      <w:r w:rsidRPr="00C13951">
        <w:rPr>
          <w:rFonts w:ascii="Arial" w:hAnsi="Arial" w:cs="Arial"/>
        </w:rPr>
        <w:t>, 55(1). Available at: https://doi.org/10.1108/ejm-06-2019-0515.</w:t>
      </w:r>
    </w:p>
    <w:p w14:paraId="44D8ED3F" w14:textId="77777777" w:rsidR="009D7F40" w:rsidRPr="00C13951" w:rsidRDefault="009D7F40" w:rsidP="009D7F40">
      <w:pPr>
        <w:rPr>
          <w:rFonts w:ascii="Arial" w:hAnsi="Arial" w:cs="Arial"/>
        </w:rPr>
      </w:pPr>
      <w:r w:rsidRPr="00C13951">
        <w:rPr>
          <w:rFonts w:ascii="Arial" w:hAnsi="Arial" w:cs="Arial"/>
        </w:rPr>
        <w:t>Chandrruangphen, E., Assarut, N. and Sinthupinyo, S. (2022) ‘The effects of live streaming attributes on consumer trust and shopping intentions for fashion clothing’, </w:t>
      </w:r>
      <w:r w:rsidRPr="00C13951">
        <w:rPr>
          <w:rFonts w:ascii="Arial" w:hAnsi="Arial" w:cs="Arial"/>
          <w:i/>
          <w:iCs/>
        </w:rPr>
        <w:t>Cogent Business &amp; Management</w:t>
      </w:r>
      <w:r w:rsidRPr="00C13951">
        <w:rPr>
          <w:rFonts w:ascii="Arial" w:hAnsi="Arial" w:cs="Arial"/>
        </w:rPr>
        <w:t>. Edited by P. Foroudi, 9(1). Available at: https://www.tandfonline.com/doi/full/10.1080/23311975.2022.2034238.</w:t>
      </w:r>
    </w:p>
    <w:p w14:paraId="51125963" w14:textId="77777777" w:rsidR="009D7F40" w:rsidRPr="00C13951" w:rsidRDefault="009D7F40" w:rsidP="009D7F40">
      <w:pPr>
        <w:rPr>
          <w:rFonts w:ascii="Arial" w:hAnsi="Arial" w:cs="Arial"/>
        </w:rPr>
      </w:pPr>
      <w:r w:rsidRPr="00C13951">
        <w:rPr>
          <w:rFonts w:ascii="Arial" w:hAnsi="Arial" w:cs="Arial"/>
        </w:rPr>
        <w:t>Chen, X., Hyun, S.S. and Lee, T.J. (2022) ‘The effects of parasocial interaction, authenticity, and self</w:t>
      </w:r>
      <w:r w:rsidRPr="00C13951">
        <w:rPr>
          <w:rFonts w:ascii="Cambria Math" w:hAnsi="Cambria Math" w:cs="Cambria Math"/>
        </w:rPr>
        <w:t>‐</w:t>
      </w:r>
      <w:r w:rsidRPr="00C13951">
        <w:rPr>
          <w:rFonts w:ascii="Arial" w:hAnsi="Arial" w:cs="Arial"/>
        </w:rPr>
        <w:t>congruity on the formation of consumer trust in online travel agencies’, </w:t>
      </w:r>
      <w:r w:rsidRPr="00C13951">
        <w:rPr>
          <w:rFonts w:ascii="Arial" w:hAnsi="Arial" w:cs="Arial"/>
          <w:i/>
          <w:iCs/>
        </w:rPr>
        <w:t>International Journal of Tourism Research</w:t>
      </w:r>
      <w:r w:rsidRPr="00C13951">
        <w:rPr>
          <w:rFonts w:ascii="Arial" w:hAnsi="Arial" w:cs="Arial"/>
        </w:rPr>
        <w:t>, 24(4). Available at: https://doi.org/10.1002/jtr.2522.</w:t>
      </w:r>
    </w:p>
    <w:p w14:paraId="47FBFA17" w14:textId="77777777" w:rsidR="009D7F40" w:rsidRPr="00C13951" w:rsidRDefault="009D7F40" w:rsidP="009D7F40">
      <w:pPr>
        <w:rPr>
          <w:rFonts w:ascii="Arial" w:hAnsi="Arial" w:cs="Arial"/>
        </w:rPr>
      </w:pPr>
      <w:r w:rsidRPr="00C13951">
        <w:rPr>
          <w:rFonts w:ascii="Arial" w:hAnsi="Arial" w:cs="Arial"/>
        </w:rPr>
        <w:t>Gorton, M. </w:t>
      </w:r>
      <w:r w:rsidRPr="00C13951">
        <w:rPr>
          <w:rFonts w:ascii="Arial" w:hAnsi="Arial" w:cs="Arial"/>
          <w:i/>
          <w:iCs/>
        </w:rPr>
        <w:t>et al.</w:t>
      </w:r>
      <w:r w:rsidRPr="00C13951">
        <w:rPr>
          <w:rFonts w:ascii="Arial" w:hAnsi="Arial" w:cs="Arial"/>
        </w:rPr>
        <w:t> (2021) ‘What Determines consumers’ Use of eco-labels? Taking a Close Look at Label Trust’, </w:t>
      </w:r>
      <w:r w:rsidRPr="00C13951">
        <w:rPr>
          <w:rFonts w:ascii="Arial" w:hAnsi="Arial" w:cs="Arial"/>
          <w:i/>
          <w:iCs/>
        </w:rPr>
        <w:t>Ecological Economics</w:t>
      </w:r>
      <w:r w:rsidRPr="00C13951">
        <w:rPr>
          <w:rFonts w:ascii="Arial" w:hAnsi="Arial" w:cs="Arial"/>
        </w:rPr>
        <w:t>, 189(1), pp. 107–173. Available at: https://doi.org/10.1016/j.ecolecon.2021.107173.</w:t>
      </w:r>
    </w:p>
    <w:p w14:paraId="28B61701" w14:textId="77777777" w:rsidR="009D7F40" w:rsidRPr="00C13951" w:rsidRDefault="009D7F40" w:rsidP="009D7F40">
      <w:pPr>
        <w:rPr>
          <w:rFonts w:ascii="Arial" w:hAnsi="Arial" w:cs="Arial"/>
        </w:rPr>
      </w:pPr>
      <w:r w:rsidRPr="00C13951">
        <w:rPr>
          <w:rFonts w:ascii="Arial" w:hAnsi="Arial" w:cs="Arial"/>
        </w:rPr>
        <w:t>Hidayat, A. </w:t>
      </w:r>
      <w:r w:rsidRPr="00C13951">
        <w:rPr>
          <w:rFonts w:ascii="Arial" w:hAnsi="Arial" w:cs="Arial"/>
          <w:i/>
          <w:iCs/>
        </w:rPr>
        <w:t>et al.</w:t>
      </w:r>
      <w:r w:rsidRPr="00C13951">
        <w:rPr>
          <w:rFonts w:ascii="Arial" w:hAnsi="Arial" w:cs="Arial"/>
        </w:rPr>
        <w:t> (2021) ‘Consumer Trust as the Antecedent of Online Consumer Purchase Decision’, </w:t>
      </w:r>
      <w:r w:rsidRPr="00C13951">
        <w:rPr>
          <w:rFonts w:ascii="Arial" w:hAnsi="Arial" w:cs="Arial"/>
          <w:i/>
          <w:iCs/>
        </w:rPr>
        <w:t>Information</w:t>
      </w:r>
      <w:r w:rsidRPr="00C13951">
        <w:rPr>
          <w:rFonts w:ascii="Arial" w:hAnsi="Arial" w:cs="Arial"/>
        </w:rPr>
        <w:t>, 12(4), p. 145.</w:t>
      </w:r>
    </w:p>
    <w:p w14:paraId="6C9D4240" w14:textId="77777777" w:rsidR="009D7F40" w:rsidRPr="00C13951" w:rsidRDefault="009D7F40" w:rsidP="009D7F40">
      <w:pPr>
        <w:rPr>
          <w:rFonts w:ascii="Arial" w:hAnsi="Arial" w:cs="Arial"/>
        </w:rPr>
      </w:pPr>
      <w:r w:rsidRPr="00C13951">
        <w:rPr>
          <w:rFonts w:ascii="Arial" w:hAnsi="Arial" w:cs="Arial"/>
        </w:rPr>
        <w:t>Isabel, E., Bergey, P. and Smith, B. (2024) ‘Blockchain technology for supply chain provenance: increasing supply chain efficiency and consumer trust’, </w:t>
      </w:r>
      <w:r w:rsidRPr="00C13951">
        <w:rPr>
          <w:rFonts w:ascii="Arial" w:hAnsi="Arial" w:cs="Arial"/>
          <w:i/>
          <w:iCs/>
        </w:rPr>
        <w:t>Supply Chain Management</w:t>
      </w:r>
      <w:r w:rsidRPr="00C13951">
        <w:rPr>
          <w:rFonts w:ascii="Arial" w:hAnsi="Arial" w:cs="Arial"/>
        </w:rPr>
        <w:t>, 29(4). Available at: https://doi.org/10.1108/scm-08-2023-0383.</w:t>
      </w:r>
    </w:p>
    <w:p w14:paraId="680376A0" w14:textId="77777777" w:rsidR="009D7F40" w:rsidRPr="00C13951" w:rsidRDefault="009D7F40" w:rsidP="009D7F40">
      <w:pPr>
        <w:rPr>
          <w:rFonts w:ascii="Arial" w:hAnsi="Arial" w:cs="Arial"/>
        </w:rPr>
      </w:pPr>
      <w:r w:rsidRPr="00C13951">
        <w:rPr>
          <w:rFonts w:ascii="Arial" w:hAnsi="Arial" w:cs="Arial"/>
        </w:rPr>
        <w:t>Jaspers, E.D.T. and Pearson, E. (2022) ‘Consumers’ acceptance of domestic Internet-of-Things: The role of trust and privacy concerns’, </w:t>
      </w:r>
      <w:r w:rsidRPr="00C13951">
        <w:rPr>
          <w:rFonts w:ascii="Arial" w:hAnsi="Arial" w:cs="Arial"/>
          <w:i/>
          <w:iCs/>
        </w:rPr>
        <w:t>Journal of Business Research</w:t>
      </w:r>
      <w:r w:rsidRPr="00C13951">
        <w:rPr>
          <w:rFonts w:ascii="Arial" w:hAnsi="Arial" w:cs="Arial"/>
        </w:rPr>
        <w:t>, 142, pp. 255–265. Available at: https://doi.org/10.1016/j.jbusres.2021.12.043.</w:t>
      </w:r>
    </w:p>
    <w:p w14:paraId="67EACF2F" w14:textId="77777777" w:rsidR="009D7F40" w:rsidRPr="00C13951" w:rsidRDefault="009D7F40" w:rsidP="009D7F40">
      <w:pPr>
        <w:rPr>
          <w:rFonts w:ascii="Arial" w:hAnsi="Arial" w:cs="Arial"/>
        </w:rPr>
      </w:pPr>
      <w:r w:rsidRPr="00C13951">
        <w:rPr>
          <w:rFonts w:ascii="Arial" w:hAnsi="Arial" w:cs="Arial"/>
        </w:rPr>
        <w:t>Kim, J., Giroux, M. and Lee, J.C. (2021) ‘When Do You Trust AI? the Effect of Number Presentation Detail on Consumer Trust and Acceptance of AI Recommendations’, </w:t>
      </w:r>
      <w:r w:rsidRPr="00C13951">
        <w:rPr>
          <w:rFonts w:ascii="Arial" w:hAnsi="Arial" w:cs="Arial"/>
          <w:i/>
          <w:iCs/>
        </w:rPr>
        <w:t>Psychology &amp; Marketing</w:t>
      </w:r>
      <w:r w:rsidRPr="00C13951">
        <w:rPr>
          <w:rFonts w:ascii="Arial" w:hAnsi="Arial" w:cs="Arial"/>
        </w:rPr>
        <w:t>, 38(7). Available at: https://doi.org/10.1002/mar.21498.</w:t>
      </w:r>
    </w:p>
    <w:p w14:paraId="361B2FF7" w14:textId="77777777" w:rsidR="009D7F40" w:rsidRPr="00C13951" w:rsidRDefault="009D7F40" w:rsidP="009D7F40">
      <w:pPr>
        <w:rPr>
          <w:rFonts w:ascii="Arial" w:hAnsi="Arial" w:cs="Arial"/>
        </w:rPr>
      </w:pPr>
      <w:r w:rsidRPr="00C13951">
        <w:rPr>
          <w:rFonts w:ascii="Arial" w:hAnsi="Arial" w:cs="Arial"/>
        </w:rPr>
        <w:t>Murphy, B. </w:t>
      </w:r>
      <w:r w:rsidRPr="00C13951">
        <w:rPr>
          <w:rFonts w:ascii="Arial" w:hAnsi="Arial" w:cs="Arial"/>
          <w:i/>
          <w:iCs/>
        </w:rPr>
        <w:t>et al.</w:t>
      </w:r>
      <w:r w:rsidRPr="00C13951">
        <w:rPr>
          <w:rFonts w:ascii="Arial" w:hAnsi="Arial" w:cs="Arial"/>
        </w:rPr>
        <w:t> (2022) ‘Consumer trust in organic food and organic certifications in four European countries’, </w:t>
      </w:r>
      <w:r w:rsidRPr="00C13951">
        <w:rPr>
          <w:rFonts w:ascii="Arial" w:hAnsi="Arial" w:cs="Arial"/>
          <w:i/>
          <w:iCs/>
        </w:rPr>
        <w:t>Food Control</w:t>
      </w:r>
      <w:r w:rsidRPr="00C13951">
        <w:rPr>
          <w:rFonts w:ascii="Arial" w:hAnsi="Arial" w:cs="Arial"/>
        </w:rPr>
        <w:t>, 133(133), p. 108484. Available at: https://doi.org/10.1016/j.foodcont.2021.108484.</w:t>
      </w:r>
    </w:p>
    <w:p w14:paraId="4C0BF42A" w14:textId="77777777" w:rsidR="009D7F40" w:rsidRPr="00C13951" w:rsidRDefault="009D7F40" w:rsidP="009D7F40">
      <w:pPr>
        <w:rPr>
          <w:rFonts w:ascii="Arial" w:hAnsi="Arial" w:cs="Arial"/>
        </w:rPr>
      </w:pPr>
      <w:r w:rsidRPr="00C13951">
        <w:rPr>
          <w:rFonts w:ascii="Arial" w:hAnsi="Arial" w:cs="Arial"/>
        </w:rPr>
        <w:t>Pyle, M.A., Smith, A.N. and Chevtchouk, Y. (2021) ‘In eWOM we trust: Using naïve theories to understand consumer trust in a complex eWOM marketspace’, </w:t>
      </w:r>
      <w:r w:rsidRPr="00C13951">
        <w:rPr>
          <w:rFonts w:ascii="Arial" w:hAnsi="Arial" w:cs="Arial"/>
          <w:i/>
          <w:iCs/>
        </w:rPr>
        <w:t>Journal of Business Research</w:t>
      </w:r>
      <w:r w:rsidRPr="00C13951">
        <w:rPr>
          <w:rFonts w:ascii="Arial" w:hAnsi="Arial" w:cs="Arial"/>
        </w:rPr>
        <w:t>, 122, pp. 145–158. Available at: https://doi.org/10.1016/j.jbusres.2020.08.063.</w:t>
      </w:r>
    </w:p>
    <w:p w14:paraId="01A2DC82" w14:textId="77777777" w:rsidR="009D7F40" w:rsidRPr="00C13951" w:rsidRDefault="009D7F40" w:rsidP="009D7F40">
      <w:pPr>
        <w:rPr>
          <w:rFonts w:ascii="Arial" w:hAnsi="Arial" w:cs="Arial"/>
        </w:rPr>
      </w:pPr>
      <w:r w:rsidRPr="00C13951">
        <w:rPr>
          <w:rFonts w:ascii="Arial" w:hAnsi="Arial" w:cs="Arial"/>
        </w:rPr>
        <w:t>Quintus, M. </w:t>
      </w:r>
      <w:r w:rsidRPr="00C13951">
        <w:rPr>
          <w:rFonts w:ascii="Arial" w:hAnsi="Arial" w:cs="Arial"/>
          <w:i/>
          <w:iCs/>
        </w:rPr>
        <w:t>et al.</w:t>
      </w:r>
      <w:r w:rsidRPr="00C13951">
        <w:rPr>
          <w:rFonts w:ascii="Arial" w:hAnsi="Arial" w:cs="Arial"/>
        </w:rPr>
        <w:t> (2024) ‘Managing consumer trust in e-commerce: evidence from advanced versus emerging markets’, </w:t>
      </w:r>
      <w:r w:rsidRPr="00C13951">
        <w:rPr>
          <w:rFonts w:ascii="Arial" w:hAnsi="Arial" w:cs="Arial"/>
          <w:i/>
          <w:iCs/>
        </w:rPr>
        <w:t>International Journal of Retail &amp; Distribution Management</w:t>
      </w:r>
      <w:r w:rsidRPr="00C13951">
        <w:rPr>
          <w:rFonts w:ascii="Arial" w:hAnsi="Arial" w:cs="Arial"/>
        </w:rPr>
        <w:t>, 52(10/11). Available at: https://doi.org/10.1108/ijrdm-10-2023-0609.</w:t>
      </w:r>
    </w:p>
    <w:p w14:paraId="5FF21442" w14:textId="77777777" w:rsidR="009D7F40" w:rsidRPr="00C13951" w:rsidRDefault="009D7F40" w:rsidP="009D7F40">
      <w:pPr>
        <w:rPr>
          <w:rFonts w:ascii="Arial" w:hAnsi="Arial" w:cs="Arial"/>
        </w:rPr>
      </w:pPr>
      <w:r w:rsidRPr="00C13951">
        <w:rPr>
          <w:rFonts w:ascii="Arial" w:hAnsi="Arial" w:cs="Arial"/>
        </w:rPr>
        <w:t>Roh, T. </w:t>
      </w:r>
      <w:r w:rsidRPr="00C13951">
        <w:rPr>
          <w:rFonts w:ascii="Arial" w:hAnsi="Arial" w:cs="Arial"/>
          <w:i/>
          <w:iCs/>
        </w:rPr>
        <w:t>et al.</w:t>
      </w:r>
      <w:r w:rsidRPr="00C13951">
        <w:rPr>
          <w:rFonts w:ascii="Arial" w:hAnsi="Arial" w:cs="Arial"/>
        </w:rPr>
        <w:t> (2024) ‘What makes consumers trust and adopt fintech? An empirical investigation in China’, </w:t>
      </w:r>
      <w:r w:rsidRPr="00C13951">
        <w:rPr>
          <w:rFonts w:ascii="Arial" w:hAnsi="Arial" w:cs="Arial"/>
          <w:i/>
          <w:iCs/>
        </w:rPr>
        <w:t>Electronic Commerce Research</w:t>
      </w:r>
      <w:r w:rsidRPr="00C13951">
        <w:rPr>
          <w:rFonts w:ascii="Arial" w:hAnsi="Arial" w:cs="Arial"/>
        </w:rPr>
        <w:t>, 24. Available at: https://doi.org/10.1007/s10660-021-09527-3.</w:t>
      </w:r>
    </w:p>
    <w:p w14:paraId="6500082F" w14:textId="77777777" w:rsidR="009D7F40" w:rsidRPr="00C13951" w:rsidRDefault="009D7F40" w:rsidP="009D7F40">
      <w:pPr>
        <w:rPr>
          <w:rFonts w:ascii="Arial" w:hAnsi="Arial" w:cs="Arial"/>
        </w:rPr>
      </w:pPr>
      <w:r w:rsidRPr="00C13951">
        <w:rPr>
          <w:rFonts w:ascii="Arial" w:hAnsi="Arial" w:cs="Arial"/>
        </w:rPr>
        <w:t>Singh, V. and Sharma, S.K. (2023) ‘Application of blockchain technology in shaping the future of food industry based on transparency and consumer trust’, </w:t>
      </w:r>
      <w:r w:rsidRPr="00C13951">
        <w:rPr>
          <w:rFonts w:ascii="Arial" w:hAnsi="Arial" w:cs="Arial"/>
          <w:i/>
          <w:iCs/>
        </w:rPr>
        <w:t>Journal of Food Science and Technology</w:t>
      </w:r>
      <w:r w:rsidRPr="00C13951">
        <w:rPr>
          <w:rFonts w:ascii="Arial" w:hAnsi="Arial" w:cs="Arial"/>
        </w:rPr>
        <w:t>, 60. Available at: https://doi.org/10.1007/s13197-022-05360-0.</w:t>
      </w:r>
    </w:p>
    <w:p w14:paraId="4D46E112" w14:textId="77777777" w:rsidR="009D7F40" w:rsidRPr="00C13951" w:rsidRDefault="009D7F40" w:rsidP="009D7F40">
      <w:pPr>
        <w:rPr>
          <w:rFonts w:ascii="Arial" w:hAnsi="Arial" w:cs="Arial"/>
        </w:rPr>
      </w:pPr>
      <w:r w:rsidRPr="00C13951">
        <w:rPr>
          <w:rFonts w:ascii="Arial" w:hAnsi="Arial" w:cs="Arial"/>
        </w:rPr>
        <w:t>Su, D.N. </w:t>
      </w:r>
      <w:r w:rsidRPr="00C13951">
        <w:rPr>
          <w:rFonts w:ascii="Arial" w:hAnsi="Arial" w:cs="Arial"/>
          <w:i/>
          <w:iCs/>
        </w:rPr>
        <w:t>et al.</w:t>
      </w:r>
      <w:r w:rsidRPr="00C13951">
        <w:rPr>
          <w:rFonts w:ascii="Arial" w:hAnsi="Arial" w:cs="Arial"/>
        </w:rPr>
        <w:t> (2022) ‘Modeling consumers’ trust in mobile food delivery apps: perspectives of technology acceptance model, mobile service quality and personalization-privacy theory’, </w:t>
      </w:r>
      <w:r w:rsidRPr="00C13951">
        <w:rPr>
          <w:rFonts w:ascii="Arial" w:hAnsi="Arial" w:cs="Arial"/>
          <w:i/>
          <w:iCs/>
        </w:rPr>
        <w:t>Journal of Hospitality Marketing &amp; Management</w:t>
      </w:r>
      <w:r w:rsidRPr="00C13951">
        <w:rPr>
          <w:rFonts w:ascii="Arial" w:hAnsi="Arial" w:cs="Arial"/>
        </w:rPr>
        <w:t>, 31(5), pp. 1–35.</w:t>
      </w:r>
    </w:p>
    <w:p w14:paraId="33353BE4" w14:textId="77777777" w:rsidR="009D7F40" w:rsidRPr="00C13951" w:rsidRDefault="009D7F40" w:rsidP="009D7F40">
      <w:pPr>
        <w:rPr>
          <w:rFonts w:ascii="Arial" w:hAnsi="Arial" w:cs="Arial"/>
        </w:rPr>
      </w:pPr>
      <w:r w:rsidRPr="00C13951">
        <w:rPr>
          <w:rFonts w:ascii="Arial" w:hAnsi="Arial" w:cs="Arial"/>
        </w:rPr>
        <w:t>Tseng, H.-T. </w:t>
      </w:r>
      <w:r w:rsidRPr="00C13951">
        <w:rPr>
          <w:rFonts w:ascii="Arial" w:hAnsi="Arial" w:cs="Arial"/>
          <w:i/>
          <w:iCs/>
        </w:rPr>
        <w:t>et al.</w:t>
      </w:r>
      <w:r w:rsidRPr="00C13951">
        <w:rPr>
          <w:rFonts w:ascii="Arial" w:hAnsi="Arial" w:cs="Arial"/>
        </w:rPr>
        <w:t> (2022) ‘Managing enterprise social media to develop consumer trust’, </w:t>
      </w:r>
      <w:r w:rsidRPr="00C13951">
        <w:rPr>
          <w:rFonts w:ascii="Arial" w:hAnsi="Arial" w:cs="Arial"/>
          <w:i/>
          <w:iCs/>
        </w:rPr>
        <w:t>British Food Journal</w:t>
      </w:r>
      <w:r w:rsidRPr="00C13951">
        <w:rPr>
          <w:rFonts w:ascii="Arial" w:hAnsi="Arial" w:cs="Arial"/>
        </w:rPr>
        <w:t>, 124(12). Available at: https://doi.org/10.1108/bfj-11-2020-0995.</w:t>
      </w:r>
    </w:p>
    <w:p w14:paraId="1C477731" w14:textId="77777777" w:rsidR="009D7F40" w:rsidRPr="00C13951" w:rsidRDefault="009D7F40" w:rsidP="009D7F40">
      <w:pPr>
        <w:rPr>
          <w:rFonts w:ascii="Arial" w:hAnsi="Arial" w:cs="Arial"/>
        </w:rPr>
      </w:pPr>
      <w:r w:rsidRPr="00C13951">
        <w:rPr>
          <w:rFonts w:ascii="Arial" w:hAnsi="Arial" w:cs="Arial"/>
        </w:rPr>
        <w:t>Wang, C. </w:t>
      </w:r>
      <w:r w:rsidRPr="00C13951">
        <w:rPr>
          <w:rFonts w:ascii="Arial" w:hAnsi="Arial" w:cs="Arial"/>
          <w:i/>
          <w:iCs/>
        </w:rPr>
        <w:t>et al.</w:t>
      </w:r>
      <w:r w:rsidRPr="00C13951">
        <w:rPr>
          <w:rFonts w:ascii="Arial" w:hAnsi="Arial" w:cs="Arial"/>
        </w:rPr>
        <w:t> (2023) ‘The Influence of Consumer Perception on Purchase intention: Evidence from cross-border E-commerce Platforms’, </w:t>
      </w:r>
      <w:r w:rsidRPr="00C13951">
        <w:rPr>
          <w:rFonts w:ascii="Arial" w:hAnsi="Arial" w:cs="Arial"/>
          <w:i/>
          <w:iCs/>
        </w:rPr>
        <w:t>Heliyon</w:t>
      </w:r>
      <w:r w:rsidRPr="00C13951">
        <w:rPr>
          <w:rFonts w:ascii="Arial" w:hAnsi="Arial" w:cs="Arial"/>
        </w:rPr>
        <w:t>, 9(11), p. e21617. Available at: https://doi.org/10.1016/j.heliyon.2023.e21617.</w:t>
      </w:r>
    </w:p>
    <w:p w14:paraId="7CB452B6" w14:textId="77777777" w:rsidR="009D7F40" w:rsidRPr="00C13951" w:rsidRDefault="009D7F40" w:rsidP="009D7F40">
      <w:pPr>
        <w:rPr>
          <w:rFonts w:ascii="Arial" w:hAnsi="Arial" w:cs="Arial"/>
        </w:rPr>
      </w:pPr>
      <w:r w:rsidRPr="00C13951">
        <w:rPr>
          <w:rFonts w:ascii="Arial" w:hAnsi="Arial" w:cs="Arial"/>
        </w:rPr>
        <w:t>Wang, H. </w:t>
      </w:r>
      <w:r w:rsidRPr="00C13951">
        <w:rPr>
          <w:rFonts w:ascii="Arial" w:hAnsi="Arial" w:cs="Arial"/>
          <w:i/>
          <w:iCs/>
        </w:rPr>
        <w:t>et al.</w:t>
      </w:r>
      <w:r w:rsidRPr="00C13951">
        <w:rPr>
          <w:rFonts w:ascii="Arial" w:hAnsi="Arial" w:cs="Arial"/>
        </w:rPr>
        <w:t> (2021) ‘The impact of blockchain technology on consumer behavior: a multimethod study’, </w:t>
      </w:r>
      <w:r w:rsidRPr="00C13951">
        <w:rPr>
          <w:rFonts w:ascii="Arial" w:hAnsi="Arial" w:cs="Arial"/>
          <w:i/>
          <w:iCs/>
        </w:rPr>
        <w:t>Journal of Management Analytics</w:t>
      </w:r>
      <w:r w:rsidRPr="00C13951">
        <w:rPr>
          <w:rFonts w:ascii="Arial" w:hAnsi="Arial" w:cs="Arial"/>
        </w:rPr>
        <w:t>, 8(3), pp. 371–390. Available at: https://doi.org/10.1080/23270012.2021.1958264.</w:t>
      </w:r>
    </w:p>
    <w:p w14:paraId="2CD60E00" w14:textId="77777777" w:rsidR="009D7F40" w:rsidRPr="00C13951" w:rsidRDefault="009D7F40" w:rsidP="009D7F40">
      <w:pPr>
        <w:rPr>
          <w:rFonts w:ascii="Arial" w:hAnsi="Arial" w:cs="Arial"/>
        </w:rPr>
      </w:pPr>
      <w:r w:rsidRPr="00C13951">
        <w:rPr>
          <w:rFonts w:ascii="Arial" w:hAnsi="Arial" w:cs="Arial"/>
        </w:rPr>
        <w:t>Wu, W. </w:t>
      </w:r>
      <w:r w:rsidRPr="00C13951">
        <w:rPr>
          <w:rFonts w:ascii="Arial" w:hAnsi="Arial" w:cs="Arial"/>
          <w:i/>
          <w:iCs/>
        </w:rPr>
        <w:t>et al.</w:t>
      </w:r>
      <w:r w:rsidRPr="00C13951">
        <w:rPr>
          <w:rFonts w:ascii="Arial" w:hAnsi="Arial" w:cs="Arial"/>
        </w:rPr>
        <w:t> (2021) ‘Consumer Trust in Food and the Food System: A Critical Review’, </w:t>
      </w:r>
      <w:r w:rsidRPr="00C13951">
        <w:rPr>
          <w:rFonts w:ascii="Arial" w:hAnsi="Arial" w:cs="Arial"/>
          <w:i/>
          <w:iCs/>
        </w:rPr>
        <w:t>Foods</w:t>
      </w:r>
      <w:r w:rsidRPr="00C13951">
        <w:rPr>
          <w:rFonts w:ascii="Arial" w:hAnsi="Arial" w:cs="Arial"/>
        </w:rPr>
        <w:t>, 10(10), p. 2490. Available at: https://doi.org/10.3390/foods10102490.</w:t>
      </w:r>
    </w:p>
    <w:p w14:paraId="2AE3CF79" w14:textId="77777777" w:rsidR="009D7F40" w:rsidRPr="00C13951" w:rsidRDefault="009D7F40" w:rsidP="009D7F40">
      <w:pPr>
        <w:rPr>
          <w:rFonts w:ascii="Arial" w:hAnsi="Arial" w:cs="Arial"/>
        </w:rPr>
      </w:pPr>
      <w:r w:rsidRPr="00C13951">
        <w:rPr>
          <w:rFonts w:ascii="Arial" w:hAnsi="Arial" w:cs="Arial"/>
        </w:rPr>
        <w:t>Wu, Y. and Huang, H. (2023) ‘Influence of Perceived Value on Consumers’ Continuous Purchase Intention in Live-Streaming E-Commerce—Mediated by Consumer Trust’, </w:t>
      </w:r>
      <w:r w:rsidRPr="00C13951">
        <w:rPr>
          <w:rFonts w:ascii="Arial" w:hAnsi="Arial" w:cs="Arial"/>
          <w:i/>
          <w:iCs/>
        </w:rPr>
        <w:t>Sustainability</w:t>
      </w:r>
      <w:r w:rsidRPr="00C13951">
        <w:rPr>
          <w:rFonts w:ascii="Arial" w:hAnsi="Arial" w:cs="Arial"/>
        </w:rPr>
        <w:t>, 15(5), p. 4432. Available at: https://doi.org/10.3390/su15054432.</w:t>
      </w:r>
    </w:p>
    <w:p w14:paraId="304D6BA2" w14:textId="77777777" w:rsidR="009D7F40" w:rsidRPr="00C13951" w:rsidRDefault="009D7F40" w:rsidP="009D7F40">
      <w:pPr>
        <w:rPr>
          <w:rFonts w:ascii="Arial" w:hAnsi="Arial" w:cs="Arial"/>
        </w:rPr>
      </w:pPr>
    </w:p>
    <w:p w14:paraId="2526E205" w14:textId="77777777" w:rsidR="009D7F40" w:rsidRPr="00C13951" w:rsidRDefault="009D7F40" w:rsidP="009D7F40">
      <w:pPr>
        <w:rPr>
          <w:rFonts w:ascii="Arial" w:hAnsi="Arial" w:cs="Arial"/>
        </w:rPr>
      </w:pPr>
    </w:p>
    <w:p w14:paraId="1B590A6D" w14:textId="77777777" w:rsidR="00834369" w:rsidRPr="00C13951" w:rsidRDefault="00834369" w:rsidP="009D7F40">
      <w:pPr>
        <w:rPr>
          <w:rFonts w:ascii="Arial" w:hAnsi="Arial" w:cs="Arial"/>
        </w:rPr>
      </w:pPr>
    </w:p>
    <w:sectPr w:rsidR="00834369" w:rsidRPr="00C13951" w:rsidSect="00562DF2">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AF7EB" w14:textId="77777777" w:rsidR="000D6343" w:rsidRDefault="000D6343" w:rsidP="00CD3D2B">
      <w:r>
        <w:separator/>
      </w:r>
    </w:p>
  </w:endnote>
  <w:endnote w:type="continuationSeparator" w:id="0">
    <w:p w14:paraId="2E37A3DE" w14:textId="77777777" w:rsidR="000D6343" w:rsidRDefault="000D6343"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C60CD" w14:textId="77777777" w:rsidR="000D6343" w:rsidRDefault="000D6343" w:rsidP="00CD3D2B">
      <w:r>
        <w:separator/>
      </w:r>
    </w:p>
  </w:footnote>
  <w:footnote w:type="continuationSeparator" w:id="0">
    <w:p w14:paraId="342276DE" w14:textId="77777777" w:rsidR="000D6343" w:rsidRDefault="000D6343"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649CC"/>
    <w:multiLevelType w:val="hybridMultilevel"/>
    <w:tmpl w:val="A698A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3B7A11"/>
    <w:multiLevelType w:val="multilevel"/>
    <w:tmpl w:val="771AA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F36E4"/>
    <w:multiLevelType w:val="hybridMultilevel"/>
    <w:tmpl w:val="2580E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871B4C"/>
    <w:multiLevelType w:val="multilevel"/>
    <w:tmpl w:val="E7926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1"/>
  </w:num>
  <w:num w:numId="2" w16cid:durableId="2122604883">
    <w:abstractNumId w:val="2"/>
  </w:num>
  <w:num w:numId="3" w16cid:durableId="1286472407">
    <w:abstractNumId w:val="10"/>
  </w:num>
  <w:num w:numId="4" w16cid:durableId="331644281">
    <w:abstractNumId w:val="24"/>
  </w:num>
  <w:num w:numId="5" w16cid:durableId="980620283">
    <w:abstractNumId w:val="12"/>
  </w:num>
  <w:num w:numId="6" w16cid:durableId="1510290980">
    <w:abstractNumId w:val="22"/>
  </w:num>
  <w:num w:numId="7" w16cid:durableId="644555557">
    <w:abstractNumId w:val="6"/>
  </w:num>
  <w:num w:numId="8" w16cid:durableId="1079444970">
    <w:abstractNumId w:val="3"/>
  </w:num>
  <w:num w:numId="9" w16cid:durableId="697318361">
    <w:abstractNumId w:val="11"/>
  </w:num>
  <w:num w:numId="10" w16cid:durableId="1805997788">
    <w:abstractNumId w:val="7"/>
  </w:num>
  <w:num w:numId="11" w16cid:durableId="168755656">
    <w:abstractNumId w:val="5"/>
  </w:num>
  <w:num w:numId="12" w16cid:durableId="2027949617">
    <w:abstractNumId w:val="13"/>
  </w:num>
  <w:num w:numId="13" w16cid:durableId="49959725">
    <w:abstractNumId w:val="14"/>
  </w:num>
  <w:num w:numId="14" w16cid:durableId="1234389626">
    <w:abstractNumId w:val="23"/>
  </w:num>
  <w:num w:numId="15" w16cid:durableId="465972463">
    <w:abstractNumId w:val="4"/>
  </w:num>
  <w:num w:numId="16" w16cid:durableId="298726687">
    <w:abstractNumId w:val="19"/>
  </w:num>
  <w:num w:numId="17" w16cid:durableId="1875531569">
    <w:abstractNumId w:val="18"/>
  </w:num>
  <w:num w:numId="18" w16cid:durableId="950672849">
    <w:abstractNumId w:val="0"/>
  </w:num>
  <w:num w:numId="19" w16cid:durableId="1900554292">
    <w:abstractNumId w:val="17"/>
  </w:num>
  <w:num w:numId="20" w16cid:durableId="95445685">
    <w:abstractNumId w:val="20"/>
  </w:num>
  <w:num w:numId="21" w16cid:durableId="1028457272">
    <w:abstractNumId w:val="8"/>
  </w:num>
  <w:num w:numId="22" w16cid:durableId="1133596985">
    <w:abstractNumId w:val="9"/>
  </w:num>
  <w:num w:numId="23" w16cid:durableId="2095465551">
    <w:abstractNumId w:val="16"/>
  </w:num>
  <w:num w:numId="24" w16cid:durableId="302854975">
    <w:abstractNumId w:val="15"/>
  </w:num>
  <w:num w:numId="25" w16cid:durableId="1989431314">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343"/>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1EF2"/>
    <w:rsid w:val="00125780"/>
    <w:rsid w:val="001274E4"/>
    <w:rsid w:val="00127A02"/>
    <w:rsid w:val="00130B02"/>
    <w:rsid w:val="0013127F"/>
    <w:rsid w:val="001354AC"/>
    <w:rsid w:val="00136215"/>
    <w:rsid w:val="00150338"/>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4459F"/>
    <w:rsid w:val="00255945"/>
    <w:rsid w:val="00257A1A"/>
    <w:rsid w:val="00260109"/>
    <w:rsid w:val="0026033D"/>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1A89"/>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2503"/>
    <w:rsid w:val="00346F1E"/>
    <w:rsid w:val="00347E5D"/>
    <w:rsid w:val="0035068C"/>
    <w:rsid w:val="003521ED"/>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987"/>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2C6C"/>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6DC"/>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4E25"/>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327B"/>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3CB5"/>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2811"/>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D7F40"/>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529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951"/>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584C"/>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1F74"/>
    <w:rsid w:val="00D02624"/>
    <w:rsid w:val="00D04575"/>
    <w:rsid w:val="00D10545"/>
    <w:rsid w:val="00D12D74"/>
    <w:rsid w:val="00D1368A"/>
    <w:rsid w:val="00D15A21"/>
    <w:rsid w:val="00D163EC"/>
    <w:rsid w:val="00D1723A"/>
    <w:rsid w:val="00D17F26"/>
    <w:rsid w:val="00D2004A"/>
    <w:rsid w:val="00D208F0"/>
    <w:rsid w:val="00D21802"/>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2B7"/>
    <w:rsid w:val="00DC1557"/>
    <w:rsid w:val="00DC1948"/>
    <w:rsid w:val="00DD0ED6"/>
    <w:rsid w:val="00DD1F6B"/>
    <w:rsid w:val="00DD3F1F"/>
    <w:rsid w:val="00DD4713"/>
    <w:rsid w:val="00DD73F8"/>
    <w:rsid w:val="00DE703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3019"/>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3B3B"/>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0595"/>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15:docId w15:val="{5402966F-6179-4DF7-957B-306EC4F67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9D7F4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429085">
      <w:bodyDiv w:val="1"/>
      <w:marLeft w:val="0"/>
      <w:marRight w:val="0"/>
      <w:marTop w:val="0"/>
      <w:marBottom w:val="0"/>
      <w:divBdr>
        <w:top w:val="none" w:sz="0" w:space="0" w:color="auto"/>
        <w:left w:val="none" w:sz="0" w:space="0" w:color="auto"/>
        <w:bottom w:val="none" w:sz="0" w:space="0" w:color="auto"/>
        <w:right w:val="none" w:sz="0" w:space="0" w:color="auto"/>
      </w:divBdr>
      <w:divsChild>
        <w:div w:id="1830362094">
          <w:marLeft w:val="0"/>
          <w:marRight w:val="0"/>
          <w:marTop w:val="0"/>
          <w:marBottom w:val="0"/>
          <w:divBdr>
            <w:top w:val="none" w:sz="0" w:space="0" w:color="auto"/>
            <w:left w:val="none" w:sz="0" w:space="0" w:color="auto"/>
            <w:bottom w:val="none" w:sz="0" w:space="0" w:color="auto"/>
            <w:right w:val="none" w:sz="0" w:space="0" w:color="auto"/>
          </w:divBdr>
        </w:div>
      </w:divsChild>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598678743">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4070</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Nusrat Jahan Onameka (2422956)</cp:lastModifiedBy>
  <cp:revision>6</cp:revision>
  <dcterms:created xsi:type="dcterms:W3CDTF">2025-11-11T13:30:00Z</dcterms:created>
  <dcterms:modified xsi:type="dcterms:W3CDTF">2025-11-13T18:19:00Z</dcterms:modified>
</cp:coreProperties>
</file>