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center"/>
        <w:rPr>
          <w:rFonts w:ascii="Times New Roman" w:hAnsi="Times New Roman" w:cs="Times New Roman"/>
          <w:b/>
          <w:color w:val="000000" w:themeColor="text1"/>
          <w:sz w:val="24"/>
          <w:szCs w:val="24"/>
          <w14:textFill>
            <w14:solidFill>
              <w14:schemeClr w14:val="tx1"/>
            </w14:solidFill>
          </w14:textFill>
        </w:rPr>
      </w:pPr>
    </w:p>
    <w:p>
      <w:pPr>
        <w:pStyle w:val="15"/>
        <w:jc w:val="center"/>
        <w:rPr>
          <w:rFonts w:ascii="Times New Roman" w:hAnsi="Times New Roman"/>
          <w:color w:val="000000" w:themeColor="text1"/>
          <w:sz w:val="24"/>
          <w:szCs w:val="24"/>
          <w14:textFill>
            <w14:solidFill>
              <w14:schemeClr w14:val="tx1"/>
            </w14:solidFill>
          </w14:textFill>
        </w:rPr>
      </w:pPr>
      <w:bookmarkStart w:id="0" w:name="_Toc6695764"/>
      <w:r>
        <w:rPr>
          <w:rFonts w:ascii="Times New Roman" w:hAnsi="Times New Roman"/>
          <w:color w:val="000000" w:themeColor="text1"/>
          <w:sz w:val="24"/>
          <w:szCs w:val="24"/>
          <w14:textFill>
            <w14:solidFill>
              <w14:schemeClr w14:val="tx1"/>
            </w14:solidFill>
          </w14:textFill>
        </w:rPr>
        <w:t>Market Mixing Strategies for Tomos Watkin Brewery (TWB)</w:t>
      </w:r>
      <w:bookmarkEnd w:id="0"/>
    </w:p>
    <w:p>
      <w:pPr>
        <w:pStyle w:val="2"/>
        <w:jc w:val="both"/>
        <w:rPr>
          <w:rFonts w:hint="eastAsia" w:ascii="Times New Roman" w:hAnsi="Times New Roman" w:cs="Times New Roman"/>
          <w:b/>
          <w:color w:val="000000" w:themeColor="text1"/>
          <w:sz w:val="24"/>
          <w:szCs w:val="24"/>
          <w:lang w:val="en-US" w:eastAsia="zh-CN"/>
          <w14:textFill>
            <w14:solidFill>
              <w14:schemeClr w14:val="tx1"/>
            </w14:solidFill>
          </w14:textFill>
        </w:rPr>
      </w:pPr>
      <w:r>
        <w:rPr>
          <w:rFonts w:hint="eastAsia" w:ascii="Times New Roman" w:hAnsi="Times New Roman" w:cs="Times New Roman"/>
          <w:b/>
          <w:color w:val="000000" w:themeColor="text1"/>
          <w:sz w:val="24"/>
          <w:szCs w:val="24"/>
          <w:lang w:val="en-US" w:eastAsia="zh-CN"/>
          <w14:textFill>
            <w14:solidFill>
              <w14:schemeClr w14:val="tx1"/>
            </w14:solidFill>
          </w14:textFill>
        </w:rPr>
        <w:t xml:space="preserve">                                                             Name:Tong Jin</w:t>
      </w:r>
    </w:p>
    <w:p>
      <w:pPr>
        <w:rPr>
          <w:rFonts w:hint="default"/>
          <w:color w:val="000000" w:themeColor="text1"/>
          <w:lang w:val="en-US" w:eastAsia="zh-CN"/>
          <w14:textFill>
            <w14:solidFill>
              <w14:schemeClr w14:val="tx1"/>
            </w14:solidFill>
          </w14:textFill>
        </w:rPr>
      </w:pPr>
      <w:r>
        <w:rPr>
          <w:rFonts w:hint="eastAsia" w:ascii="Times New Roman" w:hAnsi="Times New Roman" w:cs="Times New Roman"/>
          <w:b/>
          <w:color w:val="000000" w:themeColor="text1"/>
          <w:sz w:val="24"/>
          <w:szCs w:val="24"/>
          <w:lang w:val="en-US" w:eastAsia="zh-CN"/>
          <w14:textFill>
            <w14:solidFill>
              <w14:schemeClr w14:val="tx1"/>
            </w14:solidFill>
          </w14:textFill>
        </w:rPr>
        <w:t xml:space="preserve">                                                            </w:t>
      </w:r>
      <w:bookmarkStart w:id="7" w:name="_GoBack"/>
      <w:bookmarkEnd w:id="7"/>
      <w:r>
        <w:rPr>
          <w:rFonts w:hint="eastAsia" w:ascii="Times New Roman" w:hAnsi="Times New Roman" w:cs="Times New Roman"/>
          <w:b/>
          <w:color w:val="000000" w:themeColor="text1"/>
          <w:sz w:val="24"/>
          <w:szCs w:val="24"/>
          <w:lang w:val="en-US" w:eastAsia="zh-CN"/>
          <w14:textFill>
            <w14:solidFill>
              <w14:schemeClr w14:val="tx1"/>
            </w14:solidFill>
          </w14:textFill>
        </w:rPr>
        <w:t xml:space="preserve"> ID:1800166</w:t>
      </w: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bookmarkStart w:id="1" w:name="_Toc7519410"/>
      <w:r>
        <w:rPr>
          <w:rFonts w:ascii="Times New Roman" w:hAnsi="Times New Roman" w:cs="Times New Roman"/>
          <w:b/>
          <w:color w:val="000000" w:themeColor="text1"/>
          <w:sz w:val="24"/>
          <w:szCs w:val="24"/>
          <w14:textFill>
            <w14:solidFill>
              <w14:schemeClr w14:val="tx1"/>
            </w14:solidFill>
          </w14:textFill>
        </w:rPr>
        <w:t>Executive Summary</w:t>
      </w:r>
      <w:bookmarkEnd w:id="1"/>
    </w:p>
    <w:p>
      <w:pPr>
        <w:rPr>
          <w:color w:val="000000" w:themeColor="text1"/>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This report examines how Tomos Watkin Brewery Company can effectively implement</w:t>
      </w:r>
      <w:r>
        <w:rPr>
          <w:rFonts w:hint="eastAsia" w:ascii="Times New Roman" w:hAnsi="Times New Roman"/>
          <w:color w:val="000000" w:themeColor="text1"/>
          <w:sz w:val="24"/>
          <w:szCs w:val="24"/>
          <w14:textFill>
            <w14:solidFill>
              <w14:schemeClr w14:val="tx1"/>
            </w14:solidFill>
          </w14:textFill>
        </w:rPr>
        <w:t xml:space="preserve"> m</w:t>
      </w:r>
      <w:r>
        <w:rPr>
          <w:rFonts w:ascii="Times New Roman" w:hAnsi="Times New Roman"/>
          <w:color w:val="000000" w:themeColor="text1"/>
          <w:sz w:val="24"/>
          <w:szCs w:val="24"/>
          <w14:textFill>
            <w14:solidFill>
              <w14:schemeClr w14:val="tx1"/>
            </w14:solidFill>
          </w14:textFill>
        </w:rPr>
        <w:t>arketing activities in India. Further, this report, accounts for the market mixing</w:t>
      </w:r>
      <w:r>
        <w:rPr>
          <w:rFonts w:hint="eastAsia" w:ascii="Times New Roman" w:hAnsi="Times New Roman"/>
          <w:color w:val="000000" w:themeColor="text1"/>
          <w:sz w:val="24"/>
          <w:szCs w:val="24"/>
          <w14:textFill>
            <w14:solidFill>
              <w14:schemeClr w14:val="tx1"/>
            </w14:solidFill>
          </w14:textFill>
        </w:rPr>
        <w:t xml:space="preserve"> </w:t>
      </w:r>
      <w:r>
        <w:rPr>
          <w:rFonts w:ascii="Times New Roman" w:hAnsi="Times New Roman"/>
          <w:color w:val="000000" w:themeColor="text1"/>
          <w:sz w:val="24"/>
          <w:szCs w:val="24"/>
          <w14:textFill>
            <w14:solidFill>
              <w14:schemeClr w14:val="tx1"/>
            </w14:solidFill>
          </w14:textFill>
        </w:rPr>
        <w:t>activities through which the company can deploy to succeed in the new market. Besides, the report discusses proper methods for market entry in new businesses. In addition, the report examines the key cultural forces that have influenced the industry in the efforts of</w:t>
      </w:r>
      <w:r>
        <w:rPr>
          <w:rFonts w:hint="eastAsia" w:ascii="Times New Roman" w:hAnsi="Times New Roman"/>
          <w:color w:val="000000" w:themeColor="text1"/>
          <w:sz w:val="24"/>
          <w:szCs w:val="24"/>
          <w14:textFill>
            <w14:solidFill>
              <w14:schemeClr w14:val="tx1"/>
            </w14:solidFill>
          </w14:textFill>
        </w:rPr>
        <w:t xml:space="preserve"> </w:t>
      </w:r>
      <w:r>
        <w:rPr>
          <w:rFonts w:ascii="Times New Roman" w:hAnsi="Times New Roman"/>
          <w:color w:val="000000" w:themeColor="text1"/>
          <w:sz w:val="24"/>
          <w:szCs w:val="24"/>
          <w14:textFill>
            <w14:solidFill>
              <w14:schemeClr w14:val="tx1"/>
            </w14:solidFill>
          </w14:textFill>
        </w:rPr>
        <w:t>standardizing or adapting their products in the new market</w:t>
      </w:r>
      <w:r>
        <w:rPr>
          <w:rFonts w:ascii="Times New Roman" w:hAnsi="Times New Roman"/>
          <w:color w:val="000000" w:themeColor="text1"/>
          <w:sz w:val="24"/>
          <w:szCs w:val="24"/>
          <w14:textFill>
            <w14:solidFill>
              <w14:schemeClr w14:val="tx1"/>
            </w14:solidFill>
          </w14:textFill>
        </w:rPr>
        <w:t>.  In addition, the report examines market entry methods for TWB in Indian beer market.</w:t>
      </w:r>
      <w:r>
        <w:rPr>
          <w:rFonts w:ascii="Times New Roman" w:hAnsi="Times New Roman"/>
          <w:color w:val="000000" w:themeColor="text1"/>
          <w:sz w:val="24"/>
          <w:szCs w:val="24"/>
          <w14:textFill>
            <w14:solidFill>
              <w14:schemeClr w14:val="tx1"/>
            </w14:solidFill>
          </w14:textFill>
        </w:rPr>
        <w:t xml:space="preserve"> Similarly, this report provides the</w:t>
      </w:r>
      <w:r>
        <w:rPr>
          <w:rFonts w:hint="eastAsia" w:ascii="Times New Roman" w:hAnsi="Times New Roman"/>
          <w:color w:val="000000" w:themeColor="text1"/>
          <w:sz w:val="24"/>
          <w:szCs w:val="24"/>
          <w14:textFill>
            <w14:solidFill>
              <w14:schemeClr w14:val="tx1"/>
            </w14:solidFill>
          </w14:textFill>
        </w:rPr>
        <w:t xml:space="preserve"> </w:t>
      </w:r>
      <w:r>
        <w:rPr>
          <w:rFonts w:ascii="Times New Roman" w:hAnsi="Times New Roman"/>
          <w:color w:val="000000" w:themeColor="text1"/>
          <w:sz w:val="24"/>
          <w:szCs w:val="24"/>
          <w14:textFill>
            <w14:solidFill>
              <w14:schemeClr w14:val="tx1"/>
            </w14:solidFill>
          </w14:textFill>
        </w:rPr>
        <w:t>ways through which other related brewery industries have effectively managed to venture in the</w:t>
      </w:r>
      <w:r>
        <w:rPr>
          <w:rFonts w:hint="eastAsia" w:ascii="Times New Roman" w:hAnsi="Times New Roman"/>
          <w:color w:val="000000" w:themeColor="text1"/>
          <w:sz w:val="24"/>
          <w:szCs w:val="24"/>
          <w14:textFill>
            <w14:solidFill>
              <w14:schemeClr w14:val="tx1"/>
            </w14:solidFill>
          </w14:textFill>
        </w:rPr>
        <w:t xml:space="preserve"> </w:t>
      </w:r>
      <w:r>
        <w:rPr>
          <w:rFonts w:ascii="Times New Roman" w:hAnsi="Times New Roman"/>
          <w:color w:val="000000" w:themeColor="text1"/>
          <w:sz w:val="24"/>
          <w:szCs w:val="24"/>
          <w14:textFill>
            <w14:solidFill>
              <w14:schemeClr w14:val="tx1"/>
            </w14:solidFill>
          </w14:textFill>
        </w:rPr>
        <w:t>world market as well as accounting the challenges they encountered during these actions.</w:t>
      </w:r>
      <w:r>
        <w:rPr>
          <w:rFonts w:hint="eastAsia" w:ascii="Times New Roman" w:hAnsi="Times New Roman"/>
          <w:color w:val="000000" w:themeColor="text1"/>
          <w:sz w:val="24"/>
          <w:szCs w:val="24"/>
          <w14:textFill>
            <w14:solidFill>
              <w14:schemeClr w14:val="tx1"/>
            </w14:solidFill>
          </w14:textFill>
        </w:rPr>
        <w:t xml:space="preserve"> </w:t>
      </w:r>
      <w:r>
        <w:rPr>
          <w:rFonts w:ascii="Times New Roman" w:hAnsi="Times New Roman"/>
          <w:color w:val="000000" w:themeColor="text1"/>
          <w:sz w:val="24"/>
          <w:szCs w:val="24"/>
          <w14:textFill>
            <w14:solidFill>
              <w14:schemeClr w14:val="tx1"/>
            </w14:solidFill>
          </w14:textFill>
        </w:rPr>
        <w:t>Therefore, in the attempt to successfully venture in India beer markets, TWB</w:t>
      </w:r>
      <w:r>
        <w:rPr>
          <w:rFonts w:hint="eastAsia" w:ascii="Times New Roman" w:hAnsi="Times New Roman"/>
          <w:color w:val="000000" w:themeColor="text1"/>
          <w:sz w:val="24"/>
          <w:szCs w:val="24"/>
          <w14:textFill>
            <w14:solidFill>
              <w14:schemeClr w14:val="tx1"/>
            </w14:solidFill>
          </w14:textFill>
        </w:rPr>
        <w:t xml:space="preserve"> </w:t>
      </w:r>
      <w:r>
        <w:rPr>
          <w:rFonts w:ascii="Times New Roman" w:hAnsi="Times New Roman"/>
          <w:color w:val="000000" w:themeColor="text1"/>
          <w:sz w:val="24"/>
          <w:szCs w:val="24"/>
          <w14:textFill>
            <w14:solidFill>
              <w14:schemeClr w14:val="tx1"/>
            </w14:solidFill>
          </w14:textFill>
        </w:rPr>
        <w:t>Company should employ market mixing strategies for the company to succeed in the new</w:t>
      </w:r>
      <w:r>
        <w:rPr>
          <w:rFonts w:hint="eastAsia" w:ascii="Times New Roman" w:hAnsi="Times New Roman"/>
          <w:color w:val="000000" w:themeColor="text1"/>
          <w:sz w:val="24"/>
          <w:szCs w:val="24"/>
          <w14:textFill>
            <w14:solidFill>
              <w14:schemeClr w14:val="tx1"/>
            </w14:solidFill>
          </w14:textFill>
        </w:rPr>
        <w:t xml:space="preserve"> </w:t>
      </w:r>
      <w:r>
        <w:rPr>
          <w:rFonts w:ascii="Times New Roman" w:hAnsi="Times New Roman"/>
          <w:color w:val="000000" w:themeColor="text1"/>
          <w:sz w:val="24"/>
          <w:szCs w:val="24"/>
          <w14:textFill>
            <w14:solidFill>
              <w14:schemeClr w14:val="tx1"/>
            </w14:solidFill>
          </w14:textFill>
        </w:rPr>
        <w:t>environment.</w:t>
      </w: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sdt>
      <w:sdtPr>
        <w:rPr>
          <w:rFonts w:ascii="Arial" w:hAnsi="Arial" w:eastAsia="Times New Roman" w:cs="Times New Roman"/>
          <w:color w:val="000000" w:themeColor="text1"/>
          <w:sz w:val="22"/>
          <w:szCs w:val="20"/>
          <w:lang w:val="en-GB" w:eastAsia="en-GB"/>
          <w14:textFill>
            <w14:solidFill>
              <w14:schemeClr w14:val="tx1"/>
            </w14:solidFill>
          </w14:textFill>
        </w:rPr>
        <w:id w:val="288554502"/>
        <w:docPartObj>
          <w:docPartGallery w:val="Table of Contents"/>
          <w:docPartUnique/>
        </w:docPartObj>
      </w:sdtPr>
      <w:sdtEndPr>
        <w:rPr>
          <w:rFonts w:ascii="Arial" w:hAnsi="Arial" w:eastAsia="Times New Roman" w:cs="Times New Roman"/>
          <w:bCs/>
          <w:color w:val="000000" w:themeColor="text1"/>
          <w:sz w:val="22"/>
          <w:szCs w:val="20"/>
          <w:lang w:val="en-GB" w:eastAsia="en-GB"/>
          <w14:textFill>
            <w14:solidFill>
              <w14:schemeClr w14:val="tx1"/>
            </w14:solidFill>
          </w14:textFill>
        </w:rPr>
      </w:sdtEndPr>
      <w:sdtContent>
        <w:p>
          <w:pPr>
            <w:pStyle w:val="11"/>
            <w:jc w:val="both"/>
            <w:rPr>
              <w:rFonts w:ascii="Times New Roman" w:hAnsi="Times New Roman" w:cs="Times New Roman"/>
              <w:b/>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Contents</w:t>
          </w:r>
        </w:p>
        <w:p>
          <w:pPr>
            <w:pStyle w:val="6"/>
            <w:tabs>
              <w:tab w:val="right" w:leader="dot" w:pos="9350"/>
            </w:tabs>
            <w:rPr>
              <w:rFonts w:asciiTheme="minorHAnsi" w:hAnsiTheme="minorHAnsi" w:eastAsiaTheme="minorEastAsia" w:cstheme="minorBidi"/>
              <w:color w:val="000000" w:themeColor="text1"/>
              <w:szCs w:val="22"/>
              <w:lang w:val="en-US" w:eastAsia="en-US"/>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TOC \o "1-3" \h \z \u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"_Toc7519410" </w:instrText>
          </w:r>
          <w:r>
            <w:rPr>
              <w:color w:val="000000" w:themeColor="text1"/>
              <w14:textFill>
                <w14:solidFill>
                  <w14:schemeClr w14:val="tx1"/>
                </w14:solidFill>
              </w14:textFill>
            </w:rPr>
            <w:fldChar w:fldCharType="separate"/>
          </w:r>
          <w:r>
            <w:rPr>
              <w:rStyle w:val="9"/>
              <w:rFonts w:ascii="Times New Roman" w:hAnsi="Times New Roman"/>
              <w:b/>
              <w:color w:val="000000" w:themeColor="text1"/>
              <w14:textFill>
                <w14:solidFill>
                  <w14:schemeClr w14:val="tx1"/>
                </w14:solidFill>
              </w14:textFill>
            </w:rPr>
            <w:t>Executive Summary</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_Toc7519410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2</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tabs>
              <w:tab w:val="right" w:leader="dot" w:pos="9350"/>
            </w:tabs>
            <w:rPr>
              <w:rFonts w:asciiTheme="minorHAnsi" w:hAnsiTheme="minorHAnsi" w:eastAsiaTheme="minorEastAsia" w:cstheme="minorBidi"/>
              <w:color w:val="000000" w:themeColor="text1"/>
              <w:szCs w:val="22"/>
              <w:lang w:val="en-US" w:eastAsia="en-US"/>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"_Toc7519411" </w:instrText>
          </w:r>
          <w:r>
            <w:rPr>
              <w:color w:val="000000" w:themeColor="text1"/>
              <w14:textFill>
                <w14:solidFill>
                  <w14:schemeClr w14:val="tx1"/>
                </w14:solidFill>
              </w14:textFill>
            </w:rPr>
            <w:fldChar w:fldCharType="separate"/>
          </w:r>
          <w:r>
            <w:rPr>
              <w:rStyle w:val="9"/>
              <w:rFonts w:ascii="Times New Roman" w:hAnsi="Times New Roman"/>
              <w:b/>
              <w:color w:val="000000" w:themeColor="text1"/>
              <w14:textFill>
                <w14:solidFill>
                  <w14:schemeClr w14:val="tx1"/>
                </w14:solidFill>
              </w14:textFill>
            </w:rPr>
            <w:t>1.0 Introduction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_Toc7519411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tabs>
              <w:tab w:val="right" w:leader="dot" w:pos="9350"/>
            </w:tabs>
            <w:rPr>
              <w:rFonts w:asciiTheme="minorHAnsi" w:hAnsiTheme="minorHAnsi" w:eastAsiaTheme="minorEastAsia" w:cstheme="minorBidi"/>
              <w:color w:val="000000" w:themeColor="text1"/>
              <w:szCs w:val="22"/>
              <w:lang w:val="en-US" w:eastAsia="en-US"/>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"_Toc7519412" </w:instrText>
          </w:r>
          <w:r>
            <w:rPr>
              <w:color w:val="000000" w:themeColor="text1"/>
              <w14:textFill>
                <w14:solidFill>
                  <w14:schemeClr w14:val="tx1"/>
                </w14:solidFill>
              </w14:textFill>
            </w:rPr>
            <w:fldChar w:fldCharType="separate"/>
          </w:r>
          <w:r>
            <w:rPr>
              <w:rStyle w:val="9"/>
              <w:rFonts w:ascii="Times New Roman" w:hAnsi="Times New Roman"/>
              <w:b/>
              <w:color w:val="000000" w:themeColor="text1"/>
              <w14:textFill>
                <w14:solidFill>
                  <w14:schemeClr w14:val="tx1"/>
                </w14:solidFill>
              </w14:textFill>
            </w:rPr>
            <w:t>2.0 Market Mixing Strategies and methods that Tomos Watkin Brewery Should Put in Place to Prosper in the Market Industry in India</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_Toc7519412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4</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tabs>
              <w:tab w:val="right" w:leader="dot" w:pos="9350"/>
            </w:tabs>
            <w:rPr>
              <w:rFonts w:asciiTheme="minorHAnsi" w:hAnsiTheme="minorHAnsi" w:eastAsiaTheme="minorEastAsia" w:cstheme="minorBidi"/>
              <w:color w:val="000000" w:themeColor="text1"/>
              <w:szCs w:val="22"/>
              <w:lang w:val="en-US" w:eastAsia="en-US"/>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"_Toc7519413" </w:instrText>
          </w:r>
          <w:r>
            <w:rPr>
              <w:color w:val="000000" w:themeColor="text1"/>
              <w14:textFill>
                <w14:solidFill>
                  <w14:schemeClr w14:val="tx1"/>
                </w14:solidFill>
              </w14:textFill>
            </w:rPr>
            <w:fldChar w:fldCharType="separate"/>
          </w:r>
          <w:r>
            <w:rPr>
              <w:rStyle w:val="9"/>
              <w:rFonts w:ascii="Times New Roman" w:hAnsi="Times New Roman"/>
              <w:b/>
              <w:color w:val="000000" w:themeColor="text1"/>
              <w14:textFill>
                <w14:solidFill>
                  <w14:schemeClr w14:val="tx1"/>
                </w14:solidFill>
              </w14:textFill>
            </w:rPr>
            <w:t>3.0 Key Cultural Forces that Influence Tomos Watkin Brewery (TWB) to Standardize or Adapt their Products</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_Toc7519413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7</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tabs>
              <w:tab w:val="right" w:leader="dot" w:pos="9350"/>
            </w:tabs>
            <w:rPr>
              <w:rFonts w:asciiTheme="minorHAnsi" w:hAnsiTheme="minorHAnsi" w:eastAsiaTheme="minorEastAsia" w:cstheme="minorBidi"/>
              <w:color w:val="000000" w:themeColor="text1"/>
              <w:szCs w:val="22"/>
              <w:lang w:val="en-US" w:eastAsia="en-US"/>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"_Toc7519414" </w:instrText>
          </w:r>
          <w:r>
            <w:rPr>
              <w:color w:val="000000" w:themeColor="text1"/>
              <w14:textFill>
                <w14:solidFill>
                  <w14:schemeClr w14:val="tx1"/>
                </w14:solidFill>
              </w14:textFill>
            </w:rPr>
            <w:fldChar w:fldCharType="separate"/>
          </w:r>
          <w:r>
            <w:rPr>
              <w:rStyle w:val="9"/>
              <w:rFonts w:ascii="Times New Roman" w:hAnsi="Times New Roman"/>
              <w:b/>
              <w:color w:val="000000" w:themeColor="text1"/>
              <w14:textFill>
                <w14:solidFill>
                  <w14:schemeClr w14:val="tx1"/>
                </w14:solidFill>
              </w14:textFill>
            </w:rPr>
            <w:t>4.0 Recommendation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_Toc7519414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10</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pStyle w:val="6"/>
            <w:tabs>
              <w:tab w:val="right" w:leader="dot" w:pos="9350"/>
            </w:tabs>
            <w:rPr>
              <w:rFonts w:asciiTheme="minorHAnsi" w:hAnsiTheme="minorHAnsi" w:eastAsiaTheme="minorEastAsia" w:cstheme="minorBidi"/>
              <w:color w:val="000000" w:themeColor="text1"/>
              <w:szCs w:val="22"/>
              <w:lang w:val="en-US" w:eastAsia="en-US"/>
              <w14:textFill>
                <w14:solidFill>
                  <w14:schemeClr w14:val="tx1"/>
                </w14:solidFill>
              </w14:textFill>
            </w:rPr>
          </w:pP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\l "_Toc7519415" </w:instrText>
          </w:r>
          <w:r>
            <w:rPr>
              <w:color w:val="000000" w:themeColor="text1"/>
              <w14:textFill>
                <w14:solidFill>
                  <w14:schemeClr w14:val="tx1"/>
                </w14:solidFill>
              </w14:textFill>
            </w:rPr>
            <w:fldChar w:fldCharType="separate"/>
          </w:r>
          <w:r>
            <w:rPr>
              <w:rStyle w:val="9"/>
              <w:rFonts w:ascii="Times New Roman" w:hAnsi="Times New Roman"/>
              <w:b/>
              <w:color w:val="000000" w:themeColor="text1"/>
              <w14:textFill>
                <w14:solidFill>
                  <w14:schemeClr w14:val="tx1"/>
                </w14:solidFill>
              </w14:textFill>
            </w:rPr>
            <w:t>5.0 Conclusion</w:t>
          </w:r>
          <w:r>
            <w:rPr>
              <w:color w:val="000000" w:themeColor="text1"/>
              <w14:textFill>
                <w14:solidFill>
                  <w14:schemeClr w14:val="tx1"/>
                </w14:solidFill>
              </w14:textFill>
            </w:rPr>
            <w:tab/>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PAGEREF _Toc7519415 \h </w:instrText>
          </w:r>
          <w:r>
            <w:rPr>
              <w:color w:val="000000" w:themeColor="text1"/>
              <w14:textFill>
                <w14:solidFill>
                  <w14:schemeClr w14:val="tx1"/>
                </w14:solidFill>
              </w14:textFill>
            </w:rPr>
            <w:fldChar w:fldCharType="separate"/>
          </w:r>
          <w:r>
            <w:rPr>
              <w:color w:val="000000" w:themeColor="text1"/>
              <w14:textFill>
                <w14:solidFill>
                  <w14:schemeClr w14:val="tx1"/>
                </w14:solidFill>
              </w14:textFill>
            </w:rPr>
            <w:t>11</w:t>
          </w:r>
          <w:r>
            <w:rPr>
              <w:color w:val="000000" w:themeColor="text1"/>
              <w14:textFill>
                <w14:solidFill>
                  <w14:schemeClr w14:val="tx1"/>
                </w14:solidFill>
              </w14:textFill>
            </w:rPr>
            <w:fldChar w:fldCharType="end"/>
          </w:r>
          <w:r>
            <w:rPr>
              <w:color w:val="000000" w:themeColor="text1"/>
              <w14:textFill>
                <w14:solidFill>
                  <w14:schemeClr w14:val="tx1"/>
                </w14:solidFill>
              </w14:textFill>
            </w:rPr>
            <w:fldChar w:fldCharType="end"/>
          </w:r>
        </w:p>
        <w:p>
          <w:pPr>
            <w:jc w:val="both"/>
            <w:rPr>
              <w:color w:val="000000" w:themeColor="text1"/>
              <w14:textFill>
                <w14:solidFill>
                  <w14:schemeClr w14:val="tx1"/>
                </w14:solidFill>
              </w14:textFill>
            </w:rPr>
          </w:pPr>
          <w:r>
            <w:rPr>
              <w:bCs/>
              <w:color w:val="000000" w:themeColor="text1"/>
              <w14:textFill>
                <w14:solidFill>
                  <w14:schemeClr w14:val="tx1"/>
                </w14:solidFill>
              </w14:textFill>
            </w:rPr>
            <w:fldChar w:fldCharType="end"/>
          </w:r>
        </w:p>
      </w:sdtContent>
    </w:sdt>
    <w:p>
      <w:pPr>
        <w:tabs>
          <w:tab w:val="left" w:pos="3795"/>
        </w:tabs>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ab/>
      </w: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pStyle w:val="2"/>
        <w:jc w:val="both"/>
        <w:rPr>
          <w:rFonts w:ascii="Times New Roman" w:hAnsi="Times New Roman" w:eastAsia="Times New Roman" w:cs="Times New Roman"/>
          <w:color w:val="000000" w:themeColor="text1"/>
          <w:sz w:val="24"/>
          <w:szCs w:val="24"/>
          <w14:textFill>
            <w14:solidFill>
              <w14:schemeClr w14:val="tx1"/>
            </w14:solidFill>
          </w14:textFill>
        </w:rPr>
      </w:pPr>
    </w:p>
    <w:p>
      <w:pPr>
        <w:jc w:val="both"/>
        <w:rPr>
          <w:color w:val="000000" w:themeColor="text1"/>
          <w14:textFill>
            <w14:solidFill>
              <w14:schemeClr w14:val="tx1"/>
            </w14:solidFill>
          </w14:textFill>
        </w:rPr>
      </w:pPr>
    </w:p>
    <w:p>
      <w:pPr>
        <w:jc w:val="both"/>
        <w:rPr>
          <w:color w:val="000000" w:themeColor="text1"/>
          <w14:textFill>
            <w14:solidFill>
              <w14:schemeClr w14:val="tx1"/>
            </w14:solidFill>
          </w14:textFill>
        </w:rPr>
      </w:pPr>
    </w:p>
    <w:p>
      <w:pPr>
        <w:jc w:val="both"/>
        <w:rPr>
          <w:color w:val="000000" w:themeColor="text1"/>
          <w14:textFill>
            <w14:solidFill>
              <w14:schemeClr w14:val="tx1"/>
            </w14:solidFill>
          </w14:textFill>
        </w:rPr>
      </w:pPr>
    </w:p>
    <w:p>
      <w:pPr>
        <w:jc w:val="both"/>
        <w:rPr>
          <w:color w:val="000000" w:themeColor="text1"/>
          <w14:textFill>
            <w14:solidFill>
              <w14:schemeClr w14:val="tx1"/>
            </w14:solidFill>
          </w14:textFill>
        </w:rPr>
      </w:pPr>
    </w:p>
    <w:p>
      <w:pPr>
        <w:jc w:val="both"/>
        <w:rPr>
          <w:color w:val="000000" w:themeColor="text1"/>
          <w14:textFill>
            <w14:solidFill>
              <w14:schemeClr w14:val="tx1"/>
            </w14:solidFill>
          </w14:textFill>
        </w:rPr>
      </w:pPr>
    </w:p>
    <w:p>
      <w:pPr>
        <w:jc w:val="both"/>
        <w:rPr>
          <w:color w:val="000000" w:themeColor="text1"/>
          <w14:textFill>
            <w14:solidFill>
              <w14:schemeClr w14:val="tx1"/>
            </w14:solidFill>
          </w14:textFill>
        </w:rPr>
      </w:pPr>
    </w:p>
    <w:p>
      <w:pPr>
        <w:jc w:val="both"/>
        <w:rPr>
          <w:color w:val="000000" w:themeColor="text1"/>
          <w14:textFill>
            <w14:solidFill>
              <w14:schemeClr w14:val="tx1"/>
            </w14:solidFill>
          </w14:textFill>
        </w:rPr>
      </w:pPr>
    </w:p>
    <w:p>
      <w:pPr>
        <w:jc w:val="both"/>
        <w:rPr>
          <w:color w:val="000000" w:themeColor="text1"/>
          <w14:textFill>
            <w14:solidFill>
              <w14:schemeClr w14:val="tx1"/>
            </w14:solidFill>
          </w14:textFill>
        </w:rPr>
      </w:pPr>
    </w:p>
    <w:p>
      <w:pPr>
        <w:jc w:val="both"/>
        <w:rPr>
          <w:color w:val="000000" w:themeColor="text1"/>
          <w14:textFill>
            <w14:solidFill>
              <w14:schemeClr w14:val="tx1"/>
            </w14:solidFill>
          </w14:textFill>
        </w:rPr>
      </w:pPr>
    </w:p>
    <w:p>
      <w:pPr>
        <w:jc w:val="both"/>
        <w:rPr>
          <w:color w:val="000000" w:themeColor="text1"/>
          <w14:textFill>
            <w14:solidFill>
              <w14:schemeClr w14:val="tx1"/>
            </w14:solidFill>
          </w14:textFill>
        </w:rPr>
      </w:pPr>
    </w:p>
    <w:p>
      <w:pPr>
        <w:jc w:val="both"/>
        <w:rPr>
          <w:color w:val="000000" w:themeColor="text1"/>
          <w14:textFill>
            <w14:solidFill>
              <w14:schemeClr w14:val="tx1"/>
            </w14:solidFill>
          </w14:textFill>
        </w:rPr>
      </w:pPr>
    </w:p>
    <w:p>
      <w:pPr>
        <w:jc w:val="both"/>
        <w:rPr>
          <w:color w:val="000000" w:themeColor="text1"/>
          <w14:textFill>
            <w14:solidFill>
              <w14:schemeClr w14:val="tx1"/>
            </w14:solidFill>
          </w14:textFill>
        </w:rPr>
      </w:pPr>
    </w:p>
    <w:p>
      <w:pPr>
        <w:pStyle w:val="2"/>
        <w:jc w:val="both"/>
        <w:rPr>
          <w:rFonts w:ascii="Times New Roman" w:hAnsi="Times New Roman" w:cs="Times New Roman"/>
          <w:b/>
          <w:color w:val="000000" w:themeColor="text1"/>
          <w:sz w:val="24"/>
          <w:szCs w:val="24"/>
          <w14:textFill>
            <w14:solidFill>
              <w14:schemeClr w14:val="tx1"/>
            </w14:solidFill>
          </w14:textFill>
        </w:rPr>
      </w:pPr>
      <w:bookmarkStart w:id="2" w:name="_Toc7519411"/>
      <w:r>
        <w:rPr>
          <w:rFonts w:ascii="Times New Roman" w:hAnsi="Times New Roman" w:cs="Times New Roman"/>
          <w:b/>
          <w:color w:val="000000" w:themeColor="text1"/>
          <w:sz w:val="24"/>
          <w:szCs w:val="24"/>
          <w14:textFill>
            <w14:solidFill>
              <w14:schemeClr w14:val="tx1"/>
            </w14:solidFill>
          </w14:textFill>
        </w:rPr>
        <w:t>1.0 Introduction</w:t>
      </w:r>
      <w:bookmarkEnd w:id="2"/>
    </w:p>
    <w:p>
      <w:pPr>
        <w:jc w:val="both"/>
        <w:rPr>
          <w:color w:val="000000" w:themeColor="text1"/>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 xml:space="preserve">Generally, market mixing strategies can be defined as the plans that an organisation put in place to introduce their products and services in a new market. In other words, market mixing strategies account for efficient methods and tactics that industry uses to promote their products in the market industry. In this case, industries majorly account in establishing efficient strategic plans that will make the organisation to prosper in the market industry. For instance, an organisation may consider several aspects in terms of marketing cost, different modes of products and service delivery as well as the barriers that can alter the entry in the new market. Market mixing accounts that an organisation should consider the types of products that the company wish to promote in the new market as well as the location by which the industry prefers to establish its outlets. Besides, a firm should heavily consider the aspects of price and promotion strategies for them to be effective in their new market. In this case, companies like Tomos Watkin Brewery (TWB) are set to distinguish several aspects that will enable the management to deliver their services across various countries effectively.  </w:t>
      </w:r>
      <w:r>
        <w:rPr>
          <w:rFonts w:ascii="Times New Roman" w:hAnsi="Times New Roman"/>
          <w:color w:val="000000" w:themeColor="text1"/>
          <w:sz w:val="24"/>
          <w:szCs w:val="24"/>
          <w14:textFill>
            <w14:solidFill>
              <w14:schemeClr w14:val="tx1"/>
            </w14:solidFill>
          </w14:textFill>
        </w:rPr>
        <w:t>Watkin Brewery should put in place to prosper in the market industry in India. Besides, the report, in this context, the organisation has found it efficient and relatively cheap to open up its store in India. Therefore, this report examines the market mixing strategies that Tomos Watkin Brewery should adapt to venture in Indian market. Besides, the report examines market entry methods that TWB adopted to enter the Indian beer market.</w:t>
      </w:r>
    </w:p>
    <w:p>
      <w:pPr>
        <w:pStyle w:val="2"/>
        <w:jc w:val="both"/>
        <w:rPr>
          <w:rFonts w:ascii="Times New Roman" w:hAnsi="Times New Roman" w:cs="Times New Roman"/>
          <w:b/>
          <w:color w:val="000000" w:themeColor="text1"/>
          <w:sz w:val="24"/>
          <w:szCs w:val="24"/>
          <w14:textFill>
            <w14:solidFill>
              <w14:schemeClr w14:val="tx1"/>
            </w14:solidFill>
          </w14:textFill>
        </w:rPr>
      </w:pPr>
      <w:bookmarkStart w:id="3" w:name="_Toc7519412"/>
      <w:r>
        <w:rPr>
          <w:rFonts w:ascii="Times New Roman" w:hAnsi="Times New Roman" w:cs="Times New Roman"/>
          <w:b/>
          <w:color w:val="000000" w:themeColor="text1"/>
          <w:sz w:val="24"/>
          <w:szCs w:val="24"/>
          <w14:textFill>
            <w14:solidFill>
              <w14:schemeClr w14:val="tx1"/>
            </w14:solidFill>
          </w14:textFill>
        </w:rPr>
        <w:t>2.0 Market Mixing Strategies and methods that Tomos Watkin Brewery Should Put in Place to Prosper in the Market Industry in India</w:t>
      </w:r>
      <w:bookmarkEnd w:id="3"/>
    </w:p>
    <w:p>
      <w:pPr>
        <w:jc w:val="both"/>
        <w:rPr>
          <w:color w:val="000000" w:themeColor="text1"/>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Concerning the market mixing strategies that the management of TWB Company has deployed, the model of direct exportation has been a significant concern with the company. In essence, the company has enforced Foreign Direct Investment (FDI) in India. Through FDI, TWB got familiar to market strategies that Indian beer markets put in place to operate efficien</w:t>
      </w:r>
      <w:r>
        <w:rPr>
          <w:rFonts w:ascii="Times New Roman" w:hAnsi="Times New Roman"/>
          <w:color w:val="000000" w:themeColor="text1"/>
          <w:sz w:val="24"/>
          <w:szCs w:val="24"/>
          <w14:textFill>
            <w14:solidFill>
              <w14:schemeClr w14:val="tx1"/>
            </w14:solidFill>
          </w14:textFill>
        </w:rPr>
        <w:t>tly. Further, the management found it cheap to deliver different varieties of beer products across India. The managing directors of the company decided to implement direct exportation which was relatively friendly in terms of transport and delivery cost in India (</w:t>
      </w:r>
      <w:r>
        <w:rPr>
          <w:rFonts w:ascii="Times New Roman" w:hAnsi="Times New Roman"/>
          <w:color w:val="000000" w:themeColor="text1"/>
          <w:sz w:val="24"/>
          <w:szCs w:val="24"/>
          <w:shd w:val="clear" w:color="auto" w:fill="FFFFFF"/>
          <w14:textFill>
            <w14:solidFill>
              <w14:schemeClr w14:val="tx1"/>
            </w14:solidFill>
          </w14:textFill>
        </w:rPr>
        <w:t>Bahadir, Bharadwaj, and Srivastava 2015)</w:t>
      </w:r>
      <w:r>
        <w:rPr>
          <w:rFonts w:ascii="Times New Roman" w:hAnsi="Times New Roman"/>
          <w:color w:val="000000" w:themeColor="text1"/>
          <w:sz w:val="24"/>
          <w:szCs w:val="24"/>
          <w14:textFill>
            <w14:solidFill>
              <w14:schemeClr w14:val="tx1"/>
            </w14:solidFill>
          </w14:textFill>
        </w:rPr>
        <w:t>. This was because the managing body had qualified person and agents in India who adversely influenced the distribution of beer products in their new environment. This method of market entry requires the organisation to profoundly involve in extensive promotion services as a market mixing aspect to ensure that the various brands of beer products are capable known in their new market. Another element that the managing body of the company should enforce to successfully entire into the market is that organisation should collaborate with other industries that currently exist in the industry in an attempt of penetrating in the market. In this case, the industry can decide to establish collective strategic alliances with these industries or by merely engaging in a simple market arrangement</w:t>
      </w:r>
      <w:r>
        <w:rPr>
          <w:rFonts w:ascii="Times New Roman" w:hAnsi="Times New Roman"/>
          <w:color w:val="000000" w:themeColor="text1"/>
          <w:sz w:val="24"/>
          <w:szCs w:val="24"/>
          <w:shd w:val="clear" w:color="auto" w:fill="FFFFFF"/>
          <w14:textFill>
            <w14:solidFill>
              <w14:schemeClr w14:val="tx1"/>
            </w14:solidFill>
          </w14:textFill>
        </w:rPr>
        <w:t xml:space="preserve"> (Jeanpert, and Paché 2016)</w:t>
      </w:r>
      <w:r>
        <w:rPr>
          <w:rFonts w:ascii="Times New Roman" w:hAnsi="Times New Roman"/>
          <w:color w:val="000000" w:themeColor="text1"/>
          <w:sz w:val="24"/>
          <w:szCs w:val="24"/>
          <w14:textFill>
            <w14:solidFill>
              <w14:schemeClr w14:val="tx1"/>
            </w14:solidFill>
          </w14:textFill>
        </w:rPr>
        <w:t xml:space="preserve">. The need of this partnership is that the organisation can undoubtedly win loyalty and trust of customers in the market, therefore, helping the organisation to effectively align with the market values and culture in their new environment. </w:t>
      </w:r>
      <w:r>
        <w:rPr>
          <w:rFonts w:ascii="Times New Roman" w:hAnsi="Times New Roman"/>
          <w:color w:val="000000" w:themeColor="text1"/>
          <w:sz w:val="24"/>
          <w:szCs w:val="24"/>
          <w14:textFill>
            <w14:solidFill>
              <w14:schemeClr w14:val="tx1"/>
            </w14:solidFill>
          </w14:textFill>
        </w:rPr>
        <w:t xml:space="preserve">Additionally, TWB adapted and standardised the 7Ps including price, physical evidence, people, product, promotion, place and process in relation to Indian market rules. TWB adapted the normal prices as well as standardising promotion to attract more customers. Further, Places of work were renovated for to fit people’s preferences and likes. Moreover, products were standardised to match with those of Indian companies with adaption of the physical appearance. TWB also adapted beer processing methods that Indian companies used to convince Indian residents for similar products with higher quality. As a result, these 7Ps adaption and standardization gave TWB proper market mixing methods that the organisation considered for efficient operation. Therefore, the organisation should setup prices that accept the culture and values of the citizens in the new market. </w:t>
      </w:r>
    </w:p>
    <w:p>
      <w:pPr>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Buying other industries shares in the new market is another strategy that the organisation should enact to penetrate in the market. In this case, the managing body of TWB Company should be concerned to certify that the industry that it partners with should bring a significant market in the foreign country. Again, the organisation is supposed to partner with companies that provide a good competitive advantage in the market industry</w:t>
      </w:r>
      <w:r>
        <w:rPr>
          <w:rFonts w:ascii="Times New Roman" w:hAnsi="Times New Roman"/>
          <w:color w:val="000000" w:themeColor="text1"/>
          <w:sz w:val="24"/>
          <w:szCs w:val="24"/>
          <w:shd w:val="clear" w:color="auto" w:fill="FFFFFF"/>
          <w14:textFill>
            <w14:solidFill>
              <w14:schemeClr w14:val="tx1"/>
            </w14:solidFill>
          </w14:textFill>
        </w:rPr>
        <w:t xml:space="preserve"> (Gillespie, and Riddle 2015)</w:t>
      </w:r>
      <w:r>
        <w:rPr>
          <w:rFonts w:ascii="Times New Roman" w:hAnsi="Times New Roman"/>
          <w:color w:val="000000" w:themeColor="text1"/>
          <w:sz w:val="24"/>
          <w:szCs w:val="24"/>
          <w14:textFill>
            <w14:solidFill>
              <w14:schemeClr w14:val="tx1"/>
            </w14:solidFill>
          </w14:textFill>
        </w:rPr>
        <w:t>. Therefore, if the organisation is undoubtedly involved in these strategies, there are chances that the sector is extensively engaging in promoting their brands as an aspect of market mixing. This, therefore, will, in turn, increase the awareness to the citizens who can influence the organisation to venture into the market successfully.</w:t>
      </w:r>
    </w:p>
    <w:p>
      <w:pPr>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Similarly, the organisation should account the price of beers as part of market mixing. In this case, the organisation should ensure that all the expenses incurred during acquisition processes are well catered for</w:t>
      </w:r>
      <w:r>
        <w:rPr>
          <w:rFonts w:ascii="Times New Roman" w:hAnsi="Times New Roman"/>
          <w:color w:val="000000" w:themeColor="text1"/>
          <w:sz w:val="24"/>
          <w:szCs w:val="24"/>
          <w:shd w:val="clear" w:color="auto" w:fill="FFFFFF"/>
          <w14:textFill>
            <w14:solidFill>
              <w14:schemeClr w14:val="tx1"/>
            </w14:solidFill>
          </w14:textFill>
        </w:rPr>
        <w:t xml:space="preserve"> (Kraus, Meier, Bouncken, and Schuessler 2016)</w:t>
      </w:r>
      <w:r>
        <w:rPr>
          <w:rFonts w:ascii="Times New Roman" w:hAnsi="Times New Roman"/>
          <w:color w:val="000000" w:themeColor="text1"/>
          <w:sz w:val="24"/>
          <w:szCs w:val="24"/>
          <w14:textFill>
            <w14:solidFill>
              <w14:schemeClr w14:val="tx1"/>
            </w14:solidFill>
          </w14:textFill>
        </w:rPr>
        <w:t xml:space="preserve">. Nevertheless, the management should ensure that the beers produced to reach the standards to the expectations of the customers. Due to this, the management should ensure that the products produced are of unique quality so that to ensure the continued survival of the industry.  </w:t>
      </w:r>
    </w:p>
    <w:p>
      <w:pPr>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Another concept of Greenfield Investment can determine the market entry of TWB Company. Generally, this comprises the processes involved in an organisation to acquire title deed in a new environment. Therefore, this enables the organisation to locate the effective place of establishing their firm, with consideration of different market mixing strategies.</w:t>
      </w: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4" w:name="_Toc7519413"/>
      <w:r>
        <w:rPr>
          <w:rFonts w:ascii="Times New Roman" w:hAnsi="Times New Roman" w:cs="Times New Roman"/>
          <w:b/>
          <w:color w:val="000000" w:themeColor="text1"/>
          <w:sz w:val="24"/>
          <w:szCs w:val="24"/>
          <w14:textFill>
            <w14:solidFill>
              <w14:schemeClr w14:val="tx1"/>
            </w14:solidFill>
          </w14:textFill>
        </w:rPr>
        <w:t>3.0 Key Cultural Forces that Influence Tomos Watkin Brewery (TWB) to Standardize or Adapt their Products</w:t>
      </w:r>
      <w:bookmarkEnd w:id="4"/>
      <w:r>
        <w:rPr>
          <w:rFonts w:ascii="Times New Roman" w:hAnsi="Times New Roman" w:cs="Times New Roman"/>
          <w:b/>
          <w:color w:val="000000" w:themeColor="text1"/>
          <w:sz w:val="24"/>
          <w:szCs w:val="24"/>
          <w14:textFill>
            <w14:solidFill>
              <w14:schemeClr w14:val="tx1"/>
            </w14:solidFill>
          </w14:textFill>
        </w:rPr>
        <w:t xml:space="preserve"> </w:t>
      </w:r>
    </w:p>
    <w:p>
      <w:pPr>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The concepts of product standardisation and adaption play a significant role in the entry of a new market. In this context, product adaption can be defined as the modification process that a company deploys in the methods of reaching consumers' expectations in the new market. Additionally, the process involves the production of new products in the efforts of upgrading the existing products. On the other hand, product standardisation includes the conservation of product features in an attempt of reaching the levels of the new market</w:t>
      </w:r>
      <w:r>
        <w:rPr>
          <w:rFonts w:ascii="Times New Roman" w:hAnsi="Times New Roman"/>
          <w:color w:val="000000" w:themeColor="text1"/>
          <w:sz w:val="24"/>
          <w:szCs w:val="24"/>
          <w:shd w:val="clear" w:color="auto" w:fill="FFFFFF"/>
          <w14:textFill>
            <w14:solidFill>
              <w14:schemeClr w14:val="tx1"/>
            </w14:solidFill>
          </w14:textFill>
        </w:rPr>
        <w:t xml:space="preserve"> (Crane, Kawashima, and Kawasaki 2016)</w:t>
      </w:r>
      <w:r>
        <w:rPr>
          <w:rFonts w:ascii="Times New Roman" w:hAnsi="Times New Roman"/>
          <w:color w:val="000000" w:themeColor="text1"/>
          <w:sz w:val="24"/>
          <w:szCs w:val="24"/>
          <w14:textFill>
            <w14:solidFill>
              <w14:schemeClr w14:val="tx1"/>
            </w14:solidFill>
          </w14:textFill>
        </w:rPr>
        <w:t>. Further, standardisation plays a vital role in the company's development via cost controls, ensuring consistent communications as well as brand management. Nonetheless, significant change or degrees of standardising products may result in negative impacts. Thus, certain minimal levels of standardisation should be embraced for high profits. In this context, numerous cultural factors will significantly influence the way TWB Company will sell its products in its new market. These cultural factors mainly focus on the idea of life of people as well as their religious beliefs. Culture is an important aspect that affects both individuals and society by influencing on their daily activities of buying and selling. For a business to nourish in a new market or a new country, it should learn the new culture and adapt to it. Thus, enterprises enforce product adaption and standardisation to venture smoothly and operate well in the new market</w:t>
      </w:r>
      <w:r>
        <w:rPr>
          <w:rFonts w:ascii="Times New Roman" w:hAnsi="Times New Roman"/>
          <w:color w:val="000000" w:themeColor="text1"/>
          <w:sz w:val="24"/>
          <w:szCs w:val="24"/>
          <w:shd w:val="clear" w:color="auto" w:fill="FFFFFF"/>
          <w14:textFill>
            <w14:solidFill>
              <w14:schemeClr w14:val="tx1"/>
            </w14:solidFill>
          </w14:textFill>
        </w:rPr>
        <w:t xml:space="preserve"> (De Mooij 2018)</w:t>
      </w:r>
      <w:r>
        <w:rPr>
          <w:rFonts w:ascii="Times New Roman" w:hAnsi="Times New Roman"/>
          <w:color w:val="000000" w:themeColor="text1"/>
          <w:sz w:val="24"/>
          <w:szCs w:val="24"/>
          <w14:textFill>
            <w14:solidFill>
              <w14:schemeClr w14:val="tx1"/>
            </w14:solidFill>
          </w14:textFill>
        </w:rPr>
        <w:t>. As a result, there are a good number of cultural factors in India that influences product standardisation as well as adaption.  To start with, Tomos Watkin Brewery Company should come up with appropriate names of naming their brands so that Indian residents can effectively read and pronounce. There are some symbolic culture features that Indians enforce. Thus, TWB should ensure research is done to determine which symbolic features are preferred on products in both countries to enhance consumer satisfaction in terms of brand drawings and labelling</w:t>
      </w:r>
      <w:r>
        <w:rPr>
          <w:rFonts w:ascii="Times New Roman" w:hAnsi="Times New Roman"/>
          <w:color w:val="000000" w:themeColor="text1"/>
          <w:sz w:val="24"/>
          <w:szCs w:val="24"/>
          <w:shd w:val="clear" w:color="auto" w:fill="FFFFFF"/>
          <w14:textFill>
            <w14:solidFill>
              <w14:schemeClr w14:val="tx1"/>
            </w14:solidFill>
          </w14:textFill>
        </w:rPr>
        <w:t xml:space="preserve"> (Kraus, Meier, Bouncken, and Schuessler 2016)</w:t>
      </w:r>
      <w:r>
        <w:rPr>
          <w:rFonts w:ascii="Times New Roman" w:hAnsi="Times New Roman"/>
          <w:color w:val="000000" w:themeColor="text1"/>
          <w:sz w:val="24"/>
          <w:szCs w:val="24"/>
          <w14:textFill>
            <w14:solidFill>
              <w14:schemeClr w14:val="tx1"/>
            </w14:solidFill>
          </w14:textFill>
        </w:rPr>
        <w:t>. In doing this, the company will be of no difference with other organisations that operate domestically. Therefore, the company will draw the majority of consumers towards its new products and services. Consequently, Tomos Watkin Brewery should make sure that the language written on their brand products coincides to that used by the majority of Indian residents</w:t>
      </w:r>
      <w:r>
        <w:rPr>
          <w:rFonts w:ascii="Times New Roman" w:hAnsi="Times New Roman"/>
          <w:color w:val="000000" w:themeColor="text1"/>
          <w:sz w:val="24"/>
          <w:szCs w:val="24"/>
          <w:shd w:val="clear" w:color="auto" w:fill="FFFFFF"/>
          <w14:textFill>
            <w14:solidFill>
              <w14:schemeClr w14:val="tx1"/>
            </w14:solidFill>
          </w14:textFill>
        </w:rPr>
        <w:t xml:space="preserve"> (De Mooij 2018)</w:t>
      </w:r>
      <w:r>
        <w:rPr>
          <w:rFonts w:ascii="Times New Roman" w:hAnsi="Times New Roman"/>
          <w:color w:val="000000" w:themeColor="text1"/>
          <w:sz w:val="24"/>
          <w:szCs w:val="24"/>
          <w14:textFill>
            <w14:solidFill>
              <w14:schemeClr w14:val="tx1"/>
            </w14:solidFill>
          </w14:textFill>
        </w:rPr>
        <w:t xml:space="preserve">. This makes them read and understand the information written on the products efficiently. For instance, the majority of literate people may be encouraged to know the combination of ingredients used in beer production by TWB. As a result, the use of their preferred language will enable them to read effectively. Therefore, the adaption of products and brands concerning the education levels will be enforced and implemented successfully.  </w:t>
      </w:r>
    </w:p>
    <w:p>
      <w:pPr>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Additionally, the company should consider the cultural aspect of religion before it effectively establishes its stores in the new market</w:t>
      </w:r>
      <w:r>
        <w:rPr>
          <w:rFonts w:ascii="Times New Roman" w:hAnsi="Times New Roman"/>
          <w:color w:val="000000" w:themeColor="text1"/>
          <w:sz w:val="24"/>
          <w:szCs w:val="24"/>
          <w:shd w:val="clear" w:color="auto" w:fill="FFFFFF"/>
          <w14:textFill>
            <w14:solidFill>
              <w14:schemeClr w14:val="tx1"/>
            </w14:solidFill>
          </w14:textFill>
        </w:rPr>
        <w:t xml:space="preserve"> (Steenkamp 2017)</w:t>
      </w:r>
      <w:r>
        <w:rPr>
          <w:rFonts w:ascii="Times New Roman" w:hAnsi="Times New Roman"/>
          <w:color w:val="000000" w:themeColor="text1"/>
          <w:sz w:val="24"/>
          <w:szCs w:val="24"/>
          <w14:textFill>
            <w14:solidFill>
              <w14:schemeClr w14:val="tx1"/>
            </w14:solidFill>
          </w14:textFill>
        </w:rPr>
        <w:t xml:space="preserve">.  </w:t>
      </w:r>
    </w:p>
    <w:p>
      <w:pPr>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 xml:space="preserve">In India, there are some food preferences concerning religious beliefs. These enable residents from India to choose their foods and beverages about their religions. Thus, Tomos Watkin Brewery should enforce the use of ingredients that are acceptable to both countries in terms of religious beliefs. All unwanted ingredients, as well as brand beer types, should not be introduced in the new market. As a result, the organisation will operate well whereby many customers will have nothing to limit them from purchasing in TWB. This will be specifically product adaption whereby an organisation is forced to change its product to meet the levels of customer power </w:t>
      </w:r>
      <w:r>
        <w:rPr>
          <w:rFonts w:ascii="Times New Roman" w:hAnsi="Times New Roman"/>
          <w:color w:val="000000" w:themeColor="text1"/>
          <w:sz w:val="24"/>
          <w:szCs w:val="24"/>
          <w:shd w:val="clear" w:color="auto" w:fill="FFFFFF"/>
          <w14:textFill>
            <w14:solidFill>
              <w14:schemeClr w14:val="tx1"/>
            </w14:solidFill>
          </w14:textFill>
        </w:rPr>
        <w:t>(Crane, Kawashima, and Kawasaki 2016)</w:t>
      </w:r>
      <w:r>
        <w:rPr>
          <w:rFonts w:ascii="Times New Roman" w:hAnsi="Times New Roman"/>
          <w:color w:val="000000" w:themeColor="text1"/>
          <w:sz w:val="24"/>
          <w:szCs w:val="24"/>
          <w14:textFill>
            <w14:solidFill>
              <w14:schemeClr w14:val="tx1"/>
            </w14:solidFill>
          </w14:textFill>
        </w:rPr>
        <w:t xml:space="preserve">. </w:t>
      </w:r>
    </w:p>
    <w:p>
      <w:pPr>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Consequently, material culture including technological factors, material possession, aesthetic and proximity significantly influences the act of product adaption and standardisation in venturing to new markets</w:t>
      </w:r>
      <w:r>
        <w:rPr>
          <w:rFonts w:ascii="Times New Roman" w:hAnsi="Times New Roman"/>
          <w:color w:val="000000" w:themeColor="text1"/>
          <w:sz w:val="24"/>
          <w:szCs w:val="24"/>
          <w:shd w:val="clear" w:color="auto" w:fill="FFFFFF"/>
          <w14:textFill>
            <w14:solidFill>
              <w14:schemeClr w14:val="tx1"/>
            </w14:solidFill>
          </w14:textFill>
        </w:rPr>
        <w:t xml:space="preserve"> (Steenkamp 2017)</w:t>
      </w:r>
      <w:r>
        <w:rPr>
          <w:rFonts w:ascii="Times New Roman" w:hAnsi="Times New Roman"/>
          <w:color w:val="000000" w:themeColor="text1"/>
          <w:sz w:val="24"/>
          <w:szCs w:val="24"/>
          <w14:textFill>
            <w14:solidFill>
              <w14:schemeClr w14:val="tx1"/>
            </w14:solidFill>
          </w14:textFill>
        </w:rPr>
        <w:t>. In India, technological factors differ significantly from the ones that TWB operates under in its domestic nation. Due to this difference, the organisation is forced to alter its product's brand to fit the technological levels in India. Product adaptions will be precisely the best change that will consider the aspect of technology as material culture. Besides, the levels of material possessions differ among people in the new market. Thus, to tackle the element of material possession difference, TWB should produce different products that are affordable to lower class, middle class and upper-class people</w:t>
      </w:r>
      <w:r>
        <w:rPr>
          <w:rFonts w:ascii="Times New Roman" w:hAnsi="Times New Roman"/>
          <w:color w:val="000000" w:themeColor="text1"/>
          <w:sz w:val="24"/>
          <w:szCs w:val="24"/>
          <w:shd w:val="clear" w:color="auto" w:fill="FFFFFF"/>
          <w14:textFill>
            <w14:solidFill>
              <w14:schemeClr w14:val="tx1"/>
            </w14:solidFill>
          </w14:textFill>
        </w:rPr>
        <w:t xml:space="preserve"> (Mathews et al., 2016)</w:t>
      </w:r>
      <w:r>
        <w:rPr>
          <w:rFonts w:ascii="Times New Roman" w:hAnsi="Times New Roman"/>
          <w:color w:val="000000" w:themeColor="text1"/>
          <w:sz w:val="24"/>
          <w:szCs w:val="24"/>
          <w14:textFill>
            <w14:solidFill>
              <w14:schemeClr w14:val="tx1"/>
            </w14:solidFill>
          </w14:textFill>
        </w:rPr>
        <w:t>. This will be an essential act since the poor do not afford to purchase expensive products that the rich people buy.</w:t>
      </w:r>
    </w:p>
    <w:p>
      <w:pPr>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Additionally, some upper-class people consider themselves special in that they cannot take their beer in the same room with the lower class people. As a result, the organisation should construct different buildings that accommodate all people differently about their levels of material possession. Thus, TWB will be enforcing material adaption about service standards in the new markets.</w:t>
      </w:r>
    </w:p>
    <w:p>
      <w:pPr>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A numerous number of organisations that compete with TWB such as Heineken and Japan Kirin entered the Indian beer Market differently</w:t>
      </w:r>
      <w:r>
        <w:rPr>
          <w:rFonts w:ascii="Times New Roman" w:hAnsi="Times New Roman"/>
          <w:color w:val="000000" w:themeColor="text1"/>
          <w:sz w:val="24"/>
          <w:szCs w:val="24"/>
          <w:shd w:val="clear" w:color="auto" w:fill="FFFFFF"/>
          <w14:textFill>
            <w14:solidFill>
              <w14:schemeClr w14:val="tx1"/>
            </w14:solidFill>
          </w14:textFill>
        </w:rPr>
        <w:t xml:space="preserve"> (Mathews et al., 2016)</w:t>
      </w:r>
      <w:r>
        <w:rPr>
          <w:rFonts w:ascii="Times New Roman" w:hAnsi="Times New Roman"/>
          <w:color w:val="000000" w:themeColor="text1"/>
          <w:sz w:val="24"/>
          <w:szCs w:val="24"/>
          <w14:textFill>
            <w14:solidFill>
              <w14:schemeClr w14:val="tx1"/>
            </w14:solidFill>
          </w14:textFill>
        </w:rPr>
        <w:t>. For instance, the Japan Kirin Company purchased the Indian brewer with the brand name Schincariol in its entry to the market. Immediately, Japan Kirin renamed the brewer as Indian Kirin to influence the majority of Indian consumers</w:t>
      </w:r>
      <w:r>
        <w:rPr>
          <w:rFonts w:ascii="Times New Roman" w:hAnsi="Times New Roman"/>
          <w:color w:val="000000" w:themeColor="text1"/>
          <w:sz w:val="24"/>
          <w:szCs w:val="24"/>
          <w14:textFill>
            <w14:solidFill>
              <w14:schemeClr w14:val="tx1"/>
            </w14:solidFill>
          </w14:textFill>
        </w:rPr>
        <w:t xml:space="preserve">. This was one of the product adaption that enabled the company to sell more to consumers who prefer their Indian brands. Besides, Kirin wanted to become independent and shift away entirely from the Japanese beer market that was shrinking. Nevertheless, Kirin's plans were significantly affected by the Indian economy that implemented a rule to give 8.4% share to the local Indian market. Consequently, Heineken ventured into the Indian beer market by buying the Indian assets that were owned by Japan. The company did not want to sell its original products but to sell an already existed brand in Japan. Thus, it got in agreement with Kirin who had ventured in Indian in 2011 and purchased its Indian assets </w:t>
      </w:r>
      <w:r>
        <w:rPr>
          <w:rFonts w:ascii="Times New Roman" w:hAnsi="Times New Roman"/>
          <w:color w:val="000000" w:themeColor="text1"/>
          <w:sz w:val="24"/>
          <w:szCs w:val="24"/>
          <w:shd w:val="clear" w:color="auto" w:fill="FFFFFF"/>
          <w14:textFill>
            <w14:solidFill>
              <w14:schemeClr w14:val="tx1"/>
            </w14:solidFill>
          </w14:textFill>
        </w:rPr>
        <w:t>(Mathews et al., 2016)</w:t>
      </w:r>
      <w:r>
        <w:rPr>
          <w:rFonts w:ascii="Times New Roman" w:hAnsi="Times New Roman"/>
          <w:color w:val="000000" w:themeColor="text1"/>
          <w:sz w:val="24"/>
          <w:szCs w:val="24"/>
          <w14:textFill>
            <w14:solidFill>
              <w14:schemeClr w14:val="tx1"/>
            </w14:solidFill>
          </w14:textFill>
        </w:rPr>
        <w:t>. However, the company encountered stiff competition from Kirin who in turn bought an Indian brewer and renamed it. The market share of Kirin was 14% when compared to Heineken which was 9%. This made Heineken experience significant losses in its total operation. A year later, Heineken started flourishing, and it is up to date doing well in its operation.</w:t>
      </w: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5" w:name="_Toc7519414"/>
      <w:r>
        <w:rPr>
          <w:rFonts w:ascii="Times New Roman" w:hAnsi="Times New Roman" w:cs="Times New Roman"/>
          <w:b/>
          <w:color w:val="000000" w:themeColor="text1"/>
          <w:sz w:val="24"/>
          <w:szCs w:val="24"/>
          <w14:textFill>
            <w14:solidFill>
              <w14:schemeClr w14:val="tx1"/>
            </w14:solidFill>
          </w14:textFill>
        </w:rPr>
        <w:t>4.0 Recommendation</w:t>
      </w:r>
      <w:bookmarkEnd w:id="5"/>
    </w:p>
    <w:p>
      <w:pPr>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 xml:space="preserve"> From the above discussion, culture is an essential market mix aspect that significantly affects operation in new markets. Therefore, I recommend perfect consideration of product standardisation as well as adaption in relation to cultural factors while venturing in new markets. Besides, organizations should enact adaption and standardization of the 7Ps that positively influences best market mix entry methods to new markets.  Further, Organizations should ensure all cultural factors including material possession, language as well as traditions and religions are considered. These cultural aspects significantly influence product adaption and standardisation when entering a new market. As a result, companies should consider them significantly for better performance in their new markets. Moreover, I suggest an assessment of market entry plans that determine more accessible market mixing for any organisations in a new market. For instance, the use of efficient marketing mix plan to venture in a new market makes an organisation to utilise its resources well. Consequently, I recommend the development of the marketing mix strategies in advance before venturing in the new markets. This will enable proper operation due to the use of efficient market mix entry strategies that are well analysed.</w:t>
      </w: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6" w:name="_Toc7519415"/>
      <w:r>
        <w:rPr>
          <w:rFonts w:ascii="Times New Roman" w:hAnsi="Times New Roman" w:cs="Times New Roman"/>
          <w:b/>
          <w:color w:val="000000" w:themeColor="text1"/>
          <w:sz w:val="24"/>
          <w:szCs w:val="24"/>
          <w14:textFill>
            <w14:solidFill>
              <w14:schemeClr w14:val="tx1"/>
            </w14:solidFill>
          </w14:textFill>
        </w:rPr>
        <w:t>5.0 Conclusion</w:t>
      </w:r>
      <w:bookmarkEnd w:id="6"/>
    </w:p>
    <w:p>
      <w:pPr>
        <w:spacing w:line="48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 xml:space="preserve">From the above report, market mixing relies significantly on market entry plans made by an organisation. In this case, proper operation of any organisation in a new market is determined mainly by merging the use of market entry plans and market mix. Besides, culture is an essential aspect of the market mix that greatly influences product standardisation and adaption in new markets. Further, companies operate well under the 7Ps in market mixing in new markets. These aspects of standardisation and adaption of products in fresh markets ensure consumer preferences are taken into account in the fresh markets.  </w:t>
      </w: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color w:val="000000" w:themeColor="text1"/>
          <w:sz w:val="24"/>
          <w:szCs w:val="24"/>
          <w14:textFill>
            <w14:solidFill>
              <w14:schemeClr w14:val="tx1"/>
            </w14:solidFill>
          </w14:textFill>
        </w:rPr>
      </w:pPr>
    </w:p>
    <w:p>
      <w:pPr>
        <w:spacing w:line="480" w:lineRule="auto"/>
        <w:jc w:val="both"/>
        <w:rPr>
          <w:rFonts w:ascii="Times New Roman" w:hAnsi="Times New Roman"/>
          <w:b/>
          <w:color w:val="000000" w:themeColor="text1"/>
          <w:sz w:val="24"/>
          <w:szCs w:val="24"/>
          <w14:textFill>
            <w14:solidFill>
              <w14:schemeClr w14:val="tx1"/>
            </w14:solidFill>
          </w14:textFill>
        </w:rPr>
      </w:pPr>
      <w:r>
        <w:rPr>
          <w:rFonts w:ascii="Times New Roman" w:hAnsi="Times New Roman"/>
          <w:b/>
          <w:color w:val="000000" w:themeColor="text1"/>
          <w:sz w:val="24"/>
          <w:szCs w:val="24"/>
          <w14:textFill>
            <w14:solidFill>
              <w14:schemeClr w14:val="tx1"/>
            </w14:solidFill>
          </w14:textFill>
        </w:rPr>
        <w:t>6.0 References</w:t>
      </w:r>
    </w:p>
    <w:p>
      <w:pPr>
        <w:spacing w:line="480" w:lineRule="auto"/>
        <w:ind w:left="720" w:hanging="720"/>
        <w:jc w:val="both"/>
        <w:rPr>
          <w:rFonts w:ascii="Times New Roman" w:hAnsi="Times New Roman"/>
          <w:color w:val="000000" w:themeColor="text1"/>
          <w:sz w:val="24"/>
          <w:szCs w:val="24"/>
          <w:shd w:val="clear" w:color="auto" w:fill="FFFFFF"/>
          <w14:textFill>
            <w14:solidFill>
              <w14:schemeClr w14:val="tx1"/>
            </w14:solidFill>
          </w14:textFill>
        </w:rPr>
      </w:pPr>
      <w:r>
        <w:rPr>
          <w:rFonts w:ascii="Times New Roman" w:hAnsi="Times New Roman"/>
          <w:color w:val="000000" w:themeColor="text1"/>
          <w:sz w:val="24"/>
          <w:szCs w:val="24"/>
          <w:shd w:val="clear" w:color="auto" w:fill="FFFFFF"/>
          <w14:textFill>
            <w14:solidFill>
              <w14:schemeClr w14:val="tx1"/>
            </w14:solidFill>
          </w14:textFill>
        </w:rPr>
        <w:t>Bahadir, S.C., Bharadwaj, S.G. and Srivastava, R.K., 2015. Marketing mix and brand sales in global markets: Examining the contingent role of country-market characteristics. </w:t>
      </w:r>
      <w:r>
        <w:rPr>
          <w:rFonts w:ascii="Times New Roman" w:hAnsi="Times New Roman"/>
          <w:i/>
          <w:iCs/>
          <w:color w:val="000000" w:themeColor="text1"/>
          <w:sz w:val="24"/>
          <w:szCs w:val="24"/>
          <w:shd w:val="clear" w:color="auto" w:fill="FFFFFF"/>
          <w14:textFill>
            <w14:solidFill>
              <w14:schemeClr w14:val="tx1"/>
            </w14:solidFill>
          </w14:textFill>
        </w:rPr>
        <w:t>Journal of International Business Studies</w:t>
      </w:r>
      <w:r>
        <w:rPr>
          <w:rFonts w:ascii="Times New Roman" w:hAnsi="Times New Roman"/>
          <w:color w:val="000000" w:themeColor="text1"/>
          <w:sz w:val="24"/>
          <w:szCs w:val="24"/>
          <w:shd w:val="clear" w:color="auto" w:fill="FFFFFF"/>
          <w14:textFill>
            <w14:solidFill>
              <w14:schemeClr w14:val="tx1"/>
            </w14:solidFill>
          </w14:textFill>
        </w:rPr>
        <w:t>, </w:t>
      </w:r>
      <w:r>
        <w:rPr>
          <w:rFonts w:ascii="Times New Roman" w:hAnsi="Times New Roman"/>
          <w:i/>
          <w:iCs/>
          <w:color w:val="000000" w:themeColor="text1"/>
          <w:sz w:val="24"/>
          <w:szCs w:val="24"/>
          <w:shd w:val="clear" w:color="auto" w:fill="FFFFFF"/>
          <w14:textFill>
            <w14:solidFill>
              <w14:schemeClr w14:val="tx1"/>
            </w14:solidFill>
          </w14:textFill>
        </w:rPr>
        <w:t>46</w:t>
      </w:r>
      <w:r>
        <w:rPr>
          <w:rFonts w:ascii="Times New Roman" w:hAnsi="Times New Roman"/>
          <w:color w:val="000000" w:themeColor="text1"/>
          <w:sz w:val="24"/>
          <w:szCs w:val="24"/>
          <w:shd w:val="clear" w:color="auto" w:fill="FFFFFF"/>
          <w14:textFill>
            <w14:solidFill>
              <w14:schemeClr w14:val="tx1"/>
            </w14:solidFill>
          </w14:textFill>
        </w:rPr>
        <w:t>(5), pp.596-619.</w:t>
      </w:r>
    </w:p>
    <w:p>
      <w:pPr>
        <w:spacing w:line="480" w:lineRule="auto"/>
        <w:ind w:left="720" w:hanging="720"/>
        <w:jc w:val="both"/>
        <w:rPr>
          <w:rFonts w:ascii="Times New Roman" w:hAnsi="Times New Roman"/>
          <w:color w:val="000000" w:themeColor="text1"/>
          <w:sz w:val="24"/>
          <w:szCs w:val="24"/>
          <w:shd w:val="clear" w:color="auto" w:fill="FFFFFF"/>
          <w14:textFill>
            <w14:solidFill>
              <w14:schemeClr w14:val="tx1"/>
            </w14:solidFill>
          </w14:textFill>
        </w:rPr>
      </w:pPr>
      <w:r>
        <w:rPr>
          <w:rFonts w:ascii="Times New Roman" w:hAnsi="Times New Roman"/>
          <w:color w:val="000000" w:themeColor="text1"/>
          <w:sz w:val="24"/>
          <w:szCs w:val="24"/>
          <w:shd w:val="clear" w:color="auto" w:fill="FFFFFF"/>
          <w14:textFill>
            <w14:solidFill>
              <w14:schemeClr w14:val="tx1"/>
            </w14:solidFill>
          </w14:textFill>
        </w:rPr>
        <w:t>Crane, D., Kawashima, N. and Kawasaki, K.I. eds., 2016. </w:t>
      </w:r>
      <w:r>
        <w:rPr>
          <w:rFonts w:ascii="Times New Roman" w:hAnsi="Times New Roman"/>
          <w:i/>
          <w:iCs/>
          <w:color w:val="000000" w:themeColor="text1"/>
          <w:sz w:val="24"/>
          <w:szCs w:val="24"/>
          <w:shd w:val="clear" w:color="auto" w:fill="FFFFFF"/>
          <w14:textFill>
            <w14:solidFill>
              <w14:schemeClr w14:val="tx1"/>
            </w14:solidFill>
          </w14:textFill>
        </w:rPr>
        <w:t>Global culture: Media, arts, policy, and globalization</w:t>
      </w:r>
      <w:r>
        <w:rPr>
          <w:rFonts w:ascii="Times New Roman" w:hAnsi="Times New Roman"/>
          <w:color w:val="000000" w:themeColor="text1"/>
          <w:sz w:val="24"/>
          <w:szCs w:val="24"/>
          <w:shd w:val="clear" w:color="auto" w:fill="FFFFFF"/>
          <w14:textFill>
            <w14:solidFill>
              <w14:schemeClr w14:val="tx1"/>
            </w14:solidFill>
          </w14:textFill>
        </w:rPr>
        <w:t>. Routledge.</w:t>
      </w:r>
    </w:p>
    <w:p>
      <w:pPr>
        <w:spacing w:line="480" w:lineRule="auto"/>
        <w:ind w:left="720" w:hanging="720"/>
        <w:jc w:val="both"/>
        <w:rPr>
          <w:rFonts w:ascii="Times New Roman" w:hAnsi="Times New Roman"/>
          <w:color w:val="000000" w:themeColor="text1"/>
          <w:sz w:val="24"/>
          <w:szCs w:val="24"/>
          <w:shd w:val="clear" w:color="auto" w:fill="FFFFFF"/>
          <w14:textFill>
            <w14:solidFill>
              <w14:schemeClr w14:val="tx1"/>
            </w14:solidFill>
          </w14:textFill>
        </w:rPr>
      </w:pPr>
      <w:r>
        <w:rPr>
          <w:rFonts w:ascii="Times New Roman" w:hAnsi="Times New Roman"/>
          <w:color w:val="000000" w:themeColor="text1"/>
          <w:sz w:val="24"/>
          <w:szCs w:val="24"/>
          <w:shd w:val="clear" w:color="auto" w:fill="FFFFFF"/>
          <w14:textFill>
            <w14:solidFill>
              <w14:schemeClr w14:val="tx1"/>
            </w14:solidFill>
          </w14:textFill>
        </w:rPr>
        <w:t>De Mooij, M., 2018. </w:t>
      </w:r>
      <w:r>
        <w:rPr>
          <w:rFonts w:ascii="Times New Roman" w:hAnsi="Times New Roman"/>
          <w:i/>
          <w:iCs/>
          <w:color w:val="000000" w:themeColor="text1"/>
          <w:sz w:val="24"/>
          <w:szCs w:val="24"/>
          <w:shd w:val="clear" w:color="auto" w:fill="FFFFFF"/>
          <w14:textFill>
            <w14:solidFill>
              <w14:schemeClr w14:val="tx1"/>
            </w14:solidFill>
          </w14:textFill>
        </w:rPr>
        <w:t>Global marketing and advertising: Understanding cultural paradoxes</w:t>
      </w:r>
      <w:r>
        <w:rPr>
          <w:rFonts w:ascii="Times New Roman" w:hAnsi="Times New Roman"/>
          <w:color w:val="000000" w:themeColor="text1"/>
          <w:sz w:val="24"/>
          <w:szCs w:val="24"/>
          <w:shd w:val="clear" w:color="auto" w:fill="FFFFFF"/>
          <w14:textFill>
            <w14:solidFill>
              <w14:schemeClr w14:val="tx1"/>
            </w14:solidFill>
          </w14:textFill>
        </w:rPr>
        <w:t>. SAGE Publications Limited.</w:t>
      </w:r>
    </w:p>
    <w:p>
      <w:pPr>
        <w:spacing w:line="480" w:lineRule="auto"/>
        <w:ind w:left="720" w:hanging="720"/>
        <w:jc w:val="both"/>
        <w:rPr>
          <w:rFonts w:ascii="Times New Roman" w:hAnsi="Times New Roman"/>
          <w:color w:val="000000" w:themeColor="text1"/>
          <w:sz w:val="24"/>
          <w:szCs w:val="24"/>
          <w:shd w:val="clear" w:color="auto" w:fill="FFFFFF"/>
          <w14:textFill>
            <w14:solidFill>
              <w14:schemeClr w14:val="tx1"/>
            </w14:solidFill>
          </w14:textFill>
        </w:rPr>
      </w:pPr>
      <w:r>
        <w:rPr>
          <w:rFonts w:ascii="Times New Roman" w:hAnsi="Times New Roman"/>
          <w:color w:val="000000" w:themeColor="text1"/>
          <w:sz w:val="24"/>
          <w:szCs w:val="24"/>
          <w:shd w:val="clear" w:color="auto" w:fill="FFFFFF"/>
          <w14:textFill>
            <w14:solidFill>
              <w14:schemeClr w14:val="tx1"/>
            </w14:solidFill>
          </w14:textFill>
        </w:rPr>
        <w:t>Frynas, J.G. and Mellahi, K., 2015. </w:t>
      </w:r>
      <w:r>
        <w:rPr>
          <w:rFonts w:ascii="Times New Roman" w:hAnsi="Times New Roman"/>
          <w:i/>
          <w:iCs/>
          <w:color w:val="000000" w:themeColor="text1"/>
          <w:sz w:val="24"/>
          <w:szCs w:val="24"/>
          <w:shd w:val="clear" w:color="auto" w:fill="FFFFFF"/>
          <w14:textFill>
            <w14:solidFill>
              <w14:schemeClr w14:val="tx1"/>
            </w14:solidFill>
          </w14:textFill>
        </w:rPr>
        <w:t>Global strategic management</w:t>
      </w:r>
      <w:r>
        <w:rPr>
          <w:rFonts w:ascii="Times New Roman" w:hAnsi="Times New Roman"/>
          <w:color w:val="000000" w:themeColor="text1"/>
          <w:sz w:val="24"/>
          <w:szCs w:val="24"/>
          <w:shd w:val="clear" w:color="auto" w:fill="FFFFFF"/>
          <w14:textFill>
            <w14:solidFill>
              <w14:schemeClr w14:val="tx1"/>
            </w14:solidFill>
          </w14:textFill>
        </w:rPr>
        <w:t>. Oxford University Press, USA.</w:t>
      </w:r>
    </w:p>
    <w:p>
      <w:pPr>
        <w:spacing w:line="480" w:lineRule="auto"/>
        <w:ind w:left="720" w:hanging="720"/>
        <w:jc w:val="both"/>
        <w:rPr>
          <w:rFonts w:ascii="Times New Roman" w:hAnsi="Times New Roman"/>
          <w:color w:val="000000" w:themeColor="text1"/>
          <w:sz w:val="24"/>
          <w:szCs w:val="24"/>
          <w:shd w:val="clear" w:color="auto" w:fill="FFFFFF"/>
          <w14:textFill>
            <w14:solidFill>
              <w14:schemeClr w14:val="tx1"/>
            </w14:solidFill>
          </w14:textFill>
        </w:rPr>
      </w:pPr>
      <w:r>
        <w:rPr>
          <w:rFonts w:ascii="Times New Roman" w:hAnsi="Times New Roman"/>
          <w:color w:val="000000" w:themeColor="text1"/>
          <w:sz w:val="24"/>
          <w:szCs w:val="24"/>
          <w:shd w:val="clear" w:color="auto" w:fill="FFFFFF"/>
          <w14:textFill>
            <w14:solidFill>
              <w14:schemeClr w14:val="tx1"/>
            </w14:solidFill>
          </w14:textFill>
        </w:rPr>
        <w:t>Gillespie, K. and Riddle, L., 2015. </w:t>
      </w:r>
      <w:r>
        <w:rPr>
          <w:rFonts w:ascii="Times New Roman" w:hAnsi="Times New Roman"/>
          <w:i/>
          <w:iCs/>
          <w:color w:val="000000" w:themeColor="text1"/>
          <w:sz w:val="24"/>
          <w:szCs w:val="24"/>
          <w:shd w:val="clear" w:color="auto" w:fill="FFFFFF"/>
          <w14:textFill>
            <w14:solidFill>
              <w14:schemeClr w14:val="tx1"/>
            </w14:solidFill>
          </w14:textFill>
        </w:rPr>
        <w:t>Global marketing</w:t>
      </w:r>
      <w:r>
        <w:rPr>
          <w:rFonts w:ascii="Times New Roman" w:hAnsi="Times New Roman"/>
          <w:color w:val="000000" w:themeColor="text1"/>
          <w:sz w:val="24"/>
          <w:szCs w:val="24"/>
          <w:shd w:val="clear" w:color="auto" w:fill="FFFFFF"/>
          <w14:textFill>
            <w14:solidFill>
              <w14:schemeClr w14:val="tx1"/>
            </w14:solidFill>
          </w14:textFill>
        </w:rPr>
        <w:t>. Routledge.</w:t>
      </w:r>
    </w:p>
    <w:p>
      <w:pPr>
        <w:spacing w:line="480" w:lineRule="auto"/>
        <w:ind w:left="720" w:hanging="720"/>
        <w:jc w:val="both"/>
        <w:rPr>
          <w:rFonts w:ascii="Times New Roman" w:hAnsi="Times New Roman"/>
          <w:color w:val="000000" w:themeColor="text1"/>
          <w:sz w:val="24"/>
          <w:szCs w:val="24"/>
          <w:shd w:val="clear" w:color="auto" w:fill="FFFFFF"/>
          <w14:textFill>
            <w14:solidFill>
              <w14:schemeClr w14:val="tx1"/>
            </w14:solidFill>
          </w14:textFill>
        </w:rPr>
      </w:pPr>
      <w:r>
        <w:rPr>
          <w:rFonts w:ascii="Times New Roman" w:hAnsi="Times New Roman"/>
          <w:color w:val="000000" w:themeColor="text1"/>
          <w:sz w:val="24"/>
          <w:szCs w:val="24"/>
          <w:shd w:val="clear" w:color="auto" w:fill="FFFFFF"/>
          <w14:textFill>
            <w14:solidFill>
              <w14:schemeClr w14:val="tx1"/>
            </w14:solidFill>
          </w14:textFill>
        </w:rPr>
        <w:t>Griffith, D.A. and Lee, H.S., 2016. Cross–National Collaboration of Marketing Personnel within a Multinational: Leveraging Customer Participation for New Product Advantage. </w:t>
      </w:r>
      <w:r>
        <w:rPr>
          <w:rFonts w:ascii="Times New Roman" w:hAnsi="Times New Roman"/>
          <w:i/>
          <w:iCs/>
          <w:color w:val="000000" w:themeColor="text1"/>
          <w:sz w:val="24"/>
          <w:szCs w:val="24"/>
          <w:shd w:val="clear" w:color="auto" w:fill="FFFFFF"/>
          <w14:textFill>
            <w14:solidFill>
              <w14:schemeClr w14:val="tx1"/>
            </w14:solidFill>
          </w14:textFill>
        </w:rPr>
        <w:t>Journal of International Marketing</w:t>
      </w:r>
      <w:r>
        <w:rPr>
          <w:rFonts w:ascii="Times New Roman" w:hAnsi="Times New Roman"/>
          <w:color w:val="000000" w:themeColor="text1"/>
          <w:sz w:val="24"/>
          <w:szCs w:val="24"/>
          <w:shd w:val="clear" w:color="auto" w:fill="FFFFFF"/>
          <w14:textFill>
            <w14:solidFill>
              <w14:schemeClr w14:val="tx1"/>
            </w14:solidFill>
          </w14:textFill>
        </w:rPr>
        <w:t>, </w:t>
      </w:r>
      <w:r>
        <w:rPr>
          <w:rFonts w:ascii="Times New Roman" w:hAnsi="Times New Roman"/>
          <w:i/>
          <w:iCs/>
          <w:color w:val="000000" w:themeColor="text1"/>
          <w:sz w:val="24"/>
          <w:szCs w:val="24"/>
          <w:shd w:val="clear" w:color="auto" w:fill="FFFFFF"/>
          <w14:textFill>
            <w14:solidFill>
              <w14:schemeClr w14:val="tx1"/>
            </w14:solidFill>
          </w14:textFill>
        </w:rPr>
        <w:t>24</w:t>
      </w:r>
      <w:r>
        <w:rPr>
          <w:rFonts w:ascii="Times New Roman" w:hAnsi="Times New Roman"/>
          <w:color w:val="000000" w:themeColor="text1"/>
          <w:sz w:val="24"/>
          <w:szCs w:val="24"/>
          <w:shd w:val="clear" w:color="auto" w:fill="FFFFFF"/>
          <w14:textFill>
            <w14:solidFill>
              <w14:schemeClr w14:val="tx1"/>
            </w14:solidFill>
          </w14:textFill>
        </w:rPr>
        <w:t>(4), pp.1-19.</w:t>
      </w:r>
    </w:p>
    <w:p>
      <w:pPr>
        <w:spacing w:line="480" w:lineRule="auto"/>
        <w:ind w:left="720" w:hanging="720"/>
        <w:jc w:val="both"/>
        <w:rPr>
          <w:rFonts w:ascii="Times New Roman" w:hAnsi="Times New Roman"/>
          <w:color w:val="000000" w:themeColor="text1"/>
          <w:sz w:val="24"/>
          <w:szCs w:val="24"/>
          <w:shd w:val="clear" w:color="auto" w:fill="FFFFFF"/>
          <w14:textFill>
            <w14:solidFill>
              <w14:schemeClr w14:val="tx1"/>
            </w14:solidFill>
          </w14:textFill>
        </w:rPr>
      </w:pPr>
      <w:r>
        <w:rPr>
          <w:rFonts w:ascii="Times New Roman" w:hAnsi="Times New Roman"/>
          <w:color w:val="000000" w:themeColor="text1"/>
          <w:sz w:val="24"/>
          <w:szCs w:val="24"/>
          <w:shd w:val="clear" w:color="auto" w:fill="FFFFFF"/>
          <w14:textFill>
            <w14:solidFill>
              <w14:schemeClr w14:val="tx1"/>
            </w14:solidFill>
          </w14:textFill>
        </w:rPr>
        <w:t>Hollender, L., Zapkau, F.B. and Schwens, C., 2017. SME foreign market entry mode choice and foreign venture performance: The moderating effect of international experience and product adaptation. </w:t>
      </w:r>
      <w:r>
        <w:rPr>
          <w:rFonts w:ascii="Times New Roman" w:hAnsi="Times New Roman"/>
          <w:i/>
          <w:iCs/>
          <w:color w:val="000000" w:themeColor="text1"/>
          <w:sz w:val="24"/>
          <w:szCs w:val="24"/>
          <w:shd w:val="clear" w:color="auto" w:fill="FFFFFF"/>
          <w14:textFill>
            <w14:solidFill>
              <w14:schemeClr w14:val="tx1"/>
            </w14:solidFill>
          </w14:textFill>
        </w:rPr>
        <w:t>International Business Review</w:t>
      </w:r>
      <w:r>
        <w:rPr>
          <w:rFonts w:ascii="Times New Roman" w:hAnsi="Times New Roman"/>
          <w:color w:val="000000" w:themeColor="text1"/>
          <w:sz w:val="24"/>
          <w:szCs w:val="24"/>
          <w:shd w:val="clear" w:color="auto" w:fill="FFFFFF"/>
          <w14:textFill>
            <w14:solidFill>
              <w14:schemeClr w14:val="tx1"/>
            </w14:solidFill>
          </w14:textFill>
        </w:rPr>
        <w:t>, </w:t>
      </w:r>
      <w:r>
        <w:rPr>
          <w:rFonts w:ascii="Times New Roman" w:hAnsi="Times New Roman"/>
          <w:i/>
          <w:iCs/>
          <w:color w:val="000000" w:themeColor="text1"/>
          <w:sz w:val="24"/>
          <w:szCs w:val="24"/>
          <w:shd w:val="clear" w:color="auto" w:fill="FFFFFF"/>
          <w14:textFill>
            <w14:solidFill>
              <w14:schemeClr w14:val="tx1"/>
            </w14:solidFill>
          </w14:textFill>
        </w:rPr>
        <w:t>26</w:t>
      </w:r>
      <w:r>
        <w:rPr>
          <w:rFonts w:ascii="Times New Roman" w:hAnsi="Times New Roman"/>
          <w:color w:val="000000" w:themeColor="text1"/>
          <w:sz w:val="24"/>
          <w:szCs w:val="24"/>
          <w:shd w:val="clear" w:color="auto" w:fill="FFFFFF"/>
          <w14:textFill>
            <w14:solidFill>
              <w14:schemeClr w14:val="tx1"/>
            </w14:solidFill>
          </w14:textFill>
        </w:rPr>
        <w:t>(2), pp.250-263.</w:t>
      </w:r>
    </w:p>
    <w:p>
      <w:pPr>
        <w:spacing w:line="480" w:lineRule="auto"/>
        <w:ind w:left="720" w:hanging="720"/>
        <w:jc w:val="both"/>
        <w:rPr>
          <w:rFonts w:ascii="Times New Roman" w:hAnsi="Times New Roman"/>
          <w:color w:val="000000" w:themeColor="text1"/>
          <w:sz w:val="24"/>
          <w:szCs w:val="24"/>
          <w:shd w:val="clear" w:color="auto" w:fill="FFFFFF"/>
          <w14:textFill>
            <w14:solidFill>
              <w14:schemeClr w14:val="tx1"/>
            </w14:solidFill>
          </w14:textFill>
        </w:rPr>
      </w:pPr>
      <w:r>
        <w:rPr>
          <w:rFonts w:ascii="Times New Roman" w:hAnsi="Times New Roman"/>
          <w:color w:val="000000" w:themeColor="text1"/>
          <w:sz w:val="24"/>
          <w:szCs w:val="24"/>
          <w:shd w:val="clear" w:color="auto" w:fill="FFFFFF"/>
          <w14:textFill>
            <w14:solidFill>
              <w14:schemeClr w14:val="tx1"/>
            </w14:solidFill>
          </w14:textFill>
        </w:rPr>
        <w:t>Jeanpert, S. and Paché, G., 2016. Successful multi-channel strategy: mixing marketing and logistical issues. </w:t>
      </w:r>
      <w:r>
        <w:rPr>
          <w:rFonts w:ascii="Times New Roman" w:hAnsi="Times New Roman"/>
          <w:i/>
          <w:iCs/>
          <w:color w:val="000000" w:themeColor="text1"/>
          <w:sz w:val="24"/>
          <w:szCs w:val="24"/>
          <w:shd w:val="clear" w:color="auto" w:fill="FFFFFF"/>
          <w14:textFill>
            <w14:solidFill>
              <w14:schemeClr w14:val="tx1"/>
            </w14:solidFill>
          </w14:textFill>
        </w:rPr>
        <w:t>Journal of Business Strategy</w:t>
      </w:r>
      <w:r>
        <w:rPr>
          <w:rFonts w:ascii="Times New Roman" w:hAnsi="Times New Roman"/>
          <w:color w:val="000000" w:themeColor="text1"/>
          <w:sz w:val="24"/>
          <w:szCs w:val="24"/>
          <w:shd w:val="clear" w:color="auto" w:fill="FFFFFF"/>
          <w14:textFill>
            <w14:solidFill>
              <w14:schemeClr w14:val="tx1"/>
            </w14:solidFill>
          </w14:textFill>
        </w:rPr>
        <w:t>, </w:t>
      </w:r>
      <w:r>
        <w:rPr>
          <w:rFonts w:ascii="Times New Roman" w:hAnsi="Times New Roman"/>
          <w:i/>
          <w:iCs/>
          <w:color w:val="000000" w:themeColor="text1"/>
          <w:sz w:val="24"/>
          <w:szCs w:val="24"/>
          <w:shd w:val="clear" w:color="auto" w:fill="FFFFFF"/>
          <w14:textFill>
            <w14:solidFill>
              <w14:schemeClr w14:val="tx1"/>
            </w14:solidFill>
          </w14:textFill>
        </w:rPr>
        <w:t>37</w:t>
      </w:r>
      <w:r>
        <w:rPr>
          <w:rFonts w:ascii="Times New Roman" w:hAnsi="Times New Roman"/>
          <w:color w:val="000000" w:themeColor="text1"/>
          <w:sz w:val="24"/>
          <w:szCs w:val="24"/>
          <w:shd w:val="clear" w:color="auto" w:fill="FFFFFF"/>
          <w14:textFill>
            <w14:solidFill>
              <w14:schemeClr w14:val="tx1"/>
            </w14:solidFill>
          </w14:textFill>
        </w:rPr>
        <w:t>(2), pp.12-19.</w:t>
      </w:r>
    </w:p>
    <w:p>
      <w:pPr>
        <w:spacing w:line="480" w:lineRule="auto"/>
        <w:ind w:left="720" w:hanging="720"/>
        <w:jc w:val="both"/>
        <w:rPr>
          <w:rFonts w:ascii="Times New Roman" w:hAnsi="Times New Roman"/>
          <w:color w:val="000000" w:themeColor="text1"/>
          <w:sz w:val="24"/>
          <w:szCs w:val="24"/>
          <w:shd w:val="clear" w:color="auto" w:fill="FFFFFF"/>
          <w14:textFill>
            <w14:solidFill>
              <w14:schemeClr w14:val="tx1"/>
            </w14:solidFill>
          </w14:textFill>
        </w:rPr>
      </w:pPr>
      <w:r>
        <w:rPr>
          <w:rFonts w:ascii="Times New Roman" w:hAnsi="Times New Roman"/>
          <w:color w:val="000000" w:themeColor="text1"/>
          <w:sz w:val="24"/>
          <w:szCs w:val="24"/>
          <w:shd w:val="clear" w:color="auto" w:fill="FFFFFF"/>
          <w14:textFill>
            <w14:solidFill>
              <w14:schemeClr w14:val="tx1"/>
            </w14:solidFill>
          </w14:textFill>
        </w:rPr>
        <w:t>Kraus, S., Meier, F., Bouncken, R.B. and Schuessler, F., 2016. Standardisation vs. Adaption: A Conjoint Experiment on the Influence of Psychic, Cultural and...</w:t>
      </w:r>
    </w:p>
    <w:p>
      <w:pPr>
        <w:spacing w:line="480" w:lineRule="auto"/>
        <w:ind w:left="720" w:hanging="720"/>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shd w:val="clear" w:color="auto" w:fill="FFFFFF"/>
          <w14:textFill>
            <w14:solidFill>
              <w14:schemeClr w14:val="tx1"/>
            </w14:solidFill>
          </w14:textFill>
        </w:rPr>
        <w:t>Mathews, S., Bianchi, C., Perks, K.J., Healy, M. and Wickramasekera, R., 2016. Internet marketing capabilities and international market growth. </w:t>
      </w:r>
      <w:r>
        <w:rPr>
          <w:rFonts w:ascii="Times New Roman" w:hAnsi="Times New Roman"/>
          <w:i/>
          <w:iCs/>
          <w:color w:val="000000" w:themeColor="text1"/>
          <w:sz w:val="24"/>
          <w:szCs w:val="24"/>
          <w:shd w:val="clear" w:color="auto" w:fill="FFFFFF"/>
          <w14:textFill>
            <w14:solidFill>
              <w14:schemeClr w14:val="tx1"/>
            </w14:solidFill>
          </w14:textFill>
        </w:rPr>
        <w:t>International Business Review</w:t>
      </w:r>
      <w:r>
        <w:rPr>
          <w:rFonts w:ascii="Times New Roman" w:hAnsi="Times New Roman"/>
          <w:color w:val="000000" w:themeColor="text1"/>
          <w:sz w:val="24"/>
          <w:szCs w:val="24"/>
          <w:shd w:val="clear" w:color="auto" w:fill="FFFFFF"/>
          <w14:textFill>
            <w14:solidFill>
              <w14:schemeClr w14:val="tx1"/>
            </w14:solidFill>
          </w14:textFill>
        </w:rPr>
        <w:t>, </w:t>
      </w:r>
      <w:r>
        <w:rPr>
          <w:rFonts w:ascii="Times New Roman" w:hAnsi="Times New Roman"/>
          <w:i/>
          <w:iCs/>
          <w:color w:val="000000" w:themeColor="text1"/>
          <w:sz w:val="24"/>
          <w:szCs w:val="24"/>
          <w:shd w:val="clear" w:color="auto" w:fill="FFFFFF"/>
          <w14:textFill>
            <w14:solidFill>
              <w14:schemeClr w14:val="tx1"/>
            </w14:solidFill>
          </w14:textFill>
        </w:rPr>
        <w:t>25</w:t>
      </w:r>
      <w:r>
        <w:rPr>
          <w:rFonts w:ascii="Times New Roman" w:hAnsi="Times New Roman"/>
          <w:color w:val="000000" w:themeColor="text1"/>
          <w:sz w:val="24"/>
          <w:szCs w:val="24"/>
          <w:shd w:val="clear" w:color="auto" w:fill="FFFFFF"/>
          <w14:textFill>
            <w14:solidFill>
              <w14:schemeClr w14:val="tx1"/>
            </w14:solidFill>
          </w14:textFill>
        </w:rPr>
        <w:t>(4), pp.820-830.</w:t>
      </w:r>
    </w:p>
    <w:p>
      <w:pPr>
        <w:spacing w:line="480" w:lineRule="auto"/>
        <w:ind w:left="720" w:hanging="720"/>
        <w:jc w:val="both"/>
        <w:rPr>
          <w:rFonts w:ascii="Times New Roman" w:hAnsi="Times New Roman"/>
          <w:color w:val="000000" w:themeColor="text1"/>
          <w:sz w:val="24"/>
          <w:szCs w:val="24"/>
          <w:shd w:val="clear" w:color="auto" w:fill="FFFFFF"/>
          <w14:textFill>
            <w14:solidFill>
              <w14:schemeClr w14:val="tx1"/>
            </w14:solidFill>
          </w14:textFill>
        </w:rPr>
      </w:pPr>
      <w:r>
        <w:rPr>
          <w:rFonts w:ascii="Times New Roman" w:hAnsi="Times New Roman"/>
          <w:color w:val="000000" w:themeColor="text1"/>
          <w:sz w:val="24"/>
          <w:szCs w:val="24"/>
          <w:shd w:val="clear" w:color="auto" w:fill="FFFFFF"/>
          <w14:textFill>
            <w14:solidFill>
              <w14:schemeClr w14:val="tx1"/>
            </w14:solidFill>
          </w14:textFill>
        </w:rPr>
        <w:t>Steenkamp, J.B., 2017. </w:t>
      </w:r>
      <w:r>
        <w:rPr>
          <w:rFonts w:ascii="Times New Roman" w:hAnsi="Times New Roman"/>
          <w:i/>
          <w:iCs/>
          <w:color w:val="000000" w:themeColor="text1"/>
          <w:sz w:val="24"/>
          <w:szCs w:val="24"/>
          <w:shd w:val="clear" w:color="auto" w:fill="FFFFFF"/>
          <w14:textFill>
            <w14:solidFill>
              <w14:schemeClr w14:val="tx1"/>
            </w14:solidFill>
          </w14:textFill>
        </w:rPr>
        <w:t>Global brand strategy: World-wise marketing in the age of branding</w:t>
      </w:r>
      <w:r>
        <w:rPr>
          <w:rFonts w:ascii="Times New Roman" w:hAnsi="Times New Roman"/>
          <w:color w:val="000000" w:themeColor="text1"/>
          <w:sz w:val="24"/>
          <w:szCs w:val="24"/>
          <w:shd w:val="clear" w:color="auto" w:fill="FFFFFF"/>
          <w14:textFill>
            <w14:solidFill>
              <w14:schemeClr w14:val="tx1"/>
            </w14:solidFill>
          </w14:textFill>
        </w:rPr>
        <w:t>. Springer.</w:t>
      </w:r>
    </w:p>
    <w:sectPr>
      <w:footerReference r:id="rId4" w:type="first"/>
      <w:footerReference r:id="rId3" w:type="default"/>
      <w:pgSz w:w="12240" w:h="15840"/>
      <w:pgMar w:top="1440" w:right="1440" w:bottom="1440" w:left="1440" w:header="720" w:footer="720" w:gutter="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Calibri Light">
    <w:panose1 w:val="020F03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20917585"/>
      <w:docPartObj>
        <w:docPartGallery w:val="AutoText"/>
      </w:docPartObj>
    </w:sdtPr>
    <w:sdtEndPr>
      <w:rPr>
        <w:rFonts w:ascii="Times New Roman" w:hAnsi="Times New Roman"/>
        <w:sz w:val="24"/>
        <w:szCs w:val="24"/>
      </w:rPr>
    </w:sdtEndPr>
    <w:sdtContent>
      <w:p>
        <w:pPr>
          <w:pStyle w:val="4"/>
          <w:jc w:val="right"/>
          <w:rPr>
            <w:rFonts w:ascii="Times New Roman" w:hAnsi="Times New Roman"/>
            <w:sz w:val="24"/>
            <w:szCs w:val="24"/>
          </w:rPr>
        </w:pPr>
        <w:r>
          <w:rPr>
            <w:rFonts w:ascii="Times New Roman" w:hAnsi="Times New Roman"/>
            <w:sz w:val="24"/>
            <w:szCs w:val="24"/>
          </w:rPr>
          <w:fldChar w:fldCharType="begin"/>
        </w:r>
        <w:r>
          <w:rPr>
            <w:rFonts w:ascii="Times New Roman" w:hAnsi="Times New Roman"/>
            <w:sz w:val="24"/>
            <w:szCs w:val="24"/>
          </w:rPr>
          <w:instrText xml:space="preserve"> PAGE   \* MERGEFORMAT </w:instrText>
        </w:r>
        <w:r>
          <w:rPr>
            <w:rFonts w:ascii="Times New Roman" w:hAnsi="Times New Roman"/>
            <w:sz w:val="24"/>
            <w:szCs w:val="24"/>
          </w:rPr>
          <w:fldChar w:fldCharType="separate"/>
        </w:r>
        <w:r>
          <w:rPr>
            <w:rFonts w:ascii="Times New Roman" w:hAnsi="Times New Roman"/>
            <w:sz w:val="24"/>
            <w:szCs w:val="24"/>
          </w:rPr>
          <w:t>13</w:t>
        </w:r>
        <w:r>
          <w:rPr>
            <w:rFonts w:ascii="Times New Roman" w:hAnsi="Times New Roman"/>
            <w:sz w:val="24"/>
            <w:szCs w:val="24"/>
          </w:rPr>
          <w:fldChar w:fldCharType="end"/>
        </w:r>
        <w:r>
          <w:rPr>
            <w:rFonts w:ascii="Times New Roman" w:hAnsi="Times New Roman"/>
            <w:sz w:val="24"/>
            <w:szCs w:val="24"/>
          </w:rPr>
          <w:tab/>
        </w:r>
      </w:p>
    </w:sdtContent>
  </w:sdt>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27158146"/>
      <w:docPartObj>
        <w:docPartGallery w:val="AutoText"/>
      </w:docPartObj>
    </w:sdtPr>
    <w:sdtEndPr>
      <w:rPr>
        <w:rFonts w:ascii="Times New Roman" w:hAnsi="Times New Roman"/>
        <w:sz w:val="24"/>
        <w:szCs w:val="24"/>
      </w:rPr>
    </w:sdtEndPr>
    <w:sdtContent>
      <w:p>
        <w:pPr>
          <w:pStyle w:val="4"/>
          <w:jc w:val="right"/>
          <w:rPr>
            <w:rFonts w:ascii="Times New Roman" w:hAnsi="Times New Roman"/>
            <w:sz w:val="24"/>
            <w:szCs w:val="24"/>
          </w:rPr>
        </w:pPr>
        <w:r>
          <w:rPr>
            <w:rFonts w:ascii="Times New Roman" w:hAnsi="Times New Roman"/>
            <w:sz w:val="24"/>
            <w:szCs w:val="24"/>
          </w:rPr>
          <w:fldChar w:fldCharType="begin"/>
        </w:r>
        <w:r>
          <w:rPr>
            <w:rFonts w:ascii="Times New Roman" w:hAnsi="Times New Roman"/>
            <w:sz w:val="24"/>
            <w:szCs w:val="24"/>
          </w:rPr>
          <w:instrText xml:space="preserve"> PAGE   \* MERGEFORMAT </w:instrText>
        </w:r>
        <w:r>
          <w:rPr>
            <w:rFonts w:ascii="Times New Roman" w:hAnsi="Times New Roman"/>
            <w:sz w:val="24"/>
            <w:szCs w:val="24"/>
          </w:rPr>
          <w:fldChar w:fldCharType="separate"/>
        </w:r>
        <w:r>
          <w:rPr>
            <w:rFonts w:ascii="Times New Roman" w:hAnsi="Times New Roman"/>
            <w:sz w:val="24"/>
            <w:szCs w:val="24"/>
          </w:rPr>
          <w:t>1</w:t>
        </w:r>
        <w:r>
          <w:rPr>
            <w:rFonts w:ascii="Times New Roman" w:hAnsi="Times New Roman"/>
            <w:sz w:val="24"/>
            <w:szCs w:val="24"/>
          </w:rPr>
          <w:fldChar w:fldCharType="end"/>
        </w:r>
        <w:r>
          <w:rPr>
            <w:rFonts w:ascii="Times New Roman" w:hAnsi="Times New Roman"/>
            <w:sz w:val="24"/>
            <w:szCs w:val="24"/>
          </w:rPr>
          <w:tab/>
        </w:r>
      </w:p>
    </w:sdtContent>
  </w:sdt>
  <w:p>
    <w:pPr>
      <w:pStyle w:val="4"/>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bordersDoNotSurroundHeader w:val="1"/>
  <w:bordersDoNotSurroundFooter w:val="1"/>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7388"/>
    <w:rsid w:val="00020F90"/>
    <w:rsid w:val="00023B38"/>
    <w:rsid w:val="00027F34"/>
    <w:rsid w:val="00036E66"/>
    <w:rsid w:val="00046612"/>
    <w:rsid w:val="000475EC"/>
    <w:rsid w:val="00060634"/>
    <w:rsid w:val="00095699"/>
    <w:rsid w:val="000A7ABD"/>
    <w:rsid w:val="000B1C15"/>
    <w:rsid w:val="000B7016"/>
    <w:rsid w:val="000E3191"/>
    <w:rsid w:val="000F10EF"/>
    <w:rsid w:val="000F392F"/>
    <w:rsid w:val="000F44BB"/>
    <w:rsid w:val="00107D83"/>
    <w:rsid w:val="00141A67"/>
    <w:rsid w:val="001466FB"/>
    <w:rsid w:val="00167F22"/>
    <w:rsid w:val="00172ADE"/>
    <w:rsid w:val="001742F8"/>
    <w:rsid w:val="00191B53"/>
    <w:rsid w:val="0019591E"/>
    <w:rsid w:val="001A2232"/>
    <w:rsid w:val="001A7EED"/>
    <w:rsid w:val="001D0C27"/>
    <w:rsid w:val="00211CDA"/>
    <w:rsid w:val="00223F58"/>
    <w:rsid w:val="002368A0"/>
    <w:rsid w:val="00282800"/>
    <w:rsid w:val="00286B98"/>
    <w:rsid w:val="00292FC1"/>
    <w:rsid w:val="002B1AAC"/>
    <w:rsid w:val="002B4CB7"/>
    <w:rsid w:val="002C0DD6"/>
    <w:rsid w:val="002D0192"/>
    <w:rsid w:val="002D5948"/>
    <w:rsid w:val="002F3BAE"/>
    <w:rsid w:val="002F709F"/>
    <w:rsid w:val="00315B77"/>
    <w:rsid w:val="00326CFA"/>
    <w:rsid w:val="0033467A"/>
    <w:rsid w:val="0037659F"/>
    <w:rsid w:val="00390EEA"/>
    <w:rsid w:val="003A5317"/>
    <w:rsid w:val="003A7869"/>
    <w:rsid w:val="003B58AC"/>
    <w:rsid w:val="003D05B3"/>
    <w:rsid w:val="0040410B"/>
    <w:rsid w:val="00405DBD"/>
    <w:rsid w:val="00417F69"/>
    <w:rsid w:val="0047012F"/>
    <w:rsid w:val="00470543"/>
    <w:rsid w:val="00474057"/>
    <w:rsid w:val="00483E48"/>
    <w:rsid w:val="004C6D62"/>
    <w:rsid w:val="004C79DC"/>
    <w:rsid w:val="004D060F"/>
    <w:rsid w:val="004E124F"/>
    <w:rsid w:val="004F5640"/>
    <w:rsid w:val="0052106E"/>
    <w:rsid w:val="005342C4"/>
    <w:rsid w:val="005463CE"/>
    <w:rsid w:val="00566D61"/>
    <w:rsid w:val="005D79D9"/>
    <w:rsid w:val="005E21B8"/>
    <w:rsid w:val="00612376"/>
    <w:rsid w:val="00662CED"/>
    <w:rsid w:val="0069370C"/>
    <w:rsid w:val="006E2792"/>
    <w:rsid w:val="006E7C74"/>
    <w:rsid w:val="006F2135"/>
    <w:rsid w:val="006F56B7"/>
    <w:rsid w:val="0072230C"/>
    <w:rsid w:val="007340E2"/>
    <w:rsid w:val="00741BCF"/>
    <w:rsid w:val="007547B0"/>
    <w:rsid w:val="00793CCA"/>
    <w:rsid w:val="007968C4"/>
    <w:rsid w:val="00796B90"/>
    <w:rsid w:val="007A58AE"/>
    <w:rsid w:val="007D5330"/>
    <w:rsid w:val="007D72C8"/>
    <w:rsid w:val="00820EC4"/>
    <w:rsid w:val="008945E6"/>
    <w:rsid w:val="008B76C9"/>
    <w:rsid w:val="008D04F3"/>
    <w:rsid w:val="008F7306"/>
    <w:rsid w:val="00932B28"/>
    <w:rsid w:val="00935535"/>
    <w:rsid w:val="00976DB8"/>
    <w:rsid w:val="00985AA2"/>
    <w:rsid w:val="009A1DDF"/>
    <w:rsid w:val="009B0E03"/>
    <w:rsid w:val="009C436F"/>
    <w:rsid w:val="009D37DE"/>
    <w:rsid w:val="009F2769"/>
    <w:rsid w:val="00A43EED"/>
    <w:rsid w:val="00A726EC"/>
    <w:rsid w:val="00A93A35"/>
    <w:rsid w:val="00A97531"/>
    <w:rsid w:val="00AC1256"/>
    <w:rsid w:val="00AD1B5A"/>
    <w:rsid w:val="00B057E4"/>
    <w:rsid w:val="00B307CC"/>
    <w:rsid w:val="00B33B5A"/>
    <w:rsid w:val="00B50C3F"/>
    <w:rsid w:val="00B778D5"/>
    <w:rsid w:val="00BA67D3"/>
    <w:rsid w:val="00BF01F4"/>
    <w:rsid w:val="00C06118"/>
    <w:rsid w:val="00C12184"/>
    <w:rsid w:val="00C122E6"/>
    <w:rsid w:val="00C624C1"/>
    <w:rsid w:val="00C66641"/>
    <w:rsid w:val="00C80FEB"/>
    <w:rsid w:val="00CC6107"/>
    <w:rsid w:val="00CD3E07"/>
    <w:rsid w:val="00CE2982"/>
    <w:rsid w:val="00CF0F64"/>
    <w:rsid w:val="00CF3E51"/>
    <w:rsid w:val="00CF7D87"/>
    <w:rsid w:val="00D0775D"/>
    <w:rsid w:val="00D1461A"/>
    <w:rsid w:val="00D160C5"/>
    <w:rsid w:val="00D514A9"/>
    <w:rsid w:val="00D61775"/>
    <w:rsid w:val="00D656A6"/>
    <w:rsid w:val="00D71CBF"/>
    <w:rsid w:val="00D73884"/>
    <w:rsid w:val="00D756E5"/>
    <w:rsid w:val="00D96429"/>
    <w:rsid w:val="00D97057"/>
    <w:rsid w:val="00D97E12"/>
    <w:rsid w:val="00DB63D9"/>
    <w:rsid w:val="00DC7388"/>
    <w:rsid w:val="00DE333B"/>
    <w:rsid w:val="00E05F52"/>
    <w:rsid w:val="00E10FFC"/>
    <w:rsid w:val="00E328BE"/>
    <w:rsid w:val="00E375E7"/>
    <w:rsid w:val="00E40E56"/>
    <w:rsid w:val="00E71A22"/>
    <w:rsid w:val="00E96C5A"/>
    <w:rsid w:val="00EA4970"/>
    <w:rsid w:val="00EA651B"/>
    <w:rsid w:val="00EC1AE7"/>
    <w:rsid w:val="00EC1B73"/>
    <w:rsid w:val="00EC5ADF"/>
    <w:rsid w:val="00EC5E02"/>
    <w:rsid w:val="00ED3DCA"/>
    <w:rsid w:val="00EE3DC7"/>
    <w:rsid w:val="00EE60BD"/>
    <w:rsid w:val="00F22FDA"/>
    <w:rsid w:val="00F23913"/>
    <w:rsid w:val="00F46CE4"/>
    <w:rsid w:val="00F5143F"/>
    <w:rsid w:val="00F5471B"/>
    <w:rsid w:val="00F860FC"/>
    <w:rsid w:val="00FA29BF"/>
    <w:rsid w:val="00FA6391"/>
    <w:rsid w:val="00FC6B6F"/>
    <w:rsid w:val="00FE2061"/>
    <w:rsid w:val="00FE461D"/>
    <w:rsid w:val="77324E46"/>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Arial" w:hAnsi="Arial" w:eastAsia="Times New Roman" w:cs="Times New Roman"/>
      <w:sz w:val="22"/>
      <w:szCs w:val="20"/>
      <w:lang w:val="en-GB" w:eastAsia="en-GB" w:bidi="ar-SA"/>
    </w:rPr>
  </w:style>
  <w:style w:type="paragraph" w:styleId="2">
    <w:name w:val="heading 1"/>
    <w:basedOn w:val="1"/>
    <w:next w:val="1"/>
    <w:link w:val="10"/>
    <w:qFormat/>
    <w:uiPriority w:val="9"/>
    <w:pPr>
      <w:keepNext/>
      <w:keepLines/>
      <w:spacing w:before="240"/>
      <w:outlineLvl w:val="0"/>
    </w:pPr>
    <w:rPr>
      <w:rFonts w:asciiTheme="majorHAnsi" w:hAnsiTheme="majorHAnsi" w:eastAsiaTheme="majorEastAsia" w:cstheme="majorBidi"/>
      <w:color w:val="2E75B6" w:themeColor="accent1" w:themeShade="BF"/>
      <w:sz w:val="32"/>
      <w:szCs w:val="32"/>
    </w:rPr>
  </w:style>
  <w:style w:type="character" w:default="1" w:styleId="8">
    <w:name w:val="Default Paragraph Font"/>
    <w:semiHidden/>
    <w:unhideWhenUsed/>
    <w:uiPriority w:val="1"/>
  </w:style>
  <w:style w:type="table" w:default="1" w:styleId="7">
    <w:name w:val="Normal Table"/>
    <w:semiHidden/>
    <w:unhideWhenUsed/>
    <w:uiPriority w:val="99"/>
    <w:tblPr>
      <w:tblLayout w:type="fixed"/>
      <w:tblCellMar>
        <w:top w:w="0" w:type="dxa"/>
        <w:left w:w="108" w:type="dxa"/>
        <w:bottom w:w="0" w:type="dxa"/>
        <w:right w:w="108" w:type="dxa"/>
      </w:tblCellMar>
    </w:tblPr>
  </w:style>
  <w:style w:type="paragraph" w:styleId="3">
    <w:name w:val="Balloon Text"/>
    <w:basedOn w:val="1"/>
    <w:link w:val="14"/>
    <w:semiHidden/>
    <w:unhideWhenUsed/>
    <w:uiPriority w:val="99"/>
    <w:rPr>
      <w:rFonts w:ascii="Tahoma" w:hAnsi="Tahoma" w:cs="Tahoma"/>
      <w:sz w:val="16"/>
      <w:szCs w:val="16"/>
    </w:rPr>
  </w:style>
  <w:style w:type="paragraph" w:styleId="4">
    <w:name w:val="footer"/>
    <w:basedOn w:val="1"/>
    <w:link w:val="13"/>
    <w:unhideWhenUsed/>
    <w:uiPriority w:val="99"/>
    <w:pPr>
      <w:tabs>
        <w:tab w:val="center" w:pos="4680"/>
        <w:tab w:val="right" w:pos="9360"/>
      </w:tabs>
    </w:pPr>
  </w:style>
  <w:style w:type="paragraph" w:styleId="5">
    <w:name w:val="header"/>
    <w:basedOn w:val="1"/>
    <w:link w:val="12"/>
    <w:unhideWhenUsed/>
    <w:uiPriority w:val="99"/>
    <w:pPr>
      <w:tabs>
        <w:tab w:val="center" w:pos="4680"/>
        <w:tab w:val="right" w:pos="9360"/>
      </w:tabs>
    </w:pPr>
  </w:style>
  <w:style w:type="paragraph" w:styleId="6">
    <w:name w:val="toc 1"/>
    <w:basedOn w:val="1"/>
    <w:next w:val="1"/>
    <w:unhideWhenUsed/>
    <w:uiPriority w:val="39"/>
    <w:pPr>
      <w:spacing w:after="100"/>
    </w:pPr>
  </w:style>
  <w:style w:type="character" w:styleId="9">
    <w:name w:val="Hyperlink"/>
    <w:basedOn w:val="8"/>
    <w:unhideWhenUsed/>
    <w:uiPriority w:val="99"/>
    <w:rPr>
      <w:color w:val="0563C1" w:themeColor="hyperlink"/>
      <w:u w:val="single"/>
      <w14:textFill>
        <w14:solidFill>
          <w14:schemeClr w14:val="hlink"/>
        </w14:solidFill>
      </w14:textFill>
    </w:rPr>
  </w:style>
  <w:style w:type="character" w:customStyle="1" w:styleId="10">
    <w:name w:val="Heading 1 Char"/>
    <w:basedOn w:val="8"/>
    <w:link w:val="2"/>
    <w:uiPriority w:val="9"/>
    <w:rPr>
      <w:rFonts w:asciiTheme="majorHAnsi" w:hAnsiTheme="majorHAnsi" w:eastAsiaTheme="majorEastAsia" w:cstheme="majorBidi"/>
      <w:color w:val="2E75B6" w:themeColor="accent1" w:themeShade="BF"/>
      <w:sz w:val="32"/>
      <w:szCs w:val="32"/>
      <w:lang w:val="en-GB" w:eastAsia="en-GB"/>
    </w:rPr>
  </w:style>
  <w:style w:type="paragraph" w:customStyle="1" w:styleId="11">
    <w:name w:val="TOC Heading"/>
    <w:basedOn w:val="2"/>
    <w:next w:val="1"/>
    <w:unhideWhenUsed/>
    <w:qFormat/>
    <w:uiPriority w:val="39"/>
    <w:pPr>
      <w:spacing w:line="259" w:lineRule="auto"/>
      <w:outlineLvl w:val="9"/>
    </w:pPr>
    <w:rPr>
      <w:lang w:val="en-US" w:eastAsia="en-US"/>
    </w:rPr>
  </w:style>
  <w:style w:type="character" w:customStyle="1" w:styleId="12">
    <w:name w:val="Header Char"/>
    <w:basedOn w:val="8"/>
    <w:link w:val="5"/>
    <w:uiPriority w:val="99"/>
    <w:rPr>
      <w:rFonts w:ascii="Arial" w:hAnsi="Arial" w:eastAsia="Times New Roman" w:cs="Times New Roman"/>
      <w:szCs w:val="20"/>
      <w:lang w:val="en-GB" w:eastAsia="en-GB"/>
    </w:rPr>
  </w:style>
  <w:style w:type="character" w:customStyle="1" w:styleId="13">
    <w:name w:val="Footer Char"/>
    <w:basedOn w:val="8"/>
    <w:link w:val="4"/>
    <w:uiPriority w:val="99"/>
    <w:rPr>
      <w:rFonts w:ascii="Arial" w:hAnsi="Arial" w:eastAsia="Times New Roman" w:cs="Times New Roman"/>
      <w:szCs w:val="20"/>
      <w:lang w:val="en-GB" w:eastAsia="en-GB"/>
    </w:rPr>
  </w:style>
  <w:style w:type="character" w:customStyle="1" w:styleId="14">
    <w:name w:val="Balloon Text Char"/>
    <w:basedOn w:val="8"/>
    <w:link w:val="3"/>
    <w:semiHidden/>
    <w:uiPriority w:val="99"/>
    <w:rPr>
      <w:rFonts w:ascii="Tahoma" w:hAnsi="Tahoma" w:eastAsia="Times New Roman" w:cs="Tahoma"/>
      <w:sz w:val="16"/>
      <w:szCs w:val="16"/>
      <w:lang w:val="en-GB" w:eastAsia="en-GB"/>
    </w:rPr>
  </w:style>
  <w:style w:type="paragraph" w:styleId="15">
    <w:name w:val="No Spacing"/>
    <w:qFormat/>
    <w:uiPriority w:val="1"/>
    <w:pPr>
      <w:spacing w:after="0" w:line="240" w:lineRule="auto"/>
    </w:pPr>
    <w:rPr>
      <w:rFonts w:ascii="Arial" w:hAnsi="Arial" w:eastAsia="Times New Roman" w:cs="Times New Roman"/>
      <w:sz w:val="22"/>
      <w:szCs w:val="20"/>
      <w:lang w:val="en-GB" w:eastAsia="en-GB"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BB4B853-E7B9-4FF1-9E4B-0179E205C845}">
  <ds:schemaRefs/>
</ds:datastoreItem>
</file>

<file path=docProps/app.xml><?xml version="1.0" encoding="utf-8"?>
<Properties xmlns="http://schemas.openxmlformats.org/officeDocument/2006/extended-properties" xmlns:vt="http://schemas.openxmlformats.org/officeDocument/2006/docPropsVTypes">
  <Template>Normal</Template>
  <Pages>13</Pages>
  <Words>2739</Words>
  <Characters>15613</Characters>
  <Lines>130</Lines>
  <Paragraphs>36</Paragraphs>
  <TotalTime>7</TotalTime>
  <ScaleCrop>false</ScaleCrop>
  <LinksUpToDate>false</LinksUpToDate>
  <CharactersWithSpaces>18316</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2019-05-02T06:05:00Z</dcterms:created>
  <dc:creator>Windows User</dc:creator>
  <cp:lastModifiedBy>mac</cp:lastModifiedBy>
  <dcterms:modified xsi:type="dcterms:W3CDTF">2019-05-03T11:34:56Z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