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ACF" w:rsidRPr="00EE5BC3" w:rsidRDefault="00E43ACF" w:rsidP="00E43ACF">
      <w:pPr>
        <w:jc w:val="center"/>
        <w:rPr>
          <w:b/>
          <w:sz w:val="28"/>
          <w:szCs w:val="28"/>
        </w:rPr>
      </w:pPr>
      <w:r w:rsidRPr="00EE5BC3">
        <w:rPr>
          <w:b/>
          <w:sz w:val="28"/>
          <w:szCs w:val="28"/>
        </w:rPr>
        <w:t>Task 4</w:t>
      </w:r>
    </w:p>
    <w:p w:rsidR="00E43ACF" w:rsidRPr="00EE5BC3" w:rsidRDefault="00E43ACF" w:rsidP="00E43ACF">
      <w:pPr>
        <w:jc w:val="center"/>
        <w:rPr>
          <w:b/>
          <w:sz w:val="28"/>
          <w:szCs w:val="28"/>
        </w:rPr>
      </w:pPr>
    </w:p>
    <w:p w:rsidR="00E43ACF" w:rsidRPr="00EE5BC3" w:rsidRDefault="00E43ACF" w:rsidP="00E43ACF">
      <w:pPr>
        <w:jc w:val="center"/>
        <w:rPr>
          <w:b/>
          <w:sz w:val="28"/>
          <w:szCs w:val="28"/>
        </w:rPr>
      </w:pPr>
      <w:r w:rsidRPr="00EE5BC3">
        <w:rPr>
          <w:b/>
          <w:sz w:val="28"/>
          <w:szCs w:val="28"/>
        </w:rPr>
        <w:t>Safeguarding</w:t>
      </w:r>
      <w:r>
        <w:rPr>
          <w:b/>
          <w:sz w:val="28"/>
          <w:szCs w:val="28"/>
        </w:rPr>
        <w:t xml:space="preserve"> in an area which is not your main area of work</w:t>
      </w:r>
    </w:p>
    <w:p w:rsidR="00E43ACF" w:rsidRPr="008B28E7" w:rsidRDefault="00E43ACF" w:rsidP="00E43ACF">
      <w:pPr>
        <w:jc w:val="both"/>
        <w:rPr>
          <w:b/>
          <w:sz w:val="24"/>
          <w:szCs w:val="24"/>
        </w:rPr>
      </w:pPr>
    </w:p>
    <w:p w:rsidR="00E43ACF" w:rsidRPr="00EE5BC3" w:rsidRDefault="00E43ACF" w:rsidP="00E43ACF">
      <w:pPr>
        <w:ind w:left="-90"/>
        <w:jc w:val="both"/>
        <w:rPr>
          <w:b/>
          <w:i/>
          <w:sz w:val="24"/>
          <w:szCs w:val="24"/>
        </w:rPr>
      </w:pPr>
      <w:r w:rsidRPr="00EE5BC3">
        <w:rPr>
          <w:b/>
          <w:i/>
          <w:sz w:val="24"/>
          <w:szCs w:val="24"/>
        </w:rPr>
        <w:t xml:space="preserve">Guidance: </w:t>
      </w:r>
    </w:p>
    <w:p w:rsidR="00E43ACF" w:rsidRPr="00706BB5" w:rsidRDefault="00E43ACF" w:rsidP="00E43ACF">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rsidR="00E43ACF" w:rsidRPr="008B28E7" w:rsidRDefault="00E43ACF" w:rsidP="00E43ACF">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43ACF" w:rsidRPr="008B28E7" w:rsidTr="00542977">
        <w:tc>
          <w:tcPr>
            <w:tcW w:w="10188" w:type="dxa"/>
            <w:shd w:val="clear" w:color="auto" w:fill="auto"/>
          </w:tcPr>
          <w:p w:rsidR="00E43ACF" w:rsidRPr="00EB695F" w:rsidRDefault="00E43ACF" w:rsidP="00542977">
            <w:pPr>
              <w:jc w:val="both"/>
              <w:rPr>
                <w:b/>
                <w:sz w:val="24"/>
                <w:szCs w:val="24"/>
              </w:rPr>
            </w:pPr>
            <w:r w:rsidRPr="00EB695F">
              <w:rPr>
                <w:b/>
                <w:sz w:val="24"/>
                <w:szCs w:val="24"/>
              </w:rPr>
              <w:t>Question</w:t>
            </w:r>
            <w:r>
              <w:rPr>
                <w:b/>
                <w:sz w:val="24"/>
                <w:szCs w:val="24"/>
              </w:rPr>
              <w:t xml:space="preserve"> a:</w:t>
            </w:r>
          </w:p>
          <w:p w:rsidR="00E43ACF" w:rsidRDefault="00E43ACF" w:rsidP="00542977">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E43ACF" w:rsidRDefault="00E43ACF" w:rsidP="00542977">
            <w:pPr>
              <w:jc w:val="both"/>
              <w:rPr>
                <w:sz w:val="24"/>
                <w:szCs w:val="24"/>
              </w:rPr>
            </w:pP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bookmarkStart w:id="0" w:name="_GoBack"/>
            <w:r>
              <w:rPr>
                <w:sz w:val="24"/>
                <w:szCs w:val="24"/>
              </w:rPr>
              <w:t xml:space="preserve">The area of safeguarding which I will be discussing in this task is children’s safeguarding. There are two primary pieces of legislation which implement safeguarding  duties  for children and these are The Social Services and Wellbeing Wales Act 2014 (UK Government, 2014) and the Children Act 1989 (UK Government, 1989). </w:t>
            </w:r>
            <w:r w:rsidRPr="00D6628B">
              <w:rPr>
                <w:sz w:val="24"/>
                <w:szCs w:val="24"/>
              </w:rPr>
              <w:t xml:space="preserve">There are other important pieces of legislation implemented to protect children and these are the United Nations Conventions of the Rights of a Child and The Rights of Children and Young Persons Measure 2011. Both are overseen by the Children’s Commissioner for wales, who at present is </w:t>
            </w:r>
            <w:r w:rsidRPr="00D6628B">
              <w:rPr>
                <w:color w:val="1F1F1F"/>
                <w:sz w:val="24"/>
                <w:szCs w:val="24"/>
                <w:shd w:val="clear" w:color="auto" w:fill="FFFFFF"/>
              </w:rPr>
              <w:t xml:space="preserve">Rocio </w:t>
            </w:r>
            <w:proofErr w:type="spellStart"/>
            <w:r w:rsidRPr="00D6628B">
              <w:rPr>
                <w:color w:val="1F1F1F"/>
                <w:sz w:val="24"/>
                <w:szCs w:val="24"/>
                <w:shd w:val="clear" w:color="auto" w:fill="FFFFFF"/>
              </w:rPr>
              <w:t>Cifuentes</w:t>
            </w:r>
            <w:proofErr w:type="spellEnd"/>
            <w:r w:rsidRPr="00D6628B">
              <w:rPr>
                <w:color w:val="1F1F1F"/>
                <w:sz w:val="24"/>
                <w:szCs w:val="24"/>
                <w:shd w:val="clear" w:color="auto" w:fill="FFFFFF"/>
              </w:rPr>
              <w:t xml:space="preserve"> (Welsh Government, 2022).</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 xml:space="preserve">The Social Services and Wellbeing Wales Act 2014, Part 7, section 130 identifies a duty to report a child at risk of neglect or harm (UK Government, 2014). This is where a safeguarding lead will begin to investigate the concerns under section 130 of The Social Services and Wellbeing Wales Act 2014 and section 47 of The Children’s Act 1989, and make a decision on whether further investigations and a strategy meeting to protect and promote the welfare of the child is required. A strategy meeting would usually be convened within 24 hours (UK Government, 2014). During this meeting the child’s social worker will chair and a minute taker will be present so all legal documentation is recorded accurately (O’Rourke, 2010). Munro (2011) highlights the importance of this for legal/court purposes. </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lastRenderedPageBreak/>
              <w:t xml:space="preserve">If the child is deemed to be at risk under Part 7 (UK Government, 2014), Initial enquiries must be made the same day. At the point of the strategy meeting, plans would be discussed in multi-disciplinary setting to alleviate any immediate risks and the social worker have 45 days from the date of the safeguarding referral to begin assessments and decide upon a course of action to promote safety (UK Government, 2014). </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If the child is deemed to be at immediate risk of significant harm, where by immediate protection is required, the social worker must request the advice of legal services (UK Government, 1989). This would be executed under an emergency protection order, section 44 of The Children Act 1989, or an Interim Care Order, under section 38 of the same act (UK Government, 1989). The police also hold powers under Section 47 and can intervene and place a child in safety for a maximum of 72 hours whilst social services begin investigations.</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 xml:space="preserve">Both Acts also implements the provision for local area safeguarding boars which are comprised of social services, police, NHS, local health board and probation services and youth offending teams (Law Wales, 2021). Within these boards information is shared in a multi-disciplinary setting, in relation to safeguarding concerns both locally and regionally. </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In regards to frameworks and procedures which govern children’s social work within wales, initially there was ‘The All Wales Child Protection Procedures’, which was later replaced in 2019 by the ‘Wales Safeguarding Procedures 2019’ (Safeguarding Wales, 2019). This clarifies roles and responsibilities of practitioners in wales in safeguarding children and young people. It covers safeguarding principles and effective practice, the duty to report a child at risk, responding to a report of a child at risk, planning and intervention for children on the child protection register and practice guides for specific safeguarding issues (NSPCC, 2019).</w:t>
            </w:r>
          </w:p>
          <w:p w:rsidR="00E43ACF" w:rsidRDefault="00E43ACF" w:rsidP="00542977">
            <w:pPr>
              <w:spacing w:line="360" w:lineRule="auto"/>
              <w:jc w:val="both"/>
              <w:rPr>
                <w:sz w:val="24"/>
                <w:szCs w:val="24"/>
              </w:rPr>
            </w:pPr>
          </w:p>
          <w:bookmarkEnd w:id="0"/>
          <w:p w:rsidR="00E43ACF" w:rsidRDefault="00E43ACF" w:rsidP="00542977">
            <w:pPr>
              <w:spacing w:line="360" w:lineRule="auto"/>
              <w:jc w:val="both"/>
              <w:rPr>
                <w:sz w:val="24"/>
                <w:szCs w:val="24"/>
              </w:rPr>
            </w:pPr>
            <w:r>
              <w:rPr>
                <w:sz w:val="24"/>
                <w:szCs w:val="24"/>
              </w:rPr>
              <w:t>Word count: 542</w:t>
            </w:r>
          </w:p>
          <w:p w:rsidR="00E43ACF" w:rsidRPr="006108C9" w:rsidRDefault="00E43ACF" w:rsidP="00542977">
            <w:pPr>
              <w:jc w:val="both"/>
              <w:rPr>
                <w:sz w:val="24"/>
                <w:szCs w:val="24"/>
              </w:rPr>
            </w:pPr>
          </w:p>
          <w:p w:rsidR="00E43ACF" w:rsidRDefault="00E43ACF" w:rsidP="00542977">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rsidR="00E43ACF" w:rsidRPr="008B28E7" w:rsidRDefault="00E43ACF" w:rsidP="00542977">
            <w:pPr>
              <w:jc w:val="both"/>
              <w:rPr>
                <w:b/>
                <w:sz w:val="24"/>
                <w:szCs w:val="24"/>
              </w:rPr>
            </w:pPr>
          </w:p>
        </w:tc>
      </w:tr>
    </w:tbl>
    <w:p w:rsidR="00E43ACF" w:rsidRPr="008B28E7" w:rsidRDefault="00E43ACF" w:rsidP="00E43ACF">
      <w:pPr>
        <w:jc w:val="both"/>
        <w:rPr>
          <w:sz w:val="24"/>
          <w:szCs w:val="24"/>
        </w:rPr>
      </w:pPr>
    </w:p>
    <w:p w:rsidR="00E43ACF" w:rsidRPr="008B28E7" w:rsidRDefault="00E43ACF" w:rsidP="00E43ACF">
      <w:pPr>
        <w:jc w:val="both"/>
        <w:rPr>
          <w:sz w:val="24"/>
          <w:szCs w:val="24"/>
        </w:rPr>
      </w:pPr>
    </w:p>
    <w:p w:rsidR="00E43ACF" w:rsidRDefault="00E43ACF" w:rsidP="00E43ACF">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43ACF" w:rsidRPr="008B28E7" w:rsidTr="00542977">
        <w:tc>
          <w:tcPr>
            <w:tcW w:w="10278" w:type="dxa"/>
            <w:shd w:val="clear" w:color="auto" w:fill="auto"/>
          </w:tcPr>
          <w:p w:rsidR="00E43ACF" w:rsidRPr="00EB695F" w:rsidRDefault="00E43ACF" w:rsidP="00542977">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E43ACF" w:rsidRDefault="00E43ACF" w:rsidP="00542977">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rsidR="00E43ACF" w:rsidRDefault="00E43ACF" w:rsidP="00542977">
            <w:pPr>
              <w:jc w:val="both"/>
              <w:rPr>
                <w:sz w:val="24"/>
                <w:szCs w:val="24"/>
              </w:rPr>
            </w:pPr>
          </w:p>
          <w:p w:rsidR="00E43ACF" w:rsidRDefault="00E43ACF" w:rsidP="00542977">
            <w:pPr>
              <w:spacing w:line="360" w:lineRule="auto"/>
              <w:jc w:val="both"/>
              <w:rPr>
                <w:sz w:val="24"/>
                <w:szCs w:val="24"/>
              </w:rPr>
            </w:pPr>
          </w:p>
          <w:p w:rsidR="00E43ACF" w:rsidRPr="005C5E16" w:rsidRDefault="00E43ACF" w:rsidP="00542977">
            <w:pPr>
              <w:spacing w:line="360" w:lineRule="auto"/>
              <w:jc w:val="both"/>
              <w:rPr>
                <w:b/>
                <w:sz w:val="24"/>
                <w:szCs w:val="24"/>
              </w:rPr>
            </w:pPr>
            <w:r>
              <w:rPr>
                <w:sz w:val="24"/>
                <w:szCs w:val="24"/>
              </w:rPr>
              <w:t>I have only worked within adult social services since qualifying but I have noticed that the fundamental elements of safeguarding adults and children remain the same. Legislation supports social workers to identify any differences, and guides and clarifies which course of action should be taken for each. Adults and children’s social services have joint safeguarding boards (UK Government, 2014)</w:t>
            </w:r>
          </w:p>
          <w:p w:rsidR="00E43ACF" w:rsidRDefault="00E43ACF" w:rsidP="00542977">
            <w:pPr>
              <w:spacing w:line="360" w:lineRule="auto"/>
              <w:jc w:val="both"/>
              <w:rPr>
                <w:sz w:val="24"/>
                <w:szCs w:val="24"/>
              </w:rPr>
            </w:pPr>
          </w:p>
          <w:p w:rsidR="00E43ACF" w:rsidRPr="00B92434" w:rsidRDefault="00E43ACF" w:rsidP="00542977">
            <w:pPr>
              <w:spacing w:line="360" w:lineRule="auto"/>
              <w:jc w:val="both"/>
              <w:rPr>
                <w:sz w:val="24"/>
                <w:szCs w:val="24"/>
              </w:rPr>
            </w:pPr>
            <w:r>
              <w:rPr>
                <w:sz w:val="24"/>
                <w:szCs w:val="24"/>
              </w:rPr>
              <w:t>The main differences I have noticed are t</w:t>
            </w:r>
            <w:r w:rsidRPr="00B92434">
              <w:rPr>
                <w:sz w:val="24"/>
                <w:szCs w:val="24"/>
              </w:rPr>
              <w:t>ime frames</w:t>
            </w:r>
            <w:r>
              <w:rPr>
                <w:sz w:val="24"/>
                <w:szCs w:val="24"/>
              </w:rPr>
              <w:t>, c</w:t>
            </w:r>
            <w:r w:rsidRPr="00B92434">
              <w:rPr>
                <w:sz w:val="24"/>
                <w:szCs w:val="24"/>
              </w:rPr>
              <w:t>onsent</w:t>
            </w:r>
            <w:r>
              <w:rPr>
                <w:sz w:val="24"/>
                <w:szCs w:val="24"/>
              </w:rPr>
              <w:t>, d</w:t>
            </w:r>
            <w:r w:rsidRPr="00B92434">
              <w:rPr>
                <w:sz w:val="24"/>
                <w:szCs w:val="24"/>
              </w:rPr>
              <w:t xml:space="preserve">ecision </w:t>
            </w:r>
            <w:r>
              <w:rPr>
                <w:sz w:val="24"/>
                <w:szCs w:val="24"/>
              </w:rPr>
              <w:t xml:space="preserve">making under law and </w:t>
            </w:r>
            <w:r w:rsidRPr="00B92434">
              <w:rPr>
                <w:sz w:val="24"/>
                <w:szCs w:val="24"/>
              </w:rPr>
              <w:t>Theory/approaches</w:t>
            </w:r>
            <w:r>
              <w:rPr>
                <w:sz w:val="24"/>
                <w:szCs w:val="24"/>
              </w:rPr>
              <w:t>.</w:t>
            </w:r>
          </w:p>
          <w:p w:rsidR="00E43ACF" w:rsidRDefault="00E43ACF" w:rsidP="00542977">
            <w:pPr>
              <w:spacing w:line="360" w:lineRule="auto"/>
              <w:jc w:val="both"/>
              <w:rPr>
                <w:sz w:val="24"/>
                <w:szCs w:val="24"/>
              </w:rPr>
            </w:pPr>
          </w:p>
          <w:p w:rsidR="00E43ACF" w:rsidRPr="00BD7E21" w:rsidRDefault="00E43ACF" w:rsidP="00542977">
            <w:pPr>
              <w:spacing w:line="360" w:lineRule="auto"/>
              <w:jc w:val="both"/>
              <w:rPr>
                <w:sz w:val="24"/>
                <w:szCs w:val="24"/>
              </w:rPr>
            </w:pPr>
            <w:r>
              <w:rPr>
                <w:sz w:val="24"/>
                <w:szCs w:val="24"/>
              </w:rPr>
              <w:t xml:space="preserve">Time frames are different between children’s safeguarding and adults. In children safeguarding enquiries must be made the same day and a strategy meeting must be held within 24 hours and in adults services a strategy meeting must be held within in 5 days of the referral being made (UK Government, 2014). </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 xml:space="preserve">Consent is also where I have noticed a difference. In adults, as long as an adult has capacity to make decision under The Mental Capacity Act 2005 and has not identified a lasting power of attorney under law prior to loosing capacity, then consent must be sought before any safeguarding referral is made  and an adult can refuse safeguarding support (UK Government, 2005). In children’s service consent is not always a considered factor as a child may be deemed not able to consent to the course of action, based on their lack of insight into the matter, and inability to complete the four steps of decision making under the Mental Capacity Act 2005 (UK Government, 2005) and this is where best interest meetings are arranged and completed. </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 xml:space="preserve">Following on from this, in a best interest meeting for an adult without capacity, the advocate and decision make will either be the person previously appointed by the person as lasting power of attorney (LPA) for health and welfare or finance and property, or social services. For an adult without the above, an independent mental </w:t>
            </w:r>
            <w:r>
              <w:rPr>
                <w:sz w:val="24"/>
                <w:szCs w:val="24"/>
              </w:rPr>
              <w:lastRenderedPageBreak/>
              <w:t>capacity advocate is sought. In children’s the decision maker is often the parental guardian as they hold power over decision making for any child under the age of 18 years old. In the safeguarding area the decision maker within a best interest meeting is social services or the court of protection depending on the decision being made (UK Government, 2014).</w:t>
            </w:r>
          </w:p>
          <w:p w:rsidR="00E43ACF" w:rsidRDefault="00E43ACF" w:rsidP="00542977">
            <w:pPr>
              <w:spacing w:line="360" w:lineRule="auto"/>
              <w:jc w:val="both"/>
              <w:rPr>
                <w:sz w:val="24"/>
                <w:szCs w:val="24"/>
              </w:rPr>
            </w:pPr>
          </w:p>
          <w:p w:rsidR="00E43ACF" w:rsidRDefault="00E43ACF" w:rsidP="00542977">
            <w:pPr>
              <w:spacing w:line="360" w:lineRule="auto"/>
              <w:jc w:val="both"/>
              <w:rPr>
                <w:sz w:val="24"/>
                <w:szCs w:val="24"/>
              </w:rPr>
            </w:pPr>
            <w:r>
              <w:rPr>
                <w:sz w:val="24"/>
                <w:szCs w:val="24"/>
              </w:rPr>
              <w:t>Another difference I have notices is the theories/approaches we apply. In children services the signs of safety approach is applied, whereby in adults it is not. In children’s, a social worker would look at the impact of attachment theory, developmental theory and social learning theory.  In adults, transpersonal, psychosocial development, psychodynamic and psychoanalytical theories can be applied .Two theories which can be applied to both are the ACES model (adverse childhood experiences) and their impact of later life, and system theory.</w:t>
            </w:r>
          </w:p>
          <w:p w:rsidR="00E43ACF" w:rsidRDefault="00E43ACF" w:rsidP="00542977">
            <w:pPr>
              <w:spacing w:line="360" w:lineRule="auto"/>
              <w:jc w:val="both"/>
              <w:rPr>
                <w:sz w:val="24"/>
                <w:szCs w:val="24"/>
              </w:rPr>
            </w:pPr>
          </w:p>
          <w:p w:rsidR="00E43ACF" w:rsidRDefault="00E43ACF" w:rsidP="00E43ACF">
            <w:pPr>
              <w:spacing w:line="360" w:lineRule="auto"/>
              <w:jc w:val="both"/>
              <w:rPr>
                <w:sz w:val="24"/>
                <w:szCs w:val="24"/>
              </w:rPr>
            </w:pPr>
            <w:r>
              <w:rPr>
                <w:sz w:val="24"/>
                <w:szCs w:val="24"/>
              </w:rPr>
              <w:t>Word count: 449</w:t>
            </w:r>
          </w:p>
          <w:p w:rsidR="00E43ACF" w:rsidRDefault="00E43ACF" w:rsidP="00542977">
            <w:pPr>
              <w:jc w:val="both"/>
              <w:rPr>
                <w:sz w:val="24"/>
                <w:szCs w:val="24"/>
              </w:rPr>
            </w:pPr>
          </w:p>
          <w:p w:rsidR="00E43ACF" w:rsidRDefault="00E43ACF" w:rsidP="00542977">
            <w:pPr>
              <w:jc w:val="both"/>
              <w:rPr>
                <w:sz w:val="24"/>
                <w:szCs w:val="24"/>
              </w:rPr>
            </w:pPr>
          </w:p>
          <w:p w:rsidR="00E43ACF" w:rsidRPr="006108C9" w:rsidRDefault="00E43ACF" w:rsidP="00542977">
            <w:pPr>
              <w:jc w:val="both"/>
              <w:rPr>
                <w:sz w:val="24"/>
                <w:szCs w:val="24"/>
              </w:rPr>
            </w:pPr>
          </w:p>
          <w:p w:rsidR="00E43ACF" w:rsidRDefault="00E43ACF" w:rsidP="00542977">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E43ACF" w:rsidRPr="006108C9" w:rsidRDefault="00E43ACF" w:rsidP="00542977">
            <w:pPr>
              <w:jc w:val="both"/>
              <w:rPr>
                <w:sz w:val="24"/>
                <w:szCs w:val="24"/>
              </w:rPr>
            </w:pPr>
          </w:p>
        </w:tc>
      </w:tr>
    </w:tbl>
    <w:p w:rsidR="00E43ACF" w:rsidRDefault="00E43ACF" w:rsidP="00E43ACF">
      <w:pPr>
        <w:jc w:val="both"/>
        <w:rPr>
          <w:sz w:val="24"/>
          <w:szCs w:val="24"/>
        </w:rPr>
      </w:pPr>
    </w:p>
    <w:p w:rsidR="00E43ACF" w:rsidRDefault="00E43ACF" w:rsidP="00E43ACF">
      <w:pPr>
        <w:jc w:val="both"/>
        <w:rPr>
          <w:sz w:val="24"/>
          <w:szCs w:val="24"/>
        </w:rPr>
      </w:pPr>
    </w:p>
    <w:p w:rsidR="00FE06AE" w:rsidRDefault="00E43ACF"/>
    <w:sectPr w:rsidR="00FE06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ACF"/>
    <w:rsid w:val="000231E8"/>
    <w:rsid w:val="00216D30"/>
    <w:rsid w:val="00E43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B539"/>
  <w15:chartTrackingRefBased/>
  <w15:docId w15:val="{55DD944F-ABF3-4A3A-AAA9-4420FA38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ACF"/>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43ACF"/>
    <w:rPr>
      <w:color w:val="0000FF"/>
      <w:u w:val="single"/>
    </w:rPr>
  </w:style>
  <w:style w:type="paragraph" w:styleId="NormalWeb">
    <w:name w:val="Normal (Web)"/>
    <w:basedOn w:val="Normal"/>
    <w:uiPriority w:val="99"/>
    <w:unhideWhenUsed/>
    <w:rsid w:val="00E43A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1081</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 Collins</dc:creator>
  <cp:keywords/>
  <dc:description/>
  <cp:lastModifiedBy>Chey Collins</cp:lastModifiedBy>
  <cp:revision>1</cp:revision>
  <dcterms:created xsi:type="dcterms:W3CDTF">2023-02-27T11:27:00Z</dcterms:created>
  <dcterms:modified xsi:type="dcterms:W3CDTF">2023-02-27T11:29:00Z</dcterms:modified>
</cp:coreProperties>
</file>