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A9193" w14:textId="77777777" w:rsidR="003D01F4" w:rsidRPr="00CC1F89" w:rsidRDefault="003D01F4" w:rsidP="002F7C2C">
      <w:pPr>
        <w:spacing w:line="276" w:lineRule="auto"/>
        <w:rPr>
          <w:rFonts w:cstheme="minorHAnsi"/>
          <w:b/>
          <w:bCs/>
          <w:sz w:val="24"/>
          <w:szCs w:val="24"/>
        </w:rPr>
      </w:pPr>
    </w:p>
    <w:p w14:paraId="74440E71" w14:textId="3DEF3D53" w:rsidR="003D01F4" w:rsidRPr="00CC1F89" w:rsidRDefault="003D01F4" w:rsidP="00DD71A6">
      <w:pPr>
        <w:tabs>
          <w:tab w:val="left" w:pos="3060"/>
        </w:tabs>
        <w:spacing w:line="276" w:lineRule="auto"/>
        <w:jc w:val="center"/>
        <w:rPr>
          <w:rFonts w:cstheme="minorHAnsi"/>
          <w:b/>
          <w:bCs/>
          <w:sz w:val="24"/>
          <w:szCs w:val="24"/>
        </w:rPr>
      </w:pPr>
      <w:r w:rsidRPr="00CC1F89">
        <w:rPr>
          <w:rFonts w:cstheme="minorHAnsi"/>
          <w:b/>
          <w:bCs/>
          <w:sz w:val="24"/>
          <w:szCs w:val="24"/>
        </w:rPr>
        <w:t xml:space="preserve">Key Challenges in </w:t>
      </w:r>
      <w:r w:rsidR="0058358D" w:rsidRPr="00CC1F89">
        <w:rPr>
          <w:rFonts w:cstheme="minorHAnsi"/>
          <w:b/>
          <w:bCs/>
          <w:sz w:val="24"/>
          <w:szCs w:val="24"/>
        </w:rPr>
        <w:t>Child Sexual Abuse and Exploitation:</w:t>
      </w:r>
    </w:p>
    <w:p w14:paraId="75B6E75C" w14:textId="77777777" w:rsidR="0058358D" w:rsidRPr="00AE7A80" w:rsidRDefault="0058358D" w:rsidP="00AE7A80">
      <w:pPr>
        <w:tabs>
          <w:tab w:val="left" w:pos="3060"/>
        </w:tabs>
        <w:spacing w:line="276" w:lineRule="auto"/>
        <w:rPr>
          <w:rFonts w:cstheme="minorHAnsi"/>
          <w:sz w:val="24"/>
          <w:szCs w:val="24"/>
        </w:rPr>
      </w:pPr>
    </w:p>
    <w:p w14:paraId="5A92790E" w14:textId="151A9DED" w:rsidR="00EF1217" w:rsidRPr="00E17D64" w:rsidRDefault="00C248F2" w:rsidP="00E17D64">
      <w:pPr>
        <w:pStyle w:val="NormalWeb"/>
        <w:spacing w:before="0" w:beforeAutospacing="0" w:after="0" w:afterAutospacing="0" w:line="276" w:lineRule="auto"/>
        <w:jc w:val="both"/>
        <w:rPr>
          <w:rFonts w:asciiTheme="minorHAnsi" w:hAnsiTheme="minorHAnsi" w:cstheme="minorHAnsi"/>
          <w:color w:val="000000" w:themeColor="text1"/>
        </w:rPr>
      </w:pPr>
      <w:r w:rsidRPr="00E17D64">
        <w:rPr>
          <w:rFonts w:asciiTheme="minorHAnsi" w:hAnsiTheme="minorHAnsi" w:cstheme="minorHAnsi"/>
          <w:color w:val="000000" w:themeColor="text1"/>
        </w:rPr>
        <w:t>Grooming is becoming a cross platform problem</w:t>
      </w:r>
      <w:r w:rsidR="00336F00" w:rsidRPr="00E17D64">
        <w:rPr>
          <w:rFonts w:asciiTheme="minorHAnsi" w:hAnsiTheme="minorHAnsi" w:cstheme="minorHAnsi"/>
          <w:color w:val="000000" w:themeColor="text1"/>
        </w:rPr>
        <w:t xml:space="preserve">, </w:t>
      </w:r>
      <w:r w:rsidR="00B951F0" w:rsidRPr="00E17D64">
        <w:rPr>
          <w:rFonts w:asciiTheme="minorHAnsi" w:hAnsiTheme="minorHAnsi" w:cstheme="minorHAnsi"/>
          <w:color w:val="000000" w:themeColor="text1"/>
        </w:rPr>
        <w:t xml:space="preserve">according to NSPCC (2022) </w:t>
      </w:r>
      <w:r w:rsidR="00C6396F" w:rsidRPr="00E17D64">
        <w:rPr>
          <w:rFonts w:asciiTheme="minorHAnsi" w:hAnsiTheme="minorHAnsi" w:cstheme="minorHAnsi"/>
          <w:color w:val="000000" w:themeColor="text1"/>
        </w:rPr>
        <w:t xml:space="preserve">in </w:t>
      </w:r>
      <w:r w:rsidR="00BE310E" w:rsidRPr="00E17D64">
        <w:rPr>
          <w:rFonts w:asciiTheme="minorHAnsi" w:hAnsiTheme="minorHAnsi" w:cstheme="minorHAnsi"/>
          <w:color w:val="000000" w:themeColor="text1"/>
        </w:rPr>
        <w:t>the last 12 months over 70 online apps and games</w:t>
      </w:r>
      <w:r w:rsidR="0090186A" w:rsidRPr="00E17D64">
        <w:rPr>
          <w:rFonts w:asciiTheme="minorHAnsi" w:hAnsiTheme="minorHAnsi" w:cstheme="minorHAnsi"/>
          <w:color w:val="000000" w:themeColor="text1"/>
        </w:rPr>
        <w:t xml:space="preserve"> were involved in grooming activities</w:t>
      </w:r>
      <w:r w:rsidR="005D3DFF" w:rsidRPr="00E17D64">
        <w:rPr>
          <w:rFonts w:asciiTheme="minorHAnsi" w:hAnsiTheme="minorHAnsi" w:cstheme="minorHAnsi"/>
          <w:color w:val="000000" w:themeColor="text1"/>
        </w:rPr>
        <w:t xml:space="preserve">. Snapchat making up for </w:t>
      </w:r>
      <w:r w:rsidR="00A16C69" w:rsidRPr="00E17D64">
        <w:rPr>
          <w:rFonts w:asciiTheme="minorHAnsi" w:hAnsiTheme="minorHAnsi" w:cstheme="minorHAnsi"/>
          <w:color w:val="000000" w:themeColor="text1"/>
        </w:rPr>
        <w:t xml:space="preserve">over 33% of </w:t>
      </w:r>
      <w:r w:rsidR="0035748F" w:rsidRPr="00E17D64">
        <w:rPr>
          <w:rFonts w:asciiTheme="minorHAnsi" w:hAnsiTheme="minorHAnsi" w:cstheme="minorHAnsi"/>
          <w:color w:val="000000" w:themeColor="text1"/>
        </w:rPr>
        <w:t>meta platforms</w:t>
      </w:r>
      <w:r w:rsidR="00A16C69" w:rsidRPr="00E17D64">
        <w:rPr>
          <w:rFonts w:asciiTheme="minorHAnsi" w:hAnsiTheme="minorHAnsi" w:cstheme="minorHAnsi"/>
          <w:color w:val="000000" w:themeColor="text1"/>
        </w:rPr>
        <w:t xml:space="preserve"> being most commonly used to facilitate grooming</w:t>
      </w:r>
      <w:r w:rsidR="00DB01BE" w:rsidRPr="00E17D64">
        <w:rPr>
          <w:rFonts w:asciiTheme="minorHAnsi" w:hAnsiTheme="minorHAnsi" w:cstheme="minorHAnsi"/>
          <w:color w:val="000000" w:themeColor="text1"/>
        </w:rPr>
        <w:t xml:space="preserve">. </w:t>
      </w:r>
      <w:r w:rsidR="001E2BC2" w:rsidRPr="00E17D64">
        <w:rPr>
          <w:rFonts w:asciiTheme="minorHAnsi" w:hAnsiTheme="minorHAnsi" w:cstheme="minorHAnsi"/>
          <w:color w:val="000000" w:themeColor="text1"/>
        </w:rPr>
        <w:t xml:space="preserve">The high volume of child sexual abuse and exploitation </w:t>
      </w:r>
      <w:r w:rsidR="00080754" w:rsidRPr="00E17D64">
        <w:rPr>
          <w:rFonts w:asciiTheme="minorHAnsi" w:hAnsiTheme="minorHAnsi" w:cstheme="minorHAnsi"/>
          <w:color w:val="000000" w:themeColor="text1"/>
        </w:rPr>
        <w:t xml:space="preserve">material accessible on the open web, </w:t>
      </w:r>
      <w:r w:rsidR="00FB247D" w:rsidRPr="00E17D64">
        <w:rPr>
          <w:rFonts w:asciiTheme="minorHAnsi" w:hAnsiTheme="minorHAnsi" w:cstheme="minorHAnsi"/>
          <w:color w:val="000000" w:themeColor="text1"/>
        </w:rPr>
        <w:t>the</w:t>
      </w:r>
      <w:r w:rsidR="00945AFF" w:rsidRPr="00E17D64">
        <w:rPr>
          <w:rFonts w:asciiTheme="minorHAnsi" w:hAnsiTheme="minorHAnsi" w:cstheme="minorHAnsi"/>
          <w:color w:val="000000" w:themeColor="text1"/>
        </w:rPr>
        <w:t xml:space="preserve"> ease and</w:t>
      </w:r>
      <w:r w:rsidR="00FB247D" w:rsidRPr="00E17D64">
        <w:rPr>
          <w:rFonts w:asciiTheme="minorHAnsi" w:hAnsiTheme="minorHAnsi" w:cstheme="minorHAnsi"/>
          <w:color w:val="000000" w:themeColor="text1"/>
        </w:rPr>
        <w:t xml:space="preserve"> ability to access material </w:t>
      </w:r>
      <w:r w:rsidR="00945AFF" w:rsidRPr="00E17D64">
        <w:rPr>
          <w:rFonts w:asciiTheme="minorHAnsi" w:hAnsiTheme="minorHAnsi" w:cstheme="minorHAnsi"/>
          <w:color w:val="000000" w:themeColor="text1"/>
        </w:rPr>
        <w:t xml:space="preserve">and </w:t>
      </w:r>
      <w:r w:rsidR="008C53AA" w:rsidRPr="00E17D64">
        <w:rPr>
          <w:rFonts w:asciiTheme="minorHAnsi" w:hAnsiTheme="minorHAnsi" w:cstheme="minorHAnsi"/>
          <w:color w:val="000000" w:themeColor="text1"/>
        </w:rPr>
        <w:t>technical</w:t>
      </w:r>
      <w:r w:rsidR="00945AFF" w:rsidRPr="00E17D64">
        <w:rPr>
          <w:rFonts w:asciiTheme="minorHAnsi" w:hAnsiTheme="minorHAnsi" w:cstheme="minorHAnsi"/>
          <w:color w:val="000000" w:themeColor="text1"/>
        </w:rPr>
        <w:t xml:space="preserve"> </w:t>
      </w:r>
      <w:r w:rsidR="003277DD" w:rsidRPr="00E17D64">
        <w:rPr>
          <w:rFonts w:asciiTheme="minorHAnsi" w:hAnsiTheme="minorHAnsi" w:cstheme="minorHAnsi"/>
          <w:color w:val="000000" w:themeColor="text1"/>
        </w:rPr>
        <w:t xml:space="preserve">advancements such as anonymisation, destruction tools, encryption and </w:t>
      </w:r>
      <w:r w:rsidR="00D93AD9" w:rsidRPr="00E17D64">
        <w:rPr>
          <w:rFonts w:asciiTheme="minorHAnsi" w:hAnsiTheme="minorHAnsi" w:cstheme="minorHAnsi"/>
          <w:color w:val="000000" w:themeColor="text1"/>
        </w:rPr>
        <w:t xml:space="preserve">perpetrators </w:t>
      </w:r>
      <w:r w:rsidR="008C53AA" w:rsidRPr="00E17D64">
        <w:rPr>
          <w:rFonts w:asciiTheme="minorHAnsi" w:hAnsiTheme="minorHAnsi" w:cstheme="minorHAnsi"/>
          <w:color w:val="000000" w:themeColor="text1"/>
        </w:rPr>
        <w:t>utilising</w:t>
      </w:r>
      <w:r w:rsidR="00F9120A" w:rsidRPr="00E17D64">
        <w:rPr>
          <w:rFonts w:asciiTheme="minorHAnsi" w:hAnsiTheme="minorHAnsi" w:cstheme="minorHAnsi"/>
          <w:color w:val="000000" w:themeColor="text1"/>
        </w:rPr>
        <w:t xml:space="preserve"> the</w:t>
      </w:r>
      <w:r w:rsidR="00CC1904" w:rsidRPr="00E17D64">
        <w:rPr>
          <w:rFonts w:asciiTheme="minorHAnsi" w:hAnsiTheme="minorHAnsi" w:cstheme="minorHAnsi"/>
          <w:color w:val="000000" w:themeColor="text1"/>
        </w:rPr>
        <w:t xml:space="preserve"> d</w:t>
      </w:r>
      <w:r w:rsidR="00920AFF" w:rsidRPr="00E17D64">
        <w:rPr>
          <w:rFonts w:asciiTheme="minorHAnsi" w:hAnsiTheme="minorHAnsi" w:cstheme="minorHAnsi"/>
          <w:color w:val="000000" w:themeColor="text1"/>
        </w:rPr>
        <w:t>a</w:t>
      </w:r>
      <w:r w:rsidR="00CC1904" w:rsidRPr="00E17D64">
        <w:rPr>
          <w:rFonts w:asciiTheme="minorHAnsi" w:hAnsiTheme="minorHAnsi" w:cstheme="minorHAnsi"/>
          <w:color w:val="000000" w:themeColor="text1"/>
        </w:rPr>
        <w:t>rk web ha</w:t>
      </w:r>
      <w:r w:rsidR="00A55130" w:rsidRPr="00E17D64">
        <w:rPr>
          <w:rFonts w:asciiTheme="minorHAnsi" w:hAnsiTheme="minorHAnsi" w:cstheme="minorHAnsi"/>
          <w:color w:val="000000" w:themeColor="text1"/>
        </w:rPr>
        <w:t>ve</w:t>
      </w:r>
      <w:r w:rsidR="00CC1904" w:rsidRPr="00E17D64">
        <w:rPr>
          <w:rFonts w:asciiTheme="minorHAnsi" w:hAnsiTheme="minorHAnsi" w:cstheme="minorHAnsi"/>
          <w:color w:val="000000" w:themeColor="text1"/>
        </w:rPr>
        <w:t xml:space="preserve"> posed a major challenge to pol</w:t>
      </w:r>
      <w:r w:rsidR="00A55130" w:rsidRPr="00E17D64">
        <w:rPr>
          <w:rFonts w:asciiTheme="minorHAnsi" w:hAnsiTheme="minorHAnsi" w:cstheme="minorHAnsi"/>
          <w:color w:val="000000" w:themeColor="text1"/>
        </w:rPr>
        <w:t>i</w:t>
      </w:r>
      <w:r w:rsidR="00CC1904" w:rsidRPr="00E17D64">
        <w:rPr>
          <w:rFonts w:asciiTheme="minorHAnsi" w:hAnsiTheme="minorHAnsi" w:cstheme="minorHAnsi"/>
          <w:color w:val="000000" w:themeColor="text1"/>
        </w:rPr>
        <w:t>cing responses within the UK.</w:t>
      </w:r>
      <w:r w:rsidR="0075716E" w:rsidRPr="00E17D64">
        <w:rPr>
          <w:rFonts w:asciiTheme="minorHAnsi" w:hAnsiTheme="minorHAnsi" w:cstheme="minorHAnsi"/>
          <w:color w:val="000000" w:themeColor="text1"/>
        </w:rPr>
        <w:t xml:space="preserve"> </w:t>
      </w:r>
      <w:r w:rsidR="008A3AB1" w:rsidRPr="00E17D64">
        <w:rPr>
          <w:rFonts w:asciiTheme="minorHAnsi" w:hAnsiTheme="minorHAnsi" w:cstheme="minorHAnsi"/>
          <w:color w:val="000000" w:themeColor="text1"/>
        </w:rPr>
        <w:t xml:space="preserve">Although there isn’t </w:t>
      </w:r>
      <w:r w:rsidR="00AF37EA" w:rsidRPr="00E17D64">
        <w:rPr>
          <w:rFonts w:asciiTheme="minorHAnsi" w:hAnsiTheme="minorHAnsi" w:cstheme="minorHAnsi"/>
          <w:color w:val="000000" w:themeColor="text1"/>
        </w:rPr>
        <w:t xml:space="preserve">much evidence on the </w:t>
      </w:r>
      <w:r w:rsidR="00993BCB" w:rsidRPr="00E17D64">
        <w:rPr>
          <w:rFonts w:asciiTheme="minorHAnsi" w:hAnsiTheme="minorHAnsi" w:cstheme="minorHAnsi"/>
          <w:color w:val="000000" w:themeColor="text1"/>
        </w:rPr>
        <w:t xml:space="preserve">effectiveness of </w:t>
      </w:r>
      <w:r w:rsidR="00A314DC" w:rsidRPr="00E17D64">
        <w:rPr>
          <w:rFonts w:asciiTheme="minorHAnsi" w:hAnsiTheme="minorHAnsi" w:cstheme="minorHAnsi"/>
          <w:color w:val="000000" w:themeColor="text1"/>
        </w:rPr>
        <w:t xml:space="preserve">intervention and practice </w:t>
      </w:r>
      <w:r w:rsidR="00CE6F74" w:rsidRPr="00E17D64">
        <w:rPr>
          <w:rFonts w:asciiTheme="minorHAnsi" w:hAnsiTheme="minorHAnsi" w:cstheme="minorHAnsi"/>
          <w:color w:val="000000" w:themeColor="text1"/>
        </w:rPr>
        <w:t xml:space="preserve">strategies regarding CSE cases </w:t>
      </w:r>
      <w:r w:rsidR="004B2578" w:rsidRPr="00E17D64">
        <w:rPr>
          <w:rFonts w:asciiTheme="minorHAnsi" w:hAnsiTheme="minorHAnsi" w:cstheme="minorHAnsi"/>
          <w:color w:val="000000" w:themeColor="text1"/>
        </w:rPr>
        <w:t xml:space="preserve">due to the multi-agency approach </w:t>
      </w:r>
      <w:r w:rsidR="00631246" w:rsidRPr="00E17D64">
        <w:rPr>
          <w:rFonts w:asciiTheme="minorHAnsi" w:hAnsiTheme="minorHAnsi" w:cstheme="minorHAnsi"/>
          <w:color w:val="000000" w:themeColor="text1"/>
        </w:rPr>
        <w:t xml:space="preserve">allocated </w:t>
      </w:r>
      <w:r w:rsidR="004B2578" w:rsidRPr="00E17D64">
        <w:rPr>
          <w:rFonts w:asciiTheme="minorHAnsi" w:hAnsiTheme="minorHAnsi" w:cstheme="minorHAnsi"/>
          <w:color w:val="000000" w:themeColor="text1"/>
        </w:rPr>
        <w:t>to preventing the crime</w:t>
      </w:r>
      <w:r w:rsidR="00E571EC" w:rsidRPr="00E17D64">
        <w:rPr>
          <w:rFonts w:asciiTheme="minorHAnsi" w:hAnsiTheme="minorHAnsi" w:cstheme="minorHAnsi"/>
          <w:color w:val="000000" w:themeColor="text1"/>
        </w:rPr>
        <w:t>.</w:t>
      </w:r>
      <w:r w:rsidR="004254CE" w:rsidRPr="00E17D64">
        <w:rPr>
          <w:rFonts w:asciiTheme="minorHAnsi" w:hAnsiTheme="minorHAnsi" w:cstheme="minorHAnsi"/>
          <w:color w:val="000000" w:themeColor="text1"/>
        </w:rPr>
        <w:t xml:space="preserve"> Including the </w:t>
      </w:r>
      <w:r w:rsidR="00AE50BA" w:rsidRPr="00E17D64">
        <w:rPr>
          <w:rFonts w:asciiTheme="minorHAnsi" w:hAnsiTheme="minorHAnsi" w:cstheme="minorHAnsi"/>
          <w:color w:val="000000" w:themeColor="text1"/>
        </w:rPr>
        <w:t>p</w:t>
      </w:r>
      <w:r w:rsidR="004254CE" w:rsidRPr="00E17D64">
        <w:rPr>
          <w:rFonts w:asciiTheme="minorHAnsi" w:hAnsiTheme="minorHAnsi" w:cstheme="minorHAnsi"/>
          <w:color w:val="000000" w:themeColor="text1"/>
        </w:rPr>
        <w:t xml:space="preserve">olice, </w:t>
      </w:r>
      <w:r w:rsidR="00AE50BA" w:rsidRPr="00E17D64">
        <w:rPr>
          <w:rFonts w:asciiTheme="minorHAnsi" w:hAnsiTheme="minorHAnsi" w:cstheme="minorHAnsi"/>
          <w:color w:val="000000" w:themeColor="text1"/>
        </w:rPr>
        <w:t>s</w:t>
      </w:r>
      <w:r w:rsidR="004254CE" w:rsidRPr="00E17D64">
        <w:rPr>
          <w:rFonts w:asciiTheme="minorHAnsi" w:hAnsiTheme="minorHAnsi" w:cstheme="minorHAnsi"/>
          <w:color w:val="000000" w:themeColor="text1"/>
        </w:rPr>
        <w:t xml:space="preserve">ocial </w:t>
      </w:r>
      <w:r w:rsidR="00C8342F" w:rsidRPr="00E17D64">
        <w:rPr>
          <w:rFonts w:asciiTheme="minorHAnsi" w:hAnsiTheme="minorHAnsi" w:cstheme="minorHAnsi"/>
          <w:color w:val="000000" w:themeColor="text1"/>
        </w:rPr>
        <w:t>workers,</w:t>
      </w:r>
      <w:r w:rsidR="004254CE" w:rsidRPr="00E17D64">
        <w:rPr>
          <w:rFonts w:asciiTheme="minorHAnsi" w:hAnsiTheme="minorHAnsi" w:cstheme="minorHAnsi"/>
          <w:color w:val="000000" w:themeColor="text1"/>
        </w:rPr>
        <w:t xml:space="preserve"> and </w:t>
      </w:r>
      <w:r w:rsidR="00AE50BA" w:rsidRPr="00E17D64">
        <w:rPr>
          <w:rFonts w:asciiTheme="minorHAnsi" w:hAnsiTheme="minorHAnsi" w:cstheme="minorHAnsi"/>
          <w:color w:val="000000" w:themeColor="text1"/>
        </w:rPr>
        <w:t>the criminal justice system</w:t>
      </w:r>
      <w:r w:rsidR="00503747" w:rsidRPr="00E17D64">
        <w:rPr>
          <w:rFonts w:asciiTheme="minorHAnsi" w:hAnsiTheme="minorHAnsi" w:cstheme="minorHAnsi"/>
          <w:color w:val="000000" w:themeColor="text1"/>
        </w:rPr>
        <w:t xml:space="preserve">. An effective response would include prevention, </w:t>
      </w:r>
      <w:r w:rsidR="00C8342F" w:rsidRPr="00E17D64">
        <w:rPr>
          <w:rFonts w:asciiTheme="minorHAnsi" w:hAnsiTheme="minorHAnsi" w:cstheme="minorHAnsi"/>
          <w:color w:val="000000" w:themeColor="text1"/>
        </w:rPr>
        <w:t>protection,</w:t>
      </w:r>
      <w:r w:rsidR="00503747" w:rsidRPr="00E17D64">
        <w:rPr>
          <w:rFonts w:asciiTheme="minorHAnsi" w:hAnsiTheme="minorHAnsi" w:cstheme="minorHAnsi"/>
          <w:color w:val="000000" w:themeColor="text1"/>
        </w:rPr>
        <w:t xml:space="preserve"> and </w:t>
      </w:r>
      <w:r w:rsidR="00C8342F" w:rsidRPr="00E17D64">
        <w:rPr>
          <w:rFonts w:asciiTheme="minorHAnsi" w:hAnsiTheme="minorHAnsi" w:cstheme="minorHAnsi"/>
          <w:color w:val="000000" w:themeColor="text1"/>
        </w:rPr>
        <w:t>prosecution</w:t>
      </w:r>
      <w:r w:rsidR="00A16DC9">
        <w:rPr>
          <w:rFonts w:asciiTheme="minorHAnsi" w:hAnsiTheme="minorHAnsi" w:cstheme="minorHAnsi"/>
          <w:color w:val="000000" w:themeColor="text1"/>
        </w:rPr>
        <w:t xml:space="preserve"> (</w:t>
      </w:r>
      <w:r w:rsidR="00B800BB">
        <w:rPr>
          <w:rFonts w:asciiTheme="minorHAnsi" w:hAnsiTheme="minorHAnsi" w:cstheme="minorHAnsi"/>
          <w:color w:val="000000" w:themeColor="text1"/>
        </w:rPr>
        <w:t>Kloess, 2014)</w:t>
      </w:r>
      <w:r w:rsidR="00C8342F" w:rsidRPr="00E17D64">
        <w:rPr>
          <w:rFonts w:asciiTheme="minorHAnsi" w:hAnsiTheme="minorHAnsi" w:cstheme="minorHAnsi"/>
          <w:color w:val="000000" w:themeColor="text1"/>
        </w:rPr>
        <w:t xml:space="preserve">. </w:t>
      </w:r>
      <w:r w:rsidR="004B30C9">
        <w:rPr>
          <w:rFonts w:asciiTheme="minorHAnsi" w:hAnsiTheme="minorHAnsi" w:cstheme="minorHAnsi"/>
          <w:color w:val="000000" w:themeColor="text1"/>
        </w:rPr>
        <w:t>A</w:t>
      </w:r>
      <w:r w:rsidR="00353E1E">
        <w:rPr>
          <w:rFonts w:asciiTheme="minorHAnsi" w:hAnsiTheme="minorHAnsi" w:cstheme="minorHAnsi"/>
          <w:color w:val="000000" w:themeColor="text1"/>
        </w:rPr>
        <w:t xml:space="preserve">ccording to </w:t>
      </w:r>
      <w:r w:rsidR="00890765">
        <w:rPr>
          <w:rFonts w:asciiTheme="minorHAnsi" w:hAnsiTheme="minorHAnsi" w:cstheme="minorHAnsi"/>
          <w:color w:val="000000" w:themeColor="text1"/>
        </w:rPr>
        <w:t>Brayley</w:t>
      </w:r>
      <w:r w:rsidR="00EC4BFB">
        <w:rPr>
          <w:rFonts w:asciiTheme="minorHAnsi" w:hAnsiTheme="minorHAnsi" w:cstheme="minorHAnsi"/>
          <w:color w:val="000000" w:themeColor="text1"/>
        </w:rPr>
        <w:t xml:space="preserve"> et al.,</w:t>
      </w:r>
      <w:r w:rsidR="00890765">
        <w:rPr>
          <w:rFonts w:asciiTheme="minorHAnsi" w:hAnsiTheme="minorHAnsi" w:cstheme="minorHAnsi"/>
          <w:color w:val="000000" w:themeColor="text1"/>
        </w:rPr>
        <w:t xml:space="preserve"> (20</w:t>
      </w:r>
      <w:r w:rsidR="00EC4BFB">
        <w:rPr>
          <w:rFonts w:asciiTheme="minorHAnsi" w:hAnsiTheme="minorHAnsi" w:cstheme="minorHAnsi"/>
          <w:color w:val="000000" w:themeColor="text1"/>
        </w:rPr>
        <w:t>20</w:t>
      </w:r>
      <w:r w:rsidR="004B30C9">
        <w:rPr>
          <w:rFonts w:asciiTheme="minorHAnsi" w:hAnsiTheme="minorHAnsi" w:cstheme="minorHAnsi"/>
          <w:color w:val="000000" w:themeColor="text1"/>
        </w:rPr>
        <w:t xml:space="preserve">), some challenges </w:t>
      </w:r>
      <w:r w:rsidR="004B30C9" w:rsidRPr="00E17D64">
        <w:rPr>
          <w:rFonts w:asciiTheme="minorHAnsi" w:hAnsiTheme="minorHAnsi" w:cstheme="minorHAnsi"/>
          <w:color w:val="000000" w:themeColor="text1"/>
        </w:rPr>
        <w:t>faced</w:t>
      </w:r>
      <w:r w:rsidR="00E571EC" w:rsidRPr="00E17D64">
        <w:rPr>
          <w:rFonts w:asciiTheme="minorHAnsi" w:hAnsiTheme="minorHAnsi" w:cstheme="minorHAnsi"/>
          <w:color w:val="000000" w:themeColor="text1"/>
        </w:rPr>
        <w:t xml:space="preserve"> by </w:t>
      </w:r>
      <w:r w:rsidR="00860AC7" w:rsidRPr="00E17D64">
        <w:rPr>
          <w:rFonts w:asciiTheme="minorHAnsi" w:hAnsiTheme="minorHAnsi" w:cstheme="minorHAnsi"/>
          <w:color w:val="000000" w:themeColor="text1"/>
        </w:rPr>
        <w:t xml:space="preserve">these agencies include </w:t>
      </w:r>
      <w:r w:rsidR="004F74F9" w:rsidRPr="00E17D64">
        <w:rPr>
          <w:rFonts w:asciiTheme="minorHAnsi" w:hAnsiTheme="minorHAnsi" w:cstheme="minorHAnsi"/>
          <w:color w:val="000000" w:themeColor="text1"/>
        </w:rPr>
        <w:t>the role of technology, lack of consistency</w:t>
      </w:r>
      <w:r w:rsidR="000754E6" w:rsidRPr="00E17D64">
        <w:rPr>
          <w:rFonts w:asciiTheme="minorHAnsi" w:hAnsiTheme="minorHAnsi" w:cstheme="minorHAnsi"/>
          <w:color w:val="000000" w:themeColor="text1"/>
        </w:rPr>
        <w:t xml:space="preserve"> </w:t>
      </w:r>
      <w:r w:rsidR="002612B8" w:rsidRPr="00E17D64">
        <w:rPr>
          <w:rFonts w:asciiTheme="minorHAnsi" w:hAnsiTheme="minorHAnsi" w:cstheme="minorHAnsi"/>
          <w:color w:val="000000" w:themeColor="text1"/>
        </w:rPr>
        <w:t>in assessment</w:t>
      </w:r>
      <w:r w:rsidR="004F74F9" w:rsidRPr="00E17D64">
        <w:rPr>
          <w:rFonts w:asciiTheme="minorHAnsi" w:hAnsiTheme="minorHAnsi" w:cstheme="minorHAnsi"/>
          <w:color w:val="000000" w:themeColor="text1"/>
        </w:rPr>
        <w:t xml:space="preserve"> tools</w:t>
      </w:r>
      <w:r w:rsidR="000754E6" w:rsidRPr="00E17D64">
        <w:rPr>
          <w:rFonts w:asciiTheme="minorHAnsi" w:hAnsiTheme="minorHAnsi" w:cstheme="minorHAnsi"/>
          <w:color w:val="000000" w:themeColor="text1"/>
        </w:rPr>
        <w:t xml:space="preserve">, improving </w:t>
      </w:r>
      <w:r w:rsidR="0061073E" w:rsidRPr="00E17D64">
        <w:rPr>
          <w:rFonts w:asciiTheme="minorHAnsi" w:hAnsiTheme="minorHAnsi" w:cstheme="minorHAnsi"/>
          <w:color w:val="000000" w:themeColor="text1"/>
        </w:rPr>
        <w:t xml:space="preserve">informed </w:t>
      </w:r>
      <w:r w:rsidR="000754E6" w:rsidRPr="00E17D64">
        <w:rPr>
          <w:rFonts w:asciiTheme="minorHAnsi" w:hAnsiTheme="minorHAnsi" w:cstheme="minorHAnsi"/>
          <w:color w:val="000000" w:themeColor="text1"/>
        </w:rPr>
        <w:t>trauma responses</w:t>
      </w:r>
      <w:r w:rsidR="0061073E" w:rsidRPr="00E17D64">
        <w:rPr>
          <w:rFonts w:asciiTheme="minorHAnsi" w:hAnsiTheme="minorHAnsi" w:cstheme="minorHAnsi"/>
          <w:color w:val="000000" w:themeColor="text1"/>
        </w:rPr>
        <w:t xml:space="preserve"> and the </w:t>
      </w:r>
      <w:r w:rsidR="00796D7A" w:rsidRPr="00E17D64">
        <w:rPr>
          <w:rFonts w:asciiTheme="minorHAnsi" w:hAnsiTheme="minorHAnsi" w:cstheme="minorHAnsi"/>
          <w:color w:val="000000" w:themeColor="text1"/>
        </w:rPr>
        <w:t>misconception</w:t>
      </w:r>
      <w:r w:rsidR="0061073E" w:rsidRPr="00E17D64">
        <w:rPr>
          <w:rFonts w:asciiTheme="minorHAnsi" w:hAnsiTheme="minorHAnsi" w:cstheme="minorHAnsi"/>
          <w:color w:val="000000" w:themeColor="text1"/>
        </w:rPr>
        <w:t xml:space="preserve"> of secure accommodation being </w:t>
      </w:r>
      <w:r w:rsidR="00796D7A" w:rsidRPr="00E17D64">
        <w:rPr>
          <w:rFonts w:asciiTheme="minorHAnsi" w:hAnsiTheme="minorHAnsi" w:cstheme="minorHAnsi"/>
          <w:color w:val="000000" w:themeColor="text1"/>
        </w:rPr>
        <w:t xml:space="preserve">an appropriate strategy in ensuring child </w:t>
      </w:r>
      <w:r w:rsidR="006C754D" w:rsidRPr="00E17D64">
        <w:rPr>
          <w:rFonts w:asciiTheme="minorHAnsi" w:hAnsiTheme="minorHAnsi" w:cstheme="minorHAnsi"/>
          <w:color w:val="000000" w:themeColor="text1"/>
        </w:rPr>
        <w:t>safety</w:t>
      </w:r>
      <w:r w:rsidR="006C754D">
        <w:rPr>
          <w:rFonts w:asciiTheme="minorHAnsi" w:hAnsiTheme="minorHAnsi" w:cstheme="minorHAnsi"/>
          <w:color w:val="000000" w:themeColor="text1"/>
        </w:rPr>
        <w:t>.</w:t>
      </w:r>
    </w:p>
    <w:p w14:paraId="33DA19A1" w14:textId="0ABD4EBA" w:rsidR="006D2AF2" w:rsidRPr="00E17D64" w:rsidRDefault="006D2AF2" w:rsidP="00E17D64">
      <w:pPr>
        <w:pStyle w:val="pb-2"/>
        <w:spacing w:line="276" w:lineRule="auto"/>
        <w:rPr>
          <w:rFonts w:asciiTheme="minorHAnsi" w:hAnsiTheme="minorHAnsi" w:cstheme="minorHAnsi"/>
        </w:rPr>
      </w:pPr>
      <w:r w:rsidRPr="00E17D64">
        <w:rPr>
          <w:rFonts w:asciiTheme="minorHAnsi" w:hAnsiTheme="minorHAnsi" w:cstheme="minorHAnsi"/>
        </w:rPr>
        <w:t xml:space="preserve">Prisons, probation, and the community do not provide specific interventions for </w:t>
      </w:r>
      <w:r w:rsidRPr="00E17D64">
        <w:rPr>
          <w:rStyle w:val="issue-underline"/>
          <w:rFonts w:asciiTheme="minorHAnsi" w:hAnsiTheme="minorHAnsi" w:cstheme="minorHAnsi"/>
        </w:rPr>
        <w:t>perpetrators of CSE</w:t>
      </w:r>
      <w:r w:rsidR="004A1D45" w:rsidRPr="00E17D64">
        <w:rPr>
          <w:rStyle w:val="issue-underline"/>
          <w:rFonts w:asciiTheme="minorHAnsi" w:hAnsiTheme="minorHAnsi" w:cstheme="minorHAnsi"/>
        </w:rPr>
        <w:t xml:space="preserve"> due to the </w:t>
      </w:r>
      <w:r w:rsidR="0061078F" w:rsidRPr="00E17D64">
        <w:rPr>
          <w:rStyle w:val="issue-underline"/>
          <w:rFonts w:asciiTheme="minorHAnsi" w:hAnsiTheme="minorHAnsi" w:cstheme="minorHAnsi"/>
        </w:rPr>
        <w:t>ambiguity</w:t>
      </w:r>
      <w:r w:rsidR="004A1D45" w:rsidRPr="00E17D64">
        <w:rPr>
          <w:rStyle w:val="issue-underline"/>
          <w:rFonts w:asciiTheme="minorHAnsi" w:hAnsiTheme="minorHAnsi" w:cstheme="minorHAnsi"/>
        </w:rPr>
        <w:t xml:space="preserve"> of the offence. Most offenders will be charged for a variety of offences regarding sexual conduct</w:t>
      </w:r>
      <w:r w:rsidR="0061078F" w:rsidRPr="00E17D64">
        <w:rPr>
          <w:rStyle w:val="issue-underline"/>
          <w:rFonts w:asciiTheme="minorHAnsi" w:hAnsiTheme="minorHAnsi" w:cstheme="minorHAnsi"/>
        </w:rPr>
        <w:t xml:space="preserve"> as there is no specific offence </w:t>
      </w:r>
      <w:r w:rsidR="00BA5030">
        <w:rPr>
          <w:rStyle w:val="issue-underline"/>
          <w:rFonts w:asciiTheme="minorHAnsi" w:hAnsiTheme="minorHAnsi" w:cstheme="minorHAnsi"/>
        </w:rPr>
        <w:t>for</w:t>
      </w:r>
      <w:r w:rsidR="00756E75" w:rsidRPr="00E17D64">
        <w:rPr>
          <w:rStyle w:val="issue-underline"/>
          <w:rFonts w:asciiTheme="minorHAnsi" w:hAnsiTheme="minorHAnsi" w:cstheme="minorHAnsi"/>
        </w:rPr>
        <w:t xml:space="preserve"> CSE</w:t>
      </w:r>
      <w:r w:rsidR="0061078F" w:rsidRPr="00E17D64">
        <w:rPr>
          <w:rStyle w:val="issue-underline"/>
          <w:rFonts w:asciiTheme="minorHAnsi" w:hAnsiTheme="minorHAnsi" w:cstheme="minorHAnsi"/>
        </w:rPr>
        <w:t xml:space="preserve">. </w:t>
      </w:r>
      <w:r w:rsidRPr="00E17D64">
        <w:rPr>
          <w:rFonts w:asciiTheme="minorHAnsi" w:hAnsiTheme="minorHAnsi" w:cstheme="minorHAnsi"/>
        </w:rPr>
        <w:t>Community-based interventions, such as Circles of Support and Accountability, are available for individuals convicted of sexual crimes, but not for perpetrators of contact CSE. Individuals are supported to reintegrate into the community through voluntary participation models</w:t>
      </w:r>
      <w:r w:rsidR="003A74FA" w:rsidRPr="00E17D64">
        <w:rPr>
          <w:rFonts w:asciiTheme="minorHAnsi" w:hAnsiTheme="minorHAnsi" w:cstheme="minorHAnsi"/>
        </w:rPr>
        <w:t xml:space="preserve"> (</w:t>
      </w:r>
      <w:r w:rsidR="00F666FA" w:rsidRPr="00E17D64">
        <w:rPr>
          <w:rFonts w:asciiTheme="minorHAnsi" w:hAnsiTheme="minorHAnsi" w:cstheme="minorHAnsi"/>
        </w:rPr>
        <w:t xml:space="preserve">Drummond et al., 2018). </w:t>
      </w:r>
      <w:r w:rsidR="00E42728" w:rsidRPr="00E17D64">
        <w:rPr>
          <w:rFonts w:asciiTheme="minorHAnsi" w:hAnsiTheme="minorHAnsi" w:cstheme="minorHAnsi"/>
        </w:rPr>
        <w:t>However,</w:t>
      </w:r>
      <w:r w:rsidR="007B3255">
        <w:rPr>
          <w:rFonts w:asciiTheme="minorHAnsi" w:hAnsiTheme="minorHAnsi" w:cstheme="minorHAnsi"/>
        </w:rPr>
        <w:t xml:space="preserve"> the NSPCC (</w:t>
      </w:r>
      <w:r w:rsidR="00F35DEC">
        <w:rPr>
          <w:rFonts w:asciiTheme="minorHAnsi" w:hAnsiTheme="minorHAnsi" w:cstheme="minorHAnsi"/>
        </w:rPr>
        <w:t>2021) communicates that</w:t>
      </w:r>
      <w:r w:rsidR="00F666FA" w:rsidRPr="00E17D64">
        <w:rPr>
          <w:rFonts w:asciiTheme="minorHAnsi" w:hAnsiTheme="minorHAnsi" w:cstheme="minorHAnsi"/>
        </w:rPr>
        <w:t xml:space="preserve"> no specialist programmes for perpetrators of CSE are </w:t>
      </w:r>
      <w:r w:rsidR="00B239FE" w:rsidRPr="00E17D64">
        <w:rPr>
          <w:rFonts w:asciiTheme="minorHAnsi" w:hAnsiTheme="minorHAnsi" w:cstheme="minorHAnsi"/>
        </w:rPr>
        <w:t xml:space="preserve">available. Nonetheless this makes it difficult for the </w:t>
      </w:r>
      <w:r w:rsidR="00085408" w:rsidRPr="00E17D64">
        <w:rPr>
          <w:rFonts w:asciiTheme="minorHAnsi" w:hAnsiTheme="minorHAnsi" w:cstheme="minorHAnsi"/>
        </w:rPr>
        <w:t>probation service to track and identify perpetrators of CSE</w:t>
      </w:r>
      <w:r w:rsidR="00756E75" w:rsidRPr="00E17D64">
        <w:rPr>
          <w:rFonts w:asciiTheme="minorHAnsi" w:hAnsiTheme="minorHAnsi" w:cstheme="minorHAnsi"/>
        </w:rPr>
        <w:t xml:space="preserve">. </w:t>
      </w:r>
      <w:r w:rsidR="00FE136A" w:rsidRPr="00E17D64">
        <w:rPr>
          <w:rFonts w:asciiTheme="minorHAnsi" w:hAnsiTheme="minorHAnsi" w:cstheme="minorHAnsi"/>
        </w:rPr>
        <w:t>Consequently,</w:t>
      </w:r>
      <w:r w:rsidR="00756E75" w:rsidRPr="00E17D64">
        <w:rPr>
          <w:rFonts w:asciiTheme="minorHAnsi" w:hAnsiTheme="minorHAnsi" w:cstheme="minorHAnsi"/>
        </w:rPr>
        <w:t xml:space="preserve"> hindering </w:t>
      </w:r>
      <w:r w:rsidR="00E40F21" w:rsidRPr="00E17D64">
        <w:rPr>
          <w:rFonts w:asciiTheme="minorHAnsi" w:hAnsiTheme="minorHAnsi" w:cstheme="minorHAnsi"/>
        </w:rPr>
        <w:t xml:space="preserve">the application of appropriate intervention methods and approaches. There is a significant gap in research regarding </w:t>
      </w:r>
      <w:r w:rsidR="00E76BF5" w:rsidRPr="00E17D64">
        <w:rPr>
          <w:rFonts w:asciiTheme="minorHAnsi" w:hAnsiTheme="minorHAnsi" w:cstheme="minorHAnsi"/>
        </w:rPr>
        <w:t>characteristics</w:t>
      </w:r>
      <w:r w:rsidR="00FE136A" w:rsidRPr="00E17D64">
        <w:rPr>
          <w:rFonts w:asciiTheme="minorHAnsi" w:hAnsiTheme="minorHAnsi" w:cstheme="minorHAnsi"/>
        </w:rPr>
        <w:t xml:space="preserve"> and motivations of CSE offenders</w:t>
      </w:r>
      <w:r w:rsidR="002A4331" w:rsidRPr="00E17D64">
        <w:rPr>
          <w:rFonts w:asciiTheme="minorHAnsi" w:hAnsiTheme="minorHAnsi" w:cstheme="minorHAnsi"/>
        </w:rPr>
        <w:t xml:space="preserve">. Further research into this gap of knowledge could allow </w:t>
      </w:r>
      <w:r w:rsidR="00A6524C" w:rsidRPr="00E17D64">
        <w:rPr>
          <w:rFonts w:asciiTheme="minorHAnsi" w:hAnsiTheme="minorHAnsi" w:cstheme="minorHAnsi"/>
        </w:rPr>
        <w:t>for the implementation of specialist programmes for</w:t>
      </w:r>
      <w:r w:rsidR="009A5929" w:rsidRPr="00E17D64">
        <w:rPr>
          <w:rFonts w:asciiTheme="minorHAnsi" w:hAnsiTheme="minorHAnsi" w:cstheme="minorHAnsi"/>
        </w:rPr>
        <w:t xml:space="preserve"> serious offenders</w:t>
      </w:r>
      <w:r w:rsidR="00B97A98">
        <w:rPr>
          <w:rFonts w:asciiTheme="minorHAnsi" w:hAnsiTheme="minorHAnsi" w:cstheme="minorHAnsi"/>
        </w:rPr>
        <w:t xml:space="preserve"> and </w:t>
      </w:r>
      <w:r w:rsidR="00703912">
        <w:rPr>
          <w:rFonts w:asciiTheme="minorHAnsi" w:hAnsiTheme="minorHAnsi" w:cstheme="minorHAnsi"/>
        </w:rPr>
        <w:t>ensure justice for victims’ by preventing reoffending</w:t>
      </w:r>
      <w:r w:rsidR="004C47DB">
        <w:rPr>
          <w:rFonts w:asciiTheme="minorHAnsi" w:hAnsiTheme="minorHAnsi" w:cstheme="minorHAnsi"/>
        </w:rPr>
        <w:t xml:space="preserve"> (</w:t>
      </w:r>
      <w:r w:rsidR="00EF28EC">
        <w:rPr>
          <w:rFonts w:asciiTheme="minorHAnsi" w:hAnsiTheme="minorHAnsi" w:cstheme="minorHAnsi"/>
        </w:rPr>
        <w:t>Greater Manchester Safeguarding, 2023)</w:t>
      </w:r>
      <w:r w:rsidR="009A5929" w:rsidRPr="00E17D64">
        <w:rPr>
          <w:rFonts w:asciiTheme="minorHAnsi" w:hAnsiTheme="minorHAnsi" w:cstheme="minorHAnsi"/>
        </w:rPr>
        <w:t xml:space="preserve">.  </w:t>
      </w:r>
    </w:p>
    <w:p w14:paraId="1E85ADDD" w14:textId="1C9724C6" w:rsidR="00403EB5" w:rsidRPr="00E17D64" w:rsidRDefault="00C868FD" w:rsidP="00E17D64">
      <w:pPr>
        <w:spacing w:line="276" w:lineRule="auto"/>
        <w:rPr>
          <w:rFonts w:cstheme="minorHAnsi"/>
          <w:sz w:val="24"/>
          <w:szCs w:val="24"/>
        </w:rPr>
      </w:pPr>
      <w:r w:rsidRPr="00E17D64">
        <w:rPr>
          <w:rFonts w:cstheme="minorHAnsi"/>
          <w:sz w:val="24"/>
          <w:szCs w:val="24"/>
        </w:rPr>
        <w:t xml:space="preserve">A key challenge in safeguarding children includes the </w:t>
      </w:r>
      <w:r w:rsidR="00397FD5" w:rsidRPr="00E17D64">
        <w:rPr>
          <w:rFonts w:cstheme="minorHAnsi"/>
          <w:sz w:val="24"/>
          <w:szCs w:val="24"/>
        </w:rPr>
        <w:t xml:space="preserve">misconception of secure accommodation for young </w:t>
      </w:r>
      <w:r w:rsidR="00AD5EAA" w:rsidRPr="00E17D64">
        <w:rPr>
          <w:rFonts w:cstheme="minorHAnsi"/>
          <w:sz w:val="24"/>
          <w:szCs w:val="24"/>
        </w:rPr>
        <w:t xml:space="preserve">people. </w:t>
      </w:r>
      <w:r w:rsidR="002C0903" w:rsidRPr="00E17D64">
        <w:rPr>
          <w:rFonts w:cstheme="minorHAnsi"/>
          <w:sz w:val="24"/>
          <w:szCs w:val="24"/>
        </w:rPr>
        <w:t>According to Social Care Wales (2019)</w:t>
      </w:r>
      <w:r w:rsidR="00EF403B" w:rsidRPr="00E17D64">
        <w:rPr>
          <w:rFonts w:cstheme="minorHAnsi"/>
          <w:sz w:val="24"/>
          <w:szCs w:val="24"/>
        </w:rPr>
        <w:t>, young people from the age of 10 to 17 can be placed in secure accommodation.</w:t>
      </w:r>
      <w:r w:rsidR="00B56C42" w:rsidRPr="00E17D64">
        <w:rPr>
          <w:rFonts w:cstheme="minorHAnsi"/>
          <w:sz w:val="24"/>
          <w:szCs w:val="24"/>
        </w:rPr>
        <w:t xml:space="preserve"> Secure accommodation is characterised by abuse, neglect, family dysfunction</w:t>
      </w:r>
      <w:r w:rsidR="00A23F20" w:rsidRPr="00E17D64">
        <w:rPr>
          <w:rFonts w:cstheme="minorHAnsi"/>
          <w:sz w:val="24"/>
          <w:szCs w:val="24"/>
        </w:rPr>
        <w:t xml:space="preserve">, </w:t>
      </w:r>
      <w:r w:rsidR="00B862A0" w:rsidRPr="00E17D64">
        <w:rPr>
          <w:rFonts w:cstheme="minorHAnsi"/>
          <w:sz w:val="24"/>
          <w:szCs w:val="24"/>
        </w:rPr>
        <w:t>bereavement,</w:t>
      </w:r>
      <w:r w:rsidR="00A23F20" w:rsidRPr="00E17D64">
        <w:rPr>
          <w:rFonts w:cstheme="minorHAnsi"/>
          <w:sz w:val="24"/>
          <w:szCs w:val="24"/>
        </w:rPr>
        <w:t xml:space="preserve"> and difficult relationships.</w:t>
      </w:r>
      <w:r w:rsidR="00E6497E" w:rsidRPr="00E17D64">
        <w:rPr>
          <w:rFonts w:cstheme="minorHAnsi"/>
          <w:sz w:val="24"/>
          <w:szCs w:val="24"/>
        </w:rPr>
        <w:t xml:space="preserve"> Issues relevant to secure accommodation are relevant ton short term </w:t>
      </w:r>
      <w:r w:rsidR="00940B05" w:rsidRPr="00E17D64">
        <w:rPr>
          <w:rFonts w:cstheme="minorHAnsi"/>
          <w:sz w:val="24"/>
          <w:szCs w:val="24"/>
        </w:rPr>
        <w:t xml:space="preserve">solutions. </w:t>
      </w:r>
      <w:r w:rsidR="00B42170">
        <w:rPr>
          <w:rFonts w:cstheme="minorHAnsi"/>
          <w:sz w:val="24"/>
          <w:szCs w:val="24"/>
        </w:rPr>
        <w:t xml:space="preserve">In the </w:t>
      </w:r>
      <w:r w:rsidR="00940B05" w:rsidRPr="00E17D64">
        <w:rPr>
          <w:rFonts w:cstheme="minorHAnsi"/>
          <w:sz w:val="24"/>
          <w:szCs w:val="24"/>
        </w:rPr>
        <w:t>Long term</w:t>
      </w:r>
      <w:r w:rsidR="00056380">
        <w:rPr>
          <w:rFonts w:cstheme="minorHAnsi"/>
          <w:sz w:val="24"/>
          <w:szCs w:val="24"/>
        </w:rPr>
        <w:t>,</w:t>
      </w:r>
      <w:r w:rsidR="00940B05" w:rsidRPr="00E17D64">
        <w:rPr>
          <w:rFonts w:cstheme="minorHAnsi"/>
          <w:sz w:val="24"/>
          <w:szCs w:val="24"/>
        </w:rPr>
        <w:t xml:space="preserve"> children who are placed in secure accommodation are more likely to be exploited in </w:t>
      </w:r>
      <w:r w:rsidR="00940B05" w:rsidRPr="00E17D64">
        <w:rPr>
          <w:rFonts w:cstheme="minorHAnsi"/>
          <w:sz w:val="24"/>
          <w:szCs w:val="24"/>
        </w:rPr>
        <w:lastRenderedPageBreak/>
        <w:t xml:space="preserve">the future due to </w:t>
      </w:r>
      <w:r w:rsidR="00B862A0" w:rsidRPr="00E17D64">
        <w:rPr>
          <w:rFonts w:cstheme="minorHAnsi"/>
          <w:sz w:val="24"/>
          <w:szCs w:val="24"/>
        </w:rPr>
        <w:t>vulnerability and a lack of support from case workers</w:t>
      </w:r>
      <w:r w:rsidR="00A706EB" w:rsidRPr="00E17D64">
        <w:rPr>
          <w:rFonts w:cstheme="minorHAnsi"/>
          <w:sz w:val="24"/>
          <w:szCs w:val="24"/>
        </w:rPr>
        <w:t xml:space="preserve"> </w:t>
      </w:r>
      <w:r w:rsidR="00E17D64" w:rsidRPr="00E17D64">
        <w:rPr>
          <w:rFonts w:cstheme="minorHAnsi"/>
          <w:sz w:val="24"/>
          <w:szCs w:val="24"/>
        </w:rPr>
        <w:t>as children who are victims of CSE tend to have multiple case workers, impeding their trust in the system</w:t>
      </w:r>
      <w:r w:rsidR="006A0565">
        <w:rPr>
          <w:rFonts w:cstheme="minorHAnsi"/>
          <w:sz w:val="24"/>
          <w:szCs w:val="24"/>
        </w:rPr>
        <w:t xml:space="preserve"> (</w:t>
      </w:r>
      <w:proofErr w:type="spellStart"/>
      <w:r w:rsidR="006A0565">
        <w:rPr>
          <w:rFonts w:cstheme="minorHAnsi"/>
          <w:sz w:val="24"/>
          <w:szCs w:val="24"/>
        </w:rPr>
        <w:t>Safeline</w:t>
      </w:r>
      <w:proofErr w:type="spellEnd"/>
      <w:r w:rsidR="006A0565">
        <w:rPr>
          <w:rFonts w:cstheme="minorHAnsi"/>
          <w:sz w:val="24"/>
          <w:szCs w:val="24"/>
        </w:rPr>
        <w:t>, 2022)</w:t>
      </w:r>
      <w:r w:rsidR="00E17D64" w:rsidRPr="00E17D64">
        <w:rPr>
          <w:rFonts w:cstheme="minorHAnsi"/>
          <w:sz w:val="24"/>
          <w:szCs w:val="24"/>
        </w:rPr>
        <w:t xml:space="preserve">. </w:t>
      </w:r>
    </w:p>
    <w:p w14:paraId="7DA49A28" w14:textId="77777777" w:rsidR="00291CE3" w:rsidRPr="00E17D64" w:rsidRDefault="00291CE3" w:rsidP="00291CE3">
      <w:pPr>
        <w:spacing w:line="276" w:lineRule="auto"/>
        <w:rPr>
          <w:rFonts w:cstheme="minorHAnsi"/>
          <w:sz w:val="24"/>
          <w:szCs w:val="24"/>
        </w:rPr>
      </w:pPr>
      <w:r w:rsidRPr="00E17D64">
        <w:rPr>
          <w:rFonts w:cstheme="minorHAnsi"/>
          <w:sz w:val="24"/>
          <w:szCs w:val="24"/>
        </w:rPr>
        <w:t xml:space="preserve">Within the UK, legislation, and strategies to combat child sexual abuse and exploitation have undergone significant amendments to address these critical issues comprehensively. Correspondingly legislation such as the Sexual Offences Act 2003 have widened definitions of abuse and improved sentencing for offenders. This Act comprehensively reformed and updated existing laws, introducing new provisions to address various aspects of sexual abuse and exploitation </w:t>
      </w:r>
      <w:r>
        <w:rPr>
          <w:rFonts w:cstheme="minorHAnsi"/>
          <w:sz w:val="24"/>
          <w:szCs w:val="24"/>
        </w:rPr>
        <w:t>(Sexual Offences Act, 2003)</w:t>
      </w:r>
      <w:r w:rsidRPr="00E17D64">
        <w:rPr>
          <w:rFonts w:cstheme="minorHAnsi"/>
          <w:sz w:val="24"/>
          <w:szCs w:val="24"/>
        </w:rPr>
        <w:t xml:space="preserve"> (Addis et al., 2021).  The Act includes provisions addressing grooming, online abuse, and child trafficking, adapting to the evolving nature of these crimes. Despite such provisions to combat underreporting and stigma, more thorough efforts are needed</w:t>
      </w:r>
      <w:r>
        <w:rPr>
          <w:rFonts w:cstheme="minorHAnsi"/>
          <w:sz w:val="24"/>
          <w:szCs w:val="24"/>
        </w:rPr>
        <w:t xml:space="preserve"> as issues regarding the language used to define CSE remains a contemporary issue</w:t>
      </w:r>
      <w:r w:rsidRPr="00E17D64">
        <w:rPr>
          <w:rFonts w:cstheme="minorHAnsi"/>
          <w:sz w:val="24"/>
          <w:szCs w:val="24"/>
        </w:rPr>
        <w:t xml:space="preserve">. </w:t>
      </w:r>
    </w:p>
    <w:p w14:paraId="79F2AE3E" w14:textId="77777777" w:rsidR="006B5E26" w:rsidRDefault="00496A6A" w:rsidP="00E17D64">
      <w:pPr>
        <w:spacing w:line="276" w:lineRule="auto"/>
        <w:rPr>
          <w:rFonts w:eastAsiaTheme="minorEastAsia" w:hAnsi="Calibri"/>
          <w:color w:val="000000" w:themeColor="text1"/>
          <w:kern w:val="24"/>
          <w:sz w:val="24"/>
          <w:szCs w:val="24"/>
        </w:rPr>
      </w:pPr>
      <w:r w:rsidRPr="00E17D64">
        <w:rPr>
          <w:rFonts w:eastAsiaTheme="minorEastAsia" w:hAnsi="Calibri"/>
          <w:color w:val="000000" w:themeColor="text1"/>
          <w:kern w:val="24"/>
          <w:sz w:val="24"/>
          <w:szCs w:val="24"/>
        </w:rPr>
        <w:t xml:space="preserve">CSE is often referred to as a hidden crime. For this reason, </w:t>
      </w:r>
      <w:r w:rsidR="00ED55F8" w:rsidRPr="00E17D64">
        <w:rPr>
          <w:rFonts w:eastAsiaTheme="minorEastAsia" w:hAnsi="Calibri"/>
          <w:color w:val="000000" w:themeColor="text1"/>
          <w:kern w:val="24"/>
          <w:sz w:val="24"/>
          <w:szCs w:val="24"/>
        </w:rPr>
        <w:t>children</w:t>
      </w:r>
      <w:r w:rsidRPr="00E17D64">
        <w:rPr>
          <w:rFonts w:eastAsiaTheme="minorEastAsia" w:hAnsi="Calibri"/>
          <w:color w:val="000000" w:themeColor="text1"/>
          <w:kern w:val="24"/>
          <w:sz w:val="24"/>
          <w:szCs w:val="24"/>
        </w:rPr>
        <w:t xml:space="preserve"> do not always realise that they are victims due to the manipulative nature of CSE.</w:t>
      </w:r>
      <w:r w:rsidR="006B5E26">
        <w:rPr>
          <w:rFonts w:eastAsiaTheme="minorEastAsia" w:hAnsi="Calibri"/>
          <w:color w:val="000000" w:themeColor="text1"/>
          <w:kern w:val="24"/>
          <w:sz w:val="24"/>
          <w:szCs w:val="24"/>
        </w:rPr>
        <w:t xml:space="preserve"> Therefore, the manipulative nature of CSE makes children more vulnerable to exploitation.</w:t>
      </w:r>
      <w:r w:rsidRPr="00E17D64">
        <w:rPr>
          <w:rFonts w:eastAsiaTheme="minorEastAsia" w:hAnsi="Calibri"/>
          <w:color w:val="000000" w:themeColor="text1"/>
          <w:kern w:val="24"/>
          <w:sz w:val="24"/>
          <w:szCs w:val="24"/>
        </w:rPr>
        <w:t xml:space="preserve"> For instance, perpetrators will groom children for extended periods of time by building a trusting relationship with the victim in exchange for gifts, drugs, affection and so on. The victim could therefore misunderstand their role in the relationship and have a blindsided view of their </w:t>
      </w:r>
      <w:r w:rsidR="00802F53" w:rsidRPr="00E17D64">
        <w:rPr>
          <w:rFonts w:eastAsiaTheme="minorEastAsia" w:hAnsi="Calibri"/>
          <w:color w:val="000000" w:themeColor="text1"/>
          <w:kern w:val="24"/>
          <w:sz w:val="24"/>
          <w:szCs w:val="24"/>
        </w:rPr>
        <w:t>part</w:t>
      </w:r>
      <w:r w:rsidRPr="00E17D64">
        <w:rPr>
          <w:rFonts w:eastAsiaTheme="minorEastAsia" w:hAnsi="Calibri"/>
          <w:color w:val="000000" w:themeColor="text1"/>
          <w:kern w:val="24"/>
          <w:sz w:val="24"/>
          <w:szCs w:val="24"/>
        </w:rPr>
        <w:t xml:space="preserve"> to play in the exchanges with the </w:t>
      </w:r>
      <w:r w:rsidR="004C40FE" w:rsidRPr="00E17D64">
        <w:rPr>
          <w:rFonts w:eastAsiaTheme="minorEastAsia" w:hAnsi="Calibri"/>
          <w:color w:val="000000" w:themeColor="text1"/>
          <w:kern w:val="24"/>
          <w:sz w:val="24"/>
          <w:szCs w:val="24"/>
        </w:rPr>
        <w:t>perpetrator.</w:t>
      </w:r>
      <w:r w:rsidRPr="00E17D64">
        <w:rPr>
          <w:rFonts w:eastAsiaTheme="minorEastAsia" w:hAnsi="Calibri"/>
          <w:color w:val="000000" w:themeColor="text1"/>
          <w:kern w:val="24"/>
          <w:sz w:val="24"/>
          <w:szCs w:val="24"/>
        </w:rPr>
        <w:t xml:space="preserve"> </w:t>
      </w:r>
    </w:p>
    <w:p w14:paraId="2CB0B9AD" w14:textId="04D4FC2A" w:rsidR="00084BE2" w:rsidRDefault="006B5E26" w:rsidP="00E17D64">
      <w:pPr>
        <w:spacing w:line="276" w:lineRule="auto"/>
        <w:rPr>
          <w:rFonts w:cstheme="minorHAnsi"/>
          <w:sz w:val="24"/>
          <w:szCs w:val="24"/>
        </w:rPr>
      </w:pPr>
      <w:r>
        <w:rPr>
          <w:rFonts w:eastAsiaTheme="minorEastAsia" w:hAnsi="Calibri"/>
          <w:color w:val="000000" w:themeColor="text1"/>
          <w:kern w:val="24"/>
          <w:sz w:val="24"/>
          <w:szCs w:val="24"/>
        </w:rPr>
        <w:t xml:space="preserve">Furthermore, </w:t>
      </w:r>
      <w:r w:rsidR="00084BE2" w:rsidRPr="00E17D64">
        <w:rPr>
          <w:rFonts w:cstheme="minorHAnsi"/>
          <w:sz w:val="24"/>
          <w:szCs w:val="24"/>
        </w:rPr>
        <w:t>Stranger danger, a concept embedded in our societal consciousness, emphasises caution in interactions with unfamiliar people to protect children from potential threats (</w:t>
      </w:r>
      <w:proofErr w:type="spellStart"/>
      <w:r w:rsidR="00084BE2" w:rsidRPr="00E17D64">
        <w:rPr>
          <w:rFonts w:cstheme="minorHAnsi"/>
          <w:sz w:val="24"/>
          <w:szCs w:val="24"/>
        </w:rPr>
        <w:t>Donnesa</w:t>
      </w:r>
      <w:proofErr w:type="spellEnd"/>
      <w:r w:rsidR="00084BE2" w:rsidRPr="00E17D64">
        <w:rPr>
          <w:rFonts w:cstheme="minorHAnsi"/>
          <w:sz w:val="24"/>
          <w:szCs w:val="24"/>
        </w:rPr>
        <w:t xml:space="preserve"> McPherson, 2023). However, despite its popularity in public dialogue, the reality paints a different picture. Elkin (2020a) indicates that over 37% of </w:t>
      </w:r>
      <w:r w:rsidR="00CE2C26" w:rsidRPr="00E17D64">
        <w:rPr>
          <w:rFonts w:cstheme="minorHAnsi"/>
          <w:sz w:val="24"/>
          <w:szCs w:val="24"/>
        </w:rPr>
        <w:t xml:space="preserve">child </w:t>
      </w:r>
      <w:r w:rsidR="00084BE2" w:rsidRPr="00E17D64">
        <w:rPr>
          <w:rFonts w:cstheme="minorHAnsi"/>
          <w:sz w:val="24"/>
          <w:szCs w:val="24"/>
        </w:rPr>
        <w:t xml:space="preserve">sexual exploitation instances occur in the victim's circle of trust, involving family members and friends. National Society for the Prevention of Cruelty to Children (2021) research findings back Elkin (2020a) viewpoint; the organisation reported that 32% of child abuse instances occur within a group of perpetrators well known to the victim and that 30% were instigated by strangers. For instance, Sutton Defence Lawyers (2023), in the R v </w:t>
      </w:r>
      <w:proofErr w:type="spellStart"/>
      <w:r w:rsidR="00084BE2" w:rsidRPr="00E17D64">
        <w:rPr>
          <w:rFonts w:cstheme="minorHAnsi"/>
          <w:sz w:val="24"/>
          <w:szCs w:val="24"/>
        </w:rPr>
        <w:t>V</w:t>
      </w:r>
      <w:proofErr w:type="spellEnd"/>
      <w:r w:rsidR="00084BE2" w:rsidRPr="00E17D64">
        <w:rPr>
          <w:rFonts w:cstheme="minorHAnsi"/>
          <w:sz w:val="24"/>
          <w:szCs w:val="24"/>
        </w:rPr>
        <w:t xml:space="preserve"> (Norwich) case, the perpetrator, a foster father, had gained the trust of the child, making it easier to exploit and abuse the child over an extended period. Thus, the prevalence of perpetrators known to the victim challenges the misconception of "stranger danger.". Perpetrators often exploit their relationships and the trust they have gained to manipulate and abuse children, making it harder for victims to recognise the abuse or seek help.</w:t>
      </w:r>
    </w:p>
    <w:p w14:paraId="72B9F663" w14:textId="77777777" w:rsidR="0086445B" w:rsidRDefault="0086445B" w:rsidP="00E17D64">
      <w:pPr>
        <w:spacing w:line="276" w:lineRule="auto"/>
        <w:rPr>
          <w:rFonts w:cstheme="minorHAnsi"/>
          <w:sz w:val="24"/>
          <w:szCs w:val="24"/>
        </w:rPr>
      </w:pPr>
    </w:p>
    <w:p w14:paraId="7FBF19EA" w14:textId="77777777" w:rsidR="0086445B" w:rsidRDefault="0086445B" w:rsidP="00E17D64">
      <w:pPr>
        <w:spacing w:line="276" w:lineRule="auto"/>
        <w:rPr>
          <w:rFonts w:cstheme="minorHAnsi"/>
          <w:sz w:val="24"/>
          <w:szCs w:val="24"/>
        </w:rPr>
      </w:pPr>
    </w:p>
    <w:p w14:paraId="278DD792" w14:textId="77777777" w:rsidR="0086445B" w:rsidRDefault="0086445B" w:rsidP="00E17D64">
      <w:pPr>
        <w:spacing w:line="276" w:lineRule="auto"/>
        <w:rPr>
          <w:rFonts w:cstheme="minorHAnsi"/>
          <w:sz w:val="24"/>
          <w:szCs w:val="24"/>
        </w:rPr>
      </w:pPr>
    </w:p>
    <w:p w14:paraId="4A64AE3C" w14:textId="77777777" w:rsidR="0086445B" w:rsidRPr="00E17D64" w:rsidRDefault="0086445B" w:rsidP="00E17D64">
      <w:pPr>
        <w:spacing w:line="276" w:lineRule="auto"/>
        <w:rPr>
          <w:rFonts w:cstheme="minorHAnsi"/>
          <w:sz w:val="24"/>
          <w:szCs w:val="24"/>
        </w:rPr>
      </w:pPr>
    </w:p>
    <w:p w14:paraId="0CA98256" w14:textId="77777777" w:rsidR="00144C3E" w:rsidRPr="00144C3E" w:rsidRDefault="00084BE2" w:rsidP="00144C3E">
      <w:pPr>
        <w:spacing w:line="276" w:lineRule="auto"/>
        <w:rPr>
          <w:rFonts w:cstheme="minorHAnsi"/>
          <w:sz w:val="24"/>
          <w:szCs w:val="24"/>
        </w:rPr>
      </w:pPr>
      <w:r w:rsidRPr="00E17D64">
        <w:rPr>
          <w:rFonts w:cstheme="minorHAnsi"/>
          <w:sz w:val="24"/>
          <w:szCs w:val="24"/>
        </w:rPr>
        <w:t xml:space="preserve">Consequently, this myth can hinder efforts to educate children and adults about recognising signs of abuse </w:t>
      </w:r>
      <w:r w:rsidRPr="00144C3E">
        <w:rPr>
          <w:rFonts w:cstheme="minorHAnsi"/>
          <w:sz w:val="24"/>
          <w:szCs w:val="24"/>
        </w:rPr>
        <w:t>from familiar individuals, undermining the effectiveness of prevention strategies (</w:t>
      </w:r>
      <w:proofErr w:type="spellStart"/>
      <w:r w:rsidRPr="00144C3E">
        <w:rPr>
          <w:rFonts w:cstheme="minorHAnsi"/>
          <w:sz w:val="24"/>
          <w:szCs w:val="24"/>
        </w:rPr>
        <w:t>Donnesa</w:t>
      </w:r>
      <w:proofErr w:type="spellEnd"/>
      <w:r w:rsidRPr="00144C3E">
        <w:rPr>
          <w:rFonts w:cstheme="minorHAnsi"/>
          <w:sz w:val="24"/>
          <w:szCs w:val="24"/>
        </w:rPr>
        <w:t xml:space="preserve"> McPherson, 2023). Therefore, addressing this myth requires a shift in focus towards comprehensive education and awareness campaigns that emphasise the potential risk posed by individuals known to the child. Highlighting the importance of healthy boundaries and communication, irrespective of the perpetrator's relationship with the victim, is crucial in creating a more accurate understanding of the risks and implementing more effective preventive measures.</w:t>
      </w:r>
      <w:r w:rsidR="004772B8" w:rsidRPr="00144C3E">
        <w:rPr>
          <w:rFonts w:cstheme="minorHAnsi"/>
          <w:sz w:val="24"/>
          <w:szCs w:val="24"/>
        </w:rPr>
        <w:t xml:space="preserve"> </w:t>
      </w:r>
    </w:p>
    <w:p w14:paraId="55CD28BA" w14:textId="77777777" w:rsidR="00E57537" w:rsidRPr="00E17D64" w:rsidRDefault="00E57537" w:rsidP="00E17D64">
      <w:pPr>
        <w:spacing w:line="276" w:lineRule="auto"/>
        <w:rPr>
          <w:rFonts w:cstheme="minorHAnsi"/>
          <w:sz w:val="24"/>
          <w:szCs w:val="24"/>
        </w:rPr>
      </w:pPr>
    </w:p>
    <w:p w14:paraId="7EB8E034" w14:textId="2D514C43" w:rsidR="00593292" w:rsidRPr="00E17D64" w:rsidRDefault="00593292" w:rsidP="00E17D64">
      <w:pPr>
        <w:spacing w:line="276" w:lineRule="auto"/>
        <w:rPr>
          <w:sz w:val="24"/>
          <w:szCs w:val="24"/>
        </w:rPr>
      </w:pPr>
      <w:r w:rsidRPr="00E17D64">
        <w:rPr>
          <w:rFonts w:ascii="Calibri" w:hAnsi="Calibri"/>
          <w:color w:val="000000"/>
          <w:kern w:val="24"/>
          <w:sz w:val="24"/>
          <w:szCs w:val="24"/>
        </w:rPr>
        <w:t xml:space="preserve">In historical context the language used to define CSE have posed issues regarding legal proceedings and convictions. Nonetheless Alderson (2020) communicates that these issues were concerned with victim blaming and victim engagement with supporting agencies. In context referring to victims having major distrust with supporting agencies due to downplaying the severity of CSE crimes. For example: Although there is no specific offence for child exploitation, in policy the definition of CSE corresponds with </w:t>
      </w:r>
      <w:r w:rsidR="00C408F3" w:rsidRPr="00E17D64">
        <w:rPr>
          <w:rFonts w:ascii="Calibri" w:hAnsi="Calibri"/>
          <w:color w:val="000000"/>
          <w:kern w:val="24"/>
          <w:sz w:val="24"/>
          <w:szCs w:val="24"/>
        </w:rPr>
        <w:t>CSA.</w:t>
      </w:r>
      <w:r w:rsidRPr="00E17D64">
        <w:rPr>
          <w:rFonts w:ascii="Calibri" w:hAnsi="Calibri"/>
          <w:color w:val="000000"/>
          <w:kern w:val="24"/>
          <w:sz w:val="24"/>
          <w:szCs w:val="24"/>
        </w:rPr>
        <w:t xml:space="preserve"> Under section 15 A of the Sexual Offences Act </w:t>
      </w:r>
      <w:r w:rsidR="00A46876" w:rsidRPr="00E17D64">
        <w:rPr>
          <w:rFonts w:ascii="Calibri" w:hAnsi="Calibri"/>
          <w:color w:val="000000"/>
          <w:kern w:val="24"/>
          <w:sz w:val="24"/>
          <w:szCs w:val="24"/>
        </w:rPr>
        <w:t>2003, there</w:t>
      </w:r>
      <w:r w:rsidRPr="00E17D64">
        <w:rPr>
          <w:rFonts w:ascii="Calibri" w:hAnsi="Calibri"/>
          <w:color w:val="000000"/>
          <w:kern w:val="24"/>
          <w:sz w:val="24"/>
          <w:szCs w:val="24"/>
        </w:rPr>
        <w:t xml:space="preserve"> was a gap in the law that previously stated a perpetrator could not be charged if sexual activity had not been incited.  Accordingly, the NSPCC (2022) define CSA as “when a child is forced or persuaded to take part in sexual activities". Difficulties in distinguishing CSE from CSA previously made the application of the definition and certain elements of crimes involving CSE hard to apply. CSE definitions state the concept of an exchange involving sexual behaviour, whereas methods of grooming having evolved has allowed for improved methods to exploit where no exchange is present. For example: the use of technology allows for indecent images where no physical contact is made. The current definition of CSE has evolved as knowledge based on the crime has increased to reduce victim blaming and encourage engagement. For these reasons previsions to the definition and language used in context of CSE have been revised and the definition is stated by the Department for Education (2017) as “ Child sexual exploitation occurs where an individual or group takes advantage of an imbalance of power to coerce, manipulate or deceive a child or young person under the age of 18 into sexual activity (a) in exchange for something the victim needs or wants, and/or (b) for the financial advantage or increased status of the perpetrator or facilitator. The victim may have been sexually exploited even if the sexual activity appears consensual. Child sexual exploitation does not always involve physical contact can also occur through the use of technology”. </w:t>
      </w:r>
    </w:p>
    <w:p w14:paraId="157E2DDE" w14:textId="77777777" w:rsidR="00593292" w:rsidRPr="00E17D64" w:rsidRDefault="00593292" w:rsidP="00E17D64">
      <w:pPr>
        <w:spacing w:line="276" w:lineRule="auto"/>
        <w:rPr>
          <w:sz w:val="24"/>
          <w:szCs w:val="24"/>
        </w:rPr>
      </w:pPr>
      <w:r w:rsidRPr="00E17D64">
        <w:rPr>
          <w:rFonts w:ascii="Calibri" w:hAnsi="Calibri"/>
          <w:color w:val="000000"/>
          <w:kern w:val="24"/>
          <w:sz w:val="24"/>
          <w:szCs w:val="24"/>
        </w:rPr>
        <w:t xml:space="preserve">Despite such revisions the language used in the definition still poses concerns regarding the application of the definition. In practice the definition is open to interpretation and ambiguity when differentiating both crimes due to the universality of the definition. Consequently, making it difficult to monitor the number of CSE and CSA reports. </w:t>
      </w:r>
    </w:p>
    <w:p w14:paraId="24B2649C" w14:textId="6DA098FA" w:rsidR="00593292" w:rsidRPr="00E17D64" w:rsidRDefault="00593292" w:rsidP="00E17D64">
      <w:pPr>
        <w:spacing w:line="276" w:lineRule="auto"/>
        <w:rPr>
          <w:sz w:val="24"/>
          <w:szCs w:val="24"/>
        </w:rPr>
      </w:pPr>
      <w:r w:rsidRPr="00E17D64">
        <w:rPr>
          <w:rFonts w:ascii="Calibri" w:hAnsi="Calibri"/>
          <w:color w:val="000000"/>
          <w:kern w:val="24"/>
          <w:sz w:val="24"/>
          <w:szCs w:val="24"/>
        </w:rPr>
        <w:t xml:space="preserve">According to Independent Inquiry into Child Sexual Abuse (2018a) research suggests that it is estimated that 32% of cases of child sexual exploitation do not get reported, highlighting the severity of the issue. </w:t>
      </w:r>
      <w:r w:rsidRPr="00E17D64">
        <w:rPr>
          <w:rFonts w:ascii="Calibri" w:hAnsi="Calibri"/>
          <w:color w:val="000000" w:themeColor="text1"/>
          <w:kern w:val="24"/>
          <w:sz w:val="24"/>
          <w:szCs w:val="24"/>
        </w:rPr>
        <w:t xml:space="preserve">Similarly, O'Keeffe (2023) is in agreement with the Independent Inquiry into Child Sexual Cruelty (2018a); she advises parents to believe plus validate child’s assertion of being abused as the child may be having overwhelmed feelings of culpability and anxiety to not being understood. </w:t>
      </w:r>
    </w:p>
    <w:p w14:paraId="6ACA68AB" w14:textId="4DEB50CE" w:rsidR="00593292" w:rsidRPr="00641AC9" w:rsidRDefault="00593292" w:rsidP="00E17D64">
      <w:pPr>
        <w:spacing w:line="276" w:lineRule="auto"/>
        <w:rPr>
          <w:rFonts w:ascii="Calibri" w:hAnsi="Calibri"/>
          <w:color w:val="000000" w:themeColor="text1"/>
          <w:kern w:val="24"/>
          <w:sz w:val="24"/>
          <w:szCs w:val="24"/>
        </w:rPr>
      </w:pPr>
      <w:r w:rsidRPr="00E17D64">
        <w:rPr>
          <w:rFonts w:ascii="Calibri" w:hAnsi="Calibri"/>
          <w:color w:val="000000" w:themeColor="text1"/>
          <w:kern w:val="24"/>
          <w:sz w:val="24"/>
          <w:szCs w:val="24"/>
        </w:rPr>
        <w:t>For instance, in Sherwood (2018), the Church of England was accused of covering up cases of child abuse by Bishop Peter Ball. The survivors of the sexual abuse faced intense public scrutiny, with the community arguing the abuse was self-inflicted. Such actions can lead to the victims failing to report the occurrences.</w:t>
      </w:r>
      <w:r w:rsidR="00BE2026" w:rsidRPr="00BE2026">
        <w:rPr>
          <w:rFonts w:cstheme="minorHAnsi"/>
          <w:sz w:val="24"/>
          <w:szCs w:val="24"/>
        </w:rPr>
        <w:t xml:space="preserve"> </w:t>
      </w:r>
      <w:r w:rsidR="00BE2026" w:rsidRPr="00144C3E">
        <w:rPr>
          <w:rFonts w:cstheme="minorHAnsi"/>
          <w:sz w:val="24"/>
          <w:szCs w:val="24"/>
        </w:rPr>
        <w:t xml:space="preserve">More so, 42% of victims indicated that fear, shame, and societal stigma contribute significantly to their failing to report (Independent Inquiry into Child Sexual Abuse, 2018a). Correspondingly, </w:t>
      </w:r>
      <w:r w:rsidR="00BE2026" w:rsidRPr="00144C3E">
        <w:rPr>
          <w:rFonts w:eastAsiaTheme="minorEastAsia" w:cstheme="minorHAnsi"/>
          <w:color w:val="000000" w:themeColor="text1"/>
          <w:kern w:val="24"/>
          <w:sz w:val="24"/>
          <w:szCs w:val="24"/>
        </w:rPr>
        <w:t>misconceptions concerning victim blaming is relevant to personal agencies and stereotypes of perpetrators. For example, case workers need to be careful when using language that could imply a child has been complicit with the actions of the perpetrator. Additionally, the need for consistent and durable relationships within case working is important to improve the compliance of victims of CSE and improve reporting of the cases.</w:t>
      </w:r>
      <w:r w:rsidRPr="00E17D64">
        <w:rPr>
          <w:rFonts w:ascii="Calibri" w:hAnsi="Calibri"/>
          <w:color w:val="000000" w:themeColor="text1"/>
          <w:kern w:val="24"/>
          <w:sz w:val="24"/>
          <w:szCs w:val="24"/>
        </w:rPr>
        <w:t xml:space="preserve"> As a result, underreporting leads to a severe lack of accurate data and support for victims. This not only obstructs the delivery of appropriate services but also impedes efforts to understand the true extent of the issue and implement preventive measures effectively.</w:t>
      </w:r>
    </w:p>
    <w:p w14:paraId="16D10CEA" w14:textId="77777777" w:rsidR="00A845DF" w:rsidRPr="00E17D64" w:rsidRDefault="00A845DF" w:rsidP="00E17D64">
      <w:pPr>
        <w:spacing w:line="276" w:lineRule="auto"/>
        <w:ind w:firstLine="720"/>
        <w:rPr>
          <w:rFonts w:cstheme="minorHAnsi"/>
          <w:sz w:val="24"/>
          <w:szCs w:val="24"/>
        </w:rPr>
      </w:pPr>
    </w:p>
    <w:p w14:paraId="26D5D0CE" w14:textId="246B3366" w:rsidR="00B371C5" w:rsidRPr="00E17D64" w:rsidRDefault="0083572D" w:rsidP="00E17D64">
      <w:pPr>
        <w:spacing w:line="276" w:lineRule="auto"/>
        <w:rPr>
          <w:rFonts w:cstheme="minorHAnsi"/>
          <w:sz w:val="24"/>
          <w:szCs w:val="24"/>
        </w:rPr>
      </w:pPr>
      <w:r w:rsidRPr="00E17D64">
        <w:rPr>
          <w:rFonts w:cstheme="minorHAnsi"/>
          <w:sz w:val="24"/>
          <w:szCs w:val="24"/>
        </w:rPr>
        <w:t>A general myth</w:t>
      </w:r>
      <w:r w:rsidR="000E7D3C">
        <w:rPr>
          <w:rFonts w:cstheme="minorHAnsi"/>
          <w:sz w:val="24"/>
          <w:szCs w:val="24"/>
        </w:rPr>
        <w:t xml:space="preserve"> of CSE</w:t>
      </w:r>
      <w:r w:rsidRPr="00E17D64">
        <w:rPr>
          <w:rFonts w:cstheme="minorHAnsi"/>
          <w:sz w:val="24"/>
          <w:szCs w:val="24"/>
        </w:rPr>
        <w:t xml:space="preserve"> suggests a relationship between being a </w:t>
      </w:r>
      <w:r w:rsidR="00561F06" w:rsidRPr="00E17D64">
        <w:rPr>
          <w:rFonts w:cstheme="minorHAnsi"/>
          <w:sz w:val="24"/>
          <w:szCs w:val="24"/>
        </w:rPr>
        <w:t>victim</w:t>
      </w:r>
      <w:r w:rsidRPr="00E17D64">
        <w:rPr>
          <w:rFonts w:cstheme="minorHAnsi"/>
          <w:sz w:val="24"/>
          <w:szCs w:val="24"/>
        </w:rPr>
        <w:t xml:space="preserve"> of </w:t>
      </w:r>
      <w:r w:rsidR="001B7396" w:rsidRPr="00E17D64">
        <w:rPr>
          <w:rFonts w:cstheme="minorHAnsi"/>
          <w:sz w:val="24"/>
          <w:szCs w:val="24"/>
        </w:rPr>
        <w:t>child</w:t>
      </w:r>
      <w:r w:rsidRPr="00E17D64">
        <w:rPr>
          <w:rFonts w:cstheme="minorHAnsi"/>
          <w:sz w:val="24"/>
          <w:szCs w:val="24"/>
        </w:rPr>
        <w:t xml:space="preserve"> sexual exploitation and later developing tendency towards becoming an offender (Brown, 2020). Th</w:t>
      </w:r>
      <w:r w:rsidR="000E7D3C">
        <w:rPr>
          <w:rFonts w:cstheme="minorHAnsi"/>
          <w:sz w:val="24"/>
          <w:szCs w:val="24"/>
        </w:rPr>
        <w:t>e</w:t>
      </w:r>
      <w:r w:rsidRPr="00E17D64">
        <w:rPr>
          <w:rFonts w:cstheme="minorHAnsi"/>
          <w:sz w:val="24"/>
          <w:szCs w:val="24"/>
        </w:rPr>
        <w:t xml:space="preserve"> misconception creates challenges in addressing abuse cases effectively</w:t>
      </w:r>
      <w:r w:rsidR="0011391B" w:rsidRPr="00E17D64">
        <w:rPr>
          <w:rFonts w:cstheme="minorHAnsi"/>
          <w:sz w:val="24"/>
          <w:szCs w:val="24"/>
        </w:rPr>
        <w:t xml:space="preserve"> because </w:t>
      </w:r>
      <w:r w:rsidR="00395154" w:rsidRPr="00E17D64">
        <w:rPr>
          <w:rFonts w:cstheme="minorHAnsi"/>
          <w:sz w:val="24"/>
          <w:szCs w:val="24"/>
        </w:rPr>
        <w:t xml:space="preserve">the cycle represents a failure in the system. </w:t>
      </w:r>
      <w:r w:rsidR="00365C05" w:rsidRPr="00E17D64">
        <w:rPr>
          <w:rFonts w:cstheme="minorHAnsi"/>
          <w:sz w:val="24"/>
          <w:szCs w:val="24"/>
        </w:rPr>
        <w:t>In the case of</w:t>
      </w:r>
      <w:r w:rsidRPr="00E17D64">
        <w:rPr>
          <w:rFonts w:cstheme="minorHAnsi"/>
          <w:sz w:val="24"/>
          <w:szCs w:val="24"/>
        </w:rPr>
        <w:t>, the R -v- W (Burnley)</w:t>
      </w:r>
      <w:r w:rsidR="00365C05" w:rsidRPr="00E17D64">
        <w:rPr>
          <w:rFonts w:cstheme="minorHAnsi"/>
          <w:sz w:val="24"/>
          <w:szCs w:val="24"/>
        </w:rPr>
        <w:t xml:space="preserve"> </w:t>
      </w:r>
      <w:r w:rsidRPr="00E17D64">
        <w:rPr>
          <w:rFonts w:cstheme="minorHAnsi"/>
          <w:sz w:val="24"/>
          <w:szCs w:val="24"/>
        </w:rPr>
        <w:t>in Sutton Defence Lawyers (2023) demonstrates th</w:t>
      </w:r>
      <w:r w:rsidR="00B054B4">
        <w:rPr>
          <w:rFonts w:cstheme="minorHAnsi"/>
          <w:sz w:val="24"/>
          <w:szCs w:val="24"/>
        </w:rPr>
        <w:t>e</w:t>
      </w:r>
      <w:r w:rsidRPr="00E17D64">
        <w:rPr>
          <w:rFonts w:cstheme="minorHAnsi"/>
          <w:sz w:val="24"/>
          <w:szCs w:val="24"/>
        </w:rPr>
        <w:t xml:space="preserve"> myth's influence on legal proceedings. In th</w:t>
      </w:r>
      <w:r w:rsidR="00B054B4">
        <w:rPr>
          <w:rFonts w:cstheme="minorHAnsi"/>
          <w:sz w:val="24"/>
          <w:szCs w:val="24"/>
        </w:rPr>
        <w:t>e</w:t>
      </w:r>
      <w:r w:rsidRPr="00E17D64">
        <w:rPr>
          <w:rFonts w:cstheme="minorHAnsi"/>
          <w:sz w:val="24"/>
          <w:szCs w:val="24"/>
        </w:rPr>
        <w:t xml:space="preserve"> case, despite clear evidence of the W’s guilt, the court attributed the defendant's actions to their history as a victim of abuse, assuming a pattern where victims become offenders</w:t>
      </w:r>
      <w:r w:rsidR="002B73CC">
        <w:rPr>
          <w:rFonts w:cstheme="minorHAnsi"/>
          <w:sz w:val="24"/>
          <w:szCs w:val="24"/>
        </w:rPr>
        <w:t>, denying the victim justice</w:t>
      </w:r>
      <w:r w:rsidRPr="00E17D64">
        <w:rPr>
          <w:rFonts w:cstheme="minorHAnsi"/>
          <w:sz w:val="24"/>
          <w:szCs w:val="24"/>
        </w:rPr>
        <w:t xml:space="preserve">. </w:t>
      </w:r>
      <w:r w:rsidR="00B054B4">
        <w:rPr>
          <w:rFonts w:cstheme="minorHAnsi"/>
          <w:sz w:val="24"/>
          <w:szCs w:val="24"/>
        </w:rPr>
        <w:t xml:space="preserve">In correspondence </w:t>
      </w:r>
      <w:r w:rsidRPr="00E17D64">
        <w:rPr>
          <w:rFonts w:cstheme="minorHAnsi"/>
          <w:sz w:val="24"/>
          <w:szCs w:val="24"/>
        </w:rPr>
        <w:t>with Killean et al.</w:t>
      </w:r>
      <w:r w:rsidR="00712EBB" w:rsidRPr="00E17D64">
        <w:rPr>
          <w:rFonts w:cstheme="minorHAnsi"/>
          <w:sz w:val="24"/>
          <w:szCs w:val="24"/>
        </w:rPr>
        <w:t>,</w:t>
      </w:r>
      <w:r w:rsidRPr="00E17D64">
        <w:rPr>
          <w:rFonts w:cstheme="minorHAnsi"/>
          <w:sz w:val="24"/>
          <w:szCs w:val="24"/>
        </w:rPr>
        <w:t xml:space="preserve"> (2022), suggesting that many courts associate past victimisation with potential future offending behaviour. However, when courts perceive a link between victimisation and potential future offen</w:t>
      </w:r>
      <w:r w:rsidR="00200E88" w:rsidRPr="00E17D64">
        <w:rPr>
          <w:rFonts w:cstheme="minorHAnsi"/>
          <w:sz w:val="24"/>
          <w:szCs w:val="24"/>
        </w:rPr>
        <w:t>ders</w:t>
      </w:r>
      <w:r w:rsidRPr="00E17D64">
        <w:rPr>
          <w:rFonts w:cstheme="minorHAnsi"/>
          <w:sz w:val="24"/>
          <w:szCs w:val="24"/>
        </w:rPr>
        <w:t xml:space="preserve">, </w:t>
      </w:r>
      <w:r w:rsidR="00D30E4B" w:rsidRPr="00E17D64">
        <w:rPr>
          <w:rFonts w:cstheme="minorHAnsi"/>
          <w:sz w:val="24"/>
          <w:szCs w:val="24"/>
        </w:rPr>
        <w:t>current sentencing guidelines</w:t>
      </w:r>
      <w:r w:rsidR="006F0BE1" w:rsidRPr="00E17D64">
        <w:rPr>
          <w:rFonts w:cstheme="minorHAnsi"/>
          <w:sz w:val="24"/>
          <w:szCs w:val="24"/>
        </w:rPr>
        <w:t xml:space="preserve"> such as out of court disposals</w:t>
      </w:r>
      <w:r w:rsidR="001231AD" w:rsidRPr="00E17D64">
        <w:rPr>
          <w:rFonts w:cstheme="minorHAnsi"/>
          <w:sz w:val="24"/>
          <w:szCs w:val="24"/>
        </w:rPr>
        <w:t>,</w:t>
      </w:r>
      <w:r w:rsidR="00D30E4B" w:rsidRPr="00E17D64">
        <w:rPr>
          <w:rFonts w:cstheme="minorHAnsi"/>
          <w:sz w:val="24"/>
          <w:szCs w:val="24"/>
        </w:rPr>
        <w:t xml:space="preserve"> are </w:t>
      </w:r>
      <w:r w:rsidR="00B371C5" w:rsidRPr="00E17D64">
        <w:rPr>
          <w:rFonts w:cstheme="minorHAnsi"/>
          <w:sz w:val="24"/>
          <w:szCs w:val="24"/>
        </w:rPr>
        <w:t>not as effective</w:t>
      </w:r>
      <w:r w:rsidR="00955CD0" w:rsidRPr="00E17D64">
        <w:rPr>
          <w:rFonts w:cstheme="minorHAnsi"/>
          <w:sz w:val="24"/>
          <w:szCs w:val="24"/>
        </w:rPr>
        <w:t xml:space="preserve"> and represents a </w:t>
      </w:r>
      <w:r w:rsidR="001A1E9E" w:rsidRPr="00E17D64">
        <w:rPr>
          <w:rFonts w:cstheme="minorHAnsi"/>
          <w:sz w:val="24"/>
          <w:szCs w:val="24"/>
        </w:rPr>
        <w:t xml:space="preserve">significant gap in knowledge on better sentencing methods. For example, rehabilitation </w:t>
      </w:r>
      <w:r w:rsidR="00DD089E" w:rsidRPr="00E17D64">
        <w:rPr>
          <w:rFonts w:cstheme="minorHAnsi"/>
          <w:sz w:val="24"/>
          <w:szCs w:val="24"/>
        </w:rPr>
        <w:t xml:space="preserve">of serious offenders </w:t>
      </w:r>
      <w:r w:rsidR="00747319" w:rsidRPr="00E17D64">
        <w:rPr>
          <w:rFonts w:cstheme="minorHAnsi"/>
          <w:sz w:val="24"/>
          <w:szCs w:val="24"/>
        </w:rPr>
        <w:t xml:space="preserve">and specialised intervention models </w:t>
      </w:r>
      <w:r w:rsidR="002D3939" w:rsidRPr="00E17D64">
        <w:rPr>
          <w:rFonts w:cstheme="minorHAnsi"/>
          <w:sz w:val="24"/>
          <w:szCs w:val="24"/>
        </w:rPr>
        <w:t xml:space="preserve">could be more effective in combatting the victim-offender cycle (Local Government Association, 2019). </w:t>
      </w:r>
    </w:p>
    <w:p w14:paraId="06C6740F" w14:textId="7C3805AC" w:rsidR="0083572D" w:rsidRPr="00E17D64" w:rsidRDefault="0057732D" w:rsidP="00E17D64">
      <w:pPr>
        <w:spacing w:line="276" w:lineRule="auto"/>
        <w:rPr>
          <w:rFonts w:cstheme="minorHAnsi"/>
          <w:sz w:val="24"/>
          <w:szCs w:val="24"/>
        </w:rPr>
      </w:pPr>
      <w:r w:rsidRPr="00E17D64">
        <w:rPr>
          <w:rFonts w:cstheme="minorHAnsi"/>
          <w:sz w:val="24"/>
          <w:szCs w:val="24"/>
        </w:rPr>
        <w:t xml:space="preserve">Although the myth could have positive </w:t>
      </w:r>
      <w:r w:rsidR="002A5862" w:rsidRPr="00E17D64">
        <w:rPr>
          <w:rFonts w:cstheme="minorHAnsi"/>
          <w:sz w:val="24"/>
          <w:szCs w:val="24"/>
        </w:rPr>
        <w:t xml:space="preserve">influence on the criminal justice system, </w:t>
      </w:r>
      <w:r w:rsidR="00F33F42" w:rsidRPr="00E17D64">
        <w:rPr>
          <w:rFonts w:cstheme="minorHAnsi"/>
          <w:sz w:val="24"/>
          <w:szCs w:val="24"/>
        </w:rPr>
        <w:t>victim</w:t>
      </w:r>
      <w:r w:rsidR="002A5862" w:rsidRPr="00E17D64">
        <w:rPr>
          <w:rFonts w:cstheme="minorHAnsi"/>
          <w:sz w:val="24"/>
          <w:szCs w:val="24"/>
        </w:rPr>
        <w:t xml:space="preserve"> blaming </w:t>
      </w:r>
      <w:r w:rsidR="00F33F42" w:rsidRPr="00E17D64">
        <w:rPr>
          <w:rFonts w:cstheme="minorHAnsi"/>
          <w:sz w:val="24"/>
          <w:szCs w:val="24"/>
        </w:rPr>
        <w:t xml:space="preserve">remains an issue. </w:t>
      </w:r>
      <w:r w:rsidR="002D3939" w:rsidRPr="00E17D64">
        <w:rPr>
          <w:rFonts w:cstheme="minorHAnsi"/>
          <w:sz w:val="24"/>
          <w:szCs w:val="24"/>
        </w:rPr>
        <w:t>By fostering a refined understanding of abuse dynamics, encouraging evidence-based assessments in legal proceedings, and prioritising support for victims without bias, steps can be made toward justice and prevention without perpetuating harmful stereotypes.</w:t>
      </w:r>
      <w:r w:rsidR="001231AD" w:rsidRPr="00E17D64">
        <w:rPr>
          <w:rFonts w:cstheme="minorHAnsi"/>
          <w:sz w:val="24"/>
          <w:szCs w:val="24"/>
        </w:rPr>
        <w:t xml:space="preserve"> Nonetheless</w:t>
      </w:r>
      <w:r w:rsidR="0083572D" w:rsidRPr="00E17D64">
        <w:rPr>
          <w:rFonts w:cstheme="minorHAnsi"/>
          <w:sz w:val="24"/>
          <w:szCs w:val="24"/>
        </w:rPr>
        <w:t>, combatting this myth is challenging due to its deeply ingrained nature within legal frameworks. Efforts are being made through specialised training for legal professionals, emphasising evidence-based approaches that demystify this myth (Local Government Association, 2019). However, systemic change requires continued education, raising awareness about the myth of assuming victimisation leads to future offending and implementing guidelines to ensure fair trials.</w:t>
      </w:r>
    </w:p>
    <w:p w14:paraId="161A759C" w14:textId="4C42DEE7" w:rsidR="003704C0" w:rsidRPr="00E17D64" w:rsidRDefault="003704C0" w:rsidP="00E17D64">
      <w:pPr>
        <w:spacing w:line="276" w:lineRule="auto"/>
        <w:rPr>
          <w:rFonts w:cstheme="minorHAnsi"/>
          <w:sz w:val="24"/>
          <w:szCs w:val="24"/>
        </w:rPr>
      </w:pPr>
    </w:p>
    <w:p w14:paraId="6C8DD307" w14:textId="66FFE189" w:rsidR="003B5EF4" w:rsidRPr="00E17D64" w:rsidRDefault="003B5EF4" w:rsidP="00E17D64">
      <w:pPr>
        <w:spacing w:line="276" w:lineRule="auto"/>
        <w:rPr>
          <w:rFonts w:cstheme="minorHAnsi"/>
          <w:sz w:val="24"/>
          <w:szCs w:val="24"/>
        </w:rPr>
      </w:pPr>
      <w:r w:rsidRPr="00E17D64">
        <w:rPr>
          <w:rFonts w:cstheme="minorHAnsi"/>
          <w:sz w:val="24"/>
          <w:szCs w:val="24"/>
        </w:rPr>
        <w:t xml:space="preserve">Preventive measures include trauma informed responses such as Enhanced Case Management that Wales implemented in 2013 and England. The trauma informed response is based on the foundation of the Trauma Recovery Model (Skuse and Mathew, 2018). The intervention focuses on making psychosocial links between trauma, ACE’s and developing intervention in accordance with mental health needs and social integration. Evidential findings based on the model are accurate background of a child’s history of trauma, moulded to suit child’s cognitive level and a constant evolving trauma enforced response for youth justice teams to apply to victims of CSE as the intervention is interchangeable (HM Inspectorate of Probation, 2023). </w:t>
      </w:r>
      <w:r w:rsidR="005E1BF1">
        <w:rPr>
          <w:rFonts w:cstheme="minorHAnsi"/>
          <w:sz w:val="24"/>
          <w:szCs w:val="24"/>
        </w:rPr>
        <w:t xml:space="preserve">Utilising the response could mean the difference between </w:t>
      </w:r>
      <w:r w:rsidR="00B22EB8">
        <w:rPr>
          <w:rFonts w:cstheme="minorHAnsi"/>
          <w:sz w:val="24"/>
          <w:szCs w:val="24"/>
        </w:rPr>
        <w:t xml:space="preserve">a victim receiving justice or potentially </w:t>
      </w:r>
      <w:r w:rsidR="00AB512A">
        <w:rPr>
          <w:rFonts w:cstheme="minorHAnsi"/>
          <w:sz w:val="24"/>
          <w:szCs w:val="24"/>
        </w:rPr>
        <w:t xml:space="preserve">submitting to the victim-offender cycle. </w:t>
      </w:r>
    </w:p>
    <w:p w14:paraId="2B2D48FD" w14:textId="77777777" w:rsidR="003704C0" w:rsidRDefault="003704C0" w:rsidP="00CE44E4">
      <w:pPr>
        <w:rPr>
          <w:rFonts w:ascii="Times New Roman" w:hAnsi="Times New Roman" w:cs="Times New Roman"/>
          <w:sz w:val="24"/>
          <w:szCs w:val="24"/>
        </w:rPr>
      </w:pPr>
    </w:p>
    <w:p w14:paraId="0E70A265" w14:textId="77777777" w:rsidR="003704C0" w:rsidRDefault="003704C0" w:rsidP="00CE44E4">
      <w:pPr>
        <w:rPr>
          <w:rFonts w:ascii="Times New Roman" w:hAnsi="Times New Roman" w:cs="Times New Roman"/>
          <w:sz w:val="24"/>
          <w:szCs w:val="24"/>
        </w:rPr>
      </w:pPr>
    </w:p>
    <w:p w14:paraId="74EE5168" w14:textId="77777777" w:rsidR="003704C0" w:rsidRDefault="003704C0" w:rsidP="00CE44E4">
      <w:pPr>
        <w:rPr>
          <w:rFonts w:ascii="Times New Roman" w:hAnsi="Times New Roman" w:cs="Times New Roman"/>
          <w:sz w:val="24"/>
          <w:szCs w:val="24"/>
        </w:rPr>
      </w:pPr>
    </w:p>
    <w:p w14:paraId="61B759A3" w14:textId="77777777" w:rsidR="003704C0" w:rsidRDefault="003704C0" w:rsidP="00CE44E4">
      <w:pPr>
        <w:rPr>
          <w:rFonts w:ascii="Times New Roman" w:hAnsi="Times New Roman" w:cs="Times New Roman"/>
          <w:sz w:val="24"/>
          <w:szCs w:val="24"/>
        </w:rPr>
      </w:pPr>
    </w:p>
    <w:p w14:paraId="5A15B4BC" w14:textId="77777777" w:rsidR="006B1976" w:rsidRPr="006B1976" w:rsidRDefault="006B1976" w:rsidP="00CE44E4">
      <w:pPr>
        <w:rPr>
          <w:rFonts w:ascii="Times New Roman" w:hAnsi="Times New Roman" w:cs="Times New Roman"/>
          <w:sz w:val="24"/>
          <w:szCs w:val="24"/>
        </w:rPr>
      </w:pPr>
    </w:p>
    <w:p w14:paraId="0DC37740" w14:textId="77777777" w:rsidR="006B1976" w:rsidRPr="006B1976" w:rsidRDefault="006B1976" w:rsidP="00CE44E4">
      <w:pPr>
        <w:rPr>
          <w:rFonts w:ascii="Times New Roman" w:hAnsi="Times New Roman" w:cs="Times New Roman"/>
          <w:sz w:val="24"/>
          <w:szCs w:val="24"/>
        </w:rPr>
      </w:pPr>
    </w:p>
    <w:p w14:paraId="1EC29BC2" w14:textId="77777777" w:rsidR="006B1976" w:rsidRPr="006B1976" w:rsidRDefault="006B1976" w:rsidP="00CE44E4">
      <w:pPr>
        <w:rPr>
          <w:rFonts w:ascii="Times New Roman" w:hAnsi="Times New Roman" w:cs="Times New Roman"/>
          <w:sz w:val="24"/>
          <w:szCs w:val="24"/>
        </w:rPr>
      </w:pPr>
    </w:p>
    <w:p w14:paraId="2ADE1C39" w14:textId="77777777" w:rsidR="006B1976" w:rsidRPr="006B1976" w:rsidRDefault="006B1976" w:rsidP="00CE44E4">
      <w:pPr>
        <w:rPr>
          <w:rFonts w:ascii="Times New Roman" w:hAnsi="Times New Roman" w:cs="Times New Roman"/>
          <w:sz w:val="24"/>
          <w:szCs w:val="24"/>
        </w:rPr>
      </w:pPr>
    </w:p>
    <w:p w14:paraId="25ED79C5" w14:textId="77777777" w:rsidR="006B1976" w:rsidRPr="006B1976" w:rsidRDefault="006B1976" w:rsidP="00CE44E4">
      <w:pPr>
        <w:rPr>
          <w:rFonts w:ascii="Times New Roman" w:hAnsi="Times New Roman" w:cs="Times New Roman"/>
          <w:sz w:val="24"/>
          <w:szCs w:val="24"/>
        </w:rPr>
      </w:pPr>
    </w:p>
    <w:p w14:paraId="226543D9" w14:textId="77777777" w:rsidR="006B1976" w:rsidRPr="006B1976" w:rsidRDefault="006B1976" w:rsidP="00CE44E4">
      <w:pPr>
        <w:rPr>
          <w:rFonts w:ascii="Times New Roman" w:hAnsi="Times New Roman" w:cs="Times New Roman"/>
          <w:sz w:val="24"/>
          <w:szCs w:val="24"/>
        </w:rPr>
      </w:pPr>
    </w:p>
    <w:p w14:paraId="21E8A809" w14:textId="77777777" w:rsidR="006B1976" w:rsidRPr="006B1976" w:rsidRDefault="006B1976" w:rsidP="00CE44E4">
      <w:pPr>
        <w:rPr>
          <w:rFonts w:ascii="Times New Roman" w:hAnsi="Times New Roman" w:cs="Times New Roman"/>
          <w:sz w:val="24"/>
          <w:szCs w:val="24"/>
        </w:rPr>
      </w:pPr>
    </w:p>
    <w:p w14:paraId="758330B1" w14:textId="77777777" w:rsidR="006B1976" w:rsidRPr="006B1976" w:rsidRDefault="006B1976" w:rsidP="00CE44E4">
      <w:pPr>
        <w:rPr>
          <w:rFonts w:ascii="Times New Roman" w:hAnsi="Times New Roman" w:cs="Times New Roman"/>
          <w:sz w:val="24"/>
          <w:szCs w:val="24"/>
        </w:rPr>
      </w:pPr>
    </w:p>
    <w:p w14:paraId="44EFE4D2" w14:textId="77777777" w:rsidR="006B1976" w:rsidRPr="006B1976" w:rsidRDefault="006B1976" w:rsidP="00CE44E4">
      <w:pPr>
        <w:rPr>
          <w:rFonts w:ascii="Times New Roman" w:hAnsi="Times New Roman" w:cs="Times New Roman"/>
          <w:sz w:val="24"/>
          <w:szCs w:val="24"/>
        </w:rPr>
      </w:pPr>
    </w:p>
    <w:p w14:paraId="422A2322" w14:textId="77777777" w:rsidR="006B1976" w:rsidRPr="006B1976" w:rsidRDefault="006B1976" w:rsidP="00CE44E4">
      <w:pPr>
        <w:rPr>
          <w:rFonts w:ascii="Times New Roman" w:hAnsi="Times New Roman" w:cs="Times New Roman"/>
          <w:sz w:val="24"/>
          <w:szCs w:val="24"/>
        </w:rPr>
      </w:pPr>
    </w:p>
    <w:p w14:paraId="7801884B" w14:textId="77777777" w:rsidR="006B1976" w:rsidRDefault="006B1976" w:rsidP="00FF6C5A">
      <w:pPr>
        <w:rPr>
          <w:rFonts w:ascii="Times New Roman" w:hAnsi="Times New Roman" w:cs="Times New Roman"/>
          <w:sz w:val="24"/>
          <w:szCs w:val="24"/>
        </w:rPr>
      </w:pPr>
    </w:p>
    <w:p w14:paraId="4F3DFE5D" w14:textId="77777777" w:rsidR="00DD71A6" w:rsidRDefault="006B1976" w:rsidP="006B1976">
      <w:pPr>
        <w:tabs>
          <w:tab w:val="left" w:pos="3466"/>
        </w:tabs>
        <w:rPr>
          <w:rFonts w:ascii="Times New Roman" w:hAnsi="Times New Roman" w:cs="Times New Roman"/>
          <w:sz w:val="24"/>
          <w:szCs w:val="24"/>
        </w:rPr>
      </w:pPr>
      <w:r>
        <w:rPr>
          <w:rFonts w:ascii="Times New Roman" w:hAnsi="Times New Roman" w:cs="Times New Roman"/>
          <w:sz w:val="24"/>
          <w:szCs w:val="24"/>
        </w:rPr>
        <w:tab/>
      </w:r>
    </w:p>
    <w:p w14:paraId="6DBCC9B7" w14:textId="77777777" w:rsidR="00DD71A6" w:rsidRDefault="00DD71A6" w:rsidP="006B1976">
      <w:pPr>
        <w:tabs>
          <w:tab w:val="left" w:pos="3466"/>
        </w:tabs>
        <w:rPr>
          <w:rFonts w:ascii="Times New Roman" w:hAnsi="Times New Roman" w:cs="Times New Roman"/>
          <w:sz w:val="24"/>
          <w:szCs w:val="24"/>
        </w:rPr>
      </w:pPr>
    </w:p>
    <w:p w14:paraId="5F4276C3" w14:textId="1A884AA5" w:rsidR="006B1976" w:rsidRDefault="00DD71A6" w:rsidP="006B1976">
      <w:pPr>
        <w:tabs>
          <w:tab w:val="left" w:pos="3466"/>
        </w:tabs>
        <w:rPr>
          <w:rFonts w:ascii="Times New Roman" w:hAnsi="Times New Roman" w:cs="Times New Roman"/>
          <w:sz w:val="24"/>
          <w:szCs w:val="24"/>
        </w:rPr>
      </w:pPr>
      <w:r>
        <w:rPr>
          <w:rFonts w:ascii="Times New Roman" w:hAnsi="Times New Roman" w:cs="Times New Roman"/>
          <w:sz w:val="24"/>
          <w:szCs w:val="24"/>
        </w:rPr>
        <w:t xml:space="preserve">                                                           </w:t>
      </w:r>
      <w:r w:rsidR="006B1976">
        <w:rPr>
          <w:rFonts w:ascii="Times New Roman" w:hAnsi="Times New Roman" w:cs="Times New Roman"/>
          <w:sz w:val="24"/>
          <w:szCs w:val="24"/>
        </w:rPr>
        <w:t>References:</w:t>
      </w:r>
    </w:p>
    <w:p w14:paraId="229564C7" w14:textId="77777777" w:rsidR="006B1976" w:rsidRDefault="006B1976" w:rsidP="00FF6C5A">
      <w:pPr>
        <w:rPr>
          <w:rFonts w:ascii="Times New Roman" w:hAnsi="Times New Roman" w:cs="Times New Roman"/>
          <w:sz w:val="24"/>
          <w:szCs w:val="24"/>
        </w:rPr>
      </w:pPr>
    </w:p>
    <w:p w14:paraId="45248A3E" w14:textId="13D30C8E" w:rsidR="006B1976" w:rsidRPr="006B1976" w:rsidRDefault="006B1976" w:rsidP="00FF6C5A">
      <w:pPr>
        <w:rPr>
          <w:rFonts w:ascii="Times New Roman" w:hAnsi="Times New Roman" w:cs="Times New Roman"/>
          <w:sz w:val="24"/>
          <w:szCs w:val="24"/>
        </w:rPr>
      </w:pPr>
      <w:r w:rsidRPr="006B1976">
        <w:rPr>
          <w:rFonts w:ascii="Times New Roman" w:hAnsi="Times New Roman" w:cs="Times New Roman"/>
          <w:color w:val="3A3A3A"/>
          <w:sz w:val="24"/>
          <w:szCs w:val="24"/>
          <w:shd w:val="clear" w:color="auto" w:fill="FFFFFF"/>
        </w:rPr>
        <w:t>Buckler, R.</w:t>
      </w:r>
      <w:r w:rsidRPr="006B1976">
        <w:rPr>
          <w:rFonts w:ascii="Times New Roman" w:hAnsi="Times New Roman" w:cs="Times New Roman"/>
          <w:color w:val="3A3A3A"/>
          <w:sz w:val="24"/>
          <w:szCs w:val="24"/>
          <w:shd w:val="clear" w:color="auto" w:fill="FFFFFF"/>
        </w:rPr>
        <w:t>,</w:t>
      </w:r>
      <w:r w:rsidRPr="006B1976">
        <w:rPr>
          <w:rFonts w:ascii="Times New Roman" w:hAnsi="Times New Roman" w:cs="Times New Roman"/>
          <w:color w:val="3A3A3A"/>
          <w:sz w:val="24"/>
          <w:szCs w:val="24"/>
          <w:shd w:val="clear" w:color="auto" w:fill="FFFFFF"/>
        </w:rPr>
        <w:t xml:space="preserve"> (2023)</w:t>
      </w:r>
      <w:r w:rsidRPr="006B1976">
        <w:rPr>
          <w:rFonts w:ascii="Times New Roman" w:hAnsi="Times New Roman" w:cs="Times New Roman"/>
          <w:color w:val="3A3A3A"/>
          <w:sz w:val="24"/>
          <w:szCs w:val="24"/>
          <w:shd w:val="clear" w:color="auto" w:fill="FFFFFF"/>
        </w:rPr>
        <w:t>.</w:t>
      </w:r>
      <w:r w:rsidRPr="006B1976">
        <w:rPr>
          <w:rFonts w:ascii="Times New Roman" w:hAnsi="Times New Roman" w:cs="Times New Roman"/>
          <w:color w:val="3A3A3A"/>
          <w:sz w:val="24"/>
          <w:szCs w:val="24"/>
          <w:shd w:val="clear" w:color="auto" w:fill="FFFFFF"/>
        </w:rPr>
        <w:t> </w:t>
      </w:r>
      <w:r w:rsidRPr="006B1976">
        <w:rPr>
          <w:rFonts w:ascii="Times New Roman" w:hAnsi="Times New Roman" w:cs="Times New Roman"/>
          <w:i/>
          <w:iCs/>
          <w:color w:val="3A3A3A"/>
          <w:sz w:val="24"/>
          <w:szCs w:val="24"/>
          <w:shd w:val="clear" w:color="auto" w:fill="FFFFFF"/>
        </w:rPr>
        <w:t>Developing Child-Centred Practice for Safeguarding and Child Protection</w:t>
      </w:r>
      <w:r w:rsidRPr="006B1976">
        <w:rPr>
          <w:rFonts w:ascii="Times New Roman" w:hAnsi="Times New Roman" w:cs="Times New Roman"/>
          <w:color w:val="3A3A3A"/>
          <w:sz w:val="24"/>
          <w:szCs w:val="24"/>
          <w:shd w:val="clear" w:color="auto" w:fill="FFFFFF"/>
        </w:rPr>
        <w:t>. 1st ed. Abingdon, Oxon, United Kingdom: Routledge.</w:t>
      </w:r>
    </w:p>
    <w:p w14:paraId="25D84803" w14:textId="77777777" w:rsidR="006B1976" w:rsidRPr="006B1976" w:rsidRDefault="006B1976" w:rsidP="0066408B">
      <w:pPr>
        <w:pStyle w:val="NormalWeb"/>
        <w:spacing w:before="0" w:beforeAutospacing="0" w:after="0" w:afterAutospacing="0" w:line="480" w:lineRule="auto"/>
        <w:ind w:left="720" w:hanging="720"/>
      </w:pPr>
      <w:proofErr w:type="spellStart"/>
      <w:r w:rsidRPr="006B1976">
        <w:t>Cockbain</w:t>
      </w:r>
      <w:proofErr w:type="spellEnd"/>
      <w:r w:rsidRPr="006B1976">
        <w:t>.</w:t>
      </w:r>
      <w:r w:rsidRPr="006B1976">
        <w:t xml:space="preserve">, E, and </w:t>
      </w:r>
      <w:r w:rsidRPr="006B1976">
        <w:t>Brayley, H</w:t>
      </w:r>
      <w:r w:rsidRPr="006B1976">
        <w:t>.</w:t>
      </w:r>
      <w:r w:rsidRPr="006B1976">
        <w:t>, (2012)</w:t>
      </w:r>
      <w:r w:rsidRPr="006B1976">
        <w:t xml:space="preserve"> “Child Sexual Exploitation and Youth Offending: A Research Note.” </w:t>
      </w:r>
      <w:r w:rsidRPr="006B1976">
        <w:rPr>
          <w:i/>
          <w:iCs/>
        </w:rPr>
        <w:t>European Journal of Criminology</w:t>
      </w:r>
      <w:r w:rsidRPr="006B1976">
        <w:t xml:space="preserve">, vol. 9, no. 6, pp. 689–700, </w:t>
      </w:r>
      <w:r w:rsidRPr="006B1976">
        <w:t xml:space="preserve">Available at: &lt;// </w:t>
      </w:r>
      <w:hyperlink r:id="rId7" w:history="1">
        <w:r w:rsidRPr="006B1976">
          <w:rPr>
            <w:rStyle w:val="Hyperlink"/>
          </w:rPr>
          <w:t>https://doi.org/10.1177/1477370812453401.</w:t>
        </w:r>
        <w:r w:rsidRPr="006B1976">
          <w:rPr>
            <w:rStyle w:val="Hyperlink"/>
          </w:rPr>
          <w:t>//</w:t>
        </w:r>
      </w:hyperlink>
      <w:r w:rsidRPr="006B1976">
        <w:t xml:space="preserve"> &gt;</w:t>
      </w:r>
    </w:p>
    <w:p w14:paraId="754F6C9C" w14:textId="77777777" w:rsidR="006B1976" w:rsidRPr="006B1976" w:rsidRDefault="006B1976" w:rsidP="00BC3322">
      <w:pPr>
        <w:pStyle w:val="NormalWeb"/>
        <w:spacing w:before="0" w:beforeAutospacing="0" w:after="0" w:afterAutospacing="0" w:line="480" w:lineRule="auto"/>
        <w:ind w:left="720" w:hanging="720"/>
      </w:pPr>
      <w:r w:rsidRPr="006B1976">
        <w:t>CPS.</w:t>
      </w:r>
      <w:r w:rsidRPr="006B1976">
        <w:t>, (2019).</w:t>
      </w:r>
      <w:r w:rsidRPr="006B1976">
        <w:t xml:space="preserve"> “Child Sexual Abuse: Guidelines on Prosecuting Cases of Child Sexual Abuse | the Crown Prosecution Service.” </w:t>
      </w:r>
      <w:r w:rsidRPr="006B1976">
        <w:rPr>
          <w:i/>
          <w:iCs/>
        </w:rPr>
        <w:t>Cps.gov.uk</w:t>
      </w:r>
      <w:r w:rsidRPr="006B1976">
        <w:t xml:space="preserve">, </w:t>
      </w:r>
      <w:r w:rsidRPr="006B1976">
        <w:t xml:space="preserve">Available at: &lt;// </w:t>
      </w:r>
      <w:hyperlink r:id="rId8" w:history="1">
        <w:r w:rsidRPr="006B1976">
          <w:rPr>
            <w:rStyle w:val="Hyperlink"/>
          </w:rPr>
          <w:t>www.cps.gov.uk/legal-guidance/child-sexual-abuse-guidelines-prosecuting-cases-child-sexual-abuse.</w:t>
        </w:r>
        <w:r w:rsidRPr="006B1976">
          <w:rPr>
            <w:rStyle w:val="Hyperlink"/>
          </w:rPr>
          <w:t>//</w:t>
        </w:r>
      </w:hyperlink>
      <w:r w:rsidRPr="006B1976">
        <w:t xml:space="preserve"> &gt;</w:t>
      </w:r>
    </w:p>
    <w:p w14:paraId="03068E7E" w14:textId="77777777" w:rsidR="006B1976" w:rsidRPr="006B1976" w:rsidRDefault="006B1976" w:rsidP="009761E9">
      <w:pPr>
        <w:pStyle w:val="NormalWeb"/>
        <w:spacing w:before="0" w:beforeAutospacing="0" w:after="0" w:afterAutospacing="0" w:line="480" w:lineRule="auto"/>
        <w:ind w:left="720" w:hanging="720"/>
      </w:pPr>
      <w:r w:rsidRPr="006B1976">
        <w:t>Department for Education.</w:t>
      </w:r>
      <w:r w:rsidRPr="006B1976">
        <w:t>, (2017)</w:t>
      </w:r>
      <w:r w:rsidRPr="006B1976">
        <w:t xml:space="preserve"> </w:t>
      </w:r>
      <w:r w:rsidRPr="006B1976">
        <w:rPr>
          <w:i/>
          <w:iCs/>
        </w:rPr>
        <w:t>Child Sexual Exploitation Definition and a Guide for Practitioners, Local Leaders and Decision Makers Working to Protect Children from Child Sexual Exploitation</w:t>
      </w:r>
      <w:r w:rsidRPr="006B1976">
        <w:t>.</w:t>
      </w:r>
    </w:p>
    <w:p w14:paraId="2D9527F4" w14:textId="77777777" w:rsidR="006B1976" w:rsidRPr="006B1976" w:rsidRDefault="006B1976" w:rsidP="00DD44D2">
      <w:pPr>
        <w:pStyle w:val="NormalWeb"/>
        <w:spacing w:before="0" w:beforeAutospacing="0" w:after="0" w:afterAutospacing="0" w:line="480" w:lineRule="auto"/>
        <w:ind w:left="720" w:hanging="720"/>
      </w:pPr>
      <w:r w:rsidRPr="006B1976">
        <w:t>Drummond</w:t>
      </w:r>
      <w:r w:rsidRPr="006B1976">
        <w:t>.</w:t>
      </w:r>
      <w:r w:rsidRPr="006B1976">
        <w:t xml:space="preserve">, C, and </w:t>
      </w:r>
      <w:r w:rsidRPr="006B1976">
        <w:t xml:space="preserve">Southgate, J., (2018). </w:t>
      </w:r>
      <w:r w:rsidRPr="006B1976">
        <w:t xml:space="preserve">Jessica Southgate. </w:t>
      </w:r>
      <w:r w:rsidRPr="006B1976">
        <w:t>‘</w:t>
      </w:r>
      <w:r w:rsidRPr="006B1976">
        <w:rPr>
          <w:i/>
          <w:iCs/>
        </w:rPr>
        <w:t>Interventions for Perpetrators of Child Sexual Exploitation a Scoping Study</w:t>
      </w:r>
      <w:r w:rsidRPr="006B1976">
        <w:rPr>
          <w:i/>
          <w:iCs/>
        </w:rPr>
        <w:t>’,</w:t>
      </w:r>
      <w:r w:rsidRPr="006B1976">
        <w:rPr>
          <w:i/>
          <w:iCs/>
        </w:rPr>
        <w:t xml:space="preserve"> INTERVENTIONS for PERPETRATORS of CHILD SEXUAL EXPLOITATION CENTRE of EXPERTISE on CHILD SEXUAL ABUSE 2</w:t>
      </w:r>
      <w:r w:rsidRPr="006B1976">
        <w:t>. 2018.</w:t>
      </w:r>
    </w:p>
    <w:p w14:paraId="4E2A8D9D" w14:textId="43F86356" w:rsidR="006B1976" w:rsidRPr="006B1976" w:rsidRDefault="006B1976" w:rsidP="00B71BF7">
      <w:pPr>
        <w:pStyle w:val="NormalWeb"/>
        <w:spacing w:line="480" w:lineRule="auto"/>
      </w:pPr>
      <w:r w:rsidRPr="006B1976">
        <w:t xml:space="preserve">Elkin, M., (2020a). </w:t>
      </w:r>
      <w:r w:rsidRPr="006B1976">
        <w:rPr>
          <w:i/>
          <w:iCs/>
        </w:rPr>
        <w:t>Child sexual abuse in England and Wales: Year Ending March 2019</w:t>
      </w:r>
      <w:r w:rsidRPr="006B1976">
        <w:t xml:space="preserve">, </w:t>
      </w:r>
      <w:r w:rsidRPr="006B1976">
        <w:rPr>
          <w:i/>
          <w:iCs/>
        </w:rPr>
        <w:t>Child sexual abuse in England and Wales - Office for National Statistics</w:t>
      </w:r>
      <w:r w:rsidRPr="006B1976">
        <w:t>. Available at:&lt;//</w:t>
      </w:r>
      <w:hyperlink r:id="rId9" w:history="1">
        <w:r w:rsidRPr="006B1976">
          <w:rPr>
            <w:rStyle w:val="Hyperlink"/>
          </w:rPr>
          <w:t>https://www.ons.gov.uk/peoplepopulationandcommunity/crimeandjustice/articles/childsexualabuseinenglandandwales/yearendingmarch2019//</w:t>
        </w:r>
      </w:hyperlink>
      <w:r w:rsidRPr="006B1976">
        <w:t xml:space="preserve"> &gt; (Accessed: 29 Nov</w:t>
      </w:r>
      <w:r w:rsidR="005A48FB">
        <w:t xml:space="preserve">. </w:t>
      </w:r>
      <w:r w:rsidRPr="006B1976">
        <w:t xml:space="preserve">2023). </w:t>
      </w:r>
    </w:p>
    <w:p w14:paraId="5187A5F0" w14:textId="2707F460" w:rsidR="006B1976" w:rsidRPr="006B1976" w:rsidRDefault="006B1976" w:rsidP="004C47DB">
      <w:pPr>
        <w:pStyle w:val="NormalWeb"/>
        <w:spacing w:line="480" w:lineRule="auto"/>
        <w:ind w:left="720" w:hanging="720"/>
      </w:pPr>
      <w:r w:rsidRPr="006B1976">
        <w:t xml:space="preserve">Elkin, M., (2023b). </w:t>
      </w:r>
      <w:r w:rsidRPr="006B1976">
        <w:rPr>
          <w:i/>
          <w:iCs/>
        </w:rPr>
        <w:t>Sexual offences victim characteristics, England and Wales: Year Ending March 2022</w:t>
      </w:r>
      <w:r w:rsidRPr="006B1976">
        <w:t xml:space="preserve">, </w:t>
      </w:r>
      <w:r w:rsidRPr="006B1976">
        <w:rPr>
          <w:i/>
          <w:iCs/>
        </w:rPr>
        <w:t>Sexual offences victim characteristics, England and Wales - Office for National Statistics</w:t>
      </w:r>
      <w:r w:rsidRPr="006B1976">
        <w:t>. Available at:&lt;//</w:t>
      </w:r>
      <w:hyperlink r:id="rId10" w:history="1">
        <w:r w:rsidRPr="006B1976">
          <w:rPr>
            <w:rStyle w:val="Hyperlink"/>
          </w:rPr>
          <w:t>https://www.ons.gov.uk/peoplepopulationandcommunity/crimeandjustice/articles/sexualoffencesvictimcharacteristicsenglandandwales/yearendingmarch2022//</w:t>
        </w:r>
      </w:hyperlink>
      <w:r w:rsidRPr="006B1976">
        <w:t xml:space="preserve"> &gt; (Accessed: 29 Nov</w:t>
      </w:r>
      <w:r w:rsidR="00B71BF7">
        <w:t>.</w:t>
      </w:r>
      <w:r w:rsidRPr="006B1976">
        <w:t xml:space="preserve"> 2023). </w:t>
      </w:r>
    </w:p>
    <w:p w14:paraId="5BF5C339" w14:textId="77777777" w:rsidR="006B1976" w:rsidRPr="006B1976" w:rsidRDefault="006B1976" w:rsidP="004C47DB">
      <w:pPr>
        <w:spacing w:line="480" w:lineRule="auto"/>
        <w:ind w:left="720" w:hanging="720"/>
        <w:rPr>
          <w:rFonts w:ascii="Times New Roman" w:hAnsi="Times New Roman" w:cs="Times New Roman"/>
          <w:color w:val="222222"/>
          <w:sz w:val="24"/>
          <w:szCs w:val="24"/>
          <w:shd w:val="clear" w:color="auto" w:fill="FFFFFF"/>
        </w:rPr>
      </w:pPr>
      <w:r w:rsidRPr="006B1976">
        <w:rPr>
          <w:rFonts w:ascii="Times New Roman" w:hAnsi="Times New Roman" w:cs="Times New Roman"/>
          <w:color w:val="222222"/>
          <w:sz w:val="24"/>
          <w:szCs w:val="24"/>
          <w:shd w:val="clear" w:color="auto" w:fill="FFFFFF"/>
        </w:rPr>
        <w:t xml:space="preserve">Gerke, J., Lipke, K., Fegert, J.M. and </w:t>
      </w:r>
      <w:proofErr w:type="spellStart"/>
      <w:r w:rsidRPr="006B1976">
        <w:rPr>
          <w:rFonts w:ascii="Times New Roman" w:hAnsi="Times New Roman" w:cs="Times New Roman"/>
          <w:color w:val="222222"/>
          <w:sz w:val="24"/>
          <w:szCs w:val="24"/>
          <w:shd w:val="clear" w:color="auto" w:fill="FFFFFF"/>
        </w:rPr>
        <w:t>Rassenhofer</w:t>
      </w:r>
      <w:proofErr w:type="spellEnd"/>
      <w:r w:rsidRPr="006B1976">
        <w:rPr>
          <w:rFonts w:ascii="Times New Roman" w:hAnsi="Times New Roman" w:cs="Times New Roman"/>
          <w:color w:val="222222"/>
          <w:sz w:val="24"/>
          <w:szCs w:val="24"/>
          <w:shd w:val="clear" w:color="auto" w:fill="FFFFFF"/>
        </w:rPr>
        <w:t>, M., (2021). Mothers as perpetrators and bystanders of child sexual abuse. </w:t>
      </w:r>
      <w:r w:rsidRPr="006B1976">
        <w:rPr>
          <w:rFonts w:ascii="Times New Roman" w:hAnsi="Times New Roman" w:cs="Times New Roman"/>
          <w:i/>
          <w:iCs/>
          <w:color w:val="222222"/>
          <w:sz w:val="24"/>
          <w:szCs w:val="24"/>
          <w:shd w:val="clear" w:color="auto" w:fill="FFFFFF"/>
        </w:rPr>
        <w:t>Child Abuse &amp; Neglect</w:t>
      </w:r>
      <w:r w:rsidRPr="006B1976">
        <w:rPr>
          <w:rFonts w:ascii="Times New Roman" w:hAnsi="Times New Roman" w:cs="Times New Roman"/>
          <w:color w:val="222222"/>
          <w:sz w:val="24"/>
          <w:szCs w:val="24"/>
          <w:shd w:val="clear" w:color="auto" w:fill="FFFFFF"/>
        </w:rPr>
        <w:t>, </w:t>
      </w:r>
      <w:r w:rsidRPr="006B1976">
        <w:rPr>
          <w:rFonts w:ascii="Times New Roman" w:hAnsi="Times New Roman" w:cs="Times New Roman"/>
          <w:i/>
          <w:iCs/>
          <w:color w:val="222222"/>
          <w:sz w:val="24"/>
          <w:szCs w:val="24"/>
          <w:shd w:val="clear" w:color="auto" w:fill="FFFFFF"/>
        </w:rPr>
        <w:t>117</w:t>
      </w:r>
      <w:r w:rsidRPr="006B1976">
        <w:rPr>
          <w:rFonts w:ascii="Times New Roman" w:hAnsi="Times New Roman" w:cs="Times New Roman"/>
          <w:color w:val="222222"/>
          <w:sz w:val="24"/>
          <w:szCs w:val="24"/>
          <w:shd w:val="clear" w:color="auto" w:fill="FFFFFF"/>
        </w:rPr>
        <w:t>, p.105068.</w:t>
      </w:r>
    </w:p>
    <w:p w14:paraId="7E4F5624" w14:textId="77777777" w:rsidR="006B1976" w:rsidRPr="006B1976" w:rsidRDefault="006B1976" w:rsidP="004C47DB">
      <w:pPr>
        <w:spacing w:line="480" w:lineRule="auto"/>
        <w:ind w:left="720" w:hanging="720"/>
        <w:rPr>
          <w:rFonts w:ascii="Times New Roman" w:hAnsi="Times New Roman" w:cs="Times New Roman"/>
          <w:color w:val="222222"/>
          <w:sz w:val="24"/>
          <w:szCs w:val="24"/>
          <w:shd w:val="clear" w:color="auto" w:fill="FFFFFF"/>
        </w:rPr>
      </w:pPr>
      <w:r w:rsidRPr="006B1976">
        <w:rPr>
          <w:rFonts w:ascii="Times New Roman" w:hAnsi="Times New Roman" w:cs="Times New Roman"/>
          <w:color w:val="222222"/>
          <w:sz w:val="24"/>
          <w:szCs w:val="24"/>
          <w:shd w:val="clear" w:color="auto" w:fill="FFFFFF"/>
        </w:rPr>
        <w:t>Glasser, M., Kolvin, I., Campbell, D., Glasser, A., Leitch, I. and Farrelly, S., 2018. Cycle of child sexual abuse: Links between being a victim and becoming a perpetrator. </w:t>
      </w:r>
      <w:r w:rsidRPr="006B1976">
        <w:rPr>
          <w:rFonts w:ascii="Times New Roman" w:hAnsi="Times New Roman" w:cs="Times New Roman"/>
          <w:i/>
          <w:iCs/>
          <w:color w:val="222222"/>
          <w:sz w:val="24"/>
          <w:szCs w:val="24"/>
          <w:shd w:val="clear" w:color="auto" w:fill="FFFFFF"/>
        </w:rPr>
        <w:t>The British Journal of Psychiatry</w:t>
      </w:r>
      <w:r w:rsidRPr="006B1976">
        <w:rPr>
          <w:rFonts w:ascii="Times New Roman" w:hAnsi="Times New Roman" w:cs="Times New Roman"/>
          <w:color w:val="222222"/>
          <w:sz w:val="24"/>
          <w:szCs w:val="24"/>
          <w:shd w:val="clear" w:color="auto" w:fill="FFFFFF"/>
        </w:rPr>
        <w:t>, </w:t>
      </w:r>
      <w:r w:rsidRPr="006B1976">
        <w:rPr>
          <w:rFonts w:ascii="Times New Roman" w:hAnsi="Times New Roman" w:cs="Times New Roman"/>
          <w:i/>
          <w:iCs/>
          <w:color w:val="222222"/>
          <w:sz w:val="24"/>
          <w:szCs w:val="24"/>
          <w:shd w:val="clear" w:color="auto" w:fill="FFFFFF"/>
        </w:rPr>
        <w:t>179</w:t>
      </w:r>
      <w:r w:rsidRPr="006B1976">
        <w:rPr>
          <w:rFonts w:ascii="Times New Roman" w:hAnsi="Times New Roman" w:cs="Times New Roman"/>
          <w:color w:val="222222"/>
          <w:sz w:val="24"/>
          <w:szCs w:val="24"/>
          <w:shd w:val="clear" w:color="auto" w:fill="FFFFFF"/>
        </w:rPr>
        <w:t>(6), pp.482-494.</w:t>
      </w:r>
    </w:p>
    <w:p w14:paraId="44A8AD9F" w14:textId="77777777" w:rsidR="006B1976" w:rsidRPr="006B1976" w:rsidRDefault="006B1976" w:rsidP="00FF329D">
      <w:pPr>
        <w:pStyle w:val="NormalWeb"/>
        <w:spacing w:before="0" w:beforeAutospacing="0" w:after="0" w:afterAutospacing="0" w:line="480" w:lineRule="auto"/>
        <w:ind w:left="720" w:hanging="720"/>
      </w:pPr>
      <w:r w:rsidRPr="006B1976">
        <w:t>Gonzalez, J.</w:t>
      </w:r>
      <w:r w:rsidRPr="006B1976">
        <w:t>, (2014).</w:t>
      </w:r>
      <w:r w:rsidRPr="006B1976">
        <w:t xml:space="preserve"> “(PDF) Victim-Offender Overlap.” </w:t>
      </w:r>
      <w:r w:rsidRPr="006B1976">
        <w:rPr>
          <w:i/>
          <w:iCs/>
        </w:rPr>
        <w:t>ResearchGate</w:t>
      </w:r>
      <w:r w:rsidRPr="006B1976">
        <w:t xml:space="preserve">, </w:t>
      </w:r>
      <w:r w:rsidRPr="006B1976">
        <w:t xml:space="preserve">&lt;// </w:t>
      </w:r>
      <w:hyperlink r:id="rId11" w:history="1">
        <w:r w:rsidRPr="006B1976">
          <w:rPr>
            <w:rStyle w:val="Hyperlink"/>
          </w:rPr>
          <w:t>www.researchgate.net/publication/276028168_Victim-Offender_Overlap.</w:t>
        </w:r>
        <w:r w:rsidRPr="006B1976">
          <w:rPr>
            <w:rStyle w:val="Hyperlink"/>
          </w:rPr>
          <w:t>/</w:t>
        </w:r>
      </w:hyperlink>
      <w:r w:rsidRPr="006B1976">
        <w:t xml:space="preserve"> /&gt;</w:t>
      </w:r>
    </w:p>
    <w:p w14:paraId="1619810F" w14:textId="11130A35" w:rsidR="006B1976" w:rsidRPr="006B1976" w:rsidRDefault="006B1976" w:rsidP="004C47DB">
      <w:pPr>
        <w:pStyle w:val="NormalWeb"/>
        <w:spacing w:line="480" w:lineRule="auto"/>
        <w:ind w:left="720" w:hanging="720"/>
      </w:pPr>
      <w:r w:rsidRPr="006B1976">
        <w:t xml:space="preserve">Greater Manchester Safeguarding., (2023) </w:t>
      </w:r>
      <w:r w:rsidRPr="006B1976">
        <w:rPr>
          <w:i/>
          <w:iCs/>
        </w:rPr>
        <w:t>5.11.3 harmful sexual behaviours presented by children and young people</w:t>
      </w:r>
      <w:r w:rsidRPr="006B1976">
        <w:t xml:space="preserve">, </w:t>
      </w:r>
      <w:r w:rsidRPr="006B1976">
        <w:rPr>
          <w:i/>
          <w:iCs/>
        </w:rPr>
        <w:t>Greater Manchester Safeguarding</w:t>
      </w:r>
      <w:r w:rsidRPr="006B1976">
        <w:t>. Available at: https://greatermanchesterscb.proceduresonline.com/chapters/p_harm_sex.html (Accessed: 29 Nov</w:t>
      </w:r>
      <w:r w:rsidR="005A48FB">
        <w:t>.</w:t>
      </w:r>
      <w:r w:rsidRPr="006B1976">
        <w:t xml:space="preserve"> 2023). </w:t>
      </w:r>
    </w:p>
    <w:p w14:paraId="6B78DD2F" w14:textId="77777777" w:rsidR="006B1976" w:rsidRPr="006B1976" w:rsidRDefault="006B1976" w:rsidP="004C47DB">
      <w:pPr>
        <w:spacing w:line="480" w:lineRule="auto"/>
        <w:ind w:left="720" w:hanging="720"/>
        <w:rPr>
          <w:rFonts w:ascii="Times New Roman" w:hAnsi="Times New Roman" w:cs="Times New Roman"/>
          <w:color w:val="222222"/>
          <w:sz w:val="24"/>
          <w:szCs w:val="24"/>
          <w:shd w:val="clear" w:color="auto" w:fill="FFFFFF"/>
        </w:rPr>
      </w:pPr>
      <w:r w:rsidRPr="006B1976">
        <w:rPr>
          <w:rFonts w:ascii="Times New Roman" w:hAnsi="Times New Roman" w:cs="Times New Roman"/>
          <w:color w:val="222222"/>
          <w:sz w:val="24"/>
          <w:szCs w:val="24"/>
          <w:shd w:val="clear" w:color="auto" w:fill="FFFFFF"/>
        </w:rPr>
        <w:t>Henry, C., (2020). Designing effective digital advertisements to prevent online consumption of child sexual exploitation material. </w:t>
      </w:r>
      <w:r w:rsidRPr="006B1976">
        <w:rPr>
          <w:rFonts w:ascii="Times New Roman" w:hAnsi="Times New Roman" w:cs="Times New Roman"/>
          <w:i/>
          <w:iCs/>
          <w:color w:val="222222"/>
          <w:sz w:val="24"/>
          <w:szCs w:val="24"/>
          <w:shd w:val="clear" w:color="auto" w:fill="FFFFFF"/>
        </w:rPr>
        <w:t>Journal of child sexual abuse</w:t>
      </w:r>
      <w:r w:rsidRPr="006B1976">
        <w:rPr>
          <w:rFonts w:ascii="Times New Roman" w:hAnsi="Times New Roman" w:cs="Times New Roman"/>
          <w:color w:val="222222"/>
          <w:sz w:val="24"/>
          <w:szCs w:val="24"/>
          <w:shd w:val="clear" w:color="auto" w:fill="FFFFFF"/>
        </w:rPr>
        <w:t>, </w:t>
      </w:r>
      <w:r w:rsidRPr="006B1976">
        <w:rPr>
          <w:rFonts w:ascii="Times New Roman" w:hAnsi="Times New Roman" w:cs="Times New Roman"/>
          <w:i/>
          <w:iCs/>
          <w:color w:val="222222"/>
          <w:sz w:val="24"/>
          <w:szCs w:val="24"/>
          <w:shd w:val="clear" w:color="auto" w:fill="FFFFFF"/>
        </w:rPr>
        <w:t>29</w:t>
      </w:r>
      <w:r w:rsidRPr="006B1976">
        <w:rPr>
          <w:rFonts w:ascii="Times New Roman" w:hAnsi="Times New Roman" w:cs="Times New Roman"/>
          <w:color w:val="222222"/>
          <w:sz w:val="24"/>
          <w:szCs w:val="24"/>
          <w:shd w:val="clear" w:color="auto" w:fill="FFFFFF"/>
        </w:rPr>
        <w:t>(8), pp.877-899.</w:t>
      </w:r>
    </w:p>
    <w:p w14:paraId="16CA51E2" w14:textId="5C32405E" w:rsidR="006B1976" w:rsidRPr="006B1976" w:rsidRDefault="006B1976" w:rsidP="004C47DB">
      <w:pPr>
        <w:pStyle w:val="NormalWeb"/>
        <w:spacing w:line="480" w:lineRule="auto"/>
        <w:ind w:left="720" w:hanging="720"/>
      </w:pPr>
      <w:r w:rsidRPr="006B1976">
        <w:t xml:space="preserve">HM Government., (2021) </w:t>
      </w:r>
      <w:r w:rsidRPr="006B1976">
        <w:rPr>
          <w:i/>
          <w:iCs/>
        </w:rPr>
        <w:t xml:space="preserve">Tackling child sexual abuse strategy 2021 </w:t>
      </w:r>
      <w:r w:rsidRPr="006B1976">
        <w:t xml:space="preserve">, </w:t>
      </w:r>
      <w:r w:rsidRPr="006B1976">
        <w:rPr>
          <w:i/>
          <w:iCs/>
        </w:rPr>
        <w:t>GOV.UK</w:t>
      </w:r>
      <w:r w:rsidRPr="006B1976">
        <w:t>. Available at: https://assets.publishing.service.gov.uk/media/605c82328fa8f545dca2c643/Tackling_Child_Sexual_Abuse_Strategy_2021.pdf (Accessed: 29 Nov</w:t>
      </w:r>
      <w:r w:rsidR="005A48FB">
        <w:t xml:space="preserve">. </w:t>
      </w:r>
      <w:r w:rsidRPr="006B1976">
        <w:t xml:space="preserve">2023). </w:t>
      </w:r>
    </w:p>
    <w:p w14:paraId="6AB3FDAD" w14:textId="4B64D988" w:rsidR="006B1976" w:rsidRPr="006B1976" w:rsidRDefault="006B1976" w:rsidP="00F65BB0">
      <w:pPr>
        <w:pStyle w:val="NormalWeb"/>
        <w:spacing w:before="0" w:beforeAutospacing="0" w:after="0" w:afterAutospacing="0" w:line="480" w:lineRule="auto"/>
        <w:ind w:left="720" w:hanging="720"/>
      </w:pPr>
      <w:r w:rsidRPr="006B1976">
        <w:t>HM</w:t>
      </w:r>
      <w:r w:rsidRPr="006B1976">
        <w:t xml:space="preserve"> Government</w:t>
      </w:r>
      <w:r w:rsidRPr="006B1976">
        <w:t>.</w:t>
      </w:r>
      <w:r w:rsidRPr="006B1976">
        <w:t xml:space="preserve">, </w:t>
      </w:r>
      <w:r w:rsidRPr="006B1976">
        <w:t>(</w:t>
      </w:r>
      <w:r w:rsidRPr="006B1976">
        <w:t>2023</w:t>
      </w:r>
      <w:r w:rsidRPr="006B1976">
        <w:t>)</w:t>
      </w:r>
      <w:r w:rsidRPr="006B1976">
        <w:t xml:space="preserve">. </w:t>
      </w:r>
      <w:r w:rsidRPr="006B1976">
        <w:rPr>
          <w:i/>
          <w:iCs/>
        </w:rPr>
        <w:t>Disclosure and barring service</w:t>
      </w:r>
      <w:r w:rsidRPr="006B1976">
        <w:t xml:space="preserve">, </w:t>
      </w:r>
      <w:r w:rsidRPr="006B1976">
        <w:rPr>
          <w:i/>
          <w:iCs/>
        </w:rPr>
        <w:t>GOV.UK</w:t>
      </w:r>
      <w:r w:rsidRPr="006B1976">
        <w:t xml:space="preserve">. [Online]Available at: </w:t>
      </w:r>
      <w:r w:rsidRPr="006B1976">
        <w:t xml:space="preserve">&lt;// </w:t>
      </w:r>
      <w:hyperlink r:id="rId12" w:history="1">
        <w:r w:rsidRPr="006B1976">
          <w:rPr>
            <w:rStyle w:val="Hyperlink"/>
          </w:rPr>
          <w:t>https://www.gov.uk/government/organisations/disclosure-and-barring-service</w:t>
        </w:r>
        <w:r w:rsidRPr="006B1976">
          <w:rPr>
            <w:rStyle w:val="Hyperlink"/>
          </w:rPr>
          <w:t>/</w:t>
        </w:r>
      </w:hyperlink>
      <w:r w:rsidRPr="006B1976">
        <w:t xml:space="preserve"> /&gt;</w:t>
      </w:r>
      <w:r w:rsidRPr="006B1976">
        <w:t xml:space="preserve"> (Accessed: 29 Nov</w:t>
      </w:r>
      <w:r w:rsidR="0009656E">
        <w:t xml:space="preserve">. </w:t>
      </w:r>
      <w:r w:rsidRPr="006B1976">
        <w:t xml:space="preserve">2023). </w:t>
      </w:r>
    </w:p>
    <w:p w14:paraId="1617C6FE" w14:textId="74F47409" w:rsidR="006B1976" w:rsidRPr="006B1976" w:rsidRDefault="006B1976" w:rsidP="009E7773">
      <w:pPr>
        <w:pStyle w:val="NormalWeb"/>
        <w:spacing w:before="0" w:beforeAutospacing="0" w:after="0" w:afterAutospacing="0" w:line="480" w:lineRule="auto"/>
        <w:ind w:left="720" w:hanging="720"/>
      </w:pPr>
      <w:r w:rsidRPr="006B1976">
        <w:t>HM Inspectorate of Probation.</w:t>
      </w:r>
      <w:r w:rsidRPr="006B1976">
        <w:t>, (2023).</w:t>
      </w:r>
      <w:r w:rsidRPr="006B1976">
        <w:t xml:space="preserve"> “Enhanced Case Management.”</w:t>
      </w:r>
      <w:r w:rsidRPr="006B1976">
        <w:t xml:space="preserve"> [Online]. JUSTICEINSPECTORATES.GOV.UK. Available at:</w:t>
      </w:r>
      <w:r w:rsidRPr="006B1976">
        <w:rPr>
          <w:i/>
          <w:iCs/>
        </w:rPr>
        <w:t xml:space="preserve"> &lt;// </w:t>
      </w:r>
      <w:hyperlink r:id="rId13" w:history="1">
        <w:r w:rsidRPr="006B1976">
          <w:rPr>
            <w:rStyle w:val="Hyperlink"/>
          </w:rPr>
          <w:t>www.justiceinspectorates.gov.uk/hmiprobation/research/the-evidence-base-youth-offending-services/specific-types-of-delivery/enhanced-case-management/</w:t>
        </w:r>
        <w:r w:rsidRPr="006B1976">
          <w:rPr>
            <w:rStyle w:val="Hyperlink"/>
          </w:rPr>
          <w:t>/</w:t>
        </w:r>
      </w:hyperlink>
      <w:r w:rsidRPr="006B1976">
        <w:t xml:space="preserve"> &gt;</w:t>
      </w:r>
      <w:r w:rsidRPr="006B1976">
        <w:t xml:space="preserve">. </w:t>
      </w:r>
      <w:r w:rsidR="0009656E">
        <w:t>(</w:t>
      </w:r>
      <w:r w:rsidRPr="006B1976">
        <w:t>Accessed 12 Dec. 2023</w:t>
      </w:r>
      <w:r w:rsidR="0009656E">
        <w:t>)</w:t>
      </w:r>
      <w:r w:rsidRPr="006B1976">
        <w:t>.</w:t>
      </w:r>
    </w:p>
    <w:p w14:paraId="2939BC64" w14:textId="77777777" w:rsidR="006B1976" w:rsidRPr="006B1976" w:rsidRDefault="006B1976" w:rsidP="004C47DB">
      <w:pPr>
        <w:spacing w:line="480" w:lineRule="auto"/>
        <w:ind w:left="720" w:hanging="720"/>
        <w:rPr>
          <w:rFonts w:ascii="Times New Roman" w:hAnsi="Times New Roman" w:cs="Times New Roman"/>
          <w:color w:val="222222"/>
          <w:sz w:val="24"/>
          <w:szCs w:val="24"/>
          <w:shd w:val="clear" w:color="auto" w:fill="FFFFFF"/>
        </w:rPr>
      </w:pPr>
      <w:r w:rsidRPr="006B1976">
        <w:rPr>
          <w:rFonts w:ascii="Times New Roman" w:hAnsi="Times New Roman" w:cs="Times New Roman"/>
          <w:color w:val="222222"/>
          <w:sz w:val="24"/>
          <w:szCs w:val="24"/>
          <w:shd w:val="clear" w:color="auto" w:fill="FFFFFF"/>
        </w:rPr>
        <w:t>Hurcombe, R., Redmond, T., Rodger, H. and King, S., (2023). Institutional Responses to Child Sexual Abuse in Ethnic Minority Communities. In </w:t>
      </w:r>
      <w:r w:rsidRPr="006B1976">
        <w:rPr>
          <w:rFonts w:ascii="Times New Roman" w:hAnsi="Times New Roman" w:cs="Times New Roman"/>
          <w:i/>
          <w:iCs/>
          <w:color w:val="222222"/>
          <w:sz w:val="24"/>
          <w:szCs w:val="24"/>
          <w:shd w:val="clear" w:color="auto" w:fill="FFFFFF"/>
        </w:rPr>
        <w:t xml:space="preserve">Child Sexual Abuse in Black and </w:t>
      </w:r>
      <w:proofErr w:type="spellStart"/>
      <w:r w:rsidRPr="006B1976">
        <w:rPr>
          <w:rFonts w:ascii="Times New Roman" w:hAnsi="Times New Roman" w:cs="Times New Roman"/>
          <w:i/>
          <w:iCs/>
          <w:color w:val="222222"/>
          <w:sz w:val="24"/>
          <w:szCs w:val="24"/>
          <w:shd w:val="clear" w:color="auto" w:fill="FFFFFF"/>
        </w:rPr>
        <w:t>Minoritised</w:t>
      </w:r>
      <w:proofErr w:type="spellEnd"/>
      <w:r w:rsidRPr="006B1976">
        <w:rPr>
          <w:rFonts w:ascii="Times New Roman" w:hAnsi="Times New Roman" w:cs="Times New Roman"/>
          <w:i/>
          <w:iCs/>
          <w:color w:val="222222"/>
          <w:sz w:val="24"/>
          <w:szCs w:val="24"/>
          <w:shd w:val="clear" w:color="auto" w:fill="FFFFFF"/>
        </w:rPr>
        <w:t xml:space="preserve"> Communities: Improving Legal, Policy and Practical Responses</w:t>
      </w:r>
      <w:r w:rsidRPr="006B1976">
        <w:rPr>
          <w:rFonts w:ascii="Times New Roman" w:hAnsi="Times New Roman" w:cs="Times New Roman"/>
          <w:color w:val="222222"/>
          <w:sz w:val="24"/>
          <w:szCs w:val="24"/>
          <w:shd w:val="clear" w:color="auto" w:fill="FFFFFF"/>
        </w:rPr>
        <w:t> (pp. 217-248). Cham: Springer International Publishing.</w:t>
      </w:r>
    </w:p>
    <w:p w14:paraId="26FD120F" w14:textId="47D7BA9C" w:rsidR="006B1976" w:rsidRPr="006B1976" w:rsidRDefault="006B1976" w:rsidP="004C47DB">
      <w:pPr>
        <w:pStyle w:val="NormalWeb"/>
        <w:spacing w:line="480" w:lineRule="auto"/>
        <w:ind w:left="720" w:hanging="720"/>
      </w:pPr>
      <w:r w:rsidRPr="006B1976">
        <w:t xml:space="preserve">Independent Inquiry into Child Sexual Abuse., (2018a) </w:t>
      </w:r>
      <w:r w:rsidRPr="006B1976">
        <w:rPr>
          <w:i/>
          <w:iCs/>
        </w:rPr>
        <w:t>3.2 the effects of child sexual abuse</w:t>
      </w:r>
      <w:r w:rsidRPr="006B1976">
        <w:t xml:space="preserve">, </w:t>
      </w:r>
      <w:r w:rsidRPr="006B1976">
        <w:rPr>
          <w:i/>
          <w:iCs/>
        </w:rPr>
        <w:t>IICSA</w:t>
      </w:r>
      <w:r w:rsidRPr="006B1976">
        <w:t>. Available at: https://www.iicsa.org.uk/reports-recommendations/publications/inquiry/interim/nature-effects-child-sexual-abuse/effects-child-sexual-abuse.html (Accessed: 29 Nov</w:t>
      </w:r>
      <w:r w:rsidR="0009656E">
        <w:t>.</w:t>
      </w:r>
      <w:r w:rsidRPr="006B1976">
        <w:t xml:space="preserve"> 2023). </w:t>
      </w:r>
    </w:p>
    <w:p w14:paraId="55AA9919" w14:textId="25EDFDC1" w:rsidR="006B1976" w:rsidRPr="006B1976" w:rsidRDefault="006B1976" w:rsidP="004C47DB">
      <w:pPr>
        <w:pStyle w:val="NormalWeb"/>
        <w:spacing w:line="480" w:lineRule="auto"/>
        <w:ind w:left="720" w:hanging="720"/>
      </w:pPr>
      <w:r w:rsidRPr="006B1976">
        <w:t xml:space="preserve">Independent Inquiry into Child Sexual Abuse., (2022b) </w:t>
      </w:r>
      <w:r w:rsidRPr="006B1976">
        <w:rPr>
          <w:i/>
          <w:iCs/>
        </w:rPr>
        <w:t>The Report of the Independent Inquiry into Child Sexual Abuse</w:t>
      </w:r>
      <w:r w:rsidRPr="006B1976">
        <w:t xml:space="preserve">, </w:t>
      </w:r>
      <w:r w:rsidRPr="006B1976">
        <w:rPr>
          <w:i/>
          <w:iCs/>
        </w:rPr>
        <w:t>IICSA</w:t>
      </w:r>
      <w:r w:rsidRPr="006B1976">
        <w:t>. Available at: https://www.iicsa.org.uk/reports-recommendations/publications/inquiry/final-report/executive-summary.html (Accessed: 29 Nov</w:t>
      </w:r>
      <w:r w:rsidR="0009656E">
        <w:t>.</w:t>
      </w:r>
      <w:r w:rsidRPr="006B1976">
        <w:t xml:space="preserve"> 2023). </w:t>
      </w:r>
    </w:p>
    <w:p w14:paraId="0CC03125" w14:textId="5CE19520" w:rsidR="006B1976" w:rsidRPr="006B1976" w:rsidRDefault="006B1976" w:rsidP="004C47DB">
      <w:pPr>
        <w:pStyle w:val="NormalWeb"/>
        <w:spacing w:line="480" w:lineRule="auto"/>
        <w:ind w:left="720" w:hanging="720"/>
      </w:pPr>
      <w:r w:rsidRPr="006B1976">
        <w:t xml:space="preserve">International Justice Mission., (2020) </w:t>
      </w:r>
      <w:r w:rsidRPr="006B1976">
        <w:rPr>
          <w:i/>
          <w:iCs/>
        </w:rPr>
        <w:t>Falling short, IJM Report on UK sentencing for online sexual exploitation of children</w:t>
      </w:r>
      <w:r w:rsidRPr="006B1976">
        <w:t xml:space="preserve">, </w:t>
      </w:r>
      <w:r w:rsidRPr="006B1976">
        <w:rPr>
          <w:i/>
          <w:iCs/>
        </w:rPr>
        <w:t>IJM</w:t>
      </w:r>
      <w:r w:rsidRPr="006B1976">
        <w:t>. Available at: https://www.ijmuk.org/falling-short (Accessed: 29 Nov</w:t>
      </w:r>
      <w:r w:rsidR="0009656E">
        <w:t xml:space="preserve">. </w:t>
      </w:r>
      <w:r w:rsidRPr="006B1976">
        <w:t xml:space="preserve">2023). </w:t>
      </w:r>
    </w:p>
    <w:p w14:paraId="442A22D8" w14:textId="77777777" w:rsidR="006B1976" w:rsidRPr="006B1976" w:rsidRDefault="006B1976" w:rsidP="004C47DB">
      <w:pPr>
        <w:spacing w:line="480" w:lineRule="auto"/>
        <w:ind w:left="720" w:hanging="720"/>
        <w:rPr>
          <w:rFonts w:ascii="Times New Roman" w:hAnsi="Times New Roman" w:cs="Times New Roman"/>
          <w:color w:val="222222"/>
          <w:sz w:val="24"/>
          <w:szCs w:val="24"/>
          <w:shd w:val="clear" w:color="auto" w:fill="FFFFFF"/>
        </w:rPr>
      </w:pPr>
      <w:r w:rsidRPr="006B1976">
        <w:rPr>
          <w:rFonts w:ascii="Times New Roman" w:hAnsi="Times New Roman" w:cs="Times New Roman"/>
          <w:color w:val="222222"/>
          <w:sz w:val="24"/>
          <w:szCs w:val="24"/>
          <w:shd w:val="clear" w:color="auto" w:fill="FFFFFF"/>
        </w:rPr>
        <w:t>Killean, R., McAlinden, A.M. and Dowds, E., (2022). Sexual violence in the digital age: Replicating and augmenting harm, victimhood and blame. </w:t>
      </w:r>
      <w:r w:rsidRPr="006B1976">
        <w:rPr>
          <w:rFonts w:ascii="Times New Roman" w:hAnsi="Times New Roman" w:cs="Times New Roman"/>
          <w:i/>
          <w:iCs/>
          <w:color w:val="222222"/>
          <w:sz w:val="24"/>
          <w:szCs w:val="24"/>
          <w:shd w:val="clear" w:color="auto" w:fill="FFFFFF"/>
        </w:rPr>
        <w:t>Social &amp; Legal Studies</w:t>
      </w:r>
      <w:r w:rsidRPr="006B1976">
        <w:rPr>
          <w:rFonts w:ascii="Times New Roman" w:hAnsi="Times New Roman" w:cs="Times New Roman"/>
          <w:color w:val="222222"/>
          <w:sz w:val="24"/>
          <w:szCs w:val="24"/>
          <w:shd w:val="clear" w:color="auto" w:fill="FFFFFF"/>
        </w:rPr>
        <w:t>, </w:t>
      </w:r>
      <w:r w:rsidRPr="006B1976">
        <w:rPr>
          <w:rFonts w:ascii="Times New Roman" w:hAnsi="Times New Roman" w:cs="Times New Roman"/>
          <w:i/>
          <w:iCs/>
          <w:color w:val="222222"/>
          <w:sz w:val="24"/>
          <w:szCs w:val="24"/>
          <w:shd w:val="clear" w:color="auto" w:fill="FFFFFF"/>
        </w:rPr>
        <w:t>31</w:t>
      </w:r>
      <w:r w:rsidRPr="006B1976">
        <w:rPr>
          <w:rFonts w:ascii="Times New Roman" w:hAnsi="Times New Roman" w:cs="Times New Roman"/>
          <w:color w:val="222222"/>
          <w:sz w:val="24"/>
          <w:szCs w:val="24"/>
          <w:shd w:val="clear" w:color="auto" w:fill="FFFFFF"/>
        </w:rPr>
        <w:t>(6), pp.871-892.</w:t>
      </w:r>
    </w:p>
    <w:p w14:paraId="1F87A079" w14:textId="77777777" w:rsidR="006B1976" w:rsidRPr="006B1976" w:rsidRDefault="006B1976" w:rsidP="00E82401">
      <w:pPr>
        <w:pStyle w:val="NormalWeb"/>
        <w:spacing w:before="0" w:beforeAutospacing="0" w:after="0" w:afterAutospacing="0" w:line="480" w:lineRule="auto"/>
        <w:ind w:left="720" w:hanging="720"/>
      </w:pPr>
      <w:r w:rsidRPr="006B1976">
        <w:t>Kloess, Juliane A., et al.</w:t>
      </w:r>
      <w:r w:rsidRPr="006B1976">
        <w:t>, (2014).</w:t>
      </w:r>
      <w:r w:rsidRPr="006B1976">
        <w:t xml:space="preserve"> “Online Child Sexual Exploitation: Prevalence, Process, and Offender Characteristics.” </w:t>
      </w:r>
      <w:r w:rsidRPr="006B1976">
        <w:rPr>
          <w:i/>
          <w:iCs/>
        </w:rPr>
        <w:t>Trauma, Violence &amp; Abuse</w:t>
      </w:r>
      <w:r w:rsidRPr="006B1976">
        <w:t>, vol. 15, no. 2, 2014, pp. 126–140, www.jstor.org/stable/26638341.</w:t>
      </w:r>
    </w:p>
    <w:p w14:paraId="3123F9EE" w14:textId="76912024" w:rsidR="006B1976" w:rsidRPr="006B1976" w:rsidRDefault="006B1976" w:rsidP="004C47DB">
      <w:pPr>
        <w:pStyle w:val="NormalWeb"/>
        <w:spacing w:line="480" w:lineRule="auto"/>
        <w:ind w:left="720" w:hanging="720"/>
      </w:pPr>
      <w:r w:rsidRPr="006B1976">
        <w:t>Local Government Association., (2019)</w:t>
      </w:r>
      <w:r w:rsidR="00C2444D">
        <w:t>.</w:t>
      </w:r>
      <w:r w:rsidRPr="006B1976">
        <w:t xml:space="preserve"> </w:t>
      </w:r>
      <w:r w:rsidRPr="006B1976">
        <w:rPr>
          <w:i/>
          <w:iCs/>
        </w:rPr>
        <w:t>Tackling Child Sexual Exploitation - Local Government Association</w:t>
      </w:r>
      <w:r w:rsidRPr="006B1976">
        <w:t xml:space="preserve">. Available at: </w:t>
      </w:r>
      <w:r w:rsidR="00C2444D">
        <w:t xml:space="preserve">&lt;// </w:t>
      </w:r>
      <w:hyperlink r:id="rId14" w:history="1">
        <w:r w:rsidR="00C2444D" w:rsidRPr="003D7C7B">
          <w:rPr>
            <w:rStyle w:val="Hyperlink"/>
          </w:rPr>
          <w:t>https://www.local.gov.uk/sites/default/files/documents/tackling-child-sexual-exp-8d3.pdf/</w:t>
        </w:r>
      </w:hyperlink>
      <w:r w:rsidR="00C2444D">
        <w:t xml:space="preserve"> /&gt;</w:t>
      </w:r>
      <w:r w:rsidRPr="006B1976">
        <w:t xml:space="preserve"> (Accessed: 29 Nov</w:t>
      </w:r>
      <w:r w:rsidR="00C2444D">
        <w:t xml:space="preserve">. </w:t>
      </w:r>
      <w:r w:rsidRPr="006B1976">
        <w:t xml:space="preserve">2023). </w:t>
      </w:r>
    </w:p>
    <w:p w14:paraId="4C37ED3C" w14:textId="77777777" w:rsidR="006B1976" w:rsidRPr="006B1976" w:rsidRDefault="006B1976" w:rsidP="00FF6C5A">
      <w:pPr>
        <w:rPr>
          <w:rFonts w:ascii="Times New Roman" w:hAnsi="Times New Roman" w:cs="Times New Roman"/>
          <w:color w:val="3A3A3A"/>
          <w:sz w:val="24"/>
          <w:szCs w:val="24"/>
          <w:shd w:val="clear" w:color="auto" w:fill="FFFFFF"/>
        </w:rPr>
      </w:pPr>
      <w:proofErr w:type="spellStart"/>
      <w:r w:rsidRPr="006B1976">
        <w:rPr>
          <w:rFonts w:ascii="Times New Roman" w:hAnsi="Times New Roman" w:cs="Times New Roman"/>
          <w:color w:val="3A3A3A"/>
          <w:sz w:val="24"/>
          <w:szCs w:val="24"/>
          <w:shd w:val="clear" w:color="auto" w:fill="FFFFFF"/>
        </w:rPr>
        <w:t>Megele</w:t>
      </w:r>
      <w:proofErr w:type="spellEnd"/>
      <w:r w:rsidRPr="006B1976">
        <w:rPr>
          <w:rFonts w:ascii="Times New Roman" w:hAnsi="Times New Roman" w:cs="Times New Roman"/>
          <w:color w:val="3A3A3A"/>
          <w:sz w:val="24"/>
          <w:szCs w:val="24"/>
          <w:shd w:val="clear" w:color="auto" w:fill="FFFFFF"/>
        </w:rPr>
        <w:t>, C.</w:t>
      </w:r>
      <w:r w:rsidRPr="006B1976">
        <w:rPr>
          <w:rFonts w:ascii="Times New Roman" w:hAnsi="Times New Roman" w:cs="Times New Roman"/>
          <w:color w:val="3A3A3A"/>
          <w:sz w:val="24"/>
          <w:szCs w:val="24"/>
          <w:shd w:val="clear" w:color="auto" w:fill="FFFFFF"/>
        </w:rPr>
        <w:t>,</w:t>
      </w:r>
      <w:r w:rsidRPr="006B1976">
        <w:rPr>
          <w:rFonts w:ascii="Times New Roman" w:hAnsi="Times New Roman" w:cs="Times New Roman"/>
          <w:color w:val="3A3A3A"/>
          <w:sz w:val="24"/>
          <w:szCs w:val="24"/>
          <w:shd w:val="clear" w:color="auto" w:fill="FFFFFF"/>
        </w:rPr>
        <w:t xml:space="preserve"> (2018)</w:t>
      </w:r>
      <w:r w:rsidRPr="006B1976">
        <w:rPr>
          <w:rFonts w:ascii="Times New Roman" w:hAnsi="Times New Roman" w:cs="Times New Roman"/>
          <w:color w:val="3A3A3A"/>
          <w:sz w:val="24"/>
          <w:szCs w:val="24"/>
          <w:shd w:val="clear" w:color="auto" w:fill="FFFFFF"/>
        </w:rPr>
        <w:t>.</w:t>
      </w:r>
      <w:r w:rsidRPr="006B1976">
        <w:rPr>
          <w:rFonts w:ascii="Times New Roman" w:hAnsi="Times New Roman" w:cs="Times New Roman"/>
          <w:color w:val="3A3A3A"/>
          <w:sz w:val="24"/>
          <w:szCs w:val="24"/>
          <w:shd w:val="clear" w:color="auto" w:fill="FFFFFF"/>
        </w:rPr>
        <w:t> </w:t>
      </w:r>
      <w:r w:rsidRPr="006B1976">
        <w:rPr>
          <w:rFonts w:ascii="Times New Roman" w:hAnsi="Times New Roman" w:cs="Times New Roman"/>
          <w:i/>
          <w:iCs/>
          <w:color w:val="3A3A3A"/>
          <w:sz w:val="24"/>
          <w:szCs w:val="24"/>
          <w:shd w:val="clear" w:color="auto" w:fill="FFFFFF"/>
        </w:rPr>
        <w:t>Safeguarding children and young people online : a guide for social workers</w:t>
      </w:r>
      <w:r w:rsidRPr="006B1976">
        <w:rPr>
          <w:rFonts w:ascii="Times New Roman" w:hAnsi="Times New Roman" w:cs="Times New Roman"/>
          <w:color w:val="3A3A3A"/>
          <w:sz w:val="24"/>
          <w:szCs w:val="24"/>
          <w:shd w:val="clear" w:color="auto" w:fill="FFFFFF"/>
        </w:rPr>
        <w:t xml:space="preserve">. Bristol: Policy Press. Available at: &lt;// </w:t>
      </w:r>
      <w:hyperlink r:id="rId15" w:history="1">
        <w:r w:rsidRPr="006B1976">
          <w:rPr>
            <w:rStyle w:val="Hyperlink"/>
            <w:rFonts w:ascii="Times New Roman" w:hAnsi="Times New Roman" w:cs="Times New Roman"/>
            <w:sz w:val="24"/>
            <w:szCs w:val="24"/>
            <w:shd w:val="clear" w:color="auto" w:fill="FFFFFF"/>
          </w:rPr>
          <w:t>https://doi.org/10.56687/9781447331834.//</w:t>
        </w:r>
      </w:hyperlink>
      <w:r w:rsidRPr="006B1976">
        <w:rPr>
          <w:rFonts w:ascii="Times New Roman" w:hAnsi="Times New Roman" w:cs="Times New Roman"/>
          <w:color w:val="3A3A3A"/>
          <w:sz w:val="24"/>
          <w:szCs w:val="24"/>
          <w:shd w:val="clear" w:color="auto" w:fill="FFFFFF"/>
        </w:rPr>
        <w:t xml:space="preserve"> &gt;</w:t>
      </w:r>
    </w:p>
    <w:p w14:paraId="18950578" w14:textId="15E7BED0" w:rsidR="006B1976" w:rsidRPr="006B1976" w:rsidRDefault="006B1976" w:rsidP="004C47DB">
      <w:pPr>
        <w:pStyle w:val="NormalWeb"/>
        <w:spacing w:line="480" w:lineRule="auto"/>
        <w:ind w:left="720" w:hanging="720"/>
      </w:pPr>
      <w:r w:rsidRPr="006B1976">
        <w:t>National Society for the Prevention of Cruelty to Children., (2021)</w:t>
      </w:r>
      <w:r w:rsidR="00C2444D">
        <w:t>.</w:t>
      </w:r>
      <w:r w:rsidRPr="006B1976">
        <w:t xml:space="preserve"> </w:t>
      </w:r>
      <w:r w:rsidRPr="006B1976">
        <w:rPr>
          <w:i/>
          <w:iCs/>
        </w:rPr>
        <w:t>Statistics on child sexual abuse</w:t>
      </w:r>
      <w:r w:rsidRPr="006B1976">
        <w:t xml:space="preserve">, </w:t>
      </w:r>
      <w:r w:rsidRPr="006B1976">
        <w:rPr>
          <w:i/>
          <w:iCs/>
        </w:rPr>
        <w:t>NSPCC Learning</w:t>
      </w:r>
      <w:r w:rsidRPr="006B1976">
        <w:t xml:space="preserve">. Available at: &lt;// </w:t>
      </w:r>
      <w:hyperlink r:id="rId16" w:anchor=":~:text=Findings%20from%20the%20data&amp;text=Over%20a%20third%20of%20all,abused%20by%20someone%20they%20knew//" w:history="1">
        <w:r w:rsidRPr="006B1976">
          <w:rPr>
            <w:rStyle w:val="Hyperlink"/>
          </w:rPr>
          <w:t>https://learning.nspcc.org.uk/research-resources/statistics-briefings/child-sexual-abuse#:~:text=Findings%20from%20the%20data&amp;text=Over%20a%20third%20of%20all,abused%20by%20someone%20they%20knew//</w:t>
        </w:r>
      </w:hyperlink>
      <w:r w:rsidRPr="006B1976">
        <w:t xml:space="preserve"> &gt; (Accessed: 30 Nov</w:t>
      </w:r>
      <w:r w:rsidR="00C2444D">
        <w:t xml:space="preserve">. </w:t>
      </w:r>
      <w:r w:rsidRPr="006B1976">
        <w:t xml:space="preserve"> 2023). </w:t>
      </w:r>
    </w:p>
    <w:p w14:paraId="27FF8AF0" w14:textId="5FE95ED0" w:rsidR="006B1976" w:rsidRPr="006B1976" w:rsidRDefault="006B1976" w:rsidP="004C47DB">
      <w:pPr>
        <w:pStyle w:val="NormalWeb"/>
        <w:spacing w:line="480" w:lineRule="auto"/>
        <w:ind w:left="720" w:hanging="720"/>
      </w:pPr>
      <w:proofErr w:type="spellStart"/>
      <w:r w:rsidRPr="006B1976">
        <w:t>niDirect</w:t>
      </w:r>
      <w:proofErr w:type="spellEnd"/>
      <w:r w:rsidRPr="006B1976">
        <w:t xml:space="preserve">., (2022) </w:t>
      </w:r>
      <w:r w:rsidRPr="006B1976">
        <w:rPr>
          <w:i/>
          <w:iCs/>
        </w:rPr>
        <w:t>Disclosure and barring – protecting children and vulnerable adults</w:t>
      </w:r>
      <w:r w:rsidRPr="006B1976">
        <w:t xml:space="preserve">, </w:t>
      </w:r>
      <w:proofErr w:type="spellStart"/>
      <w:r w:rsidRPr="006B1976">
        <w:rPr>
          <w:i/>
          <w:iCs/>
        </w:rPr>
        <w:t>nidirect</w:t>
      </w:r>
      <w:proofErr w:type="spellEnd"/>
      <w:r w:rsidRPr="006B1976">
        <w:t xml:space="preserve">. Available at: </w:t>
      </w:r>
      <w:r w:rsidR="008E2242">
        <w:t>&lt;//</w:t>
      </w:r>
      <w:r w:rsidR="00BD3432">
        <w:t xml:space="preserve"> </w:t>
      </w:r>
      <w:hyperlink r:id="rId17" w:history="1">
        <w:r w:rsidR="00BD3432" w:rsidRPr="003D7C7B">
          <w:rPr>
            <w:rStyle w:val="Hyperlink"/>
          </w:rPr>
          <w:t>https://www.nidirect.gov.uk/articles/disclosure-and-barring-protecting-children-and-vulnerable-adults//</w:t>
        </w:r>
      </w:hyperlink>
      <w:r w:rsidR="00BD3432">
        <w:t xml:space="preserve"> </w:t>
      </w:r>
      <w:r w:rsidR="008E2242">
        <w:t>&gt;</w:t>
      </w:r>
      <w:r w:rsidRPr="006B1976">
        <w:t xml:space="preserve"> (Accessed: 29 Nov</w:t>
      </w:r>
      <w:r w:rsidR="00C2444D">
        <w:t>.</w:t>
      </w:r>
      <w:r w:rsidRPr="006B1976">
        <w:t xml:space="preserve"> 2023). </w:t>
      </w:r>
    </w:p>
    <w:p w14:paraId="1181D176" w14:textId="77777777" w:rsidR="006B1976" w:rsidRPr="006B1976" w:rsidRDefault="006B1976" w:rsidP="00DE738C">
      <w:pPr>
        <w:pStyle w:val="NormalWeb"/>
        <w:spacing w:before="0" w:beforeAutospacing="0" w:after="0" w:afterAutospacing="0" w:line="480" w:lineRule="auto"/>
        <w:ind w:left="720" w:hanging="720"/>
      </w:pPr>
      <w:r w:rsidRPr="006B1976">
        <w:t xml:space="preserve">NSPCC., (2019). </w:t>
      </w:r>
      <w:r w:rsidRPr="006B1976">
        <w:t xml:space="preserve"> “Protecting Children from Sexual Exploitation | NSPCC Learning.” </w:t>
      </w:r>
      <w:r w:rsidRPr="006B1976">
        <w:rPr>
          <w:i/>
          <w:iCs/>
        </w:rPr>
        <w:t xml:space="preserve">Available at: &lt;//  </w:t>
      </w:r>
      <w:hyperlink r:id="rId18" w:history="1">
        <w:r w:rsidRPr="006B1976">
          <w:rPr>
            <w:rStyle w:val="Hyperlink"/>
            <w:i/>
            <w:iCs/>
          </w:rPr>
          <w:t>http://l</w:t>
        </w:r>
        <w:r w:rsidRPr="006B1976">
          <w:rPr>
            <w:rStyle w:val="Hyperlink"/>
          </w:rPr>
          <w:t>earning.nspcc.org.uk/child-abuse-and-neglect/child-sexual-exploitation/</w:t>
        </w:r>
        <w:r w:rsidRPr="006B1976">
          <w:rPr>
            <w:rStyle w:val="Hyperlink"/>
          </w:rPr>
          <w:t>/</w:t>
        </w:r>
      </w:hyperlink>
      <w:r w:rsidRPr="006B1976">
        <w:t xml:space="preserve"> &gt;</w:t>
      </w:r>
      <w:r w:rsidRPr="006B1976">
        <w:t xml:space="preserve">. </w:t>
      </w:r>
      <w:r w:rsidRPr="006B1976">
        <w:t>(</w:t>
      </w:r>
      <w:r w:rsidRPr="006B1976">
        <w:t xml:space="preserve">Accessed </w:t>
      </w:r>
      <w:r w:rsidRPr="006B1976">
        <w:t>9 Dec. 2023).</w:t>
      </w:r>
    </w:p>
    <w:p w14:paraId="3C4D5F27" w14:textId="77777777" w:rsidR="006B1976" w:rsidRPr="007002AE" w:rsidRDefault="006B1976" w:rsidP="007002AE">
      <w:pPr>
        <w:rPr>
          <w:rFonts w:ascii="Times New Roman" w:hAnsi="Times New Roman" w:cs="Times New Roman"/>
          <w:sz w:val="24"/>
          <w:szCs w:val="24"/>
        </w:rPr>
      </w:pPr>
      <w:r w:rsidRPr="006B1976">
        <w:rPr>
          <w:rFonts w:ascii="Times New Roman" w:hAnsi="Times New Roman" w:cs="Times New Roman"/>
          <w:sz w:val="24"/>
          <w:szCs w:val="24"/>
        </w:rPr>
        <w:t>NSPCC., (2022)</w:t>
      </w:r>
      <w:r w:rsidRPr="007002AE">
        <w:rPr>
          <w:rFonts w:ascii="Times New Roman" w:hAnsi="Times New Roman" w:cs="Times New Roman"/>
          <w:sz w:val="24"/>
          <w:szCs w:val="24"/>
        </w:rPr>
        <w:t xml:space="preserve">. “Online Grooming Crimes Have Risen by More than 80% in Four Years.”, </w:t>
      </w:r>
      <w:r w:rsidRPr="006B1976">
        <w:rPr>
          <w:rFonts w:ascii="Times New Roman" w:hAnsi="Times New Roman" w:cs="Times New Roman"/>
          <w:sz w:val="24"/>
          <w:szCs w:val="24"/>
        </w:rPr>
        <w:t xml:space="preserve">Available at: &lt;// </w:t>
      </w:r>
      <w:hyperlink r:id="rId19" w:history="1">
        <w:r w:rsidRPr="007002AE">
          <w:rPr>
            <w:rStyle w:val="Hyperlink"/>
            <w:rFonts w:ascii="Times New Roman" w:hAnsi="Times New Roman" w:cs="Times New Roman"/>
            <w:sz w:val="24"/>
            <w:szCs w:val="24"/>
          </w:rPr>
          <w:t>www.nspcc.org.uk/about-us/news-opinion/2022/online-grooming-crimes-rise/.</w:t>
        </w:r>
        <w:r w:rsidRPr="006B1976">
          <w:rPr>
            <w:rStyle w:val="Hyperlink"/>
            <w:rFonts w:ascii="Times New Roman" w:hAnsi="Times New Roman" w:cs="Times New Roman"/>
            <w:sz w:val="24"/>
            <w:szCs w:val="24"/>
          </w:rPr>
          <w:t>//</w:t>
        </w:r>
      </w:hyperlink>
      <w:r w:rsidRPr="006B1976">
        <w:rPr>
          <w:rFonts w:ascii="Times New Roman" w:hAnsi="Times New Roman" w:cs="Times New Roman"/>
          <w:sz w:val="24"/>
          <w:szCs w:val="24"/>
        </w:rPr>
        <w:t xml:space="preserve"> &gt;</w:t>
      </w:r>
      <w:r w:rsidRPr="007002AE">
        <w:rPr>
          <w:rFonts w:ascii="Times New Roman" w:hAnsi="Times New Roman" w:cs="Times New Roman"/>
          <w:sz w:val="24"/>
          <w:szCs w:val="24"/>
        </w:rPr>
        <w:t xml:space="preserve"> </w:t>
      </w:r>
      <w:r w:rsidRPr="006B1976">
        <w:rPr>
          <w:rFonts w:ascii="Times New Roman" w:hAnsi="Times New Roman" w:cs="Times New Roman"/>
          <w:sz w:val="24"/>
          <w:szCs w:val="24"/>
        </w:rPr>
        <w:t>(</w:t>
      </w:r>
      <w:r w:rsidRPr="007002AE">
        <w:rPr>
          <w:rFonts w:ascii="Times New Roman" w:hAnsi="Times New Roman" w:cs="Times New Roman"/>
          <w:sz w:val="24"/>
          <w:szCs w:val="24"/>
        </w:rPr>
        <w:t>Accessed 9 Dec. 2023</w:t>
      </w:r>
      <w:r w:rsidRPr="006B1976">
        <w:rPr>
          <w:rFonts w:ascii="Times New Roman" w:hAnsi="Times New Roman" w:cs="Times New Roman"/>
          <w:sz w:val="24"/>
          <w:szCs w:val="24"/>
        </w:rPr>
        <w:t>)</w:t>
      </w:r>
      <w:r w:rsidRPr="007002AE">
        <w:rPr>
          <w:rFonts w:ascii="Times New Roman" w:hAnsi="Times New Roman" w:cs="Times New Roman"/>
          <w:sz w:val="24"/>
          <w:szCs w:val="24"/>
        </w:rPr>
        <w:t>.</w:t>
      </w:r>
    </w:p>
    <w:p w14:paraId="7F483959" w14:textId="79626877" w:rsidR="006B1976" w:rsidRPr="006B1976" w:rsidRDefault="006B1976" w:rsidP="004C47DB">
      <w:pPr>
        <w:pStyle w:val="NormalWeb"/>
        <w:spacing w:line="480" w:lineRule="auto"/>
        <w:ind w:left="720" w:hanging="720"/>
      </w:pPr>
      <w:r w:rsidRPr="006B1976">
        <w:t xml:space="preserve">O’Keeffe, J., (2023) </w:t>
      </w:r>
      <w:r w:rsidRPr="006B1976">
        <w:rPr>
          <w:i/>
          <w:iCs/>
        </w:rPr>
        <w:t>Here’s how parents can support a child who has experienced sexual abuse trauma | Jane O’Keeffe</w:t>
      </w:r>
      <w:r w:rsidRPr="006B1976">
        <w:t xml:space="preserve">, </w:t>
      </w:r>
      <w:r w:rsidRPr="006B1976">
        <w:rPr>
          <w:i/>
          <w:iCs/>
        </w:rPr>
        <w:t>The Guardian</w:t>
      </w:r>
      <w:r w:rsidRPr="006B1976">
        <w:t xml:space="preserve">. Available at: </w:t>
      </w:r>
      <w:r w:rsidR="00BD3432">
        <w:t xml:space="preserve">&lt;// </w:t>
      </w:r>
      <w:hyperlink r:id="rId20" w:history="1">
        <w:r w:rsidR="00BD3432" w:rsidRPr="003D7C7B">
          <w:rPr>
            <w:rStyle w:val="Hyperlink"/>
          </w:rPr>
          <w:t>https://www.theguardian.com/commentisfree/2023/aug/03/how-parents-carers-can-support-children-a-child-who-has-experienced-sexual-abuse-trauma#:~:text=Children%20who%20have%20experienced%20sexual,it%20wasn’t%20their%20fault.//</w:t>
        </w:r>
      </w:hyperlink>
      <w:r w:rsidR="00BD3432">
        <w:t xml:space="preserve"> &gt;</w:t>
      </w:r>
      <w:r w:rsidRPr="006B1976">
        <w:t xml:space="preserve"> (Accessed: 29 Nov</w:t>
      </w:r>
      <w:r w:rsidR="00C2444D">
        <w:t>.</w:t>
      </w:r>
      <w:r w:rsidRPr="006B1976">
        <w:t xml:space="preserve"> 2023). </w:t>
      </w:r>
    </w:p>
    <w:p w14:paraId="10CD17E7" w14:textId="77777777" w:rsidR="006B1976" w:rsidRPr="006B1976" w:rsidRDefault="006B1976" w:rsidP="004C47DB">
      <w:pPr>
        <w:spacing w:line="480" w:lineRule="auto"/>
        <w:ind w:left="720" w:hanging="720"/>
        <w:rPr>
          <w:rFonts w:ascii="Times New Roman" w:hAnsi="Times New Roman" w:cs="Times New Roman"/>
          <w:color w:val="222222"/>
          <w:sz w:val="24"/>
          <w:szCs w:val="24"/>
          <w:shd w:val="clear" w:color="auto" w:fill="FFFFFF"/>
        </w:rPr>
      </w:pPr>
      <w:r w:rsidRPr="006B1976">
        <w:rPr>
          <w:rFonts w:ascii="Times New Roman" w:hAnsi="Times New Roman" w:cs="Times New Roman"/>
          <w:color w:val="222222"/>
          <w:sz w:val="24"/>
          <w:szCs w:val="24"/>
          <w:shd w:val="clear" w:color="auto" w:fill="FFFFFF"/>
        </w:rPr>
        <w:t>Petherick, W. ed., (2020). </w:t>
      </w:r>
      <w:r w:rsidRPr="006B1976">
        <w:rPr>
          <w:rFonts w:ascii="Times New Roman" w:hAnsi="Times New Roman" w:cs="Times New Roman"/>
          <w:i/>
          <w:iCs/>
          <w:color w:val="222222"/>
          <w:sz w:val="24"/>
          <w:szCs w:val="24"/>
          <w:shd w:val="clear" w:color="auto" w:fill="FFFFFF"/>
        </w:rPr>
        <w:t>Child Sexual Abuse: Forensic Issues in Evidence, Impact, and Management</w:t>
      </w:r>
      <w:r w:rsidRPr="006B1976">
        <w:rPr>
          <w:rFonts w:ascii="Times New Roman" w:hAnsi="Times New Roman" w:cs="Times New Roman"/>
          <w:color w:val="222222"/>
          <w:sz w:val="24"/>
          <w:szCs w:val="24"/>
          <w:shd w:val="clear" w:color="auto" w:fill="FFFFFF"/>
        </w:rPr>
        <w:t>. Academic Press.</w:t>
      </w:r>
    </w:p>
    <w:p w14:paraId="271AA31B" w14:textId="41838772" w:rsidR="006B1976" w:rsidRPr="006B1976" w:rsidRDefault="006B1976" w:rsidP="00F65BB0">
      <w:pPr>
        <w:pStyle w:val="NormalWeb"/>
        <w:spacing w:before="0" w:beforeAutospacing="0" w:after="0" w:afterAutospacing="0" w:line="480" w:lineRule="auto"/>
        <w:ind w:left="720" w:hanging="720"/>
      </w:pPr>
      <w:r w:rsidRPr="006B1976">
        <w:t xml:space="preserve">Pew Research </w:t>
      </w:r>
      <w:proofErr w:type="spellStart"/>
      <w:r w:rsidRPr="006B1976">
        <w:t>Center</w:t>
      </w:r>
      <w:proofErr w:type="spellEnd"/>
      <w:r w:rsidRPr="006B1976">
        <w:t>.</w:t>
      </w:r>
      <w:r w:rsidRPr="006B1976">
        <w:t xml:space="preserve">, </w:t>
      </w:r>
      <w:r w:rsidRPr="006B1976">
        <w:t>(</w:t>
      </w:r>
      <w:r w:rsidRPr="006B1976">
        <w:t>2020</w:t>
      </w:r>
      <w:r w:rsidRPr="006B1976">
        <w:t>)</w:t>
      </w:r>
      <w:r w:rsidRPr="006B1976">
        <w:t xml:space="preserve">. </w:t>
      </w:r>
      <w:r w:rsidRPr="006B1976">
        <w:rPr>
          <w:i/>
          <w:iCs/>
        </w:rPr>
        <w:t>5.</w:t>
      </w:r>
      <w:r w:rsidRPr="006B1976">
        <w:rPr>
          <w:i/>
          <w:iCs/>
        </w:rPr>
        <w:t>’</w:t>
      </w:r>
      <w:r w:rsidRPr="006B1976">
        <w:rPr>
          <w:i/>
          <w:iCs/>
        </w:rPr>
        <w:t xml:space="preserve"> tech causes more problems than it solves</w:t>
      </w:r>
      <w:r w:rsidRPr="006B1976">
        <w:rPr>
          <w:i/>
          <w:iCs/>
        </w:rPr>
        <w:t>’</w:t>
      </w:r>
      <w:r w:rsidRPr="006B1976">
        <w:t xml:space="preserve">, </w:t>
      </w:r>
      <w:r w:rsidRPr="006B1976">
        <w:rPr>
          <w:i/>
          <w:iCs/>
        </w:rPr>
        <w:t xml:space="preserve">Pew Research </w:t>
      </w:r>
      <w:proofErr w:type="spellStart"/>
      <w:r w:rsidRPr="006B1976">
        <w:rPr>
          <w:i/>
          <w:iCs/>
        </w:rPr>
        <w:t>Center</w:t>
      </w:r>
      <w:proofErr w:type="spellEnd"/>
      <w:r w:rsidRPr="006B1976">
        <w:rPr>
          <w:i/>
          <w:iCs/>
        </w:rPr>
        <w:t>: Internet, Science &amp; Tech</w:t>
      </w:r>
      <w:r w:rsidRPr="006B1976">
        <w:t xml:space="preserve">. [Online] Available at: </w:t>
      </w:r>
      <w:r w:rsidRPr="006B1976">
        <w:t xml:space="preserve">&lt;// </w:t>
      </w:r>
      <w:hyperlink r:id="rId21" w:history="1">
        <w:r w:rsidRPr="006B1976">
          <w:rPr>
            <w:rStyle w:val="Hyperlink"/>
          </w:rPr>
          <w:t>https://www.pewresearch.org/internet/2020/06/30/tech-causes-more-problems-than-it-solves/</w:t>
        </w:r>
      </w:hyperlink>
      <w:r w:rsidRPr="006B1976">
        <w:t xml:space="preserve"> /&gt;</w:t>
      </w:r>
      <w:r w:rsidRPr="006B1976">
        <w:t xml:space="preserve"> (Accessed: 11 Dec</w:t>
      </w:r>
      <w:r w:rsidR="00C2444D">
        <w:t>.</w:t>
      </w:r>
      <w:r w:rsidRPr="006B1976">
        <w:t xml:space="preserve"> 2023). </w:t>
      </w:r>
    </w:p>
    <w:p w14:paraId="43F00066" w14:textId="76453147" w:rsidR="006B1976" w:rsidRPr="006B1976" w:rsidRDefault="006B1976" w:rsidP="004C47DB">
      <w:pPr>
        <w:pStyle w:val="NormalWeb"/>
        <w:spacing w:line="480" w:lineRule="auto"/>
        <w:ind w:left="720" w:hanging="720"/>
      </w:pPr>
      <w:proofErr w:type="spellStart"/>
      <w:r w:rsidRPr="006B1976">
        <w:t>Safeline</w:t>
      </w:r>
      <w:proofErr w:type="spellEnd"/>
      <w:r w:rsidRPr="006B1976">
        <w:t xml:space="preserve">., (2022) </w:t>
      </w:r>
      <w:r w:rsidRPr="006B1976">
        <w:rPr>
          <w:i/>
          <w:iCs/>
        </w:rPr>
        <w:t xml:space="preserve">Prevention &amp; early intervention - </w:t>
      </w:r>
      <w:proofErr w:type="spellStart"/>
      <w:r w:rsidRPr="006B1976">
        <w:rPr>
          <w:i/>
          <w:iCs/>
        </w:rPr>
        <w:t>safeline</w:t>
      </w:r>
      <w:proofErr w:type="spellEnd"/>
      <w:r w:rsidRPr="006B1976">
        <w:rPr>
          <w:i/>
          <w:iCs/>
        </w:rPr>
        <w:t xml:space="preserve"> - believe in you - surviving sexual abuse &amp; rape</w:t>
      </w:r>
      <w:r w:rsidRPr="006B1976">
        <w:t xml:space="preserve">, </w:t>
      </w:r>
      <w:proofErr w:type="spellStart"/>
      <w:r w:rsidRPr="006B1976">
        <w:rPr>
          <w:i/>
          <w:iCs/>
        </w:rPr>
        <w:t>Safeline</w:t>
      </w:r>
      <w:proofErr w:type="spellEnd"/>
      <w:r w:rsidRPr="006B1976">
        <w:t>. Available at: https://safeline.org.uk/services/prevention-early-intervention/ (Accessed: 29 Nov</w:t>
      </w:r>
      <w:r w:rsidR="00C2444D">
        <w:t xml:space="preserve">. </w:t>
      </w:r>
      <w:r w:rsidRPr="006B1976">
        <w:t xml:space="preserve">2023). </w:t>
      </w:r>
    </w:p>
    <w:p w14:paraId="694C2EBB" w14:textId="6F482EFB" w:rsidR="006B1976" w:rsidRPr="006B1976" w:rsidRDefault="006B1976" w:rsidP="004C47DB">
      <w:pPr>
        <w:pStyle w:val="NormalWeb"/>
        <w:spacing w:line="480" w:lineRule="auto"/>
        <w:ind w:left="720" w:hanging="720"/>
      </w:pPr>
      <w:r w:rsidRPr="006B1976">
        <w:t xml:space="preserve">Sherwood, H., (2018) </w:t>
      </w:r>
      <w:r w:rsidRPr="006B1976">
        <w:rPr>
          <w:i/>
          <w:iCs/>
        </w:rPr>
        <w:t>Church of England Faces ‘deep shame’ at child abuse inquiry</w:t>
      </w:r>
      <w:r w:rsidRPr="006B1976">
        <w:t xml:space="preserve">, </w:t>
      </w:r>
      <w:r w:rsidRPr="006B1976">
        <w:rPr>
          <w:i/>
          <w:iCs/>
        </w:rPr>
        <w:t>The Guardian</w:t>
      </w:r>
      <w:r w:rsidRPr="006B1976">
        <w:t xml:space="preserve">. Available at: </w:t>
      </w:r>
      <w:r w:rsidR="00BD3432">
        <w:t xml:space="preserve">&lt;// </w:t>
      </w:r>
      <w:hyperlink r:id="rId22" w:history="1">
        <w:r w:rsidR="00BD3432" w:rsidRPr="003D7C7B">
          <w:rPr>
            <w:rStyle w:val="Hyperlink"/>
          </w:rPr>
          <w:t>https://www.theguardian.com/world/2018/mar/02/church-of-england-faces-deep-shame-at-child-abuse-inquiry/</w:t>
        </w:r>
      </w:hyperlink>
      <w:r w:rsidR="00BD3432">
        <w:t xml:space="preserve"> /&gt; </w:t>
      </w:r>
      <w:r w:rsidRPr="006B1976">
        <w:t xml:space="preserve"> (Accessed: 29 Nov</w:t>
      </w:r>
      <w:r w:rsidR="00C2444D">
        <w:t xml:space="preserve">. </w:t>
      </w:r>
      <w:r w:rsidRPr="006B1976">
        <w:t xml:space="preserve">2023). </w:t>
      </w:r>
    </w:p>
    <w:p w14:paraId="2AA9A86E" w14:textId="77777777" w:rsidR="006B1976" w:rsidRPr="006B1976" w:rsidRDefault="006B1976" w:rsidP="00545FF6">
      <w:pPr>
        <w:pStyle w:val="NormalWeb"/>
        <w:spacing w:before="0" w:beforeAutospacing="0" w:after="0" w:afterAutospacing="0" w:line="480" w:lineRule="auto"/>
        <w:ind w:left="720" w:hanging="720"/>
      </w:pPr>
      <w:r w:rsidRPr="006B1976">
        <w:t>Social Care Wales.</w:t>
      </w:r>
      <w:r w:rsidRPr="006B1976">
        <w:t>, (2019).</w:t>
      </w:r>
      <w:r w:rsidRPr="006B1976">
        <w:t xml:space="preserve"> “The Experiences and Outcomes of Children and Young People from Wales Receiving Secure Accommodation Orders.”.</w:t>
      </w:r>
    </w:p>
    <w:p w14:paraId="49AF5E66" w14:textId="77777777" w:rsidR="006B1976" w:rsidRPr="006B1976" w:rsidRDefault="006B1976" w:rsidP="004C47DB">
      <w:pPr>
        <w:spacing w:line="480" w:lineRule="auto"/>
        <w:ind w:left="720" w:hanging="720"/>
        <w:rPr>
          <w:rFonts w:ascii="Times New Roman" w:hAnsi="Times New Roman" w:cs="Times New Roman"/>
          <w:color w:val="222222"/>
          <w:sz w:val="24"/>
          <w:szCs w:val="24"/>
          <w:shd w:val="clear" w:color="auto" w:fill="FFFFFF"/>
        </w:rPr>
      </w:pPr>
      <w:r w:rsidRPr="006B1976">
        <w:rPr>
          <w:rFonts w:ascii="Times New Roman" w:hAnsi="Times New Roman" w:cs="Times New Roman"/>
          <w:color w:val="222222"/>
          <w:sz w:val="24"/>
          <w:szCs w:val="24"/>
          <w:shd w:val="clear" w:color="auto" w:fill="FFFFFF"/>
        </w:rPr>
        <w:t xml:space="preserve">Steel, C.M., Newman, E., O'Rourke, S. and Quayle, E., (2023). Self-perceptions and cognitions of child sexual exploitation material offenders. </w:t>
      </w:r>
      <w:r w:rsidRPr="006B1976">
        <w:rPr>
          <w:rFonts w:ascii="Times New Roman" w:hAnsi="Times New Roman" w:cs="Times New Roman"/>
          <w:i/>
          <w:iCs/>
          <w:color w:val="222222"/>
          <w:sz w:val="24"/>
          <w:szCs w:val="24"/>
          <w:shd w:val="clear" w:color="auto" w:fill="FFFFFF"/>
        </w:rPr>
        <w:t>International journal of offender therapy and comparative criminology</w:t>
      </w:r>
      <w:r w:rsidRPr="006B1976">
        <w:rPr>
          <w:rFonts w:ascii="Times New Roman" w:hAnsi="Times New Roman" w:cs="Times New Roman"/>
          <w:color w:val="222222"/>
          <w:sz w:val="24"/>
          <w:szCs w:val="24"/>
          <w:shd w:val="clear" w:color="auto" w:fill="FFFFFF"/>
        </w:rPr>
        <w:t>, </w:t>
      </w:r>
      <w:r w:rsidRPr="006B1976">
        <w:rPr>
          <w:rFonts w:ascii="Times New Roman" w:hAnsi="Times New Roman" w:cs="Times New Roman"/>
          <w:i/>
          <w:iCs/>
          <w:color w:val="222222"/>
          <w:sz w:val="24"/>
          <w:szCs w:val="24"/>
          <w:shd w:val="clear" w:color="auto" w:fill="FFFFFF"/>
        </w:rPr>
        <w:t>67</w:t>
      </w:r>
      <w:r w:rsidRPr="006B1976">
        <w:rPr>
          <w:rFonts w:ascii="Times New Roman" w:hAnsi="Times New Roman" w:cs="Times New Roman"/>
          <w:color w:val="222222"/>
          <w:sz w:val="24"/>
          <w:szCs w:val="24"/>
          <w:shd w:val="clear" w:color="auto" w:fill="FFFFFF"/>
        </w:rPr>
        <w:t>(10-11), pp.1017-1036.</w:t>
      </w:r>
    </w:p>
    <w:p w14:paraId="67C5521C" w14:textId="333500EE" w:rsidR="006B1976" w:rsidRPr="006B1976" w:rsidRDefault="006B1976" w:rsidP="004C47DB">
      <w:pPr>
        <w:pStyle w:val="NormalWeb"/>
        <w:spacing w:line="480" w:lineRule="auto"/>
        <w:ind w:left="720" w:hanging="720"/>
      </w:pPr>
      <w:r w:rsidRPr="006B1976">
        <w:t xml:space="preserve">Sutton Defence Lawyers., (2023) </w:t>
      </w:r>
      <w:r w:rsidRPr="006B1976">
        <w:rPr>
          <w:i/>
          <w:iCs/>
        </w:rPr>
        <w:t xml:space="preserve">Sexual Offence Defence Specialist Lawyers Yorkshire Manchester, London &amp; Leeds </w:t>
      </w:r>
      <w:r w:rsidRPr="006B1976">
        <w:t xml:space="preserve">, </w:t>
      </w:r>
      <w:r w:rsidRPr="006B1976">
        <w:rPr>
          <w:i/>
          <w:iCs/>
        </w:rPr>
        <w:t>Sutton Defence</w:t>
      </w:r>
      <w:r w:rsidRPr="006B1976">
        <w:t xml:space="preserve">. Available at: </w:t>
      </w:r>
      <w:r w:rsidR="00BD3432">
        <w:t xml:space="preserve">&lt;// </w:t>
      </w:r>
      <w:hyperlink r:id="rId23" w:history="1">
        <w:r w:rsidR="00BD3432" w:rsidRPr="003D7C7B">
          <w:rPr>
            <w:rStyle w:val="Hyperlink"/>
          </w:rPr>
          <w:t>https://www.suttondefencelawyers.co.uk/notable-cases.html#:~:text=R%20v%20H%20(Norwich),on%20video%20to%20the%20police.//</w:t>
        </w:r>
      </w:hyperlink>
      <w:r w:rsidR="00BD3432">
        <w:t xml:space="preserve"> &gt;</w:t>
      </w:r>
      <w:r w:rsidRPr="006B1976">
        <w:t xml:space="preserve"> (Accessed: 2 Dec</w:t>
      </w:r>
      <w:r w:rsidR="00C2444D">
        <w:t>.</w:t>
      </w:r>
      <w:r w:rsidRPr="006B1976">
        <w:t xml:space="preserve"> 2023). </w:t>
      </w:r>
    </w:p>
    <w:p w14:paraId="17EBDAF5" w14:textId="482940D2" w:rsidR="006B1976" w:rsidRPr="006B1976" w:rsidRDefault="006B1976" w:rsidP="00F65BB0">
      <w:pPr>
        <w:pStyle w:val="NormalWeb"/>
        <w:spacing w:before="0" w:beforeAutospacing="0" w:after="0" w:afterAutospacing="0" w:line="480" w:lineRule="auto"/>
        <w:ind w:left="720" w:hanging="720"/>
      </w:pPr>
      <w:r w:rsidRPr="006B1976">
        <w:t>The Crown Prosecution Service</w:t>
      </w:r>
      <w:r w:rsidRPr="006B1976">
        <w:t>.</w:t>
      </w:r>
      <w:r w:rsidRPr="006B1976">
        <w:t xml:space="preserve">, </w:t>
      </w:r>
      <w:r w:rsidRPr="006B1976">
        <w:t>(</w:t>
      </w:r>
      <w:r w:rsidRPr="006B1976">
        <w:t>2022</w:t>
      </w:r>
      <w:r w:rsidRPr="006B1976">
        <w:t>)</w:t>
      </w:r>
      <w:r w:rsidRPr="006B1976">
        <w:t xml:space="preserve">. </w:t>
      </w:r>
      <w:r w:rsidRPr="006B1976">
        <w:rPr>
          <w:i/>
          <w:iCs/>
        </w:rPr>
        <w:t>Cybercrime - prosecution guidance</w:t>
      </w:r>
      <w:r w:rsidRPr="006B1976">
        <w:t xml:space="preserve">, </w:t>
      </w:r>
      <w:r w:rsidRPr="006B1976">
        <w:rPr>
          <w:i/>
          <w:iCs/>
        </w:rPr>
        <w:t>The Crown Prosecution Service</w:t>
      </w:r>
      <w:r w:rsidRPr="006B1976">
        <w:t xml:space="preserve">. [Online] Available at: </w:t>
      </w:r>
      <w:r w:rsidR="00BD3432">
        <w:t xml:space="preserve">&lt;// </w:t>
      </w:r>
      <w:hyperlink r:id="rId24" w:history="1">
        <w:r w:rsidR="00BD3432" w:rsidRPr="003D7C7B">
          <w:rPr>
            <w:rStyle w:val="Hyperlink"/>
          </w:rPr>
          <w:t>https://www.cps.gov.uk/legal-guidance/cybercrime-prosecution-guidance</w:t>
        </w:r>
        <w:r w:rsidR="00BD3432" w:rsidRPr="003D7C7B">
          <w:rPr>
            <w:rStyle w:val="Hyperlink"/>
          </w:rPr>
          <w:t>//</w:t>
        </w:r>
      </w:hyperlink>
      <w:r w:rsidR="00BD3432">
        <w:t xml:space="preserve"> &gt;</w:t>
      </w:r>
      <w:r w:rsidRPr="006B1976">
        <w:t xml:space="preserve"> (Accessed: 11 Dec</w:t>
      </w:r>
      <w:r w:rsidR="00C2444D">
        <w:t xml:space="preserve">. </w:t>
      </w:r>
      <w:r w:rsidRPr="006B1976">
        <w:t xml:space="preserve">2023). </w:t>
      </w:r>
    </w:p>
    <w:p w14:paraId="4E3BBA3A" w14:textId="2516AF47" w:rsidR="006B1976" w:rsidRPr="006B1976" w:rsidRDefault="006B1976" w:rsidP="004C47DB">
      <w:pPr>
        <w:pStyle w:val="NormalWeb"/>
        <w:spacing w:line="480" w:lineRule="auto"/>
        <w:ind w:left="720" w:hanging="720"/>
      </w:pPr>
      <w:r w:rsidRPr="006B1976">
        <w:t xml:space="preserve">The Upstream Project., (2023) </w:t>
      </w:r>
      <w:r w:rsidRPr="006B1976">
        <w:rPr>
          <w:i/>
          <w:iCs/>
        </w:rPr>
        <w:t>Stop it now! Scotland: Know</w:t>
      </w:r>
      <w:r w:rsidRPr="006B1976">
        <w:t xml:space="preserve">, </w:t>
      </w:r>
      <w:r w:rsidRPr="006B1976">
        <w:rPr>
          <w:i/>
          <w:iCs/>
        </w:rPr>
        <w:t>The Upstream Project</w:t>
      </w:r>
      <w:r w:rsidRPr="006B1976">
        <w:t xml:space="preserve">. Available at: &lt;// </w:t>
      </w:r>
      <w:hyperlink r:id="rId25" w:anchor=":~:text=are%20at%20risk-,Myth%20%3A%20It%20only%20happens%20in%20certain%20ethnic%20or%20cultural%20communities,abuse%20is%20not%20this%20restricted.//" w:history="1">
        <w:r w:rsidRPr="006B1976">
          <w:rPr>
            <w:rStyle w:val="Hyperlink"/>
          </w:rPr>
          <w:t>https://www.theupstreamproject.org.uk/know/myths#:~:text=are%20at%20risk-,Myth%20%3A%20It%20only%20happens%20in%20certain%20ethnic%20or%20cultural%20communities,abuse%20is%20not%20this%20restricted.//</w:t>
        </w:r>
      </w:hyperlink>
      <w:r w:rsidRPr="006B1976">
        <w:t xml:space="preserve"> &gt; (Accessed: 5 Dec</w:t>
      </w:r>
      <w:r w:rsidR="00C2444D">
        <w:t xml:space="preserve">. </w:t>
      </w:r>
      <w:r w:rsidRPr="006B1976">
        <w:t xml:space="preserve">2023). </w:t>
      </w:r>
    </w:p>
    <w:p w14:paraId="64641903" w14:textId="16877934" w:rsidR="006B1976" w:rsidRPr="006B1976" w:rsidRDefault="006B1976" w:rsidP="004C47DB">
      <w:pPr>
        <w:pStyle w:val="NormalWeb"/>
        <w:spacing w:line="480" w:lineRule="auto"/>
        <w:ind w:left="720" w:hanging="720"/>
      </w:pPr>
      <w:r w:rsidRPr="006B1976">
        <w:t xml:space="preserve">UK Government., (2023) </w:t>
      </w:r>
      <w:r w:rsidRPr="006B1976">
        <w:rPr>
          <w:i/>
          <w:iCs/>
        </w:rPr>
        <w:t>Disclosure and barring service</w:t>
      </w:r>
      <w:r w:rsidRPr="006B1976">
        <w:t xml:space="preserve">, </w:t>
      </w:r>
      <w:r w:rsidRPr="006B1976">
        <w:rPr>
          <w:i/>
          <w:iCs/>
        </w:rPr>
        <w:t>GOV.UK</w:t>
      </w:r>
      <w:r w:rsidRPr="006B1976">
        <w:t>. Available at: https://www.gov.uk/government/organisations/disclosure-and-barring-service (Accessed: 29 Nov</w:t>
      </w:r>
      <w:r w:rsidR="00C2444D">
        <w:t xml:space="preserve">. </w:t>
      </w:r>
      <w:r w:rsidRPr="006B1976">
        <w:t xml:space="preserve">2023). </w:t>
      </w:r>
    </w:p>
    <w:p w14:paraId="6F206F0A" w14:textId="1683B451" w:rsidR="006B1976" w:rsidRPr="006B1976" w:rsidRDefault="006B1976" w:rsidP="004C47DB">
      <w:pPr>
        <w:pStyle w:val="NormalWeb"/>
        <w:spacing w:line="480" w:lineRule="auto"/>
        <w:ind w:left="720" w:hanging="720"/>
      </w:pPr>
      <w:r w:rsidRPr="006B1976">
        <w:t xml:space="preserve">United Nations International Children’s Emergency Fund (2020) </w:t>
      </w:r>
      <w:r w:rsidRPr="006B1976">
        <w:rPr>
          <w:i/>
          <w:iCs/>
        </w:rPr>
        <w:t xml:space="preserve">Action to end child sexual abuse and </w:t>
      </w:r>
      <w:r w:rsidR="00BD3432" w:rsidRPr="006B1976">
        <w:rPr>
          <w:i/>
          <w:iCs/>
        </w:rPr>
        <w:t>exploitation,</w:t>
      </w:r>
      <w:r w:rsidRPr="006B1976">
        <w:t xml:space="preserve"> </w:t>
      </w:r>
      <w:r w:rsidRPr="006B1976">
        <w:rPr>
          <w:i/>
          <w:iCs/>
        </w:rPr>
        <w:t>UNICEF</w:t>
      </w:r>
      <w:r w:rsidRPr="006B1976">
        <w:t xml:space="preserve">. Available at: &lt;// </w:t>
      </w:r>
      <w:hyperlink r:id="rId26" w:history="1">
        <w:r w:rsidRPr="006B1976">
          <w:rPr>
            <w:rStyle w:val="Hyperlink"/>
          </w:rPr>
          <w:t>https://www.unicef.org/media/89206/file/CSAE-Brief-v3.pdf//</w:t>
        </w:r>
      </w:hyperlink>
      <w:r w:rsidRPr="006B1976">
        <w:t xml:space="preserve"> &gt; (Accessed: 29 Nov</w:t>
      </w:r>
      <w:r w:rsidR="00C2444D">
        <w:t xml:space="preserve">. </w:t>
      </w:r>
      <w:r w:rsidRPr="006B1976">
        <w:t xml:space="preserve">2023). </w:t>
      </w:r>
    </w:p>
    <w:p w14:paraId="4A50C280" w14:textId="597E7950" w:rsidR="006B1976" w:rsidRPr="006B1976" w:rsidRDefault="006B1976" w:rsidP="00F65BB0">
      <w:pPr>
        <w:pStyle w:val="NormalWeb"/>
        <w:spacing w:before="0" w:beforeAutospacing="0" w:after="0" w:afterAutospacing="0" w:line="480" w:lineRule="auto"/>
        <w:ind w:left="720" w:hanging="720"/>
      </w:pPr>
      <w:r w:rsidRPr="006B1976">
        <w:t>United Nations International Children’s Emergency Fund</w:t>
      </w:r>
      <w:r w:rsidRPr="006B1976">
        <w:t>.</w:t>
      </w:r>
      <w:r w:rsidRPr="006B1976">
        <w:t xml:space="preserve">, </w:t>
      </w:r>
      <w:r w:rsidRPr="006B1976">
        <w:t>(</w:t>
      </w:r>
      <w:r w:rsidRPr="006B1976">
        <w:t>2020</w:t>
      </w:r>
      <w:r w:rsidRPr="006B1976">
        <w:t>)</w:t>
      </w:r>
      <w:r w:rsidRPr="006B1976">
        <w:t xml:space="preserve">. </w:t>
      </w:r>
      <w:r w:rsidRPr="006B1976">
        <w:rPr>
          <w:i/>
          <w:iCs/>
        </w:rPr>
        <w:t>Action to end child sexual abuse and exploitation</w:t>
      </w:r>
      <w:r w:rsidRPr="006B1976">
        <w:t xml:space="preserve">, </w:t>
      </w:r>
      <w:r w:rsidRPr="006B1976">
        <w:rPr>
          <w:i/>
          <w:iCs/>
        </w:rPr>
        <w:t>UNICEF</w:t>
      </w:r>
      <w:r w:rsidRPr="006B1976">
        <w:t xml:space="preserve">. [Online] Available at: </w:t>
      </w:r>
      <w:r w:rsidR="00BD3432">
        <w:t xml:space="preserve">&lt;// </w:t>
      </w:r>
      <w:hyperlink r:id="rId27" w:history="1">
        <w:r w:rsidR="00BD3432" w:rsidRPr="003D7C7B">
          <w:rPr>
            <w:rStyle w:val="Hyperlink"/>
          </w:rPr>
          <w:t>https://www.unicef.org/media/89206/file/CSAE-Brief-v3.pdf</w:t>
        </w:r>
        <w:r w:rsidR="00BD3432" w:rsidRPr="003D7C7B">
          <w:rPr>
            <w:rStyle w:val="Hyperlink"/>
          </w:rPr>
          <w:t>//</w:t>
        </w:r>
      </w:hyperlink>
      <w:r w:rsidR="00BD3432">
        <w:t xml:space="preserve"> &gt;</w:t>
      </w:r>
      <w:r w:rsidRPr="006B1976">
        <w:t xml:space="preserve"> (Accessed: 29 Nov</w:t>
      </w:r>
      <w:r w:rsidR="00C2444D">
        <w:t>.</w:t>
      </w:r>
      <w:r w:rsidRPr="006B1976">
        <w:t xml:space="preserve"> 2023). </w:t>
      </w:r>
    </w:p>
    <w:p w14:paraId="174289AF" w14:textId="59494818" w:rsidR="006B1976" w:rsidRPr="006B1976" w:rsidRDefault="006B1976" w:rsidP="004C47DB">
      <w:pPr>
        <w:pStyle w:val="NormalWeb"/>
        <w:spacing w:line="480" w:lineRule="auto"/>
        <w:ind w:left="720" w:hanging="720"/>
      </w:pPr>
      <w:r w:rsidRPr="006B1976">
        <w:t xml:space="preserve">University of Lincoln., (2019) </w:t>
      </w:r>
      <w:r w:rsidRPr="006B1976">
        <w:rPr>
          <w:i/>
          <w:iCs/>
        </w:rPr>
        <w:t xml:space="preserve">Sexual offender treatment: </w:t>
      </w:r>
      <w:proofErr w:type="spellStart"/>
      <w:r w:rsidRPr="006B1976">
        <w:rPr>
          <w:i/>
          <w:iCs/>
        </w:rPr>
        <w:t>Hitikasch</w:t>
      </w:r>
      <w:proofErr w:type="spellEnd"/>
      <w:r w:rsidRPr="006B1976">
        <w:rPr>
          <w:i/>
          <w:iCs/>
        </w:rPr>
        <w:t xml:space="preserve"> </w:t>
      </w:r>
      <w:r w:rsidRPr="006B1976">
        <w:t xml:space="preserve">, </w:t>
      </w:r>
      <w:r w:rsidRPr="006B1976">
        <w:rPr>
          <w:i/>
          <w:iCs/>
        </w:rPr>
        <w:t>University of Lincoln</w:t>
      </w:r>
      <w:r w:rsidRPr="006B1976">
        <w:t xml:space="preserve">. Available at: </w:t>
      </w:r>
      <w:r w:rsidR="00BD3432">
        <w:t xml:space="preserve">&lt;// </w:t>
      </w:r>
      <w:hyperlink r:id="rId28" w:history="1">
        <w:r w:rsidR="00BD3432" w:rsidRPr="003D7C7B">
          <w:rPr>
            <w:rStyle w:val="Hyperlink"/>
          </w:rPr>
          <w:t>https://eprints.lincoln.ac.uk/id/eprint/28264/3/index.pdf//</w:t>
        </w:r>
      </w:hyperlink>
      <w:r w:rsidR="00BD3432">
        <w:t xml:space="preserve"> &gt;</w:t>
      </w:r>
      <w:r w:rsidRPr="006B1976">
        <w:t xml:space="preserve"> (Accessed: 29 Nov</w:t>
      </w:r>
      <w:r w:rsidR="00C2444D">
        <w:t>.</w:t>
      </w:r>
      <w:r w:rsidRPr="006B1976">
        <w:t xml:space="preserve"> 2023). </w:t>
      </w:r>
    </w:p>
    <w:p w14:paraId="6EA8C89A" w14:textId="77777777" w:rsidR="006B1976" w:rsidRPr="006B1976" w:rsidRDefault="006B1976" w:rsidP="004C47DB">
      <w:pPr>
        <w:spacing w:line="480" w:lineRule="auto"/>
        <w:ind w:left="720" w:hanging="720"/>
        <w:rPr>
          <w:rFonts w:ascii="Times New Roman" w:hAnsi="Times New Roman" w:cs="Times New Roman"/>
          <w:color w:val="222222"/>
          <w:sz w:val="24"/>
          <w:szCs w:val="24"/>
          <w:shd w:val="clear" w:color="auto" w:fill="FFFFFF"/>
        </w:rPr>
      </w:pPr>
      <w:r w:rsidRPr="006B1976">
        <w:rPr>
          <w:rFonts w:ascii="Times New Roman" w:hAnsi="Times New Roman" w:cs="Times New Roman"/>
          <w:color w:val="222222"/>
          <w:sz w:val="24"/>
          <w:szCs w:val="24"/>
          <w:shd w:val="clear" w:color="auto" w:fill="FFFFFF"/>
        </w:rPr>
        <w:t xml:space="preserve">Varghese, F.P., Israel, T., Seymour, G., Becker Herbst, R., Suarez, L.G. and </w:t>
      </w:r>
      <w:proofErr w:type="spellStart"/>
      <w:r w:rsidRPr="006B1976">
        <w:rPr>
          <w:rFonts w:ascii="Times New Roman" w:hAnsi="Times New Roman" w:cs="Times New Roman"/>
          <w:color w:val="222222"/>
          <w:sz w:val="24"/>
          <w:szCs w:val="24"/>
          <w:shd w:val="clear" w:color="auto" w:fill="FFFFFF"/>
        </w:rPr>
        <w:t>Hargons</w:t>
      </w:r>
      <w:proofErr w:type="spellEnd"/>
      <w:r w:rsidRPr="006B1976">
        <w:rPr>
          <w:rFonts w:ascii="Times New Roman" w:hAnsi="Times New Roman" w:cs="Times New Roman"/>
          <w:color w:val="222222"/>
          <w:sz w:val="24"/>
          <w:szCs w:val="24"/>
          <w:shd w:val="clear" w:color="auto" w:fill="FFFFFF"/>
        </w:rPr>
        <w:t>, C., (2019). Injustice in the justice system: Reforming inequities for true “justice for all”. </w:t>
      </w:r>
      <w:r w:rsidRPr="006B1976">
        <w:rPr>
          <w:rFonts w:ascii="Times New Roman" w:hAnsi="Times New Roman" w:cs="Times New Roman"/>
          <w:i/>
          <w:iCs/>
          <w:color w:val="222222"/>
          <w:sz w:val="24"/>
          <w:szCs w:val="24"/>
          <w:shd w:val="clear" w:color="auto" w:fill="FFFFFF"/>
        </w:rPr>
        <w:t xml:space="preserve">The </w:t>
      </w:r>
      <w:proofErr w:type="spellStart"/>
      <w:r w:rsidRPr="006B1976">
        <w:rPr>
          <w:rFonts w:ascii="Times New Roman" w:hAnsi="Times New Roman" w:cs="Times New Roman"/>
          <w:i/>
          <w:iCs/>
          <w:color w:val="222222"/>
          <w:sz w:val="24"/>
          <w:szCs w:val="24"/>
          <w:shd w:val="clear" w:color="auto" w:fill="FFFFFF"/>
        </w:rPr>
        <w:t>Counseling</w:t>
      </w:r>
      <w:proofErr w:type="spellEnd"/>
      <w:r w:rsidRPr="006B1976">
        <w:rPr>
          <w:rFonts w:ascii="Times New Roman" w:hAnsi="Times New Roman" w:cs="Times New Roman"/>
          <w:i/>
          <w:iCs/>
          <w:color w:val="222222"/>
          <w:sz w:val="24"/>
          <w:szCs w:val="24"/>
          <w:shd w:val="clear" w:color="auto" w:fill="FFFFFF"/>
        </w:rPr>
        <w:t xml:space="preserve"> Psychologist</w:t>
      </w:r>
      <w:r w:rsidRPr="006B1976">
        <w:rPr>
          <w:rFonts w:ascii="Times New Roman" w:hAnsi="Times New Roman" w:cs="Times New Roman"/>
          <w:color w:val="222222"/>
          <w:sz w:val="24"/>
          <w:szCs w:val="24"/>
          <w:shd w:val="clear" w:color="auto" w:fill="FFFFFF"/>
        </w:rPr>
        <w:t>, </w:t>
      </w:r>
      <w:r w:rsidRPr="006B1976">
        <w:rPr>
          <w:rFonts w:ascii="Times New Roman" w:hAnsi="Times New Roman" w:cs="Times New Roman"/>
          <w:i/>
          <w:iCs/>
          <w:color w:val="222222"/>
          <w:sz w:val="24"/>
          <w:szCs w:val="24"/>
          <w:shd w:val="clear" w:color="auto" w:fill="FFFFFF"/>
        </w:rPr>
        <w:t>47</w:t>
      </w:r>
      <w:r w:rsidRPr="006B1976">
        <w:rPr>
          <w:rFonts w:ascii="Times New Roman" w:hAnsi="Times New Roman" w:cs="Times New Roman"/>
          <w:color w:val="222222"/>
          <w:sz w:val="24"/>
          <w:szCs w:val="24"/>
          <w:shd w:val="clear" w:color="auto" w:fill="FFFFFF"/>
        </w:rPr>
        <w:t>(5), pp.682-740.</w:t>
      </w:r>
    </w:p>
    <w:p w14:paraId="5C24A777" w14:textId="77777777" w:rsidR="006B1976" w:rsidRPr="006B1976" w:rsidRDefault="006B1976" w:rsidP="00F65BB0">
      <w:pPr>
        <w:spacing w:after="0" w:line="480" w:lineRule="auto"/>
        <w:ind w:left="720" w:hanging="720"/>
        <w:rPr>
          <w:rFonts w:ascii="Times New Roman" w:hAnsi="Times New Roman" w:cs="Times New Roman"/>
          <w:color w:val="222222"/>
          <w:sz w:val="24"/>
          <w:szCs w:val="24"/>
          <w:shd w:val="clear" w:color="auto" w:fill="FFFFFF"/>
        </w:rPr>
      </w:pPr>
      <w:r w:rsidRPr="006B1976">
        <w:rPr>
          <w:rFonts w:ascii="Times New Roman" w:hAnsi="Times New Roman" w:cs="Times New Roman"/>
          <w:color w:val="222222"/>
          <w:sz w:val="24"/>
          <w:szCs w:val="24"/>
          <w:shd w:val="clear" w:color="auto" w:fill="FFFFFF"/>
        </w:rPr>
        <w:t xml:space="preserve">Varghese, F.P., Israel, T., Seymour, G., Becker Herbst, R., Suarez, L.G. and </w:t>
      </w:r>
      <w:proofErr w:type="spellStart"/>
      <w:r w:rsidRPr="006B1976">
        <w:rPr>
          <w:rFonts w:ascii="Times New Roman" w:hAnsi="Times New Roman" w:cs="Times New Roman"/>
          <w:color w:val="222222"/>
          <w:sz w:val="24"/>
          <w:szCs w:val="24"/>
          <w:shd w:val="clear" w:color="auto" w:fill="FFFFFF"/>
        </w:rPr>
        <w:t>Hargons</w:t>
      </w:r>
      <w:proofErr w:type="spellEnd"/>
      <w:r w:rsidRPr="006B1976">
        <w:rPr>
          <w:rFonts w:ascii="Times New Roman" w:hAnsi="Times New Roman" w:cs="Times New Roman"/>
          <w:color w:val="222222"/>
          <w:sz w:val="24"/>
          <w:szCs w:val="24"/>
          <w:shd w:val="clear" w:color="auto" w:fill="FFFFFF"/>
        </w:rPr>
        <w:t xml:space="preserve">, C., </w:t>
      </w:r>
      <w:r w:rsidRPr="006B1976">
        <w:rPr>
          <w:rFonts w:ascii="Times New Roman" w:hAnsi="Times New Roman" w:cs="Times New Roman"/>
          <w:color w:val="222222"/>
          <w:sz w:val="24"/>
          <w:szCs w:val="24"/>
          <w:shd w:val="clear" w:color="auto" w:fill="FFFFFF"/>
        </w:rPr>
        <w:t>(</w:t>
      </w:r>
      <w:r w:rsidRPr="006B1976">
        <w:rPr>
          <w:rFonts w:ascii="Times New Roman" w:hAnsi="Times New Roman" w:cs="Times New Roman"/>
          <w:color w:val="222222"/>
          <w:sz w:val="24"/>
          <w:szCs w:val="24"/>
          <w:shd w:val="clear" w:color="auto" w:fill="FFFFFF"/>
        </w:rPr>
        <w:t>2019</w:t>
      </w:r>
      <w:r w:rsidRPr="006B1976">
        <w:rPr>
          <w:rFonts w:ascii="Times New Roman" w:hAnsi="Times New Roman" w:cs="Times New Roman"/>
          <w:color w:val="222222"/>
          <w:sz w:val="24"/>
          <w:szCs w:val="24"/>
          <w:shd w:val="clear" w:color="auto" w:fill="FFFFFF"/>
        </w:rPr>
        <w:t>)</w:t>
      </w:r>
      <w:r w:rsidRPr="006B1976">
        <w:rPr>
          <w:rFonts w:ascii="Times New Roman" w:hAnsi="Times New Roman" w:cs="Times New Roman"/>
          <w:color w:val="222222"/>
          <w:sz w:val="24"/>
          <w:szCs w:val="24"/>
          <w:shd w:val="clear" w:color="auto" w:fill="FFFFFF"/>
        </w:rPr>
        <w:t xml:space="preserve">. Injustice in the justice system: Reforming inequities for true “justice for all”. </w:t>
      </w:r>
      <w:r w:rsidRPr="006B1976">
        <w:rPr>
          <w:rFonts w:ascii="Times New Roman" w:hAnsi="Times New Roman" w:cs="Times New Roman"/>
          <w:i/>
          <w:iCs/>
          <w:color w:val="222222"/>
          <w:sz w:val="24"/>
          <w:szCs w:val="24"/>
          <w:shd w:val="clear" w:color="auto" w:fill="FFFFFF"/>
        </w:rPr>
        <w:t xml:space="preserve">The </w:t>
      </w:r>
      <w:proofErr w:type="spellStart"/>
      <w:r w:rsidRPr="006B1976">
        <w:rPr>
          <w:rFonts w:ascii="Times New Roman" w:hAnsi="Times New Roman" w:cs="Times New Roman"/>
          <w:i/>
          <w:iCs/>
          <w:color w:val="222222"/>
          <w:sz w:val="24"/>
          <w:szCs w:val="24"/>
          <w:shd w:val="clear" w:color="auto" w:fill="FFFFFF"/>
        </w:rPr>
        <w:t>Counseling</w:t>
      </w:r>
      <w:proofErr w:type="spellEnd"/>
      <w:r w:rsidRPr="006B1976">
        <w:rPr>
          <w:rFonts w:ascii="Times New Roman" w:hAnsi="Times New Roman" w:cs="Times New Roman"/>
          <w:i/>
          <w:iCs/>
          <w:color w:val="222222"/>
          <w:sz w:val="24"/>
          <w:szCs w:val="24"/>
          <w:shd w:val="clear" w:color="auto" w:fill="FFFFFF"/>
        </w:rPr>
        <w:t xml:space="preserve"> Psychologist</w:t>
      </w:r>
      <w:r w:rsidRPr="006B1976">
        <w:rPr>
          <w:rFonts w:ascii="Times New Roman" w:hAnsi="Times New Roman" w:cs="Times New Roman"/>
          <w:color w:val="222222"/>
          <w:sz w:val="24"/>
          <w:szCs w:val="24"/>
          <w:shd w:val="clear" w:color="auto" w:fill="FFFFFF"/>
        </w:rPr>
        <w:t xml:space="preserve">, </w:t>
      </w:r>
      <w:r w:rsidRPr="006B1976">
        <w:rPr>
          <w:rFonts w:ascii="Times New Roman" w:hAnsi="Times New Roman" w:cs="Times New Roman"/>
          <w:b/>
          <w:bCs/>
          <w:color w:val="222222"/>
          <w:sz w:val="24"/>
          <w:szCs w:val="24"/>
          <w:shd w:val="clear" w:color="auto" w:fill="FFFFFF"/>
        </w:rPr>
        <w:t>47</w:t>
      </w:r>
      <w:r w:rsidRPr="006B1976">
        <w:rPr>
          <w:rFonts w:ascii="Times New Roman" w:hAnsi="Times New Roman" w:cs="Times New Roman"/>
          <w:color w:val="222222"/>
          <w:sz w:val="24"/>
          <w:szCs w:val="24"/>
          <w:shd w:val="clear" w:color="auto" w:fill="FFFFFF"/>
        </w:rPr>
        <w:t>(5), pp.682-740.</w:t>
      </w:r>
    </w:p>
    <w:p w14:paraId="05397340" w14:textId="146FCFDF" w:rsidR="006B1976" w:rsidRPr="006B1976" w:rsidRDefault="006B1976" w:rsidP="00F65BB0">
      <w:pPr>
        <w:pStyle w:val="NormalWeb"/>
        <w:spacing w:before="0" w:beforeAutospacing="0" w:after="0" w:afterAutospacing="0" w:line="480" w:lineRule="auto"/>
        <w:ind w:left="720" w:hanging="720"/>
      </w:pPr>
      <w:proofErr w:type="spellStart"/>
      <w:r w:rsidRPr="006B1976">
        <w:t>WeProtect</w:t>
      </w:r>
      <w:proofErr w:type="spellEnd"/>
      <w:r w:rsidRPr="006B1976">
        <w:t xml:space="preserve"> Global Alliance</w:t>
      </w:r>
      <w:r w:rsidRPr="006B1976">
        <w:t>., (</w:t>
      </w:r>
      <w:r w:rsidRPr="006B1976">
        <w:t>2019a</w:t>
      </w:r>
      <w:r w:rsidRPr="006B1976">
        <w:t>)</w:t>
      </w:r>
      <w:r w:rsidRPr="006B1976">
        <w:t xml:space="preserve">. </w:t>
      </w:r>
      <w:r w:rsidRPr="006B1976">
        <w:rPr>
          <w:i/>
          <w:iCs/>
        </w:rPr>
        <w:t>Gaming and the metaverse. The alarming rise of online sexual exploitation and abuse of children within the new digital frontier.</w:t>
      </w:r>
      <w:r w:rsidRPr="006B1976">
        <w:t xml:space="preserve"> [Online] Available at:</w:t>
      </w:r>
      <w:r w:rsidR="00BD3432">
        <w:t>&lt;//</w:t>
      </w:r>
      <w:r w:rsidRPr="006B1976">
        <w:t xml:space="preserve"> </w:t>
      </w:r>
      <w:hyperlink r:id="rId29" w:history="1">
        <w:r w:rsidR="00BD3432" w:rsidRPr="003D7C7B">
          <w:rPr>
            <w:rStyle w:val="Hyperlink"/>
          </w:rPr>
          <w:t>https://www.weprotect.org/wp-content/uploads/Gaming_and_the_Metaverse_Report_final.pdf</w:t>
        </w:r>
        <w:r w:rsidR="00BD3432" w:rsidRPr="003D7C7B">
          <w:rPr>
            <w:rStyle w:val="Hyperlink"/>
          </w:rPr>
          <w:t>//</w:t>
        </w:r>
      </w:hyperlink>
      <w:r w:rsidR="00BD3432">
        <w:t xml:space="preserve"> &gt;</w:t>
      </w:r>
      <w:r w:rsidRPr="006B1976">
        <w:t xml:space="preserve"> (Accessed: 11 Dec</w:t>
      </w:r>
      <w:r w:rsidR="00C2444D">
        <w:t xml:space="preserve">. </w:t>
      </w:r>
      <w:r w:rsidRPr="006B1976">
        <w:t xml:space="preserve">2023). </w:t>
      </w:r>
    </w:p>
    <w:p w14:paraId="08070AC3" w14:textId="649745AA" w:rsidR="006B1976" w:rsidRPr="006B1976" w:rsidRDefault="006B1976" w:rsidP="004C47DB">
      <w:pPr>
        <w:pStyle w:val="NormalWeb"/>
        <w:spacing w:line="480" w:lineRule="auto"/>
        <w:ind w:left="720" w:hanging="720"/>
      </w:pPr>
      <w:proofErr w:type="spellStart"/>
      <w:r w:rsidRPr="006B1976">
        <w:t>WeProtect</w:t>
      </w:r>
      <w:proofErr w:type="spellEnd"/>
      <w:r w:rsidRPr="006B1976">
        <w:t xml:space="preserve"> Global Alliance’s l., (2023) </w:t>
      </w:r>
      <w:r w:rsidRPr="006B1976">
        <w:rPr>
          <w:i/>
          <w:iCs/>
        </w:rPr>
        <w:t>Alarming escalation in child sexual abuse online revealed by Global Threat Assessment 2023</w:t>
      </w:r>
      <w:r w:rsidRPr="006B1976">
        <w:t xml:space="preserve">, </w:t>
      </w:r>
      <w:proofErr w:type="spellStart"/>
      <w:r w:rsidRPr="006B1976">
        <w:rPr>
          <w:i/>
          <w:iCs/>
        </w:rPr>
        <w:t>WeProtect</w:t>
      </w:r>
      <w:proofErr w:type="spellEnd"/>
      <w:r w:rsidRPr="006B1976">
        <w:rPr>
          <w:i/>
          <w:iCs/>
        </w:rPr>
        <w:t xml:space="preserve"> Global Alliance</w:t>
      </w:r>
      <w:r w:rsidRPr="006B1976">
        <w:t xml:space="preserve">. Available at: </w:t>
      </w:r>
      <w:r w:rsidR="00BD3432">
        <w:t xml:space="preserve">&lt;// </w:t>
      </w:r>
      <w:hyperlink r:id="rId30" w:history="1">
        <w:r w:rsidR="00BD3432" w:rsidRPr="003D7C7B">
          <w:rPr>
            <w:rStyle w:val="Hyperlink"/>
          </w:rPr>
          <w:t>https://www.weprotect.org/wp-content/uploads/Global-Threat-Asssesment-2023-Press-Release.pdf /</w:t>
        </w:r>
      </w:hyperlink>
      <w:r w:rsidR="00BD3432">
        <w:t xml:space="preserve"> /&gt;.</w:t>
      </w:r>
      <w:r w:rsidR="00BD3432" w:rsidRPr="006B1976">
        <w:t xml:space="preserve"> (</w:t>
      </w:r>
      <w:r w:rsidRPr="006B1976">
        <w:t>Accessed: 29 Nov</w:t>
      </w:r>
      <w:r w:rsidR="00EF0102">
        <w:t>.</w:t>
      </w:r>
      <w:r w:rsidRPr="006B1976">
        <w:t xml:space="preserve"> 2023). </w:t>
      </w:r>
    </w:p>
    <w:p w14:paraId="11348A46" w14:textId="0F14FF4E" w:rsidR="006B1976" w:rsidRPr="006B1976" w:rsidRDefault="006B1976" w:rsidP="00F65BB0">
      <w:pPr>
        <w:pStyle w:val="NormalWeb"/>
        <w:spacing w:before="0" w:beforeAutospacing="0" w:after="0" w:afterAutospacing="0" w:line="480" w:lineRule="auto"/>
        <w:ind w:left="720" w:hanging="720"/>
      </w:pPr>
      <w:proofErr w:type="spellStart"/>
      <w:r w:rsidRPr="006B1976">
        <w:t>WeProtect</w:t>
      </w:r>
      <w:proofErr w:type="spellEnd"/>
      <w:r w:rsidRPr="006B1976">
        <w:t xml:space="preserve"> Global Alliance’s</w:t>
      </w:r>
      <w:r w:rsidRPr="006B1976">
        <w:t>.</w:t>
      </w:r>
      <w:r w:rsidRPr="006B1976">
        <w:t xml:space="preserve">, </w:t>
      </w:r>
      <w:r w:rsidRPr="006B1976">
        <w:t>(</w:t>
      </w:r>
      <w:r w:rsidRPr="006B1976">
        <w:t>2023b</w:t>
      </w:r>
      <w:r w:rsidRPr="006B1976">
        <w:t>)</w:t>
      </w:r>
      <w:r w:rsidRPr="006B1976">
        <w:t xml:space="preserve">. </w:t>
      </w:r>
      <w:r w:rsidRPr="006B1976">
        <w:rPr>
          <w:i/>
          <w:iCs/>
        </w:rPr>
        <w:t>Alarming escalation in child sexual abuse online revealed by Global Threat Assessment 2023</w:t>
      </w:r>
      <w:r w:rsidRPr="006B1976">
        <w:t xml:space="preserve">, </w:t>
      </w:r>
      <w:proofErr w:type="spellStart"/>
      <w:r w:rsidRPr="006B1976">
        <w:rPr>
          <w:i/>
          <w:iCs/>
        </w:rPr>
        <w:t>WeProtect</w:t>
      </w:r>
      <w:proofErr w:type="spellEnd"/>
      <w:r w:rsidRPr="006B1976">
        <w:rPr>
          <w:i/>
          <w:iCs/>
        </w:rPr>
        <w:t xml:space="preserve"> Global Alliance</w:t>
      </w:r>
      <w:r w:rsidRPr="006B1976">
        <w:t>. [Online] Available at:</w:t>
      </w:r>
      <w:r w:rsidR="00BD3432">
        <w:t xml:space="preserve"> &lt;//</w:t>
      </w:r>
      <w:r w:rsidR="00D705AC">
        <w:t xml:space="preserve"> </w:t>
      </w:r>
      <w:hyperlink r:id="rId31" w:history="1">
        <w:r w:rsidR="00D705AC" w:rsidRPr="003D7C7B">
          <w:rPr>
            <w:rStyle w:val="Hyperlink"/>
          </w:rPr>
          <w:t>https://www.weprotect.org/wp-content/uploads/Global-Threat-Asssesment-2023-Press-Release.pdf</w:t>
        </w:r>
        <w:r w:rsidR="00D705AC" w:rsidRPr="003D7C7B">
          <w:rPr>
            <w:rStyle w:val="Hyperlink"/>
          </w:rPr>
          <w:t>//</w:t>
        </w:r>
      </w:hyperlink>
      <w:r w:rsidR="00D705AC">
        <w:t xml:space="preserve"> &gt;</w:t>
      </w:r>
      <w:r w:rsidRPr="006B1976">
        <w:t xml:space="preserve"> (Accessed: 29 Nov</w:t>
      </w:r>
      <w:r w:rsidR="00EF0102">
        <w:t>.</w:t>
      </w:r>
      <w:r w:rsidRPr="006B1976">
        <w:t xml:space="preserve"> 2023). </w:t>
      </w:r>
    </w:p>
    <w:p w14:paraId="2E167FC3" w14:textId="77777777" w:rsidR="007B3255" w:rsidRPr="00CE44E4" w:rsidRDefault="007B3255" w:rsidP="00CE44E4"/>
    <w:sectPr w:rsidR="007B3255" w:rsidRPr="00CE44E4">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E8020" w14:textId="77777777" w:rsidR="00004CD6" w:rsidRDefault="00004CD6" w:rsidP="00DD71A6">
      <w:pPr>
        <w:spacing w:after="0" w:line="240" w:lineRule="auto"/>
      </w:pPr>
      <w:r>
        <w:separator/>
      </w:r>
    </w:p>
  </w:endnote>
  <w:endnote w:type="continuationSeparator" w:id="0">
    <w:p w14:paraId="07F8224F" w14:textId="77777777" w:rsidR="00004CD6" w:rsidRDefault="00004CD6" w:rsidP="00DD7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03AAF" w14:textId="77777777" w:rsidR="00004CD6" w:rsidRDefault="00004CD6" w:rsidP="00DD71A6">
      <w:pPr>
        <w:spacing w:after="0" w:line="240" w:lineRule="auto"/>
      </w:pPr>
      <w:r>
        <w:separator/>
      </w:r>
    </w:p>
  </w:footnote>
  <w:footnote w:type="continuationSeparator" w:id="0">
    <w:p w14:paraId="438AE7F8" w14:textId="77777777" w:rsidR="00004CD6" w:rsidRDefault="00004CD6" w:rsidP="00DD71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08DBD4" w14:textId="3A4B9F93" w:rsidR="00DD71A6" w:rsidRDefault="00DD71A6">
    <w:pPr>
      <w:pStyle w:val="Header"/>
    </w:pPr>
    <w:r>
      <w:t xml:space="preserve">Ella Jade Smith </w:t>
    </w:r>
  </w:p>
  <w:p w14:paraId="5DB71E08" w14:textId="4F3D1A04" w:rsidR="00DD71A6" w:rsidRDefault="00DD71A6">
    <w:pPr>
      <w:pStyle w:val="Header"/>
    </w:pPr>
    <w:r>
      <w:t>BMP</w:t>
    </w:r>
    <w:r w:rsidR="008B5A44">
      <w:t>CP6000</w:t>
    </w:r>
  </w:p>
  <w:p w14:paraId="27B99A1A" w14:textId="5D7A131F" w:rsidR="008B5A44" w:rsidRDefault="00CC1F89">
    <w:pPr>
      <w:pStyle w:val="Header"/>
    </w:pPr>
    <w:r>
      <w:t>15/12/2023</w:t>
    </w:r>
  </w:p>
  <w:p w14:paraId="3CB83303" w14:textId="6E89A7BC" w:rsidR="00CC1F89" w:rsidRDefault="00CC1F89">
    <w:pPr>
      <w:pStyle w:val="Header"/>
    </w:pPr>
    <w:r>
      <w:t>Supporting Paper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0375E6"/>
    <w:multiLevelType w:val="multilevel"/>
    <w:tmpl w:val="B57AB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F746BB"/>
    <w:multiLevelType w:val="multilevel"/>
    <w:tmpl w:val="5A9A4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577BC8"/>
    <w:multiLevelType w:val="hybridMultilevel"/>
    <w:tmpl w:val="17081312"/>
    <w:lvl w:ilvl="0" w:tplc="F698DAF6">
      <w:start w:val="1"/>
      <w:numFmt w:val="bullet"/>
      <w:lvlText w:val="•"/>
      <w:lvlJc w:val="left"/>
      <w:pPr>
        <w:tabs>
          <w:tab w:val="num" w:pos="720"/>
        </w:tabs>
        <w:ind w:left="720" w:hanging="360"/>
      </w:pPr>
      <w:rPr>
        <w:rFonts w:ascii="Arial" w:hAnsi="Arial" w:hint="default"/>
      </w:rPr>
    </w:lvl>
    <w:lvl w:ilvl="1" w:tplc="BCAA64FA" w:tentative="1">
      <w:start w:val="1"/>
      <w:numFmt w:val="bullet"/>
      <w:lvlText w:val="•"/>
      <w:lvlJc w:val="left"/>
      <w:pPr>
        <w:tabs>
          <w:tab w:val="num" w:pos="1440"/>
        </w:tabs>
        <w:ind w:left="1440" w:hanging="360"/>
      </w:pPr>
      <w:rPr>
        <w:rFonts w:ascii="Arial" w:hAnsi="Arial" w:hint="default"/>
      </w:rPr>
    </w:lvl>
    <w:lvl w:ilvl="2" w:tplc="4CB63636" w:tentative="1">
      <w:start w:val="1"/>
      <w:numFmt w:val="bullet"/>
      <w:lvlText w:val="•"/>
      <w:lvlJc w:val="left"/>
      <w:pPr>
        <w:tabs>
          <w:tab w:val="num" w:pos="2160"/>
        </w:tabs>
        <w:ind w:left="2160" w:hanging="360"/>
      </w:pPr>
      <w:rPr>
        <w:rFonts w:ascii="Arial" w:hAnsi="Arial" w:hint="default"/>
      </w:rPr>
    </w:lvl>
    <w:lvl w:ilvl="3" w:tplc="0CE86B1C" w:tentative="1">
      <w:start w:val="1"/>
      <w:numFmt w:val="bullet"/>
      <w:lvlText w:val="•"/>
      <w:lvlJc w:val="left"/>
      <w:pPr>
        <w:tabs>
          <w:tab w:val="num" w:pos="2880"/>
        </w:tabs>
        <w:ind w:left="2880" w:hanging="360"/>
      </w:pPr>
      <w:rPr>
        <w:rFonts w:ascii="Arial" w:hAnsi="Arial" w:hint="default"/>
      </w:rPr>
    </w:lvl>
    <w:lvl w:ilvl="4" w:tplc="A6AA2FD4" w:tentative="1">
      <w:start w:val="1"/>
      <w:numFmt w:val="bullet"/>
      <w:lvlText w:val="•"/>
      <w:lvlJc w:val="left"/>
      <w:pPr>
        <w:tabs>
          <w:tab w:val="num" w:pos="3600"/>
        </w:tabs>
        <w:ind w:left="3600" w:hanging="360"/>
      </w:pPr>
      <w:rPr>
        <w:rFonts w:ascii="Arial" w:hAnsi="Arial" w:hint="default"/>
      </w:rPr>
    </w:lvl>
    <w:lvl w:ilvl="5" w:tplc="57D60850" w:tentative="1">
      <w:start w:val="1"/>
      <w:numFmt w:val="bullet"/>
      <w:lvlText w:val="•"/>
      <w:lvlJc w:val="left"/>
      <w:pPr>
        <w:tabs>
          <w:tab w:val="num" w:pos="4320"/>
        </w:tabs>
        <w:ind w:left="4320" w:hanging="360"/>
      </w:pPr>
      <w:rPr>
        <w:rFonts w:ascii="Arial" w:hAnsi="Arial" w:hint="default"/>
      </w:rPr>
    </w:lvl>
    <w:lvl w:ilvl="6" w:tplc="607272EA" w:tentative="1">
      <w:start w:val="1"/>
      <w:numFmt w:val="bullet"/>
      <w:lvlText w:val="•"/>
      <w:lvlJc w:val="left"/>
      <w:pPr>
        <w:tabs>
          <w:tab w:val="num" w:pos="5040"/>
        </w:tabs>
        <w:ind w:left="5040" w:hanging="360"/>
      </w:pPr>
      <w:rPr>
        <w:rFonts w:ascii="Arial" w:hAnsi="Arial" w:hint="default"/>
      </w:rPr>
    </w:lvl>
    <w:lvl w:ilvl="7" w:tplc="1168FEA8" w:tentative="1">
      <w:start w:val="1"/>
      <w:numFmt w:val="bullet"/>
      <w:lvlText w:val="•"/>
      <w:lvlJc w:val="left"/>
      <w:pPr>
        <w:tabs>
          <w:tab w:val="num" w:pos="5760"/>
        </w:tabs>
        <w:ind w:left="5760" w:hanging="360"/>
      </w:pPr>
      <w:rPr>
        <w:rFonts w:ascii="Arial" w:hAnsi="Arial" w:hint="default"/>
      </w:rPr>
    </w:lvl>
    <w:lvl w:ilvl="8" w:tplc="41C478C8" w:tentative="1">
      <w:start w:val="1"/>
      <w:numFmt w:val="bullet"/>
      <w:lvlText w:val="•"/>
      <w:lvlJc w:val="left"/>
      <w:pPr>
        <w:tabs>
          <w:tab w:val="num" w:pos="6480"/>
        </w:tabs>
        <w:ind w:left="6480" w:hanging="360"/>
      </w:pPr>
      <w:rPr>
        <w:rFonts w:ascii="Arial" w:hAnsi="Arial" w:hint="default"/>
      </w:rPr>
    </w:lvl>
  </w:abstractNum>
  <w:num w:numId="1" w16cid:durableId="457576827">
    <w:abstractNumId w:val="1"/>
  </w:num>
  <w:num w:numId="2" w16cid:durableId="248272035">
    <w:abstractNumId w:val="2"/>
  </w:num>
  <w:num w:numId="3" w16cid:durableId="1598437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F15"/>
    <w:rsid w:val="00001E46"/>
    <w:rsid w:val="00003576"/>
    <w:rsid w:val="00004CD6"/>
    <w:rsid w:val="000174A6"/>
    <w:rsid w:val="000237F7"/>
    <w:rsid w:val="00024C48"/>
    <w:rsid w:val="00043BB2"/>
    <w:rsid w:val="0004527B"/>
    <w:rsid w:val="00047EFA"/>
    <w:rsid w:val="000543C9"/>
    <w:rsid w:val="000545BF"/>
    <w:rsid w:val="00056380"/>
    <w:rsid w:val="0006351C"/>
    <w:rsid w:val="000754E6"/>
    <w:rsid w:val="00080754"/>
    <w:rsid w:val="00084BE2"/>
    <w:rsid w:val="00085408"/>
    <w:rsid w:val="0009656E"/>
    <w:rsid w:val="000C2C13"/>
    <w:rsid w:val="000C49F9"/>
    <w:rsid w:val="000D4444"/>
    <w:rsid w:val="000D5999"/>
    <w:rsid w:val="000E7D3C"/>
    <w:rsid w:val="00104FA2"/>
    <w:rsid w:val="00111B3B"/>
    <w:rsid w:val="00112B24"/>
    <w:rsid w:val="0011391B"/>
    <w:rsid w:val="00113B22"/>
    <w:rsid w:val="001231AD"/>
    <w:rsid w:val="00126595"/>
    <w:rsid w:val="00136065"/>
    <w:rsid w:val="00144C3E"/>
    <w:rsid w:val="001455A7"/>
    <w:rsid w:val="00163948"/>
    <w:rsid w:val="00163FF2"/>
    <w:rsid w:val="00172AC5"/>
    <w:rsid w:val="001922B7"/>
    <w:rsid w:val="001A1E9E"/>
    <w:rsid w:val="001A527C"/>
    <w:rsid w:val="001A5B3B"/>
    <w:rsid w:val="001B7396"/>
    <w:rsid w:val="001D0357"/>
    <w:rsid w:val="001E2BC2"/>
    <w:rsid w:val="001E39F4"/>
    <w:rsid w:val="001E5C68"/>
    <w:rsid w:val="001F2E6B"/>
    <w:rsid w:val="002003B3"/>
    <w:rsid w:val="00200E88"/>
    <w:rsid w:val="00201BFA"/>
    <w:rsid w:val="00201CFB"/>
    <w:rsid w:val="00210FAB"/>
    <w:rsid w:val="00222E36"/>
    <w:rsid w:val="00236330"/>
    <w:rsid w:val="002544F2"/>
    <w:rsid w:val="00260D6E"/>
    <w:rsid w:val="002612B8"/>
    <w:rsid w:val="00290FC9"/>
    <w:rsid w:val="00291AFB"/>
    <w:rsid w:val="00291CE3"/>
    <w:rsid w:val="002A30EE"/>
    <w:rsid w:val="002A4331"/>
    <w:rsid w:val="002A5862"/>
    <w:rsid w:val="002B2110"/>
    <w:rsid w:val="002B278C"/>
    <w:rsid w:val="002B73CC"/>
    <w:rsid w:val="002C0903"/>
    <w:rsid w:val="002C0CDC"/>
    <w:rsid w:val="002C23DB"/>
    <w:rsid w:val="002D3939"/>
    <w:rsid w:val="002D4C98"/>
    <w:rsid w:val="002D7AF5"/>
    <w:rsid w:val="002F34C7"/>
    <w:rsid w:val="002F3C11"/>
    <w:rsid w:val="002F7C2C"/>
    <w:rsid w:val="00300870"/>
    <w:rsid w:val="00302B4D"/>
    <w:rsid w:val="00310971"/>
    <w:rsid w:val="003122A1"/>
    <w:rsid w:val="0032277B"/>
    <w:rsid w:val="003277DD"/>
    <w:rsid w:val="00335614"/>
    <w:rsid w:val="00336F00"/>
    <w:rsid w:val="00350CB6"/>
    <w:rsid w:val="00351A08"/>
    <w:rsid w:val="00353534"/>
    <w:rsid w:val="00353E1E"/>
    <w:rsid w:val="0035748F"/>
    <w:rsid w:val="00365C05"/>
    <w:rsid w:val="003704C0"/>
    <w:rsid w:val="00395154"/>
    <w:rsid w:val="00397FD5"/>
    <w:rsid w:val="003A74FA"/>
    <w:rsid w:val="003B5EF4"/>
    <w:rsid w:val="003C1770"/>
    <w:rsid w:val="003C5334"/>
    <w:rsid w:val="003D01F4"/>
    <w:rsid w:val="003E4096"/>
    <w:rsid w:val="003E6776"/>
    <w:rsid w:val="003E7262"/>
    <w:rsid w:val="003F5F53"/>
    <w:rsid w:val="003F782D"/>
    <w:rsid w:val="00403CA6"/>
    <w:rsid w:val="00403EB5"/>
    <w:rsid w:val="004159A3"/>
    <w:rsid w:val="004231EF"/>
    <w:rsid w:val="004254CE"/>
    <w:rsid w:val="00431CFE"/>
    <w:rsid w:val="00435A05"/>
    <w:rsid w:val="00440515"/>
    <w:rsid w:val="00442E75"/>
    <w:rsid w:val="00444848"/>
    <w:rsid w:val="0045648D"/>
    <w:rsid w:val="0045753B"/>
    <w:rsid w:val="00475473"/>
    <w:rsid w:val="004772B8"/>
    <w:rsid w:val="00492101"/>
    <w:rsid w:val="00494848"/>
    <w:rsid w:val="00496A6A"/>
    <w:rsid w:val="00496ABD"/>
    <w:rsid w:val="004A068C"/>
    <w:rsid w:val="004A1D45"/>
    <w:rsid w:val="004A5F5B"/>
    <w:rsid w:val="004B1182"/>
    <w:rsid w:val="004B2578"/>
    <w:rsid w:val="004B2709"/>
    <w:rsid w:val="004B30C9"/>
    <w:rsid w:val="004C40FE"/>
    <w:rsid w:val="004C47DB"/>
    <w:rsid w:val="004D2D25"/>
    <w:rsid w:val="004D371F"/>
    <w:rsid w:val="004E261B"/>
    <w:rsid w:val="004F74F9"/>
    <w:rsid w:val="00501B14"/>
    <w:rsid w:val="00503747"/>
    <w:rsid w:val="00504B6C"/>
    <w:rsid w:val="00511F86"/>
    <w:rsid w:val="00541EE7"/>
    <w:rsid w:val="00545FF6"/>
    <w:rsid w:val="00550C29"/>
    <w:rsid w:val="00556BFC"/>
    <w:rsid w:val="0055718C"/>
    <w:rsid w:val="00557265"/>
    <w:rsid w:val="005579AA"/>
    <w:rsid w:val="00561F06"/>
    <w:rsid w:val="005731DD"/>
    <w:rsid w:val="0057732D"/>
    <w:rsid w:val="0058358D"/>
    <w:rsid w:val="00591181"/>
    <w:rsid w:val="005912C3"/>
    <w:rsid w:val="00593292"/>
    <w:rsid w:val="005A48FB"/>
    <w:rsid w:val="005A5A16"/>
    <w:rsid w:val="005B2EE0"/>
    <w:rsid w:val="005C4147"/>
    <w:rsid w:val="005C6016"/>
    <w:rsid w:val="005D3DFF"/>
    <w:rsid w:val="005E09DF"/>
    <w:rsid w:val="005E1BF1"/>
    <w:rsid w:val="005E3129"/>
    <w:rsid w:val="005E531D"/>
    <w:rsid w:val="005F28F9"/>
    <w:rsid w:val="0061073E"/>
    <w:rsid w:val="0061078F"/>
    <w:rsid w:val="00614733"/>
    <w:rsid w:val="00622487"/>
    <w:rsid w:val="00622E07"/>
    <w:rsid w:val="00631246"/>
    <w:rsid w:val="006373DB"/>
    <w:rsid w:val="006374BD"/>
    <w:rsid w:val="00641AC9"/>
    <w:rsid w:val="00642192"/>
    <w:rsid w:val="00645522"/>
    <w:rsid w:val="00650708"/>
    <w:rsid w:val="00661025"/>
    <w:rsid w:val="0066408B"/>
    <w:rsid w:val="00695687"/>
    <w:rsid w:val="006A0565"/>
    <w:rsid w:val="006A1F54"/>
    <w:rsid w:val="006B1976"/>
    <w:rsid w:val="006B1E01"/>
    <w:rsid w:val="006B2465"/>
    <w:rsid w:val="006B2EE3"/>
    <w:rsid w:val="006B5E26"/>
    <w:rsid w:val="006C0550"/>
    <w:rsid w:val="006C754D"/>
    <w:rsid w:val="006D2AF2"/>
    <w:rsid w:val="006D7D74"/>
    <w:rsid w:val="006E076E"/>
    <w:rsid w:val="006E1096"/>
    <w:rsid w:val="006F0BE1"/>
    <w:rsid w:val="006F240F"/>
    <w:rsid w:val="006F3CB5"/>
    <w:rsid w:val="007002AE"/>
    <w:rsid w:val="007004ED"/>
    <w:rsid w:val="0070386E"/>
    <w:rsid w:val="00703912"/>
    <w:rsid w:val="00712EBB"/>
    <w:rsid w:val="00720B31"/>
    <w:rsid w:val="007226CC"/>
    <w:rsid w:val="00737C71"/>
    <w:rsid w:val="007415B6"/>
    <w:rsid w:val="007469AE"/>
    <w:rsid w:val="00747319"/>
    <w:rsid w:val="00756E75"/>
    <w:rsid w:val="0075716E"/>
    <w:rsid w:val="0076443D"/>
    <w:rsid w:val="0076599E"/>
    <w:rsid w:val="00774453"/>
    <w:rsid w:val="00776B4F"/>
    <w:rsid w:val="007870F0"/>
    <w:rsid w:val="00792501"/>
    <w:rsid w:val="00796D7A"/>
    <w:rsid w:val="007A6424"/>
    <w:rsid w:val="007A7DF3"/>
    <w:rsid w:val="007B3255"/>
    <w:rsid w:val="007C6D37"/>
    <w:rsid w:val="007E66DE"/>
    <w:rsid w:val="007E733A"/>
    <w:rsid w:val="007F37A2"/>
    <w:rsid w:val="007F610C"/>
    <w:rsid w:val="007F7107"/>
    <w:rsid w:val="007F7A06"/>
    <w:rsid w:val="00802F53"/>
    <w:rsid w:val="008032AD"/>
    <w:rsid w:val="00821C2B"/>
    <w:rsid w:val="00825A3E"/>
    <w:rsid w:val="0083572D"/>
    <w:rsid w:val="00844C57"/>
    <w:rsid w:val="00850C52"/>
    <w:rsid w:val="00860AC7"/>
    <w:rsid w:val="0086445B"/>
    <w:rsid w:val="00884DAA"/>
    <w:rsid w:val="008850C6"/>
    <w:rsid w:val="008852BA"/>
    <w:rsid w:val="00890765"/>
    <w:rsid w:val="008A3AB1"/>
    <w:rsid w:val="008A51DA"/>
    <w:rsid w:val="008B5A44"/>
    <w:rsid w:val="008C21A6"/>
    <w:rsid w:val="008C53AA"/>
    <w:rsid w:val="008D3F78"/>
    <w:rsid w:val="008D6764"/>
    <w:rsid w:val="008E2080"/>
    <w:rsid w:val="008E2242"/>
    <w:rsid w:val="008E6DCE"/>
    <w:rsid w:val="0090186A"/>
    <w:rsid w:val="0090269D"/>
    <w:rsid w:val="0091187A"/>
    <w:rsid w:val="00912313"/>
    <w:rsid w:val="0092082B"/>
    <w:rsid w:val="00920AFF"/>
    <w:rsid w:val="00921668"/>
    <w:rsid w:val="009231E0"/>
    <w:rsid w:val="00924CA8"/>
    <w:rsid w:val="00940B05"/>
    <w:rsid w:val="00945AFF"/>
    <w:rsid w:val="00955CD0"/>
    <w:rsid w:val="00961F59"/>
    <w:rsid w:val="00965664"/>
    <w:rsid w:val="00967060"/>
    <w:rsid w:val="009761E9"/>
    <w:rsid w:val="00981E86"/>
    <w:rsid w:val="0098584B"/>
    <w:rsid w:val="00991899"/>
    <w:rsid w:val="00993BCB"/>
    <w:rsid w:val="009A188B"/>
    <w:rsid w:val="009A2B61"/>
    <w:rsid w:val="009A31F2"/>
    <w:rsid w:val="009A5929"/>
    <w:rsid w:val="009B01B6"/>
    <w:rsid w:val="009B4815"/>
    <w:rsid w:val="009B4FCE"/>
    <w:rsid w:val="009D2534"/>
    <w:rsid w:val="009E7773"/>
    <w:rsid w:val="009F60AC"/>
    <w:rsid w:val="00A04106"/>
    <w:rsid w:val="00A10AA9"/>
    <w:rsid w:val="00A14A53"/>
    <w:rsid w:val="00A16C69"/>
    <w:rsid w:val="00A16DC9"/>
    <w:rsid w:val="00A23F20"/>
    <w:rsid w:val="00A25CCA"/>
    <w:rsid w:val="00A314DC"/>
    <w:rsid w:val="00A37638"/>
    <w:rsid w:val="00A428FA"/>
    <w:rsid w:val="00A45F15"/>
    <w:rsid w:val="00A46876"/>
    <w:rsid w:val="00A541BF"/>
    <w:rsid w:val="00A55130"/>
    <w:rsid w:val="00A603E4"/>
    <w:rsid w:val="00A6524C"/>
    <w:rsid w:val="00A664D9"/>
    <w:rsid w:val="00A706EB"/>
    <w:rsid w:val="00A76B03"/>
    <w:rsid w:val="00A81108"/>
    <w:rsid w:val="00A845DF"/>
    <w:rsid w:val="00A84713"/>
    <w:rsid w:val="00A91E79"/>
    <w:rsid w:val="00AA091A"/>
    <w:rsid w:val="00AB512A"/>
    <w:rsid w:val="00AD5EAA"/>
    <w:rsid w:val="00AE50BA"/>
    <w:rsid w:val="00AE7A80"/>
    <w:rsid w:val="00AF1D01"/>
    <w:rsid w:val="00AF2965"/>
    <w:rsid w:val="00AF37EA"/>
    <w:rsid w:val="00AF5383"/>
    <w:rsid w:val="00B054B4"/>
    <w:rsid w:val="00B17870"/>
    <w:rsid w:val="00B21B3C"/>
    <w:rsid w:val="00B22EB8"/>
    <w:rsid w:val="00B22F97"/>
    <w:rsid w:val="00B239FE"/>
    <w:rsid w:val="00B24C82"/>
    <w:rsid w:val="00B371C5"/>
    <w:rsid w:val="00B3745B"/>
    <w:rsid w:val="00B42170"/>
    <w:rsid w:val="00B44800"/>
    <w:rsid w:val="00B5258A"/>
    <w:rsid w:val="00B56C42"/>
    <w:rsid w:val="00B6429D"/>
    <w:rsid w:val="00B651BC"/>
    <w:rsid w:val="00B67AFC"/>
    <w:rsid w:val="00B71BF7"/>
    <w:rsid w:val="00B75D2C"/>
    <w:rsid w:val="00B800BB"/>
    <w:rsid w:val="00B85BEF"/>
    <w:rsid w:val="00B862A0"/>
    <w:rsid w:val="00B90D93"/>
    <w:rsid w:val="00B91CD8"/>
    <w:rsid w:val="00B92D5E"/>
    <w:rsid w:val="00B93A87"/>
    <w:rsid w:val="00B951F0"/>
    <w:rsid w:val="00B97A98"/>
    <w:rsid w:val="00BA1599"/>
    <w:rsid w:val="00BA5030"/>
    <w:rsid w:val="00BB4CFB"/>
    <w:rsid w:val="00BC3322"/>
    <w:rsid w:val="00BD3432"/>
    <w:rsid w:val="00BE2026"/>
    <w:rsid w:val="00BE310E"/>
    <w:rsid w:val="00BF7633"/>
    <w:rsid w:val="00C11FE8"/>
    <w:rsid w:val="00C14CE5"/>
    <w:rsid w:val="00C2444D"/>
    <w:rsid w:val="00C248F2"/>
    <w:rsid w:val="00C35D70"/>
    <w:rsid w:val="00C40784"/>
    <w:rsid w:val="00C408F3"/>
    <w:rsid w:val="00C46FEA"/>
    <w:rsid w:val="00C5047E"/>
    <w:rsid w:val="00C6396F"/>
    <w:rsid w:val="00C70C3B"/>
    <w:rsid w:val="00C726F7"/>
    <w:rsid w:val="00C811FA"/>
    <w:rsid w:val="00C8342F"/>
    <w:rsid w:val="00C868FD"/>
    <w:rsid w:val="00CA5176"/>
    <w:rsid w:val="00CB2EF4"/>
    <w:rsid w:val="00CB7B34"/>
    <w:rsid w:val="00CC1904"/>
    <w:rsid w:val="00CC1F89"/>
    <w:rsid w:val="00CD0A79"/>
    <w:rsid w:val="00CE2C26"/>
    <w:rsid w:val="00CE44E4"/>
    <w:rsid w:val="00CE67FB"/>
    <w:rsid w:val="00CE6F74"/>
    <w:rsid w:val="00CF706E"/>
    <w:rsid w:val="00D05715"/>
    <w:rsid w:val="00D136AE"/>
    <w:rsid w:val="00D15A43"/>
    <w:rsid w:val="00D25D3D"/>
    <w:rsid w:val="00D27411"/>
    <w:rsid w:val="00D30E4B"/>
    <w:rsid w:val="00D33201"/>
    <w:rsid w:val="00D4005D"/>
    <w:rsid w:val="00D52D48"/>
    <w:rsid w:val="00D705AC"/>
    <w:rsid w:val="00D73438"/>
    <w:rsid w:val="00D74C24"/>
    <w:rsid w:val="00D86546"/>
    <w:rsid w:val="00D86E2F"/>
    <w:rsid w:val="00D876CC"/>
    <w:rsid w:val="00D93AD9"/>
    <w:rsid w:val="00D96CCB"/>
    <w:rsid w:val="00DA7016"/>
    <w:rsid w:val="00DA78FE"/>
    <w:rsid w:val="00DB01BE"/>
    <w:rsid w:val="00DB14AB"/>
    <w:rsid w:val="00DB5375"/>
    <w:rsid w:val="00DB75FE"/>
    <w:rsid w:val="00DB7C85"/>
    <w:rsid w:val="00DD089E"/>
    <w:rsid w:val="00DD44D2"/>
    <w:rsid w:val="00DD6A0C"/>
    <w:rsid w:val="00DD6AB0"/>
    <w:rsid w:val="00DD71A6"/>
    <w:rsid w:val="00DE2429"/>
    <w:rsid w:val="00DE245E"/>
    <w:rsid w:val="00DE738C"/>
    <w:rsid w:val="00E06A7A"/>
    <w:rsid w:val="00E17D64"/>
    <w:rsid w:val="00E21D06"/>
    <w:rsid w:val="00E3136E"/>
    <w:rsid w:val="00E40F21"/>
    <w:rsid w:val="00E42728"/>
    <w:rsid w:val="00E571EC"/>
    <w:rsid w:val="00E57537"/>
    <w:rsid w:val="00E6497E"/>
    <w:rsid w:val="00E70F30"/>
    <w:rsid w:val="00E720A8"/>
    <w:rsid w:val="00E76BF5"/>
    <w:rsid w:val="00E76C77"/>
    <w:rsid w:val="00E80012"/>
    <w:rsid w:val="00E82401"/>
    <w:rsid w:val="00E87887"/>
    <w:rsid w:val="00E90E97"/>
    <w:rsid w:val="00EA02DF"/>
    <w:rsid w:val="00EA750D"/>
    <w:rsid w:val="00EB21CF"/>
    <w:rsid w:val="00EC4BFB"/>
    <w:rsid w:val="00ED55F8"/>
    <w:rsid w:val="00EE51EF"/>
    <w:rsid w:val="00EF0102"/>
    <w:rsid w:val="00EF1217"/>
    <w:rsid w:val="00EF28EC"/>
    <w:rsid w:val="00EF403B"/>
    <w:rsid w:val="00EF461E"/>
    <w:rsid w:val="00F14E61"/>
    <w:rsid w:val="00F21DC3"/>
    <w:rsid w:val="00F237E7"/>
    <w:rsid w:val="00F33F42"/>
    <w:rsid w:val="00F35DEC"/>
    <w:rsid w:val="00F45EA6"/>
    <w:rsid w:val="00F56D7E"/>
    <w:rsid w:val="00F57FD8"/>
    <w:rsid w:val="00F65BB0"/>
    <w:rsid w:val="00F666FA"/>
    <w:rsid w:val="00F7135C"/>
    <w:rsid w:val="00F85811"/>
    <w:rsid w:val="00F85DC3"/>
    <w:rsid w:val="00F9120A"/>
    <w:rsid w:val="00FB247D"/>
    <w:rsid w:val="00FD6791"/>
    <w:rsid w:val="00FE136A"/>
    <w:rsid w:val="00FE53ED"/>
    <w:rsid w:val="00FF24C9"/>
    <w:rsid w:val="00FF329D"/>
    <w:rsid w:val="00FF3773"/>
    <w:rsid w:val="00FF5F8A"/>
    <w:rsid w:val="00FF6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01C6A"/>
  <w15:chartTrackingRefBased/>
  <w15:docId w15:val="{FF9C9F10-AB3C-49B6-9A0C-501400189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44E4"/>
    <w:rPr>
      <w:color w:val="0563C1" w:themeColor="hyperlink"/>
      <w:u w:val="single"/>
    </w:rPr>
  </w:style>
  <w:style w:type="character" w:styleId="UnresolvedMention">
    <w:name w:val="Unresolved Mention"/>
    <w:basedOn w:val="DefaultParagraphFont"/>
    <w:uiPriority w:val="99"/>
    <w:semiHidden/>
    <w:unhideWhenUsed/>
    <w:rsid w:val="00CE44E4"/>
    <w:rPr>
      <w:color w:val="605E5C"/>
      <w:shd w:val="clear" w:color="auto" w:fill="E1DFDD"/>
    </w:rPr>
  </w:style>
  <w:style w:type="paragraph" w:styleId="NormalWeb">
    <w:name w:val="Normal (Web)"/>
    <w:basedOn w:val="Normal"/>
    <w:uiPriority w:val="99"/>
    <w:unhideWhenUsed/>
    <w:rsid w:val="006B246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593292"/>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customStyle="1" w:styleId="pb-2">
    <w:name w:val="pb-2"/>
    <w:basedOn w:val="Normal"/>
    <w:rsid w:val="006D2AF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ssue-underline">
    <w:name w:val="issue-underline"/>
    <w:basedOn w:val="DefaultParagraphFont"/>
    <w:rsid w:val="006D2AF2"/>
  </w:style>
  <w:style w:type="paragraph" w:styleId="Header">
    <w:name w:val="header"/>
    <w:basedOn w:val="Normal"/>
    <w:link w:val="HeaderChar"/>
    <w:uiPriority w:val="99"/>
    <w:unhideWhenUsed/>
    <w:rsid w:val="00DD71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1A6"/>
  </w:style>
  <w:style w:type="paragraph" w:styleId="Footer">
    <w:name w:val="footer"/>
    <w:basedOn w:val="Normal"/>
    <w:link w:val="FooterChar"/>
    <w:uiPriority w:val="99"/>
    <w:unhideWhenUsed/>
    <w:rsid w:val="00DD7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1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15022">
      <w:bodyDiv w:val="1"/>
      <w:marLeft w:val="0"/>
      <w:marRight w:val="0"/>
      <w:marTop w:val="0"/>
      <w:marBottom w:val="0"/>
      <w:divBdr>
        <w:top w:val="none" w:sz="0" w:space="0" w:color="auto"/>
        <w:left w:val="none" w:sz="0" w:space="0" w:color="auto"/>
        <w:bottom w:val="none" w:sz="0" w:space="0" w:color="auto"/>
        <w:right w:val="none" w:sz="0" w:space="0" w:color="auto"/>
      </w:divBdr>
      <w:divsChild>
        <w:div w:id="986126134">
          <w:marLeft w:val="-720"/>
          <w:marRight w:val="0"/>
          <w:marTop w:val="0"/>
          <w:marBottom w:val="0"/>
          <w:divBdr>
            <w:top w:val="none" w:sz="0" w:space="0" w:color="auto"/>
            <w:left w:val="none" w:sz="0" w:space="0" w:color="auto"/>
            <w:bottom w:val="none" w:sz="0" w:space="0" w:color="auto"/>
            <w:right w:val="none" w:sz="0" w:space="0" w:color="auto"/>
          </w:divBdr>
        </w:div>
      </w:divsChild>
    </w:div>
    <w:div w:id="152648096">
      <w:bodyDiv w:val="1"/>
      <w:marLeft w:val="0"/>
      <w:marRight w:val="0"/>
      <w:marTop w:val="0"/>
      <w:marBottom w:val="0"/>
      <w:divBdr>
        <w:top w:val="none" w:sz="0" w:space="0" w:color="auto"/>
        <w:left w:val="none" w:sz="0" w:space="0" w:color="auto"/>
        <w:bottom w:val="none" w:sz="0" w:space="0" w:color="auto"/>
        <w:right w:val="none" w:sz="0" w:space="0" w:color="auto"/>
      </w:divBdr>
      <w:divsChild>
        <w:div w:id="569736651">
          <w:marLeft w:val="-720"/>
          <w:marRight w:val="0"/>
          <w:marTop w:val="0"/>
          <w:marBottom w:val="0"/>
          <w:divBdr>
            <w:top w:val="none" w:sz="0" w:space="0" w:color="auto"/>
            <w:left w:val="none" w:sz="0" w:space="0" w:color="auto"/>
            <w:bottom w:val="none" w:sz="0" w:space="0" w:color="auto"/>
            <w:right w:val="none" w:sz="0" w:space="0" w:color="auto"/>
          </w:divBdr>
        </w:div>
      </w:divsChild>
    </w:div>
    <w:div w:id="153687488">
      <w:bodyDiv w:val="1"/>
      <w:marLeft w:val="0"/>
      <w:marRight w:val="0"/>
      <w:marTop w:val="0"/>
      <w:marBottom w:val="0"/>
      <w:divBdr>
        <w:top w:val="none" w:sz="0" w:space="0" w:color="auto"/>
        <w:left w:val="none" w:sz="0" w:space="0" w:color="auto"/>
        <w:bottom w:val="none" w:sz="0" w:space="0" w:color="auto"/>
        <w:right w:val="none" w:sz="0" w:space="0" w:color="auto"/>
      </w:divBdr>
    </w:div>
    <w:div w:id="392388601">
      <w:bodyDiv w:val="1"/>
      <w:marLeft w:val="0"/>
      <w:marRight w:val="0"/>
      <w:marTop w:val="0"/>
      <w:marBottom w:val="0"/>
      <w:divBdr>
        <w:top w:val="none" w:sz="0" w:space="0" w:color="auto"/>
        <w:left w:val="none" w:sz="0" w:space="0" w:color="auto"/>
        <w:bottom w:val="none" w:sz="0" w:space="0" w:color="auto"/>
        <w:right w:val="none" w:sz="0" w:space="0" w:color="auto"/>
      </w:divBdr>
      <w:divsChild>
        <w:div w:id="1502697609">
          <w:marLeft w:val="-720"/>
          <w:marRight w:val="0"/>
          <w:marTop w:val="0"/>
          <w:marBottom w:val="0"/>
          <w:divBdr>
            <w:top w:val="none" w:sz="0" w:space="0" w:color="auto"/>
            <w:left w:val="none" w:sz="0" w:space="0" w:color="auto"/>
            <w:bottom w:val="none" w:sz="0" w:space="0" w:color="auto"/>
            <w:right w:val="none" w:sz="0" w:space="0" w:color="auto"/>
          </w:divBdr>
        </w:div>
      </w:divsChild>
    </w:div>
    <w:div w:id="540632149">
      <w:bodyDiv w:val="1"/>
      <w:marLeft w:val="0"/>
      <w:marRight w:val="0"/>
      <w:marTop w:val="0"/>
      <w:marBottom w:val="0"/>
      <w:divBdr>
        <w:top w:val="none" w:sz="0" w:space="0" w:color="auto"/>
        <w:left w:val="none" w:sz="0" w:space="0" w:color="auto"/>
        <w:bottom w:val="none" w:sz="0" w:space="0" w:color="auto"/>
        <w:right w:val="none" w:sz="0" w:space="0" w:color="auto"/>
      </w:divBdr>
      <w:divsChild>
        <w:div w:id="1622298714">
          <w:marLeft w:val="-720"/>
          <w:marRight w:val="0"/>
          <w:marTop w:val="0"/>
          <w:marBottom w:val="0"/>
          <w:divBdr>
            <w:top w:val="none" w:sz="0" w:space="0" w:color="auto"/>
            <w:left w:val="none" w:sz="0" w:space="0" w:color="auto"/>
            <w:bottom w:val="none" w:sz="0" w:space="0" w:color="auto"/>
            <w:right w:val="none" w:sz="0" w:space="0" w:color="auto"/>
          </w:divBdr>
        </w:div>
      </w:divsChild>
    </w:div>
    <w:div w:id="942998917">
      <w:bodyDiv w:val="1"/>
      <w:marLeft w:val="0"/>
      <w:marRight w:val="0"/>
      <w:marTop w:val="0"/>
      <w:marBottom w:val="0"/>
      <w:divBdr>
        <w:top w:val="none" w:sz="0" w:space="0" w:color="auto"/>
        <w:left w:val="none" w:sz="0" w:space="0" w:color="auto"/>
        <w:bottom w:val="none" w:sz="0" w:space="0" w:color="auto"/>
        <w:right w:val="none" w:sz="0" w:space="0" w:color="auto"/>
      </w:divBdr>
    </w:div>
    <w:div w:id="988284282">
      <w:bodyDiv w:val="1"/>
      <w:marLeft w:val="0"/>
      <w:marRight w:val="0"/>
      <w:marTop w:val="0"/>
      <w:marBottom w:val="0"/>
      <w:divBdr>
        <w:top w:val="none" w:sz="0" w:space="0" w:color="auto"/>
        <w:left w:val="none" w:sz="0" w:space="0" w:color="auto"/>
        <w:bottom w:val="none" w:sz="0" w:space="0" w:color="auto"/>
        <w:right w:val="none" w:sz="0" w:space="0" w:color="auto"/>
      </w:divBdr>
      <w:divsChild>
        <w:div w:id="557933720">
          <w:marLeft w:val="-720"/>
          <w:marRight w:val="0"/>
          <w:marTop w:val="0"/>
          <w:marBottom w:val="0"/>
          <w:divBdr>
            <w:top w:val="none" w:sz="0" w:space="0" w:color="auto"/>
            <w:left w:val="none" w:sz="0" w:space="0" w:color="auto"/>
            <w:bottom w:val="none" w:sz="0" w:space="0" w:color="auto"/>
            <w:right w:val="none" w:sz="0" w:space="0" w:color="auto"/>
          </w:divBdr>
        </w:div>
      </w:divsChild>
    </w:div>
    <w:div w:id="1192036919">
      <w:bodyDiv w:val="1"/>
      <w:marLeft w:val="0"/>
      <w:marRight w:val="0"/>
      <w:marTop w:val="0"/>
      <w:marBottom w:val="0"/>
      <w:divBdr>
        <w:top w:val="none" w:sz="0" w:space="0" w:color="auto"/>
        <w:left w:val="none" w:sz="0" w:space="0" w:color="auto"/>
        <w:bottom w:val="none" w:sz="0" w:space="0" w:color="auto"/>
        <w:right w:val="none" w:sz="0" w:space="0" w:color="auto"/>
      </w:divBdr>
      <w:divsChild>
        <w:div w:id="1229416424">
          <w:marLeft w:val="274"/>
          <w:marRight w:val="0"/>
          <w:marTop w:val="0"/>
          <w:marBottom w:val="0"/>
          <w:divBdr>
            <w:top w:val="none" w:sz="0" w:space="0" w:color="auto"/>
            <w:left w:val="none" w:sz="0" w:space="0" w:color="auto"/>
            <w:bottom w:val="none" w:sz="0" w:space="0" w:color="auto"/>
            <w:right w:val="none" w:sz="0" w:space="0" w:color="auto"/>
          </w:divBdr>
        </w:div>
        <w:div w:id="25369525">
          <w:marLeft w:val="274"/>
          <w:marRight w:val="0"/>
          <w:marTop w:val="0"/>
          <w:marBottom w:val="0"/>
          <w:divBdr>
            <w:top w:val="none" w:sz="0" w:space="0" w:color="auto"/>
            <w:left w:val="none" w:sz="0" w:space="0" w:color="auto"/>
            <w:bottom w:val="none" w:sz="0" w:space="0" w:color="auto"/>
            <w:right w:val="none" w:sz="0" w:space="0" w:color="auto"/>
          </w:divBdr>
        </w:div>
        <w:div w:id="2114812485">
          <w:marLeft w:val="274"/>
          <w:marRight w:val="0"/>
          <w:marTop w:val="0"/>
          <w:marBottom w:val="0"/>
          <w:divBdr>
            <w:top w:val="none" w:sz="0" w:space="0" w:color="auto"/>
            <w:left w:val="none" w:sz="0" w:space="0" w:color="auto"/>
            <w:bottom w:val="none" w:sz="0" w:space="0" w:color="auto"/>
            <w:right w:val="none" w:sz="0" w:space="0" w:color="auto"/>
          </w:divBdr>
        </w:div>
        <w:div w:id="139542429">
          <w:marLeft w:val="274"/>
          <w:marRight w:val="0"/>
          <w:marTop w:val="0"/>
          <w:marBottom w:val="0"/>
          <w:divBdr>
            <w:top w:val="none" w:sz="0" w:space="0" w:color="auto"/>
            <w:left w:val="none" w:sz="0" w:space="0" w:color="auto"/>
            <w:bottom w:val="none" w:sz="0" w:space="0" w:color="auto"/>
            <w:right w:val="none" w:sz="0" w:space="0" w:color="auto"/>
          </w:divBdr>
        </w:div>
        <w:div w:id="1354916087">
          <w:marLeft w:val="274"/>
          <w:marRight w:val="0"/>
          <w:marTop w:val="0"/>
          <w:marBottom w:val="0"/>
          <w:divBdr>
            <w:top w:val="none" w:sz="0" w:space="0" w:color="auto"/>
            <w:left w:val="none" w:sz="0" w:space="0" w:color="auto"/>
            <w:bottom w:val="none" w:sz="0" w:space="0" w:color="auto"/>
            <w:right w:val="none" w:sz="0" w:space="0" w:color="auto"/>
          </w:divBdr>
        </w:div>
        <w:div w:id="1071856531">
          <w:marLeft w:val="274"/>
          <w:marRight w:val="0"/>
          <w:marTop w:val="0"/>
          <w:marBottom w:val="0"/>
          <w:divBdr>
            <w:top w:val="none" w:sz="0" w:space="0" w:color="auto"/>
            <w:left w:val="none" w:sz="0" w:space="0" w:color="auto"/>
            <w:bottom w:val="none" w:sz="0" w:space="0" w:color="auto"/>
            <w:right w:val="none" w:sz="0" w:space="0" w:color="auto"/>
          </w:divBdr>
        </w:div>
        <w:div w:id="1899441265">
          <w:marLeft w:val="274"/>
          <w:marRight w:val="0"/>
          <w:marTop w:val="0"/>
          <w:marBottom w:val="0"/>
          <w:divBdr>
            <w:top w:val="none" w:sz="0" w:space="0" w:color="auto"/>
            <w:left w:val="none" w:sz="0" w:space="0" w:color="auto"/>
            <w:bottom w:val="none" w:sz="0" w:space="0" w:color="auto"/>
            <w:right w:val="none" w:sz="0" w:space="0" w:color="auto"/>
          </w:divBdr>
        </w:div>
        <w:div w:id="245695626">
          <w:marLeft w:val="274"/>
          <w:marRight w:val="0"/>
          <w:marTop w:val="0"/>
          <w:marBottom w:val="0"/>
          <w:divBdr>
            <w:top w:val="none" w:sz="0" w:space="0" w:color="auto"/>
            <w:left w:val="none" w:sz="0" w:space="0" w:color="auto"/>
            <w:bottom w:val="none" w:sz="0" w:space="0" w:color="auto"/>
            <w:right w:val="none" w:sz="0" w:space="0" w:color="auto"/>
          </w:divBdr>
        </w:div>
        <w:div w:id="1588340107">
          <w:marLeft w:val="274"/>
          <w:marRight w:val="0"/>
          <w:marTop w:val="0"/>
          <w:marBottom w:val="0"/>
          <w:divBdr>
            <w:top w:val="none" w:sz="0" w:space="0" w:color="auto"/>
            <w:left w:val="none" w:sz="0" w:space="0" w:color="auto"/>
            <w:bottom w:val="none" w:sz="0" w:space="0" w:color="auto"/>
            <w:right w:val="none" w:sz="0" w:space="0" w:color="auto"/>
          </w:divBdr>
        </w:div>
      </w:divsChild>
    </w:div>
    <w:div w:id="1193345862">
      <w:bodyDiv w:val="1"/>
      <w:marLeft w:val="0"/>
      <w:marRight w:val="0"/>
      <w:marTop w:val="0"/>
      <w:marBottom w:val="0"/>
      <w:divBdr>
        <w:top w:val="none" w:sz="0" w:space="0" w:color="auto"/>
        <w:left w:val="none" w:sz="0" w:space="0" w:color="auto"/>
        <w:bottom w:val="none" w:sz="0" w:space="0" w:color="auto"/>
        <w:right w:val="none" w:sz="0" w:space="0" w:color="auto"/>
      </w:divBdr>
      <w:divsChild>
        <w:div w:id="159778001">
          <w:marLeft w:val="-720"/>
          <w:marRight w:val="0"/>
          <w:marTop w:val="0"/>
          <w:marBottom w:val="0"/>
          <w:divBdr>
            <w:top w:val="none" w:sz="0" w:space="0" w:color="auto"/>
            <w:left w:val="none" w:sz="0" w:space="0" w:color="auto"/>
            <w:bottom w:val="none" w:sz="0" w:space="0" w:color="auto"/>
            <w:right w:val="none" w:sz="0" w:space="0" w:color="auto"/>
          </w:divBdr>
        </w:div>
      </w:divsChild>
    </w:div>
    <w:div w:id="1368598519">
      <w:bodyDiv w:val="1"/>
      <w:marLeft w:val="0"/>
      <w:marRight w:val="0"/>
      <w:marTop w:val="0"/>
      <w:marBottom w:val="0"/>
      <w:divBdr>
        <w:top w:val="none" w:sz="0" w:space="0" w:color="auto"/>
        <w:left w:val="none" w:sz="0" w:space="0" w:color="auto"/>
        <w:bottom w:val="none" w:sz="0" w:space="0" w:color="auto"/>
        <w:right w:val="none" w:sz="0" w:space="0" w:color="auto"/>
      </w:divBdr>
    </w:div>
    <w:div w:id="1376661640">
      <w:bodyDiv w:val="1"/>
      <w:marLeft w:val="0"/>
      <w:marRight w:val="0"/>
      <w:marTop w:val="0"/>
      <w:marBottom w:val="0"/>
      <w:divBdr>
        <w:top w:val="none" w:sz="0" w:space="0" w:color="auto"/>
        <w:left w:val="none" w:sz="0" w:space="0" w:color="auto"/>
        <w:bottom w:val="none" w:sz="0" w:space="0" w:color="auto"/>
        <w:right w:val="none" w:sz="0" w:space="0" w:color="auto"/>
      </w:divBdr>
      <w:divsChild>
        <w:div w:id="68354654">
          <w:marLeft w:val="-720"/>
          <w:marRight w:val="0"/>
          <w:marTop w:val="0"/>
          <w:marBottom w:val="0"/>
          <w:divBdr>
            <w:top w:val="none" w:sz="0" w:space="0" w:color="auto"/>
            <w:left w:val="none" w:sz="0" w:space="0" w:color="auto"/>
            <w:bottom w:val="none" w:sz="0" w:space="0" w:color="auto"/>
            <w:right w:val="none" w:sz="0" w:space="0" w:color="auto"/>
          </w:divBdr>
        </w:div>
      </w:divsChild>
    </w:div>
    <w:div w:id="1409033110">
      <w:bodyDiv w:val="1"/>
      <w:marLeft w:val="0"/>
      <w:marRight w:val="0"/>
      <w:marTop w:val="0"/>
      <w:marBottom w:val="0"/>
      <w:divBdr>
        <w:top w:val="none" w:sz="0" w:space="0" w:color="auto"/>
        <w:left w:val="none" w:sz="0" w:space="0" w:color="auto"/>
        <w:bottom w:val="none" w:sz="0" w:space="0" w:color="auto"/>
        <w:right w:val="none" w:sz="0" w:space="0" w:color="auto"/>
      </w:divBdr>
    </w:div>
    <w:div w:id="1462185302">
      <w:bodyDiv w:val="1"/>
      <w:marLeft w:val="0"/>
      <w:marRight w:val="0"/>
      <w:marTop w:val="0"/>
      <w:marBottom w:val="0"/>
      <w:divBdr>
        <w:top w:val="none" w:sz="0" w:space="0" w:color="auto"/>
        <w:left w:val="none" w:sz="0" w:space="0" w:color="auto"/>
        <w:bottom w:val="none" w:sz="0" w:space="0" w:color="auto"/>
        <w:right w:val="none" w:sz="0" w:space="0" w:color="auto"/>
      </w:divBdr>
    </w:div>
    <w:div w:id="1508399830">
      <w:bodyDiv w:val="1"/>
      <w:marLeft w:val="0"/>
      <w:marRight w:val="0"/>
      <w:marTop w:val="0"/>
      <w:marBottom w:val="0"/>
      <w:divBdr>
        <w:top w:val="none" w:sz="0" w:space="0" w:color="auto"/>
        <w:left w:val="none" w:sz="0" w:space="0" w:color="auto"/>
        <w:bottom w:val="none" w:sz="0" w:space="0" w:color="auto"/>
        <w:right w:val="none" w:sz="0" w:space="0" w:color="auto"/>
      </w:divBdr>
    </w:div>
    <w:div w:id="1622300090">
      <w:bodyDiv w:val="1"/>
      <w:marLeft w:val="0"/>
      <w:marRight w:val="0"/>
      <w:marTop w:val="0"/>
      <w:marBottom w:val="0"/>
      <w:divBdr>
        <w:top w:val="none" w:sz="0" w:space="0" w:color="auto"/>
        <w:left w:val="none" w:sz="0" w:space="0" w:color="auto"/>
        <w:bottom w:val="none" w:sz="0" w:space="0" w:color="auto"/>
        <w:right w:val="none" w:sz="0" w:space="0" w:color="auto"/>
      </w:divBdr>
      <w:divsChild>
        <w:div w:id="606936589">
          <w:marLeft w:val="-720"/>
          <w:marRight w:val="0"/>
          <w:marTop w:val="0"/>
          <w:marBottom w:val="0"/>
          <w:divBdr>
            <w:top w:val="none" w:sz="0" w:space="0" w:color="auto"/>
            <w:left w:val="none" w:sz="0" w:space="0" w:color="auto"/>
            <w:bottom w:val="none" w:sz="0" w:space="0" w:color="auto"/>
            <w:right w:val="none" w:sz="0" w:space="0" w:color="auto"/>
          </w:divBdr>
        </w:div>
      </w:divsChild>
    </w:div>
    <w:div w:id="1868982030">
      <w:bodyDiv w:val="1"/>
      <w:marLeft w:val="0"/>
      <w:marRight w:val="0"/>
      <w:marTop w:val="0"/>
      <w:marBottom w:val="0"/>
      <w:divBdr>
        <w:top w:val="none" w:sz="0" w:space="0" w:color="auto"/>
        <w:left w:val="none" w:sz="0" w:space="0" w:color="auto"/>
        <w:bottom w:val="none" w:sz="0" w:space="0" w:color="auto"/>
        <w:right w:val="none" w:sz="0" w:space="0" w:color="auto"/>
      </w:divBdr>
      <w:divsChild>
        <w:div w:id="291256333">
          <w:marLeft w:val="-720"/>
          <w:marRight w:val="0"/>
          <w:marTop w:val="0"/>
          <w:marBottom w:val="0"/>
          <w:divBdr>
            <w:top w:val="none" w:sz="0" w:space="0" w:color="auto"/>
            <w:left w:val="none" w:sz="0" w:space="0" w:color="auto"/>
            <w:bottom w:val="none" w:sz="0" w:space="0" w:color="auto"/>
            <w:right w:val="none" w:sz="0" w:space="0" w:color="auto"/>
          </w:divBdr>
        </w:div>
      </w:divsChild>
    </w:div>
    <w:div w:id="1942911484">
      <w:bodyDiv w:val="1"/>
      <w:marLeft w:val="0"/>
      <w:marRight w:val="0"/>
      <w:marTop w:val="0"/>
      <w:marBottom w:val="0"/>
      <w:divBdr>
        <w:top w:val="none" w:sz="0" w:space="0" w:color="auto"/>
        <w:left w:val="none" w:sz="0" w:space="0" w:color="auto"/>
        <w:bottom w:val="none" w:sz="0" w:space="0" w:color="auto"/>
        <w:right w:val="none" w:sz="0" w:space="0" w:color="auto"/>
      </w:divBdr>
      <w:divsChild>
        <w:div w:id="38437710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justiceinspectorates.gov.uk/hmiprobation/research/the-evidence-base-youth-offending-services/specific-types-of-delivery/enhanced-case-management//" TargetMode="External"/><Relationship Id="rId18" Type="http://schemas.openxmlformats.org/officeDocument/2006/relationships/hyperlink" Target="http://learning.nspcc.org.uk/child-abuse-and-neglect/child-sexual-exploitation//" TargetMode="External"/><Relationship Id="rId26" Type="http://schemas.openxmlformats.org/officeDocument/2006/relationships/hyperlink" Target="https://www.unicef.org/media/89206/file/CSAE-Brief-v3.pdf//" TargetMode="External"/><Relationship Id="rId3" Type="http://schemas.openxmlformats.org/officeDocument/2006/relationships/settings" Target="settings.xml"/><Relationship Id="rId21" Type="http://schemas.openxmlformats.org/officeDocument/2006/relationships/hyperlink" Target="https://www.pewresearch.org/internet/2020/06/30/tech-causes-more-problems-than-it-solves/" TargetMode="External"/><Relationship Id="rId34" Type="http://schemas.openxmlformats.org/officeDocument/2006/relationships/theme" Target="theme/theme1.xml"/><Relationship Id="rId7" Type="http://schemas.openxmlformats.org/officeDocument/2006/relationships/hyperlink" Target="https://doi.org/10.1177/1477370812453401.//" TargetMode="External"/><Relationship Id="rId12" Type="http://schemas.openxmlformats.org/officeDocument/2006/relationships/hyperlink" Target="https://www.gov.uk/government/organisations/disclosure-and-barring-service/" TargetMode="External"/><Relationship Id="rId17" Type="http://schemas.openxmlformats.org/officeDocument/2006/relationships/hyperlink" Target="https://www.nidirect.gov.uk/articles/disclosure-and-barring-protecting-children-and-vulnerable-adults//" TargetMode="External"/><Relationship Id="rId25" Type="http://schemas.openxmlformats.org/officeDocument/2006/relationships/hyperlink" Target="https://www.theupstreamproject.org.uk/know/myth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earning.nspcc.org.uk/research-resources/statistics-briefings/child-sexual-abuse" TargetMode="External"/><Relationship Id="rId20" Type="http://schemas.openxmlformats.org/officeDocument/2006/relationships/hyperlink" Target="https://www.theguardian.com/commentisfree/2023/aug/03/how-parents-carers-can-support-children-a-child-who-has-experienced-sexual-abuse-trauma#:~:text=Children%20who%20have%20experienced%20sexual,it%20wasn&#8217;t%20their%20fault.//" TargetMode="External"/><Relationship Id="rId29" Type="http://schemas.openxmlformats.org/officeDocument/2006/relationships/hyperlink" Target="https://www.weprotect.org/wp-content/uploads/Gaming_and_the_Metaverse_Report_fi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researchgate.net/publication/276028168_Victim-Offender_Overlap./" TargetMode="External"/><Relationship Id="rId24" Type="http://schemas.openxmlformats.org/officeDocument/2006/relationships/hyperlink" Target="https://www.cps.gov.uk/legal-guidance/cybercrime-prosecution-guidance//"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56687/9781447331834.//" TargetMode="External"/><Relationship Id="rId23" Type="http://schemas.openxmlformats.org/officeDocument/2006/relationships/hyperlink" Target="https://www.suttondefencelawyers.co.uk/notable-cases.html#:~:text=R%20v%20H%20(Norwich),on%20video%20to%20the%20police.//" TargetMode="External"/><Relationship Id="rId28" Type="http://schemas.openxmlformats.org/officeDocument/2006/relationships/hyperlink" Target="https://eprints.lincoln.ac.uk/id/eprint/28264/3/index.pdf//" TargetMode="External"/><Relationship Id="rId10" Type="http://schemas.openxmlformats.org/officeDocument/2006/relationships/hyperlink" Target="https://www.ons.gov.uk/peoplepopulationandcommunity/crimeandjustice/articles/sexualoffencesvictimcharacteristicsenglandandwales/yearendingmarch2022//" TargetMode="External"/><Relationship Id="rId19" Type="http://schemas.openxmlformats.org/officeDocument/2006/relationships/hyperlink" Target="http://www.nspcc.org.uk/about-us/news-opinion/2022/online-grooming-crimes-rise/.//" TargetMode="External"/><Relationship Id="rId31" Type="http://schemas.openxmlformats.org/officeDocument/2006/relationships/hyperlink" Target="https://www.weprotect.org/wp-content/uploads/Global-Threat-Asssesment-2023-Press-Release.pdf//" TargetMode="External"/><Relationship Id="rId4" Type="http://schemas.openxmlformats.org/officeDocument/2006/relationships/webSettings" Target="webSettings.xml"/><Relationship Id="rId9" Type="http://schemas.openxmlformats.org/officeDocument/2006/relationships/hyperlink" Target="https://www.ons.gov.uk/peoplepopulationandcommunity/crimeandjustice/articles/childsexualabuseinenglandandwales/yearendingmarch2019//" TargetMode="External"/><Relationship Id="rId14" Type="http://schemas.openxmlformats.org/officeDocument/2006/relationships/hyperlink" Target="https://www.local.gov.uk/sites/default/files/documents/tackling-child-sexual-exp-8d3.pdf/" TargetMode="External"/><Relationship Id="rId22" Type="http://schemas.openxmlformats.org/officeDocument/2006/relationships/hyperlink" Target="https://www.theguardian.com/world/2018/mar/02/church-of-england-faces-deep-shame-at-child-abuse-inquiry/" TargetMode="External"/><Relationship Id="rId27" Type="http://schemas.openxmlformats.org/officeDocument/2006/relationships/hyperlink" Target="https://www.unicef.org/media/89206/file/CSAE-Brief-v3.pdf//" TargetMode="External"/><Relationship Id="rId30" Type="http://schemas.openxmlformats.org/officeDocument/2006/relationships/hyperlink" Target="https://www.weprotect.org/wp-content/uploads/Global-Threat-Asssesment-2023-Press-Release.pdf%20/" TargetMode="External"/><Relationship Id="rId8" Type="http://schemas.openxmlformats.org/officeDocument/2006/relationships/hyperlink" Target="http://www.cps.gov.uk/legal-guidance/child-sexual-abuse-guidelines-prosecuting-cases-child-sexual-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4158</Words>
  <Characters>23701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dc:creator>
  <cp:keywords/>
  <dc:description/>
  <cp:lastModifiedBy>Ella Smith</cp:lastModifiedBy>
  <cp:revision>5</cp:revision>
  <dcterms:created xsi:type="dcterms:W3CDTF">2023-12-15T15:21:00Z</dcterms:created>
  <dcterms:modified xsi:type="dcterms:W3CDTF">2023-12-15T15:24:00Z</dcterms:modified>
</cp:coreProperties>
</file>