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8C66D3" w14:textId="594E4FD7" w:rsidR="00B27EB8" w:rsidRPr="00BF1B7E" w:rsidRDefault="00B27EB8" w:rsidP="00B27EB8">
      <w:pPr>
        <w:rPr>
          <w:rFonts w:eastAsia="Times New Roman"/>
          <w:b/>
          <w:bCs/>
        </w:rPr>
      </w:pPr>
      <w:r w:rsidRPr="00BF1B7E">
        <w:rPr>
          <w:rFonts w:eastAsia="Times New Roman"/>
          <w:b/>
          <w:bCs/>
        </w:rPr>
        <w:t>Emergency Preparedness in Water Utility Management: A Focus on Dwr Cymru Welsh Water</w:t>
      </w:r>
    </w:p>
    <w:p w14:paraId="20517795" w14:textId="77777777" w:rsidR="00B27EB8" w:rsidRDefault="00B27EB8" w:rsidP="00B27EB8">
      <w:pPr>
        <w:rPr>
          <w:rFonts w:eastAsia="Times New Roman"/>
        </w:rPr>
      </w:pPr>
    </w:p>
    <w:p w14:paraId="70655B2E" w14:textId="0A109329" w:rsidR="00B27EB8" w:rsidRPr="00961EAE" w:rsidRDefault="00B27EB8" w:rsidP="00B27EB8">
      <w:pPr>
        <w:rPr>
          <w:rFonts w:eastAsia="Times New Roman"/>
          <w:b/>
          <w:bCs/>
        </w:rPr>
      </w:pPr>
      <w:r w:rsidRPr="00961EAE">
        <w:rPr>
          <w:rFonts w:eastAsia="Times New Roman"/>
          <w:b/>
          <w:bCs/>
        </w:rPr>
        <w:t>Introduction</w:t>
      </w:r>
    </w:p>
    <w:p w14:paraId="7B67DB8F" w14:textId="77777777" w:rsidR="00B27EB8" w:rsidRDefault="00B27EB8" w:rsidP="00B27EB8">
      <w:pPr>
        <w:rPr>
          <w:rFonts w:eastAsia="Times New Roman"/>
        </w:rPr>
      </w:pPr>
    </w:p>
    <w:p w14:paraId="5A5EF3DC" w14:textId="77777777" w:rsidR="00B27EB8" w:rsidRDefault="00B27EB8" w:rsidP="00B27EB8">
      <w:pPr>
        <w:rPr>
          <w:rFonts w:eastAsia="Times New Roman"/>
        </w:rPr>
      </w:pPr>
      <w:r>
        <w:rPr>
          <w:rFonts w:eastAsia="Times New Roman"/>
        </w:rPr>
        <w:t>Dwr Cymru Welsh Water (DCWW) operates as the principal water and sewerage undertaker in Wales and Herefordshire, playing a pivotal role in ensuring the provision of essential services to the public. In an era characterized by rapid change, from climate change to public health crises, effective emergency preparedness is crucial for utility companies. This assignment explores the legislative framework governing emergency preparedness, best practices associated with training and exercising, benefits derived from such initiatives, methods for identifying lessons learned, insights from recent public inquiries, and specific obligations imposed by relevant legislation.</w:t>
      </w:r>
    </w:p>
    <w:p w14:paraId="07BE22F4" w14:textId="77777777" w:rsidR="00B27EB8" w:rsidRDefault="00B27EB8" w:rsidP="00B27EB8">
      <w:pPr>
        <w:rPr>
          <w:rFonts w:eastAsia="Times New Roman"/>
        </w:rPr>
      </w:pPr>
    </w:p>
    <w:p w14:paraId="244FB0ED" w14:textId="77777777" w:rsidR="00B27EB8" w:rsidRDefault="00B27EB8" w:rsidP="00B27EB8">
      <w:pPr>
        <w:rPr>
          <w:rFonts w:eastAsia="Times New Roman"/>
        </w:rPr>
      </w:pPr>
      <w:r>
        <w:rPr>
          <w:rFonts w:eastAsia="Times New Roman"/>
        </w:rPr>
        <w:t>The Civil Contingencies Act 2004 (CCA 2004) and the Water Industry Act 1991 (WIA 1991) serve as the cornerstone of emergency management legislation applicable to DCWW. Additionally, guidelines from the Security Emergency Measures Direction (SEMD) and the Department for Environment, Food &amp; Rural Affairs (DEFRA) further enhance the organization's preparedness and resilience. By examining these elements in the context of DCWW, we can gain a comprehensive understanding of how water utility companies can enhance their resilience and ensure public safety.</w:t>
      </w:r>
    </w:p>
    <w:p w14:paraId="2043361D" w14:textId="77777777" w:rsidR="00B27EB8" w:rsidRPr="00961EAE" w:rsidRDefault="00B27EB8" w:rsidP="00B27EB8">
      <w:pPr>
        <w:rPr>
          <w:rFonts w:eastAsia="Times New Roman"/>
          <w:b/>
          <w:bCs/>
        </w:rPr>
      </w:pPr>
    </w:p>
    <w:p w14:paraId="4D7FAAFC" w14:textId="0D31F553" w:rsidR="00B27EB8" w:rsidRPr="00961EAE" w:rsidRDefault="00B27EB8" w:rsidP="00B27EB8">
      <w:pPr>
        <w:rPr>
          <w:rFonts w:eastAsia="Times New Roman"/>
          <w:b/>
          <w:bCs/>
        </w:rPr>
      </w:pPr>
      <w:r w:rsidRPr="00961EAE">
        <w:rPr>
          <w:rFonts w:eastAsia="Times New Roman"/>
          <w:b/>
          <w:bCs/>
        </w:rPr>
        <w:t>1. Legislative Framework Requiring Training and Exercising</w:t>
      </w:r>
    </w:p>
    <w:p w14:paraId="35CF6515" w14:textId="77777777" w:rsidR="00B27EB8" w:rsidRDefault="00B27EB8" w:rsidP="00B27EB8">
      <w:pPr>
        <w:rPr>
          <w:rFonts w:eastAsia="Times New Roman"/>
        </w:rPr>
      </w:pPr>
    </w:p>
    <w:p w14:paraId="7065A0CE" w14:textId="3A05A9F8" w:rsidR="00B27EB8" w:rsidRPr="00CE166B" w:rsidRDefault="00B27EB8" w:rsidP="00B27EB8">
      <w:pPr>
        <w:rPr>
          <w:rFonts w:eastAsia="Times New Roman"/>
        </w:rPr>
      </w:pPr>
      <w:r w:rsidRPr="00CE166B">
        <w:rPr>
          <w:rFonts w:eastAsia="Times New Roman"/>
        </w:rPr>
        <w:t>1.1 The Civil Contingencies Act 2004</w:t>
      </w:r>
    </w:p>
    <w:p w14:paraId="05D6F84C" w14:textId="77777777" w:rsidR="00B27EB8" w:rsidRDefault="00B27EB8" w:rsidP="00B27EB8">
      <w:pPr>
        <w:rPr>
          <w:rFonts w:eastAsia="Times New Roman"/>
        </w:rPr>
      </w:pPr>
    </w:p>
    <w:p w14:paraId="23004005" w14:textId="77777777" w:rsidR="00B27EB8" w:rsidRDefault="00B27EB8" w:rsidP="00B27EB8">
      <w:pPr>
        <w:rPr>
          <w:rFonts w:eastAsia="Times New Roman"/>
        </w:rPr>
      </w:pPr>
      <w:r>
        <w:rPr>
          <w:rFonts w:eastAsia="Times New Roman"/>
        </w:rPr>
        <w:t>The CCA 2004 is a key piece of legislation for emergency management in the United Kingdom. Enacted in response to the need for an integrated approach to managing emergencies, particularly after the vulnerabilities exposed by the 9/11 attacks, the Act categorises organisations into two groups: Category 1 responders and Category 2 responders. Category 1 responders include local authorities, emergency services, and NHS bodies, while Category 2 responders include utility companies like DCWW (Cabinet Office, 2017).</w:t>
      </w:r>
    </w:p>
    <w:p w14:paraId="5BA4D36F" w14:textId="77777777" w:rsidR="00B27EB8" w:rsidRDefault="00B27EB8" w:rsidP="00B27EB8">
      <w:pPr>
        <w:rPr>
          <w:rFonts w:eastAsia="Times New Roman"/>
        </w:rPr>
      </w:pPr>
    </w:p>
    <w:p w14:paraId="5D503E70" w14:textId="398C06F3" w:rsidR="00B27EB8" w:rsidRDefault="00B27EB8" w:rsidP="00B27EB8">
      <w:pPr>
        <w:rPr>
          <w:rFonts w:eastAsia="Times New Roman"/>
        </w:rPr>
      </w:pPr>
      <w:r>
        <w:rPr>
          <w:rFonts w:eastAsia="Times New Roman"/>
        </w:rPr>
        <w:t>Primary Duties Under the CCA</w:t>
      </w:r>
    </w:p>
    <w:p w14:paraId="6A7824DA" w14:textId="77777777" w:rsidR="00B27EB8" w:rsidRDefault="00B27EB8" w:rsidP="00B27EB8">
      <w:pPr>
        <w:rPr>
          <w:rFonts w:eastAsia="Times New Roman"/>
        </w:rPr>
      </w:pPr>
    </w:p>
    <w:p w14:paraId="1E2ABB0E" w14:textId="77777777" w:rsidR="00B27EB8" w:rsidRDefault="00B27EB8" w:rsidP="00B27EB8">
      <w:pPr>
        <w:rPr>
          <w:rFonts w:eastAsia="Times New Roman"/>
        </w:rPr>
      </w:pPr>
      <w:r>
        <w:rPr>
          <w:rFonts w:eastAsia="Times New Roman"/>
        </w:rPr>
        <w:t>Section 2 of the CCA outlines the primary duties for Category 2 responders, which include:</w:t>
      </w:r>
    </w:p>
    <w:p w14:paraId="6856C53A" w14:textId="77777777" w:rsidR="00B27EB8" w:rsidRDefault="00B27EB8" w:rsidP="00B27EB8">
      <w:pPr>
        <w:rPr>
          <w:rFonts w:eastAsia="Times New Roman"/>
        </w:rPr>
      </w:pPr>
    </w:p>
    <w:p w14:paraId="63D9244D" w14:textId="534013A9" w:rsidR="00B27EB8" w:rsidRDefault="00B27EB8" w:rsidP="00B27EB8">
      <w:pPr>
        <w:rPr>
          <w:rFonts w:eastAsia="Times New Roman"/>
        </w:rPr>
      </w:pPr>
      <w:r>
        <w:rPr>
          <w:rFonts w:eastAsia="Times New Roman"/>
        </w:rPr>
        <w:t>1. Risk Assessment: Organisations are required to identify and assess the risks of emergencies occurring within their operational areas. For DCWW, this involves evaluating potential threats to the water supply and sewerage systems, including natural disasters, infrastructure failures, and contamination incidents, and asset security (Harrison, 2014).</w:t>
      </w:r>
    </w:p>
    <w:p w14:paraId="1C527CD6" w14:textId="77777777" w:rsidR="00B27EB8" w:rsidRDefault="00B27EB8" w:rsidP="00B27EB8">
      <w:pPr>
        <w:rPr>
          <w:rFonts w:eastAsia="Times New Roman"/>
        </w:rPr>
      </w:pPr>
    </w:p>
    <w:p w14:paraId="238BCF92" w14:textId="79FB1ED9" w:rsidR="00B27EB8" w:rsidRDefault="00B27EB8" w:rsidP="00B27EB8">
      <w:pPr>
        <w:rPr>
          <w:rFonts w:eastAsia="Times New Roman"/>
        </w:rPr>
      </w:pPr>
      <w:r>
        <w:rPr>
          <w:rFonts w:eastAsia="Times New Roman"/>
        </w:rPr>
        <w:t>2. Emergency Planning: Developing comprehensive plans to respond effectively to emergencies is critical. DCWW prepares contingency plans that address various scenarios, ensuring that personnel are equipped to manage crises efficiently (Paton &amp; Flin, 2014).</w:t>
      </w:r>
    </w:p>
    <w:p w14:paraId="45A6E5DC" w14:textId="77777777" w:rsidR="00B27EB8" w:rsidRDefault="00B27EB8" w:rsidP="00B27EB8">
      <w:pPr>
        <w:rPr>
          <w:rFonts w:eastAsia="Times New Roman"/>
        </w:rPr>
      </w:pPr>
    </w:p>
    <w:p w14:paraId="2ECD1040" w14:textId="70D9BAD8" w:rsidR="00B27EB8" w:rsidRDefault="00B27EB8" w:rsidP="00B27EB8">
      <w:pPr>
        <w:rPr>
          <w:rFonts w:eastAsia="Times New Roman"/>
        </w:rPr>
      </w:pPr>
      <w:r>
        <w:rPr>
          <w:rFonts w:eastAsia="Times New Roman"/>
        </w:rPr>
        <w:lastRenderedPageBreak/>
        <w:t xml:space="preserve">3. Training and Exercising: Ensuring that staff are adequately trained and that emergency plans are routinely </w:t>
      </w:r>
      <w:r w:rsidR="005F00B8">
        <w:rPr>
          <w:rFonts w:eastAsia="Times New Roman"/>
        </w:rPr>
        <w:t>evaluated</w:t>
      </w:r>
      <w:r>
        <w:rPr>
          <w:rFonts w:eastAsia="Times New Roman"/>
        </w:rPr>
        <w:t xml:space="preserve"> through exercises is a legal obligation. This training is essential for fostering a culture of preparedness within the organization (Goldman et al., 2018).</w:t>
      </w:r>
    </w:p>
    <w:p w14:paraId="0BF52D3D" w14:textId="77777777" w:rsidR="00B27EB8" w:rsidRDefault="00B27EB8" w:rsidP="00B27EB8">
      <w:pPr>
        <w:rPr>
          <w:rFonts w:eastAsia="Times New Roman"/>
        </w:rPr>
      </w:pPr>
    </w:p>
    <w:p w14:paraId="57D5234C" w14:textId="1E852AAE" w:rsidR="00B27EB8" w:rsidRPr="00CE166B" w:rsidRDefault="00B27EB8" w:rsidP="00B27EB8">
      <w:pPr>
        <w:rPr>
          <w:rFonts w:eastAsia="Times New Roman"/>
        </w:rPr>
      </w:pPr>
      <w:r w:rsidRPr="00CE166B">
        <w:rPr>
          <w:rFonts w:eastAsia="Times New Roman"/>
        </w:rPr>
        <w:t>1.2 Compliance with Statutory Obligations</w:t>
      </w:r>
    </w:p>
    <w:p w14:paraId="26B805E9" w14:textId="77777777" w:rsidR="00B27EB8" w:rsidRDefault="00B27EB8" w:rsidP="00B27EB8">
      <w:pPr>
        <w:rPr>
          <w:rFonts w:eastAsia="Times New Roman"/>
        </w:rPr>
      </w:pPr>
    </w:p>
    <w:p w14:paraId="7CC77350" w14:textId="74ACAE55" w:rsidR="00B27EB8" w:rsidRDefault="00B27EB8" w:rsidP="00B27EB8">
      <w:pPr>
        <w:rPr>
          <w:rFonts w:eastAsia="Times New Roman"/>
        </w:rPr>
      </w:pPr>
      <w:r>
        <w:rPr>
          <w:rFonts w:eastAsia="Times New Roman"/>
        </w:rPr>
        <w:t>To comply with the CCA 2004, DCWW must establish robust training programs that align with the guidelines set forth by the Civil Contingencies Secretariat. This involves creating tailored curricula that reflect the specific roles and responsibilities of staff within the organization. Regular training sessions and exercises that simulate real</w:t>
      </w:r>
      <w:r w:rsidR="00BF1B7E">
        <w:rPr>
          <w:rFonts w:eastAsia="Times New Roman"/>
        </w:rPr>
        <w:t xml:space="preserve"> </w:t>
      </w:r>
      <w:r>
        <w:rPr>
          <w:rFonts w:eastAsia="Times New Roman"/>
        </w:rPr>
        <w:t>life emergency scenarios are critical for ensuring that personnel are well</w:t>
      </w:r>
      <w:r w:rsidR="00BF1B7E">
        <w:rPr>
          <w:rFonts w:eastAsia="Times New Roman"/>
        </w:rPr>
        <w:t xml:space="preserve"> </w:t>
      </w:r>
      <w:r>
        <w:rPr>
          <w:rFonts w:eastAsia="Times New Roman"/>
        </w:rPr>
        <w:t>prepared to respond effectively (HM Government, 2011).</w:t>
      </w:r>
    </w:p>
    <w:p w14:paraId="0A9FC2B2" w14:textId="77777777" w:rsidR="00B27EB8" w:rsidRDefault="00B27EB8" w:rsidP="00B27EB8">
      <w:pPr>
        <w:rPr>
          <w:rFonts w:eastAsia="Times New Roman"/>
        </w:rPr>
      </w:pPr>
    </w:p>
    <w:p w14:paraId="2DFCD93E" w14:textId="5598C076" w:rsidR="00B27EB8" w:rsidRPr="00CE166B" w:rsidRDefault="00B27EB8" w:rsidP="00B27EB8">
      <w:pPr>
        <w:rPr>
          <w:rFonts w:eastAsia="Times New Roman"/>
        </w:rPr>
      </w:pPr>
      <w:r w:rsidRPr="00CE166B">
        <w:rPr>
          <w:rFonts w:eastAsia="Times New Roman"/>
        </w:rPr>
        <w:t>1.3 The Water Industry Act 1991</w:t>
      </w:r>
    </w:p>
    <w:p w14:paraId="5826EA4D" w14:textId="77777777" w:rsidR="00B27EB8" w:rsidRDefault="00B27EB8" w:rsidP="00B27EB8">
      <w:pPr>
        <w:rPr>
          <w:rFonts w:eastAsia="Times New Roman"/>
        </w:rPr>
      </w:pPr>
    </w:p>
    <w:p w14:paraId="67F77073" w14:textId="77777777" w:rsidR="00B27EB8" w:rsidRDefault="00B27EB8" w:rsidP="00B27EB8">
      <w:pPr>
        <w:rPr>
          <w:rFonts w:eastAsia="Times New Roman"/>
        </w:rPr>
      </w:pPr>
      <w:r>
        <w:rPr>
          <w:rFonts w:eastAsia="Times New Roman"/>
        </w:rPr>
        <w:t>The WIA 1991 is another pivotal piece of legislation that governs the water sector in England and Wales, including Dwr Cymru Welsh Water. This Act establishes the regulatory framework for the provision of water and sewerage services, ensuring that companies operate in a manner that protects public health and the environment (Water Industry Act, 1991).</w:t>
      </w:r>
    </w:p>
    <w:p w14:paraId="1AA1DBDF" w14:textId="77777777" w:rsidR="00B27EB8" w:rsidRDefault="00B27EB8" w:rsidP="00B27EB8">
      <w:pPr>
        <w:rPr>
          <w:rFonts w:eastAsia="Times New Roman"/>
        </w:rPr>
      </w:pPr>
    </w:p>
    <w:p w14:paraId="4E7CC9A9" w14:textId="3C0C2C2A" w:rsidR="00B27EB8" w:rsidRDefault="00B27EB8" w:rsidP="00B27EB8">
      <w:pPr>
        <w:rPr>
          <w:rFonts w:eastAsia="Times New Roman"/>
        </w:rPr>
      </w:pPr>
      <w:r>
        <w:rPr>
          <w:rFonts w:eastAsia="Times New Roman"/>
        </w:rPr>
        <w:t>Key Provisions of the Water Industry Act 1991</w:t>
      </w:r>
    </w:p>
    <w:p w14:paraId="24513575" w14:textId="77777777" w:rsidR="00B27EB8" w:rsidRDefault="00B27EB8" w:rsidP="00B27EB8">
      <w:pPr>
        <w:rPr>
          <w:rFonts w:eastAsia="Times New Roman"/>
        </w:rPr>
      </w:pPr>
    </w:p>
    <w:p w14:paraId="5A7C93E8" w14:textId="613533C9" w:rsidR="00B27EB8" w:rsidRDefault="00B27EB8" w:rsidP="00B27EB8">
      <w:pPr>
        <w:rPr>
          <w:rFonts w:eastAsia="Times New Roman"/>
        </w:rPr>
      </w:pPr>
      <w:r>
        <w:rPr>
          <w:rFonts w:eastAsia="Times New Roman"/>
        </w:rPr>
        <w:t>The WIA 1991 outlines important responsibilities and duties for water companies, including:</w:t>
      </w:r>
    </w:p>
    <w:p w14:paraId="78431347" w14:textId="77777777" w:rsidR="00B27EB8" w:rsidRDefault="00B27EB8" w:rsidP="00B27EB8">
      <w:pPr>
        <w:rPr>
          <w:rFonts w:eastAsia="Times New Roman"/>
        </w:rPr>
      </w:pPr>
    </w:p>
    <w:p w14:paraId="40478F7E" w14:textId="3B0CB61B" w:rsidR="00B27EB8" w:rsidRDefault="00B27EB8" w:rsidP="00B27EB8">
      <w:pPr>
        <w:rPr>
          <w:rFonts w:eastAsia="Times New Roman"/>
        </w:rPr>
      </w:pPr>
      <w:r>
        <w:rPr>
          <w:rFonts w:eastAsia="Times New Roman"/>
        </w:rPr>
        <w:t>1. Supply of Safe Drinking Water: The Act mandates that water companies provide a continuous supply of safe and clean drinking water to consumers. This responsibility is paramount, as any disruption can have serious implications for public health (DEFRA, 2020).</w:t>
      </w:r>
    </w:p>
    <w:p w14:paraId="1458A2A0" w14:textId="77777777" w:rsidR="00B27EB8" w:rsidRDefault="00B27EB8" w:rsidP="00B27EB8">
      <w:pPr>
        <w:rPr>
          <w:rFonts w:eastAsia="Times New Roman"/>
        </w:rPr>
      </w:pPr>
    </w:p>
    <w:p w14:paraId="2763A367" w14:textId="78C5A9D2" w:rsidR="00B27EB8" w:rsidRDefault="00B27EB8" w:rsidP="00B27EB8">
      <w:pPr>
        <w:rPr>
          <w:rFonts w:eastAsia="Times New Roman"/>
        </w:rPr>
      </w:pPr>
      <w:r>
        <w:rPr>
          <w:rFonts w:eastAsia="Times New Roman"/>
        </w:rPr>
        <w:t>2. Sewerage Services: The Act requires water companies to provide effective sewerage services, ensuring that wastewater is treated and disposed of appropriately. DCWW must maintain and operate sewerage systems to prevent pollution, protect water quality and the environment (Public Inquiry, 2019).</w:t>
      </w:r>
    </w:p>
    <w:p w14:paraId="348060A3" w14:textId="77777777" w:rsidR="00B27EB8" w:rsidRDefault="00B27EB8" w:rsidP="00B27EB8">
      <w:pPr>
        <w:rPr>
          <w:rFonts w:eastAsia="Times New Roman"/>
        </w:rPr>
      </w:pPr>
    </w:p>
    <w:p w14:paraId="3C082C39" w14:textId="6DA06A6A" w:rsidR="00B27EB8" w:rsidRDefault="00B27EB8" w:rsidP="00B27EB8">
      <w:pPr>
        <w:rPr>
          <w:rFonts w:eastAsia="Times New Roman"/>
        </w:rPr>
      </w:pPr>
      <w:r>
        <w:rPr>
          <w:rFonts w:eastAsia="Times New Roman"/>
        </w:rPr>
        <w:t>3. Emergency Planning: The WIA 1991 requires water companies to prepare for emergencies that may affect the water supply or sewerage systems. This includes developing contingency plans to address potential crises, such as natural disasters, contamination events, or infrastructure failures.</w:t>
      </w:r>
    </w:p>
    <w:p w14:paraId="20956CD6" w14:textId="77777777" w:rsidR="00B27EB8" w:rsidRDefault="00B27EB8" w:rsidP="00B27EB8">
      <w:pPr>
        <w:rPr>
          <w:rFonts w:eastAsia="Times New Roman"/>
        </w:rPr>
      </w:pPr>
    </w:p>
    <w:p w14:paraId="1F7D1753" w14:textId="5068457D" w:rsidR="00B27EB8" w:rsidRDefault="00B27EB8" w:rsidP="00B27EB8">
      <w:pPr>
        <w:rPr>
          <w:rFonts w:eastAsia="Times New Roman"/>
        </w:rPr>
      </w:pPr>
      <w:r>
        <w:rPr>
          <w:rFonts w:eastAsia="Times New Roman"/>
        </w:rPr>
        <w:t>4. Regulatory Oversight: The Act establishes the role of the Water Services Regulation Authority (Ofwat), which oversees water companies to ensure they meet their obligations regarding service delivery, pricing, and investment in infrastructure (Goldman et al., 2018).</w:t>
      </w:r>
    </w:p>
    <w:p w14:paraId="1CF48CDE" w14:textId="77777777" w:rsidR="00B27EB8" w:rsidRDefault="00B27EB8" w:rsidP="00B27EB8">
      <w:pPr>
        <w:rPr>
          <w:rFonts w:eastAsia="Times New Roman"/>
        </w:rPr>
      </w:pPr>
    </w:p>
    <w:p w14:paraId="6CCCDF96" w14:textId="3E5FCCB5" w:rsidR="00B27EB8" w:rsidRDefault="00B27EB8" w:rsidP="00B27EB8">
      <w:pPr>
        <w:rPr>
          <w:rFonts w:eastAsia="Times New Roman"/>
        </w:rPr>
      </w:pPr>
      <w:r>
        <w:rPr>
          <w:rFonts w:eastAsia="Times New Roman"/>
        </w:rPr>
        <w:t xml:space="preserve">5. Environmental Protection: The water industry is also subject to environmental regulations, ensuring that water companies operate sustainably and minimize their </w:t>
      </w:r>
      <w:r>
        <w:rPr>
          <w:rFonts w:eastAsia="Times New Roman"/>
        </w:rPr>
        <w:lastRenderedPageBreak/>
        <w:t>impact on the environment. This includes compliance with directives aimed at protecting water sources and ecosystems (DEFRA, 2020).</w:t>
      </w:r>
    </w:p>
    <w:p w14:paraId="0AAA6D83" w14:textId="77777777" w:rsidR="00B27EB8" w:rsidRDefault="00B27EB8" w:rsidP="00B27EB8">
      <w:pPr>
        <w:rPr>
          <w:rFonts w:eastAsia="Times New Roman"/>
        </w:rPr>
      </w:pPr>
    </w:p>
    <w:p w14:paraId="47380358" w14:textId="4B953ADE" w:rsidR="00B27EB8" w:rsidRPr="005E0CEC" w:rsidRDefault="00B27EB8" w:rsidP="00B27EB8">
      <w:pPr>
        <w:rPr>
          <w:rFonts w:eastAsia="Times New Roman"/>
        </w:rPr>
      </w:pPr>
      <w:r w:rsidRPr="005E0CEC">
        <w:rPr>
          <w:rFonts w:eastAsia="Times New Roman"/>
        </w:rPr>
        <w:t>1.4 Alignment Between CCA 2004 and WIA 1991</w:t>
      </w:r>
    </w:p>
    <w:p w14:paraId="4AE52F1E" w14:textId="77777777" w:rsidR="00B27EB8" w:rsidRDefault="00B27EB8" w:rsidP="00B27EB8">
      <w:pPr>
        <w:rPr>
          <w:rFonts w:eastAsia="Times New Roman"/>
        </w:rPr>
      </w:pPr>
    </w:p>
    <w:p w14:paraId="554D7E2B" w14:textId="77777777" w:rsidR="00B27EB8" w:rsidRDefault="00B27EB8" w:rsidP="00B27EB8">
      <w:pPr>
        <w:rPr>
          <w:rFonts w:eastAsia="Times New Roman"/>
        </w:rPr>
      </w:pPr>
      <w:r>
        <w:rPr>
          <w:rFonts w:eastAsia="Times New Roman"/>
        </w:rPr>
        <w:t>The CCA 2004 and the WIA 1991 are interrelated in their objectives of ensuring public safety and effective emergency response. While the CCA focuses on broader emergency management frameworks applicable to various sectors, the WIA specifically addresses the unique challenges faced by the water sector. For DCWW, compliance with both pieces of legislation is essential to ensure comprehensive emergency preparedness and response capabilities.</w:t>
      </w:r>
    </w:p>
    <w:p w14:paraId="18EE2385" w14:textId="77777777" w:rsidR="00B27EB8" w:rsidRDefault="00B27EB8" w:rsidP="00B27EB8">
      <w:pPr>
        <w:rPr>
          <w:rFonts w:eastAsia="Times New Roman"/>
        </w:rPr>
      </w:pPr>
    </w:p>
    <w:p w14:paraId="02D56E60" w14:textId="1F8463BD" w:rsidR="00B27EB8" w:rsidRPr="005E0CEC" w:rsidRDefault="00B27EB8" w:rsidP="00B27EB8">
      <w:pPr>
        <w:rPr>
          <w:rFonts w:eastAsia="Times New Roman"/>
          <w:b/>
          <w:bCs/>
        </w:rPr>
      </w:pPr>
      <w:r w:rsidRPr="005E0CEC">
        <w:rPr>
          <w:rFonts w:eastAsia="Times New Roman"/>
          <w:b/>
          <w:bCs/>
        </w:rPr>
        <w:t>2. Guidance and Best Practices</w:t>
      </w:r>
    </w:p>
    <w:p w14:paraId="50F8102C" w14:textId="77777777" w:rsidR="00B27EB8" w:rsidRDefault="00B27EB8" w:rsidP="00B27EB8">
      <w:pPr>
        <w:rPr>
          <w:rFonts w:eastAsia="Times New Roman"/>
        </w:rPr>
      </w:pPr>
    </w:p>
    <w:p w14:paraId="579143C6" w14:textId="29F113ED" w:rsidR="00B27EB8" w:rsidRDefault="00B27EB8" w:rsidP="00B27EB8">
      <w:pPr>
        <w:rPr>
          <w:rFonts w:eastAsia="Times New Roman"/>
        </w:rPr>
      </w:pPr>
      <w:r>
        <w:rPr>
          <w:rFonts w:eastAsia="Times New Roman"/>
        </w:rPr>
        <w:t>In addition to the CCA 2004 and the WIA 1991, various guidance documents and best practice frameworks support organisations in their training and exercising efforts. These resources are instrumental in helping DCWW develop high</w:t>
      </w:r>
      <w:r w:rsidR="005B25E6">
        <w:rPr>
          <w:rFonts w:eastAsia="Times New Roman"/>
        </w:rPr>
        <w:t xml:space="preserve"> </w:t>
      </w:r>
      <w:r>
        <w:rPr>
          <w:rFonts w:eastAsia="Times New Roman"/>
        </w:rPr>
        <w:t>quality emergency preparedness strategies.</w:t>
      </w:r>
    </w:p>
    <w:p w14:paraId="7AE1E0F6" w14:textId="77777777" w:rsidR="00B27EB8" w:rsidRDefault="00B27EB8" w:rsidP="00B27EB8">
      <w:pPr>
        <w:rPr>
          <w:rFonts w:eastAsia="Times New Roman"/>
        </w:rPr>
      </w:pPr>
    </w:p>
    <w:p w14:paraId="46803BFF" w14:textId="68843DC8" w:rsidR="00B27EB8" w:rsidRDefault="00B27EB8" w:rsidP="00B27EB8">
      <w:pPr>
        <w:rPr>
          <w:rFonts w:eastAsia="Times New Roman"/>
        </w:rPr>
      </w:pPr>
      <w:r>
        <w:rPr>
          <w:rFonts w:eastAsia="Times New Roman"/>
        </w:rPr>
        <w:t>2.1 Emergency Preparedness Guidance (2015)</w:t>
      </w:r>
    </w:p>
    <w:p w14:paraId="408A7E94" w14:textId="77777777" w:rsidR="00B27EB8" w:rsidRDefault="00B27EB8" w:rsidP="00B27EB8">
      <w:pPr>
        <w:rPr>
          <w:rFonts w:eastAsia="Times New Roman"/>
        </w:rPr>
      </w:pPr>
    </w:p>
    <w:p w14:paraId="1C26BE8C" w14:textId="77777777" w:rsidR="00B27EB8" w:rsidRDefault="00B27EB8" w:rsidP="00B27EB8">
      <w:pPr>
        <w:rPr>
          <w:rFonts w:eastAsia="Times New Roman"/>
        </w:rPr>
      </w:pPr>
      <w:r>
        <w:rPr>
          <w:rFonts w:eastAsia="Times New Roman"/>
        </w:rPr>
        <w:t>The "Emergency Preparedness" guidance document, produced by the Civil Contingencies Secretariat, provides practical advice on how to plan, train, and exercise effectively for emergencies. The guidance emphasises the importance of a structured approach and outlines models for effective training programs, ensuring that organisations can develop their capabilities systematically (Cabinet Office, 2017).</w:t>
      </w:r>
    </w:p>
    <w:p w14:paraId="1568BEFA" w14:textId="77777777" w:rsidR="00B27EB8" w:rsidRDefault="00B27EB8" w:rsidP="00B27EB8">
      <w:pPr>
        <w:rPr>
          <w:rFonts w:eastAsia="Times New Roman"/>
        </w:rPr>
      </w:pPr>
    </w:p>
    <w:p w14:paraId="6E73468C" w14:textId="0C65DE65" w:rsidR="00B27EB8" w:rsidRDefault="00B27EB8" w:rsidP="00B27EB8">
      <w:pPr>
        <w:rPr>
          <w:rFonts w:eastAsia="Times New Roman"/>
        </w:rPr>
      </w:pPr>
      <w:r>
        <w:rPr>
          <w:rFonts w:eastAsia="Times New Roman"/>
        </w:rPr>
        <w:t>2.2 National Preparedness Guidelines (2011)</w:t>
      </w:r>
    </w:p>
    <w:p w14:paraId="57665EDF" w14:textId="77777777" w:rsidR="00B27EB8" w:rsidRDefault="00B27EB8" w:rsidP="00B27EB8">
      <w:pPr>
        <w:rPr>
          <w:rFonts w:eastAsia="Times New Roman"/>
        </w:rPr>
      </w:pPr>
    </w:p>
    <w:p w14:paraId="0D526E27" w14:textId="377366A2" w:rsidR="00B27EB8" w:rsidRDefault="00B27EB8" w:rsidP="00B27EB8">
      <w:pPr>
        <w:rPr>
          <w:rFonts w:eastAsia="Times New Roman"/>
        </w:rPr>
      </w:pPr>
      <w:r>
        <w:rPr>
          <w:rFonts w:eastAsia="Times New Roman"/>
        </w:rPr>
        <w:t xml:space="preserve">The "National Preparedness Guidelines" outline </w:t>
      </w:r>
      <w:r w:rsidR="005F00B8">
        <w:rPr>
          <w:rFonts w:eastAsia="Times New Roman"/>
        </w:rPr>
        <w:t>a comprehensive approach</w:t>
      </w:r>
      <w:r>
        <w:rPr>
          <w:rFonts w:eastAsia="Times New Roman"/>
        </w:rPr>
        <w:t xml:space="preserve"> to emergency preparedness, emphasizing the need for continuous training and improvement. These guidelines encourage organisations to engage in regular evaluations of their preparedness efforts, ensuring that they remain adaptable in the face of evolving challenges (HM Government, 2011).</w:t>
      </w:r>
    </w:p>
    <w:p w14:paraId="2E58792E" w14:textId="77777777" w:rsidR="00B27EB8" w:rsidRDefault="00B27EB8" w:rsidP="00B27EB8">
      <w:pPr>
        <w:rPr>
          <w:rFonts w:eastAsia="Times New Roman"/>
        </w:rPr>
      </w:pPr>
    </w:p>
    <w:p w14:paraId="132D973B" w14:textId="276B1F97" w:rsidR="00B27EB8" w:rsidRDefault="00B27EB8" w:rsidP="00B27EB8">
      <w:pPr>
        <w:rPr>
          <w:rFonts w:eastAsia="Times New Roman"/>
        </w:rPr>
      </w:pPr>
      <w:r>
        <w:rPr>
          <w:rFonts w:eastAsia="Times New Roman"/>
        </w:rPr>
        <w:t>2.3 The UK Resilience Framework</w:t>
      </w:r>
    </w:p>
    <w:p w14:paraId="570F6AC7" w14:textId="77777777" w:rsidR="00B27EB8" w:rsidRDefault="00B27EB8" w:rsidP="00B27EB8">
      <w:pPr>
        <w:rPr>
          <w:rFonts w:eastAsia="Times New Roman"/>
        </w:rPr>
      </w:pPr>
    </w:p>
    <w:p w14:paraId="058044EA" w14:textId="77777777" w:rsidR="00B27EB8" w:rsidRDefault="00B27EB8" w:rsidP="00B27EB8">
      <w:pPr>
        <w:rPr>
          <w:rFonts w:eastAsia="Times New Roman"/>
        </w:rPr>
      </w:pPr>
      <w:r>
        <w:rPr>
          <w:rFonts w:eastAsia="Times New Roman"/>
        </w:rPr>
        <w:t>The UK Resilience Framework serves as a comprehensive best practice model for emergency management, providing organisations with a roadmap for adhering to established standards. By integrating this framework into their training programs, DCWW can enhance their emergency response capabilities and ensure continuous improvement through regular assessments of their practices (Paton &amp; Flin, 2014).</w:t>
      </w:r>
    </w:p>
    <w:p w14:paraId="24E078B6" w14:textId="77777777" w:rsidR="00B27EB8" w:rsidRDefault="00B27EB8" w:rsidP="00B27EB8">
      <w:pPr>
        <w:rPr>
          <w:rFonts w:eastAsia="Times New Roman"/>
        </w:rPr>
      </w:pPr>
    </w:p>
    <w:p w14:paraId="52839E54" w14:textId="6267C6E4" w:rsidR="00B27EB8" w:rsidRPr="005E0CEC" w:rsidRDefault="00B27EB8" w:rsidP="00B27EB8">
      <w:pPr>
        <w:rPr>
          <w:rFonts w:eastAsia="Times New Roman"/>
          <w:b/>
          <w:bCs/>
        </w:rPr>
      </w:pPr>
      <w:r w:rsidRPr="005E0CEC">
        <w:rPr>
          <w:rFonts w:eastAsia="Times New Roman"/>
          <w:b/>
          <w:bCs/>
        </w:rPr>
        <w:t>3. Benefits of Training and Exercising</w:t>
      </w:r>
    </w:p>
    <w:p w14:paraId="1E5DEFE8" w14:textId="77777777" w:rsidR="00B27EB8" w:rsidRDefault="00B27EB8" w:rsidP="00B27EB8">
      <w:pPr>
        <w:rPr>
          <w:rFonts w:eastAsia="Times New Roman"/>
        </w:rPr>
      </w:pPr>
    </w:p>
    <w:p w14:paraId="14C966A2" w14:textId="5B5D56EC" w:rsidR="00B27EB8" w:rsidRDefault="00B27EB8" w:rsidP="00B27EB8">
      <w:pPr>
        <w:rPr>
          <w:rFonts w:eastAsia="Times New Roman"/>
        </w:rPr>
      </w:pPr>
      <w:r>
        <w:rPr>
          <w:rFonts w:eastAsia="Times New Roman"/>
        </w:rPr>
        <w:t xml:space="preserve">Investing in training and exercising offers numerous benefits to organisations like DCWW, </w:t>
      </w:r>
      <w:r w:rsidR="005F00B8">
        <w:rPr>
          <w:rFonts w:eastAsia="Times New Roman"/>
        </w:rPr>
        <w:t>leading</w:t>
      </w:r>
      <w:r>
        <w:rPr>
          <w:rFonts w:eastAsia="Times New Roman"/>
        </w:rPr>
        <w:t xml:space="preserve"> to improved emergency preparedness and response capabilities.</w:t>
      </w:r>
    </w:p>
    <w:p w14:paraId="0D73160B" w14:textId="77777777" w:rsidR="00B27EB8" w:rsidRDefault="00B27EB8" w:rsidP="00B27EB8">
      <w:pPr>
        <w:rPr>
          <w:rFonts w:eastAsia="Times New Roman"/>
        </w:rPr>
      </w:pPr>
    </w:p>
    <w:p w14:paraId="13215886" w14:textId="11A08E9B" w:rsidR="00B27EB8" w:rsidRDefault="00B27EB8" w:rsidP="00B27EB8">
      <w:pPr>
        <w:rPr>
          <w:rFonts w:eastAsia="Times New Roman"/>
        </w:rPr>
      </w:pPr>
      <w:r>
        <w:rPr>
          <w:rFonts w:eastAsia="Times New Roman"/>
        </w:rPr>
        <w:t>3.1 Enhanced Preparedness</w:t>
      </w:r>
    </w:p>
    <w:p w14:paraId="014DCCD3" w14:textId="77777777" w:rsidR="00B27EB8" w:rsidRDefault="00B27EB8" w:rsidP="00B27EB8">
      <w:pPr>
        <w:rPr>
          <w:rFonts w:eastAsia="Times New Roman"/>
        </w:rPr>
      </w:pPr>
    </w:p>
    <w:p w14:paraId="20B75A59" w14:textId="77777777" w:rsidR="00B27EB8" w:rsidRDefault="00B27EB8" w:rsidP="00B27EB8">
      <w:pPr>
        <w:rPr>
          <w:rFonts w:eastAsia="Times New Roman"/>
        </w:rPr>
      </w:pPr>
      <w:r>
        <w:rPr>
          <w:rFonts w:eastAsia="Times New Roman"/>
        </w:rPr>
        <w:lastRenderedPageBreak/>
        <w:t>Regular training ensures that personnel are familiar with their roles and responsibilities during an emergency. This familiarity enables a more effective response when crises occur. For DCWW, this means that employees are equipped to manage incidents such as water supply disruptions or sewer failures, minimizing the impact on public health and safety (Harrison, 2014).</w:t>
      </w:r>
    </w:p>
    <w:p w14:paraId="3511DBCE" w14:textId="77777777" w:rsidR="00B27EB8" w:rsidRDefault="00B27EB8" w:rsidP="00B27EB8">
      <w:pPr>
        <w:rPr>
          <w:rFonts w:eastAsia="Times New Roman"/>
        </w:rPr>
      </w:pPr>
    </w:p>
    <w:p w14:paraId="092A3A27" w14:textId="1E7985A0" w:rsidR="00B27EB8" w:rsidRDefault="00B27EB8" w:rsidP="00B27EB8">
      <w:pPr>
        <w:rPr>
          <w:rFonts w:eastAsia="Times New Roman"/>
        </w:rPr>
      </w:pPr>
      <w:r>
        <w:rPr>
          <w:rFonts w:eastAsia="Times New Roman"/>
        </w:rPr>
        <w:t>3.2 Improved Coordination</w:t>
      </w:r>
    </w:p>
    <w:p w14:paraId="3405B0DD" w14:textId="77777777" w:rsidR="00B27EB8" w:rsidRDefault="00B27EB8" w:rsidP="00B27EB8">
      <w:pPr>
        <w:rPr>
          <w:rFonts w:eastAsia="Times New Roman"/>
        </w:rPr>
      </w:pPr>
    </w:p>
    <w:p w14:paraId="595EE371" w14:textId="77777777" w:rsidR="00B27EB8" w:rsidRDefault="00B27EB8" w:rsidP="00B27EB8">
      <w:pPr>
        <w:rPr>
          <w:rFonts w:eastAsia="Times New Roman"/>
        </w:rPr>
      </w:pPr>
      <w:r>
        <w:rPr>
          <w:rFonts w:eastAsia="Times New Roman"/>
        </w:rPr>
        <w:t>Exercises encourage collaboration between different agencies and departments, fostering better communication and coordination during actual incidents. For a utility company like DCWW, effective coordination with local authorities, emergency services, and regulatory bodies is essential for a unified response to emergencies (Goldman et al., 2018).</w:t>
      </w:r>
    </w:p>
    <w:p w14:paraId="28483D62" w14:textId="77777777" w:rsidR="00B27EB8" w:rsidRDefault="00B27EB8" w:rsidP="00B27EB8">
      <w:pPr>
        <w:rPr>
          <w:rFonts w:eastAsia="Times New Roman"/>
        </w:rPr>
      </w:pPr>
    </w:p>
    <w:p w14:paraId="766793CB" w14:textId="4A4BD9C5" w:rsidR="00B27EB8" w:rsidRDefault="00B27EB8" w:rsidP="00B27EB8">
      <w:pPr>
        <w:rPr>
          <w:rFonts w:eastAsia="Times New Roman"/>
        </w:rPr>
      </w:pPr>
      <w:r>
        <w:rPr>
          <w:rFonts w:eastAsia="Times New Roman"/>
        </w:rPr>
        <w:t>3.3 Increased Confidence</w:t>
      </w:r>
    </w:p>
    <w:p w14:paraId="7E9DBF9D" w14:textId="77777777" w:rsidR="00B27EB8" w:rsidRDefault="00B27EB8" w:rsidP="00B27EB8">
      <w:pPr>
        <w:rPr>
          <w:rFonts w:eastAsia="Times New Roman"/>
        </w:rPr>
      </w:pPr>
    </w:p>
    <w:p w14:paraId="04CCE765" w14:textId="4EDB2979" w:rsidR="00B27EB8" w:rsidRDefault="00B27EB8" w:rsidP="00B27EB8">
      <w:pPr>
        <w:rPr>
          <w:rFonts w:eastAsia="Times New Roman"/>
        </w:rPr>
      </w:pPr>
      <w:r>
        <w:rPr>
          <w:rFonts w:eastAsia="Times New Roman"/>
        </w:rPr>
        <w:t xml:space="preserve">Staff who participate in training and exercises tend to feel more confident in their ability to </w:t>
      </w:r>
      <w:r w:rsidR="005F00B8">
        <w:rPr>
          <w:rFonts w:eastAsia="Times New Roman"/>
        </w:rPr>
        <w:t>manage</w:t>
      </w:r>
      <w:r>
        <w:rPr>
          <w:rFonts w:eastAsia="Times New Roman"/>
        </w:rPr>
        <w:t xml:space="preserve"> emergencies. This confidence can lead to quicker and more decisive action when needed, </w:t>
      </w:r>
      <w:r w:rsidR="005F00B8">
        <w:rPr>
          <w:rFonts w:eastAsia="Times New Roman"/>
        </w:rPr>
        <w:t>benefiting</w:t>
      </w:r>
      <w:r>
        <w:rPr>
          <w:rFonts w:eastAsia="Times New Roman"/>
        </w:rPr>
        <w:t xml:space="preserve"> our customers. An example of this is the DCWW Exercise Programme.</w:t>
      </w:r>
    </w:p>
    <w:p w14:paraId="43D5BCD2" w14:textId="77777777" w:rsidR="00B27EB8" w:rsidRDefault="00B27EB8" w:rsidP="00B27EB8">
      <w:pPr>
        <w:rPr>
          <w:rFonts w:eastAsia="Times New Roman"/>
        </w:rPr>
      </w:pPr>
    </w:p>
    <w:p w14:paraId="79B9A7CA" w14:textId="77777777" w:rsidR="00B27EB8" w:rsidRDefault="00B27EB8" w:rsidP="00B27EB8">
      <w:pPr>
        <w:rPr>
          <w:rFonts w:eastAsia="Times New Roman"/>
        </w:rPr>
      </w:pPr>
      <w:r>
        <w:rPr>
          <w:rFonts w:eastAsia="Times New Roman"/>
        </w:rPr>
        <w:t>Dŵr Cymru Welsh Water (DCWW) has responsibilities under the Security and Emergency Measures Direction 2022 (SEMD) and the Civil Contingencies Act 2004 (CCA) to have trained and experienced personnel to effectively respond to a range of incidents that could impact business activities.</w:t>
      </w:r>
    </w:p>
    <w:p w14:paraId="6266F8FA" w14:textId="77777777" w:rsidR="00B27EB8" w:rsidRDefault="00B27EB8" w:rsidP="00B27EB8">
      <w:pPr>
        <w:rPr>
          <w:rFonts w:eastAsia="Times New Roman"/>
        </w:rPr>
      </w:pPr>
    </w:p>
    <w:p w14:paraId="236A6DC2" w14:textId="17ED4345" w:rsidR="00B27EB8" w:rsidRDefault="00B27EB8" w:rsidP="00B27EB8">
      <w:pPr>
        <w:rPr>
          <w:rFonts w:eastAsia="Times New Roman"/>
        </w:rPr>
      </w:pPr>
      <w:r>
        <w:rPr>
          <w:rFonts w:eastAsia="Times New Roman"/>
        </w:rPr>
        <w:t xml:space="preserve">Running exercises allows DCWW colleagues who would be involved in incidents to increase their knowledge, understanding, and competencies around incident management, whilst </w:t>
      </w:r>
      <w:r w:rsidR="005F00B8">
        <w:rPr>
          <w:rFonts w:eastAsia="Times New Roman"/>
        </w:rPr>
        <w:t>evaluating</w:t>
      </w:r>
      <w:r>
        <w:rPr>
          <w:rFonts w:eastAsia="Times New Roman"/>
        </w:rPr>
        <w:t xml:space="preserve"> the effectiveness of established plans and procedures within a controlled environment.</w:t>
      </w:r>
    </w:p>
    <w:p w14:paraId="45016446" w14:textId="77777777" w:rsidR="00B27EB8" w:rsidRDefault="00B27EB8" w:rsidP="00B27EB8">
      <w:pPr>
        <w:rPr>
          <w:rFonts w:eastAsia="Times New Roman"/>
        </w:rPr>
      </w:pPr>
    </w:p>
    <w:p w14:paraId="61709F21" w14:textId="7AF2EDFB" w:rsidR="00B27EB8" w:rsidRDefault="00B27EB8" w:rsidP="00B27EB8">
      <w:pPr>
        <w:rPr>
          <w:rFonts w:eastAsia="Times New Roman"/>
        </w:rPr>
      </w:pPr>
      <w:r>
        <w:rPr>
          <w:rFonts w:eastAsia="Times New Roman"/>
        </w:rPr>
        <w:t xml:space="preserve">The exercise programme provides a framework for delivering exercises and consists of a </w:t>
      </w:r>
      <w:r w:rsidR="002D144A">
        <w:rPr>
          <w:rFonts w:eastAsia="Times New Roman"/>
        </w:rPr>
        <w:t>long-term</w:t>
      </w:r>
      <w:r>
        <w:rPr>
          <w:rFonts w:eastAsia="Times New Roman"/>
        </w:rPr>
        <w:t xml:space="preserve"> plan of exercises delivered over the AMP and a more detailed </w:t>
      </w:r>
      <w:r w:rsidR="002D144A">
        <w:rPr>
          <w:rFonts w:eastAsia="Times New Roman"/>
        </w:rPr>
        <w:t>one-year</w:t>
      </w:r>
      <w:r>
        <w:rPr>
          <w:rFonts w:eastAsia="Times New Roman"/>
        </w:rPr>
        <w:t xml:space="preserve"> plan delivered during the reporting period (April to March).</w:t>
      </w:r>
    </w:p>
    <w:p w14:paraId="38959CB1" w14:textId="77777777" w:rsidR="00B27EB8" w:rsidRDefault="00B27EB8" w:rsidP="00B27EB8">
      <w:pPr>
        <w:rPr>
          <w:rFonts w:eastAsia="Times New Roman"/>
        </w:rPr>
      </w:pPr>
    </w:p>
    <w:p w14:paraId="5EA8F4C3" w14:textId="67D32391" w:rsidR="00B27EB8" w:rsidRDefault="00B27EB8" w:rsidP="00B27EB8">
      <w:pPr>
        <w:rPr>
          <w:rFonts w:eastAsia="Times New Roman"/>
        </w:rPr>
      </w:pPr>
      <w:r>
        <w:rPr>
          <w:rFonts w:eastAsia="Times New Roman"/>
        </w:rPr>
        <w:t xml:space="preserve">The exercise programme is designed to </w:t>
      </w:r>
      <w:r w:rsidR="005F00B8">
        <w:rPr>
          <w:rFonts w:eastAsia="Times New Roman"/>
        </w:rPr>
        <w:t>evaluate</w:t>
      </w:r>
      <w:r>
        <w:rPr>
          <w:rFonts w:eastAsia="Times New Roman"/>
        </w:rPr>
        <w:t xml:space="preserve"> elements of the Incident Response Manual (IRM) and our individual emergency, business continuity, and security plans. The programme is based around mandatory exercises but is flexible enough to allow additional exercises to be delivered as required to focus on emerging risks.</w:t>
      </w:r>
    </w:p>
    <w:p w14:paraId="12C2BB1A" w14:textId="77777777" w:rsidR="00B27EB8" w:rsidRDefault="00B27EB8" w:rsidP="00B27EB8">
      <w:pPr>
        <w:rPr>
          <w:rFonts w:eastAsia="Times New Roman"/>
        </w:rPr>
      </w:pPr>
    </w:p>
    <w:p w14:paraId="53909B40" w14:textId="77777777" w:rsidR="00B27EB8" w:rsidRDefault="00B27EB8" w:rsidP="00B27EB8">
      <w:pPr>
        <w:rPr>
          <w:rFonts w:eastAsia="Times New Roman"/>
        </w:rPr>
      </w:pPr>
      <w:r>
        <w:rPr>
          <w:rFonts w:eastAsia="Times New Roman"/>
        </w:rPr>
        <w:t>Real incidents may replace exercises in the programme if the incident is similar in nature to an exercise that is scheduled.</w:t>
      </w:r>
    </w:p>
    <w:p w14:paraId="6DA0D90A" w14:textId="77777777" w:rsidR="00B27EB8" w:rsidRDefault="00B27EB8" w:rsidP="00B27EB8">
      <w:pPr>
        <w:rPr>
          <w:rFonts w:eastAsia="Times New Roman"/>
        </w:rPr>
      </w:pPr>
    </w:p>
    <w:p w14:paraId="4EB338F6" w14:textId="77777777" w:rsidR="00B27EB8" w:rsidRDefault="00B27EB8" w:rsidP="00B27EB8">
      <w:pPr>
        <w:rPr>
          <w:rFonts w:eastAsia="Times New Roman"/>
        </w:rPr>
      </w:pPr>
      <w:r>
        <w:rPr>
          <w:rFonts w:eastAsia="Times New Roman"/>
        </w:rPr>
        <w:t>Emergency Planning produces the exercise programme in collaboration with other business functions to ensure exercises continue to meet the needs of the business. If you would like to request an emergency exercise to be undertaken, then please email the Emergency Planning team:</w:t>
      </w:r>
    </w:p>
    <w:p w14:paraId="1696634E" w14:textId="77777777" w:rsidR="0034254E" w:rsidRDefault="0034254E" w:rsidP="00B27EB8">
      <w:pPr>
        <w:rPr>
          <w:rFonts w:eastAsia="Times New Roman"/>
        </w:rPr>
      </w:pPr>
    </w:p>
    <w:p w14:paraId="39C42CA6" w14:textId="77777777" w:rsidR="00D375E2" w:rsidRDefault="00D375E2" w:rsidP="00B27EB8">
      <w:pPr>
        <w:rPr>
          <w:rFonts w:eastAsia="Times New Roman"/>
        </w:rPr>
      </w:pPr>
    </w:p>
    <w:p w14:paraId="4C9D1799" w14:textId="77777777" w:rsidR="00B27EB8" w:rsidRDefault="00B27EB8" w:rsidP="00B27EB8">
      <w:pPr>
        <w:rPr>
          <w:rFonts w:eastAsia="Times New Roman"/>
        </w:rPr>
      </w:pPr>
    </w:p>
    <w:p w14:paraId="419F2771" w14:textId="004EC098" w:rsidR="00B27EB8" w:rsidRPr="0034254E" w:rsidRDefault="00B27EB8" w:rsidP="00B27EB8">
      <w:pPr>
        <w:rPr>
          <w:rFonts w:eastAsia="Times New Roman"/>
          <w:i/>
          <w:iCs/>
        </w:rPr>
      </w:pPr>
      <w:r w:rsidRPr="0034254E">
        <w:rPr>
          <w:rFonts w:eastAsia="Times New Roman"/>
          <w:i/>
          <w:iCs/>
        </w:rPr>
        <w:lastRenderedPageBreak/>
        <w:t>Mandatory Exercises Included in DCWW Exercise Programme</w:t>
      </w:r>
    </w:p>
    <w:p w14:paraId="12ADCE47" w14:textId="6AA0BD98" w:rsidR="00B27EB8" w:rsidRDefault="00E022E7" w:rsidP="00B27EB8">
      <w:pPr>
        <w:rPr>
          <w:rFonts w:eastAsia="Times New Roman"/>
        </w:rPr>
      </w:pPr>
      <w:r w:rsidRPr="00E022E7">
        <w:rPr>
          <w:rFonts w:eastAsia="Times New Roman"/>
        </w:rPr>
        <w:drawing>
          <wp:inline distT="0" distB="0" distL="0" distR="0" wp14:anchorId="40F3B9A0" wp14:editId="016B0A13">
            <wp:extent cx="5731510" cy="3528060"/>
            <wp:effectExtent l="0" t="0" r="2540" b="0"/>
            <wp:docPr id="7191403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140336" name="Picture 1" descr="A screenshot of a computer&#10;&#10;Description automatically generated"/>
                    <pic:cNvPicPr/>
                  </pic:nvPicPr>
                  <pic:blipFill>
                    <a:blip r:embed="rId5"/>
                    <a:stretch>
                      <a:fillRect/>
                    </a:stretch>
                  </pic:blipFill>
                  <pic:spPr>
                    <a:xfrm>
                      <a:off x="0" y="0"/>
                      <a:ext cx="5731510" cy="3528060"/>
                    </a:xfrm>
                    <a:prstGeom prst="rect">
                      <a:avLst/>
                    </a:prstGeom>
                  </pic:spPr>
                </pic:pic>
              </a:graphicData>
            </a:graphic>
          </wp:inline>
        </w:drawing>
      </w:r>
    </w:p>
    <w:p w14:paraId="30CF3810" w14:textId="054CA5D1" w:rsidR="00B27EB8" w:rsidRPr="0034254E" w:rsidRDefault="00B27EB8" w:rsidP="00B27EB8">
      <w:pPr>
        <w:rPr>
          <w:rFonts w:eastAsia="Times New Roman"/>
          <w:i/>
          <w:iCs/>
        </w:rPr>
      </w:pPr>
      <w:r w:rsidRPr="0034254E">
        <w:rPr>
          <w:rFonts w:eastAsia="Times New Roman"/>
          <w:i/>
          <w:iCs/>
        </w:rPr>
        <w:t>Extract from Plan</w:t>
      </w:r>
    </w:p>
    <w:p w14:paraId="2C5EC655" w14:textId="7BE9A597" w:rsidR="00F07DC6" w:rsidRDefault="00E022E7" w:rsidP="00B27EB8">
      <w:pPr>
        <w:rPr>
          <w:rFonts w:eastAsia="Times New Roman"/>
        </w:rPr>
      </w:pPr>
      <w:r w:rsidRPr="00E022E7">
        <w:rPr>
          <w:rFonts w:eastAsia="Times New Roman"/>
        </w:rPr>
        <w:drawing>
          <wp:inline distT="0" distB="0" distL="0" distR="0" wp14:anchorId="52C8AB78" wp14:editId="75DA1201">
            <wp:extent cx="3629025" cy="5395239"/>
            <wp:effectExtent l="0" t="0" r="0" b="0"/>
            <wp:docPr id="1972955106" name="Picture 1" descr="A white and green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955106" name="Picture 1" descr="A white and green chart with black text&#10;&#10;Description automatically generated"/>
                    <pic:cNvPicPr/>
                  </pic:nvPicPr>
                  <pic:blipFill>
                    <a:blip r:embed="rId6"/>
                    <a:stretch>
                      <a:fillRect/>
                    </a:stretch>
                  </pic:blipFill>
                  <pic:spPr>
                    <a:xfrm>
                      <a:off x="0" y="0"/>
                      <a:ext cx="3659123" cy="5439985"/>
                    </a:xfrm>
                    <a:prstGeom prst="rect">
                      <a:avLst/>
                    </a:prstGeom>
                  </pic:spPr>
                </pic:pic>
              </a:graphicData>
            </a:graphic>
          </wp:inline>
        </w:drawing>
      </w:r>
    </w:p>
    <w:p w14:paraId="25BF9479" w14:textId="77777777" w:rsidR="00D375E2" w:rsidRDefault="00D375E2" w:rsidP="00B27EB8">
      <w:pPr>
        <w:rPr>
          <w:rFonts w:eastAsia="Times New Roman"/>
        </w:rPr>
      </w:pPr>
    </w:p>
    <w:p w14:paraId="330C82DE" w14:textId="5ABFF725" w:rsidR="00B27EB8" w:rsidRDefault="00B27EB8" w:rsidP="00B27EB8">
      <w:pPr>
        <w:rPr>
          <w:rFonts w:eastAsia="Times New Roman"/>
        </w:rPr>
      </w:pPr>
      <w:r>
        <w:rPr>
          <w:rFonts w:eastAsia="Times New Roman"/>
        </w:rPr>
        <w:t>3.4 Resource Efficiency</w:t>
      </w:r>
    </w:p>
    <w:p w14:paraId="02053C95" w14:textId="77777777" w:rsidR="00B27EB8" w:rsidRDefault="00B27EB8" w:rsidP="00B27EB8">
      <w:pPr>
        <w:rPr>
          <w:rFonts w:eastAsia="Times New Roman"/>
        </w:rPr>
      </w:pPr>
    </w:p>
    <w:p w14:paraId="1DF1C542" w14:textId="738F97F3" w:rsidR="00B27EB8" w:rsidRDefault="00B27EB8" w:rsidP="00B27EB8">
      <w:pPr>
        <w:rPr>
          <w:rFonts w:eastAsia="Times New Roman"/>
        </w:rPr>
      </w:pPr>
      <w:r>
        <w:rPr>
          <w:rFonts w:eastAsia="Times New Roman"/>
        </w:rPr>
        <w:t xml:space="preserve">Regular training helps identify gaps in knowledge or resources, allowing DCWW to allocate resources more efficiently and effectively. This programme outlines roles and responsibilities, and these are recorded on action cards within our plans. One example of our ‘Alternative Water Distribution Plan’ outlines how we as a business manage </w:t>
      </w:r>
      <w:r w:rsidR="00D375E2">
        <w:rPr>
          <w:rFonts w:eastAsia="Times New Roman"/>
        </w:rPr>
        <w:t>coordination</w:t>
      </w:r>
      <w:r>
        <w:rPr>
          <w:rFonts w:eastAsia="Times New Roman"/>
        </w:rPr>
        <w:t xml:space="preserve"> in response to </w:t>
      </w:r>
      <w:r w:rsidR="000402FD">
        <w:rPr>
          <w:rFonts w:eastAsia="Times New Roman"/>
        </w:rPr>
        <w:t>gold and silver</w:t>
      </w:r>
      <w:r>
        <w:rPr>
          <w:rFonts w:eastAsia="Times New Roman"/>
        </w:rPr>
        <w:t xml:space="preserve"> incidents as defined in our Incident Response Manual (IRM). Within this plan, there is a role defined as an ‘Alternative Water Station Supervisor</w:t>
      </w:r>
      <w:r w:rsidR="006C7522">
        <w:rPr>
          <w:rFonts w:eastAsia="Times New Roman"/>
        </w:rPr>
        <w:t>’</w:t>
      </w:r>
      <w:r>
        <w:rPr>
          <w:rFonts w:eastAsia="Times New Roman"/>
        </w:rPr>
        <w:t xml:space="preserve">. This role is outlined in an action card, and we train specific people within the business to </w:t>
      </w:r>
      <w:r w:rsidR="005F00B8">
        <w:rPr>
          <w:rFonts w:eastAsia="Times New Roman"/>
        </w:rPr>
        <w:t>conduct</w:t>
      </w:r>
      <w:r>
        <w:rPr>
          <w:rFonts w:eastAsia="Times New Roman"/>
        </w:rPr>
        <w:t xml:space="preserve"> this role, which is heavily based around Health and Safety. This is then exercised annually, and each designated person is required to complete a bespoke e</w:t>
      </w:r>
      <w:r w:rsidR="00F07DC6">
        <w:rPr>
          <w:rFonts w:eastAsia="Times New Roman"/>
        </w:rPr>
        <w:t>-</w:t>
      </w:r>
      <w:r>
        <w:rPr>
          <w:rFonts w:eastAsia="Times New Roman"/>
        </w:rPr>
        <w:t>learning module annually, which is recorded. This gives these individuals the confidence and skills or knowledge required.</w:t>
      </w:r>
    </w:p>
    <w:p w14:paraId="0AB55A52" w14:textId="77777777" w:rsidR="000402FD" w:rsidRDefault="000402FD" w:rsidP="00B27EB8">
      <w:pPr>
        <w:rPr>
          <w:rFonts w:eastAsia="Times New Roman"/>
        </w:rPr>
      </w:pPr>
    </w:p>
    <w:p w14:paraId="1A8E9561" w14:textId="0961D976" w:rsidR="000402FD" w:rsidRPr="0034254E" w:rsidRDefault="000402FD" w:rsidP="00B27EB8">
      <w:pPr>
        <w:rPr>
          <w:rFonts w:eastAsia="Times New Roman"/>
          <w:i/>
          <w:iCs/>
        </w:rPr>
      </w:pPr>
      <w:r w:rsidRPr="0034254E">
        <w:rPr>
          <w:rFonts w:eastAsia="Times New Roman"/>
          <w:i/>
          <w:iCs/>
        </w:rPr>
        <w:t>Action Card Example</w:t>
      </w:r>
    </w:p>
    <w:p w14:paraId="4B7EBC03" w14:textId="77777777" w:rsidR="000402FD" w:rsidRDefault="000402FD" w:rsidP="00B27EB8">
      <w:pPr>
        <w:rPr>
          <w:rFonts w:eastAsia="Times New Roman"/>
        </w:rPr>
      </w:pPr>
    </w:p>
    <w:p w14:paraId="055B1FF6" w14:textId="0C584F75" w:rsidR="000402FD" w:rsidRDefault="000402FD" w:rsidP="00B27EB8">
      <w:pPr>
        <w:rPr>
          <w:rFonts w:eastAsia="Times New Roman"/>
        </w:rPr>
      </w:pPr>
      <w:r w:rsidRPr="00651D52">
        <w:rPr>
          <w:rFonts w:ascii="Arial" w:eastAsia="Times New Roman" w:hAnsi="Arial" w:cs="Arial"/>
          <w:color w:val="000000"/>
          <w:sz w:val="27"/>
          <w:szCs w:val="27"/>
        </w:rPr>
        <w:drawing>
          <wp:inline distT="0" distB="0" distL="0" distR="0" wp14:anchorId="32ECF4D3" wp14:editId="47791AC5">
            <wp:extent cx="4467225" cy="4722245"/>
            <wp:effectExtent l="0" t="0" r="0" b="2540"/>
            <wp:docPr id="874096821"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096821" name="Picture 1" descr="A document with text on it&#10;&#10;Description automatically generated"/>
                    <pic:cNvPicPr/>
                  </pic:nvPicPr>
                  <pic:blipFill>
                    <a:blip r:embed="rId7"/>
                    <a:stretch>
                      <a:fillRect/>
                    </a:stretch>
                  </pic:blipFill>
                  <pic:spPr>
                    <a:xfrm>
                      <a:off x="0" y="0"/>
                      <a:ext cx="4469472" cy="4724620"/>
                    </a:xfrm>
                    <a:prstGeom prst="rect">
                      <a:avLst/>
                    </a:prstGeom>
                  </pic:spPr>
                </pic:pic>
              </a:graphicData>
            </a:graphic>
          </wp:inline>
        </w:drawing>
      </w:r>
    </w:p>
    <w:p w14:paraId="5F293BBF" w14:textId="77777777" w:rsidR="00B27EB8" w:rsidRDefault="00B27EB8" w:rsidP="00B27EB8">
      <w:pPr>
        <w:rPr>
          <w:rFonts w:eastAsia="Times New Roman"/>
        </w:rPr>
      </w:pPr>
    </w:p>
    <w:p w14:paraId="4BE60183" w14:textId="6EAA3DE5" w:rsidR="00B27EB8" w:rsidRPr="0034254E" w:rsidRDefault="00B27EB8" w:rsidP="00B27EB8">
      <w:pPr>
        <w:rPr>
          <w:rFonts w:eastAsia="Times New Roman"/>
          <w:b/>
          <w:bCs/>
        </w:rPr>
      </w:pPr>
      <w:r w:rsidRPr="0034254E">
        <w:rPr>
          <w:rFonts w:eastAsia="Times New Roman"/>
          <w:b/>
          <w:bCs/>
        </w:rPr>
        <w:t>4. Identifying Lessons Learned</w:t>
      </w:r>
    </w:p>
    <w:p w14:paraId="51D4EF22" w14:textId="77777777" w:rsidR="00B27EB8" w:rsidRDefault="00B27EB8" w:rsidP="00B27EB8">
      <w:pPr>
        <w:rPr>
          <w:rFonts w:eastAsia="Times New Roman"/>
        </w:rPr>
      </w:pPr>
    </w:p>
    <w:p w14:paraId="70E6BE72" w14:textId="77777777" w:rsidR="00B27EB8" w:rsidRDefault="00B27EB8" w:rsidP="00B27EB8">
      <w:pPr>
        <w:rPr>
          <w:rFonts w:eastAsia="Times New Roman"/>
        </w:rPr>
      </w:pPr>
      <w:r>
        <w:rPr>
          <w:rFonts w:eastAsia="Times New Roman"/>
        </w:rPr>
        <w:t>Identifying and applying lessons learned from exercises is crucial for improving planning and response strategies.</w:t>
      </w:r>
    </w:p>
    <w:p w14:paraId="5F25061C" w14:textId="77777777" w:rsidR="00B27EB8" w:rsidRDefault="00B27EB8" w:rsidP="00B27EB8">
      <w:pPr>
        <w:rPr>
          <w:rFonts w:eastAsia="Times New Roman"/>
        </w:rPr>
      </w:pPr>
    </w:p>
    <w:p w14:paraId="2A685330" w14:textId="155619D7" w:rsidR="00B27EB8" w:rsidRDefault="00B27EB8" w:rsidP="00B27EB8">
      <w:pPr>
        <w:rPr>
          <w:rFonts w:eastAsia="Times New Roman"/>
        </w:rPr>
      </w:pPr>
      <w:r>
        <w:rPr>
          <w:rFonts w:eastAsia="Times New Roman"/>
        </w:rPr>
        <w:t>4.1 Debriefing Sessions</w:t>
      </w:r>
    </w:p>
    <w:p w14:paraId="7F4C2B4E" w14:textId="77777777" w:rsidR="00B27EB8" w:rsidRDefault="00B27EB8" w:rsidP="00B27EB8">
      <w:pPr>
        <w:rPr>
          <w:rFonts w:eastAsia="Times New Roman"/>
        </w:rPr>
      </w:pPr>
    </w:p>
    <w:p w14:paraId="28264B7E" w14:textId="77777777" w:rsidR="00B27EB8" w:rsidRDefault="00B27EB8" w:rsidP="00B27EB8">
      <w:pPr>
        <w:rPr>
          <w:rFonts w:eastAsia="Times New Roman"/>
        </w:rPr>
      </w:pPr>
      <w:r>
        <w:rPr>
          <w:rFonts w:eastAsia="Times New Roman"/>
        </w:rPr>
        <w:t>After each exercise or incident, debriefing sessions are conducted to ask:</w:t>
      </w:r>
    </w:p>
    <w:p w14:paraId="0723CFBC" w14:textId="77777777" w:rsidR="000402FD" w:rsidRDefault="000402FD" w:rsidP="00B27EB8">
      <w:pPr>
        <w:rPr>
          <w:rFonts w:eastAsia="Times New Roman"/>
        </w:rPr>
      </w:pPr>
    </w:p>
    <w:p w14:paraId="602AF9DD" w14:textId="61A71586" w:rsidR="00B27EB8" w:rsidRPr="000402FD" w:rsidRDefault="00B27EB8" w:rsidP="000402FD">
      <w:pPr>
        <w:pStyle w:val="ListParagraph"/>
        <w:numPr>
          <w:ilvl w:val="0"/>
          <w:numId w:val="2"/>
        </w:numPr>
        <w:rPr>
          <w:rFonts w:eastAsia="Times New Roman"/>
        </w:rPr>
      </w:pPr>
      <w:r w:rsidRPr="000402FD">
        <w:rPr>
          <w:rFonts w:eastAsia="Times New Roman"/>
        </w:rPr>
        <w:t>What went well?</w:t>
      </w:r>
    </w:p>
    <w:p w14:paraId="6BC06BFF" w14:textId="097E0C95" w:rsidR="00B27EB8" w:rsidRPr="000402FD" w:rsidRDefault="00B27EB8" w:rsidP="000402FD">
      <w:pPr>
        <w:pStyle w:val="ListParagraph"/>
        <w:numPr>
          <w:ilvl w:val="0"/>
          <w:numId w:val="2"/>
        </w:numPr>
        <w:rPr>
          <w:rFonts w:eastAsia="Times New Roman"/>
        </w:rPr>
      </w:pPr>
      <w:r w:rsidRPr="000402FD">
        <w:rPr>
          <w:rFonts w:eastAsia="Times New Roman"/>
        </w:rPr>
        <w:t>What did not?</w:t>
      </w:r>
    </w:p>
    <w:p w14:paraId="4FFC183C" w14:textId="77434222" w:rsidR="00B27EB8" w:rsidRPr="000402FD" w:rsidRDefault="00B27EB8" w:rsidP="000402FD">
      <w:pPr>
        <w:pStyle w:val="ListParagraph"/>
        <w:numPr>
          <w:ilvl w:val="0"/>
          <w:numId w:val="2"/>
        </w:numPr>
        <w:rPr>
          <w:rFonts w:eastAsia="Times New Roman"/>
        </w:rPr>
      </w:pPr>
      <w:r w:rsidRPr="000402FD">
        <w:rPr>
          <w:rFonts w:eastAsia="Times New Roman"/>
        </w:rPr>
        <w:t>What could we do better?</w:t>
      </w:r>
    </w:p>
    <w:p w14:paraId="153AA6B7" w14:textId="77777777" w:rsidR="00B27EB8" w:rsidRDefault="00B27EB8" w:rsidP="00B27EB8">
      <w:pPr>
        <w:rPr>
          <w:rFonts w:eastAsia="Times New Roman"/>
        </w:rPr>
      </w:pPr>
    </w:p>
    <w:p w14:paraId="061A8A0F" w14:textId="1BFD45E4" w:rsidR="00B27EB8" w:rsidRDefault="00B27EB8" w:rsidP="00B27EB8">
      <w:pPr>
        <w:rPr>
          <w:rFonts w:eastAsia="Times New Roman"/>
        </w:rPr>
      </w:pPr>
      <w:r>
        <w:rPr>
          <w:rFonts w:eastAsia="Times New Roman"/>
        </w:rPr>
        <w:t xml:space="preserve">This is </w:t>
      </w:r>
      <w:r w:rsidR="005F00B8">
        <w:rPr>
          <w:rFonts w:eastAsia="Times New Roman"/>
        </w:rPr>
        <w:t>conducted</w:t>
      </w:r>
      <w:r>
        <w:rPr>
          <w:rFonts w:eastAsia="Times New Roman"/>
        </w:rPr>
        <w:t xml:space="preserve"> using a hot debrief and then also a cold </w:t>
      </w:r>
      <w:r w:rsidR="002D144A">
        <w:rPr>
          <w:rFonts w:eastAsia="Times New Roman"/>
        </w:rPr>
        <w:t>debriefs</w:t>
      </w:r>
      <w:r>
        <w:rPr>
          <w:rFonts w:eastAsia="Times New Roman"/>
        </w:rPr>
        <w:t>, which is carried out within 10 days (Goldman et al., 2018).</w:t>
      </w:r>
    </w:p>
    <w:p w14:paraId="432F112E" w14:textId="77777777" w:rsidR="00B27EB8" w:rsidRDefault="00B27EB8" w:rsidP="00B27EB8">
      <w:pPr>
        <w:rPr>
          <w:rFonts w:eastAsia="Times New Roman"/>
        </w:rPr>
      </w:pPr>
    </w:p>
    <w:p w14:paraId="7FB2E03B" w14:textId="1F05F30D" w:rsidR="00B27EB8" w:rsidRDefault="00B27EB8" w:rsidP="00B27EB8">
      <w:pPr>
        <w:rPr>
          <w:rFonts w:eastAsia="Times New Roman"/>
        </w:rPr>
      </w:pPr>
      <w:r>
        <w:rPr>
          <w:rFonts w:eastAsia="Times New Roman"/>
        </w:rPr>
        <w:t>4.2 Continuous Improvement Plans</w:t>
      </w:r>
    </w:p>
    <w:p w14:paraId="0C51456D" w14:textId="77777777" w:rsidR="00B27EB8" w:rsidRDefault="00B27EB8" w:rsidP="00B27EB8">
      <w:pPr>
        <w:rPr>
          <w:rFonts w:eastAsia="Times New Roman"/>
        </w:rPr>
      </w:pPr>
    </w:p>
    <w:p w14:paraId="24E1222B" w14:textId="5FA78850" w:rsidR="00B27EB8" w:rsidRDefault="00B27EB8" w:rsidP="00B27EB8">
      <w:pPr>
        <w:rPr>
          <w:rFonts w:eastAsia="Times New Roman"/>
        </w:rPr>
      </w:pPr>
      <w:r>
        <w:rPr>
          <w:rFonts w:eastAsia="Times New Roman"/>
        </w:rPr>
        <w:t xml:space="preserve">Based on the lessons learned from exercises and evaluations, DCWW has created an action tracker with business area owners. This group meets monthly to record and review the actions recorded. An example of this is that we did not have enough signs for </w:t>
      </w:r>
      <w:r w:rsidR="00450C60">
        <w:rPr>
          <w:rFonts w:eastAsia="Times New Roman"/>
        </w:rPr>
        <w:t>A</w:t>
      </w:r>
      <w:r>
        <w:rPr>
          <w:rFonts w:eastAsia="Times New Roman"/>
        </w:rPr>
        <w:t xml:space="preserve">lternative </w:t>
      </w:r>
      <w:r w:rsidR="00EA143A">
        <w:rPr>
          <w:rFonts w:eastAsia="Times New Roman"/>
        </w:rPr>
        <w:t>W</w:t>
      </w:r>
      <w:r>
        <w:rPr>
          <w:rFonts w:eastAsia="Times New Roman"/>
        </w:rPr>
        <w:t xml:space="preserve">ater </w:t>
      </w:r>
      <w:r w:rsidR="00EA143A">
        <w:rPr>
          <w:rFonts w:eastAsia="Times New Roman"/>
        </w:rPr>
        <w:t>S</w:t>
      </w:r>
      <w:r>
        <w:rPr>
          <w:rFonts w:eastAsia="Times New Roman"/>
        </w:rPr>
        <w:t>tations</w:t>
      </w:r>
      <w:r w:rsidR="00450C60">
        <w:rPr>
          <w:rFonts w:eastAsia="Times New Roman"/>
        </w:rPr>
        <w:t xml:space="preserve"> (AWS)</w:t>
      </w:r>
      <w:r>
        <w:rPr>
          <w:rFonts w:eastAsia="Times New Roman"/>
        </w:rPr>
        <w:t>. This was actioned, and more signs were purchased.</w:t>
      </w:r>
    </w:p>
    <w:p w14:paraId="6BE88E9B" w14:textId="77777777" w:rsidR="00B27EB8" w:rsidRDefault="00B27EB8" w:rsidP="00B27EB8">
      <w:pPr>
        <w:rPr>
          <w:rFonts w:eastAsia="Times New Roman"/>
        </w:rPr>
      </w:pPr>
    </w:p>
    <w:p w14:paraId="53B3B8FC" w14:textId="2B7C13EA" w:rsidR="00B27EB8" w:rsidRPr="0034254E" w:rsidRDefault="00B27EB8" w:rsidP="00B27EB8">
      <w:pPr>
        <w:rPr>
          <w:rFonts w:eastAsia="Times New Roman"/>
          <w:b/>
          <w:bCs/>
        </w:rPr>
      </w:pPr>
      <w:r w:rsidRPr="0034254E">
        <w:rPr>
          <w:rFonts w:eastAsia="Times New Roman"/>
          <w:b/>
          <w:bCs/>
        </w:rPr>
        <w:t>5. Insights from Recent Public Inquiries</w:t>
      </w:r>
    </w:p>
    <w:p w14:paraId="30CC6BF2" w14:textId="77777777" w:rsidR="00B27EB8" w:rsidRDefault="00B27EB8" w:rsidP="00B27EB8">
      <w:pPr>
        <w:rPr>
          <w:rFonts w:eastAsia="Times New Roman"/>
        </w:rPr>
      </w:pPr>
    </w:p>
    <w:p w14:paraId="2D55F8EF" w14:textId="77777777" w:rsidR="00B27EB8" w:rsidRDefault="00B27EB8" w:rsidP="00B27EB8">
      <w:pPr>
        <w:rPr>
          <w:rFonts w:eastAsia="Times New Roman"/>
        </w:rPr>
      </w:pPr>
      <w:r>
        <w:rPr>
          <w:rFonts w:eastAsia="Times New Roman"/>
        </w:rPr>
        <w:t>Recent public inquiries have provided valuable insights into the effectiveness of training and exercising within organisations, highlighting the importance of adequate preparedness in emergency situations.</w:t>
      </w:r>
    </w:p>
    <w:p w14:paraId="563BB061" w14:textId="77777777" w:rsidR="00B27EB8" w:rsidRDefault="00B27EB8" w:rsidP="00B27EB8">
      <w:pPr>
        <w:rPr>
          <w:rFonts w:eastAsia="Times New Roman"/>
        </w:rPr>
      </w:pPr>
    </w:p>
    <w:p w14:paraId="4AEA64FC" w14:textId="7FDDD060" w:rsidR="00B27EB8" w:rsidRDefault="00B27EB8" w:rsidP="00B27EB8">
      <w:pPr>
        <w:rPr>
          <w:rFonts w:eastAsia="Times New Roman"/>
        </w:rPr>
      </w:pPr>
      <w:r>
        <w:rPr>
          <w:rFonts w:eastAsia="Times New Roman"/>
        </w:rPr>
        <w:t>5.1 Case Study: Grenfell Tower Fire</w:t>
      </w:r>
    </w:p>
    <w:p w14:paraId="1D30F908" w14:textId="77777777" w:rsidR="00B27EB8" w:rsidRDefault="00B27EB8" w:rsidP="00B27EB8">
      <w:pPr>
        <w:rPr>
          <w:rFonts w:eastAsia="Times New Roman"/>
        </w:rPr>
      </w:pPr>
    </w:p>
    <w:p w14:paraId="5B635B73" w14:textId="0AF12E3B" w:rsidR="00B27EB8" w:rsidRDefault="00B27EB8" w:rsidP="00B27EB8">
      <w:pPr>
        <w:rPr>
          <w:rFonts w:eastAsia="Times New Roman"/>
        </w:rPr>
      </w:pPr>
      <w:r>
        <w:rPr>
          <w:rFonts w:eastAsia="Times New Roman"/>
        </w:rPr>
        <w:t>The inquiry into the Grenfell Tower fire revealed significant deficiencies in training and preparedness among emergency services. Key findings indicated that staff members lacked proper training on emergency response protocols, leading to confusion during critical moments. For DCWW, this serves as a reminder of the consequences of inadequate training and the need for comprehensive emergency preparedness programs (Public Inquiry, 2019)</w:t>
      </w:r>
    </w:p>
    <w:p w14:paraId="0DB83F4B" w14:textId="5DF126A0" w:rsidR="00B27EB8" w:rsidRDefault="00B27EB8" w:rsidP="00B27EB8">
      <w:pPr>
        <w:rPr>
          <w:rFonts w:eastAsia="Times New Roman"/>
        </w:rPr>
      </w:pPr>
      <w:r>
        <w:rPr>
          <w:rFonts w:eastAsia="Times New Roman"/>
        </w:rPr>
        <w:t>5.2 Implementation of Learning</w:t>
      </w:r>
    </w:p>
    <w:p w14:paraId="7060E507" w14:textId="77777777" w:rsidR="00B27EB8" w:rsidRDefault="00B27EB8" w:rsidP="00B27EB8">
      <w:pPr>
        <w:rPr>
          <w:rFonts w:eastAsia="Times New Roman"/>
        </w:rPr>
      </w:pPr>
    </w:p>
    <w:p w14:paraId="503F3401" w14:textId="77777777" w:rsidR="00B27EB8" w:rsidRDefault="00B27EB8" w:rsidP="00B27EB8">
      <w:pPr>
        <w:rPr>
          <w:rFonts w:eastAsia="Times New Roman"/>
        </w:rPr>
      </w:pPr>
      <w:r>
        <w:rPr>
          <w:rFonts w:eastAsia="Times New Roman"/>
        </w:rPr>
        <w:t>The Grenfell inquiry also highlighted a notable gap between lessons identified in previous exercises and actual changes made to training and procedures. This lack of implementation underscores the importance of ensuring that organisations actively incorporate lessons learned into their training programs and emergency response plans (Harrison, 2014).</w:t>
      </w:r>
    </w:p>
    <w:p w14:paraId="23BAEAF3" w14:textId="77777777" w:rsidR="00B27EB8" w:rsidRDefault="00B27EB8" w:rsidP="00B27EB8">
      <w:pPr>
        <w:rPr>
          <w:rFonts w:eastAsia="Times New Roman"/>
        </w:rPr>
      </w:pPr>
    </w:p>
    <w:p w14:paraId="54D424EC" w14:textId="192E9A05" w:rsidR="00B27EB8" w:rsidRDefault="00B27EB8" w:rsidP="00B27EB8">
      <w:pPr>
        <w:rPr>
          <w:rFonts w:eastAsia="Times New Roman"/>
        </w:rPr>
      </w:pPr>
      <w:r>
        <w:rPr>
          <w:rFonts w:eastAsia="Times New Roman"/>
        </w:rPr>
        <w:t>5.3 Comprehensive Training Necessity</w:t>
      </w:r>
    </w:p>
    <w:p w14:paraId="699957DC" w14:textId="77777777" w:rsidR="00B27EB8" w:rsidRDefault="00B27EB8" w:rsidP="00B27EB8">
      <w:pPr>
        <w:rPr>
          <w:rFonts w:eastAsia="Times New Roman"/>
        </w:rPr>
      </w:pPr>
    </w:p>
    <w:p w14:paraId="3ACC82DE" w14:textId="77777777" w:rsidR="00B27EB8" w:rsidRDefault="00B27EB8" w:rsidP="00B27EB8">
      <w:pPr>
        <w:rPr>
          <w:rFonts w:eastAsia="Times New Roman"/>
        </w:rPr>
      </w:pPr>
      <w:r>
        <w:rPr>
          <w:rFonts w:eastAsia="Times New Roman"/>
        </w:rPr>
        <w:t>Public inquiries often emphasise the need for comprehensive and ongoing training programs that adapt to new challenges and incidents. For DCWW, this means continuously evaluating and updating their training curricula to reflect emerging threats and evolving best practices in emergency management (Paton &amp; Flin, 2014).</w:t>
      </w:r>
    </w:p>
    <w:p w14:paraId="4ABD1DA9" w14:textId="77777777" w:rsidR="00BF1B7E" w:rsidRDefault="00BF1B7E" w:rsidP="00B27EB8">
      <w:pPr>
        <w:rPr>
          <w:rFonts w:eastAsia="Times New Roman"/>
        </w:rPr>
      </w:pPr>
    </w:p>
    <w:p w14:paraId="14361A13" w14:textId="77777777" w:rsidR="00BF1B7E" w:rsidRDefault="00BF1B7E" w:rsidP="00B27EB8">
      <w:pPr>
        <w:rPr>
          <w:rFonts w:eastAsia="Times New Roman"/>
        </w:rPr>
      </w:pPr>
    </w:p>
    <w:p w14:paraId="737DA92F" w14:textId="77777777" w:rsidR="00BF1B7E" w:rsidRDefault="00BF1B7E" w:rsidP="00B27EB8">
      <w:pPr>
        <w:rPr>
          <w:rFonts w:eastAsia="Times New Roman"/>
        </w:rPr>
      </w:pPr>
    </w:p>
    <w:p w14:paraId="52C5405C" w14:textId="77777777" w:rsidR="00B27EB8" w:rsidRPr="0034254E" w:rsidRDefault="00B27EB8" w:rsidP="00B27EB8">
      <w:pPr>
        <w:rPr>
          <w:rFonts w:eastAsia="Times New Roman"/>
          <w:b/>
          <w:bCs/>
        </w:rPr>
      </w:pPr>
    </w:p>
    <w:p w14:paraId="7442EEB9" w14:textId="0235F5D6" w:rsidR="00B27EB8" w:rsidRPr="0034254E" w:rsidRDefault="00B27EB8" w:rsidP="00B27EB8">
      <w:pPr>
        <w:rPr>
          <w:rFonts w:eastAsia="Times New Roman"/>
          <w:b/>
          <w:bCs/>
        </w:rPr>
      </w:pPr>
      <w:r w:rsidRPr="0034254E">
        <w:rPr>
          <w:rFonts w:eastAsia="Times New Roman"/>
          <w:b/>
          <w:bCs/>
        </w:rPr>
        <w:lastRenderedPageBreak/>
        <w:t>6. Security Emergency Measures Direction (SEMD) Guidelines</w:t>
      </w:r>
    </w:p>
    <w:p w14:paraId="46CD1F3A" w14:textId="77777777" w:rsidR="00B27EB8" w:rsidRDefault="00B27EB8" w:rsidP="00B27EB8">
      <w:pPr>
        <w:rPr>
          <w:rFonts w:eastAsia="Times New Roman"/>
        </w:rPr>
      </w:pPr>
    </w:p>
    <w:p w14:paraId="4633BCD3" w14:textId="20A8BF3A" w:rsidR="00B27EB8" w:rsidRDefault="00B27EB8" w:rsidP="00B27EB8">
      <w:pPr>
        <w:rPr>
          <w:rFonts w:eastAsia="Times New Roman"/>
        </w:rPr>
      </w:pPr>
      <w:r>
        <w:rPr>
          <w:rFonts w:eastAsia="Times New Roman"/>
        </w:rPr>
        <w:t>In addition to environmental and operational challenges, DCWW must also address security</w:t>
      </w:r>
      <w:r w:rsidR="00F07DC6">
        <w:rPr>
          <w:rFonts w:eastAsia="Times New Roman"/>
        </w:rPr>
        <w:t xml:space="preserve"> </w:t>
      </w:r>
      <w:r>
        <w:rPr>
          <w:rFonts w:eastAsia="Times New Roman"/>
        </w:rPr>
        <w:t>related threats. The Security Emergency Measures Direction (SEMD) provides essential guidelines for enhancing security measures against potential risks (Cabinet Office, 2017).</w:t>
      </w:r>
    </w:p>
    <w:p w14:paraId="49DFD2CD" w14:textId="77777777" w:rsidR="00B27EB8" w:rsidRDefault="00B27EB8" w:rsidP="00B27EB8">
      <w:pPr>
        <w:rPr>
          <w:rFonts w:eastAsia="Times New Roman"/>
        </w:rPr>
      </w:pPr>
    </w:p>
    <w:p w14:paraId="2AA6EEBF" w14:textId="7A963DE1" w:rsidR="00B27EB8" w:rsidRDefault="00B27EB8" w:rsidP="00B27EB8">
      <w:pPr>
        <w:rPr>
          <w:rFonts w:eastAsia="Times New Roman"/>
        </w:rPr>
      </w:pPr>
      <w:r>
        <w:rPr>
          <w:rFonts w:eastAsia="Times New Roman"/>
        </w:rPr>
        <w:t>6.1 Key Components of SEMD Guidelines</w:t>
      </w:r>
    </w:p>
    <w:p w14:paraId="6121DAEB" w14:textId="77777777" w:rsidR="00B27EB8" w:rsidRDefault="00B27EB8" w:rsidP="00B27EB8">
      <w:pPr>
        <w:rPr>
          <w:rFonts w:eastAsia="Times New Roman"/>
        </w:rPr>
      </w:pPr>
    </w:p>
    <w:p w14:paraId="6AD858CA" w14:textId="22888BCE" w:rsidR="00B27EB8" w:rsidRDefault="00B27EB8" w:rsidP="00B27EB8">
      <w:pPr>
        <w:rPr>
          <w:rFonts w:eastAsia="Times New Roman"/>
        </w:rPr>
      </w:pPr>
      <w:r>
        <w:rPr>
          <w:rFonts w:eastAsia="Times New Roman"/>
        </w:rPr>
        <w:t xml:space="preserve"> Risk Assessment and Threat Analysis: Conducting thorough assessments of security vulnerabilities is critical. DCWW must identify potential threats, including terrorism and sabotage, to protect its infrastructure (DEFRA, 2020).</w:t>
      </w:r>
    </w:p>
    <w:p w14:paraId="25C150EF" w14:textId="75295A72" w:rsidR="00B27EB8" w:rsidRDefault="00B27EB8" w:rsidP="00B27EB8">
      <w:pPr>
        <w:rPr>
          <w:rFonts w:eastAsia="Times New Roman"/>
        </w:rPr>
      </w:pPr>
      <w:r>
        <w:rPr>
          <w:rFonts w:eastAsia="Times New Roman"/>
        </w:rPr>
        <w:t> Development of Security Plans: Comprehensive security plans should outline specific measures to safeguard water supply systems and sewerage infrastructure. These plans must include protocols for surveillance, access control, and incident response (Goldman et al., 2018).</w:t>
      </w:r>
    </w:p>
    <w:p w14:paraId="412D05D6" w14:textId="6B649954" w:rsidR="00B27EB8" w:rsidRDefault="00B27EB8" w:rsidP="00B27EB8">
      <w:pPr>
        <w:rPr>
          <w:rFonts w:eastAsia="Times New Roman"/>
        </w:rPr>
      </w:pPr>
      <w:r>
        <w:rPr>
          <w:rFonts w:eastAsia="Times New Roman"/>
        </w:rPr>
        <w:t> Collaboration with Security Agencies: Close collaboration with local and national security agencies is essential to stay informed about emerging threats and to enhance overall security readiness (Harrison, 2014).</w:t>
      </w:r>
    </w:p>
    <w:p w14:paraId="5F377F57" w14:textId="7DBDB27D" w:rsidR="00B27EB8" w:rsidRDefault="00B27EB8" w:rsidP="00B27EB8">
      <w:pPr>
        <w:rPr>
          <w:rFonts w:eastAsia="Times New Roman"/>
        </w:rPr>
      </w:pPr>
      <w:r>
        <w:rPr>
          <w:rFonts w:eastAsia="Times New Roman"/>
        </w:rPr>
        <w:t> Training and Drills: Regular training focused on security scenarios is vital. DCWW should implement training programs that prepare staff to respond effectively to security incidents, ensuring personnel understand their roles during a crisis (Paton &amp; Flin, 2014) Public Communication Strategies: Effective communication with the public during security emergencies is crucial. DCWW must develop clear communication strategies to inform stakeholders about potential risks and the measures being taken to ensure safety (DEFRA, 2020).</w:t>
      </w:r>
    </w:p>
    <w:p w14:paraId="6F1D02B2" w14:textId="77777777" w:rsidR="00B27EB8" w:rsidRDefault="00B27EB8" w:rsidP="00B27EB8">
      <w:pPr>
        <w:rPr>
          <w:rFonts w:eastAsia="Times New Roman"/>
        </w:rPr>
      </w:pPr>
    </w:p>
    <w:p w14:paraId="46FD5B8D" w14:textId="41D2E0B8" w:rsidR="00B27EB8" w:rsidRDefault="00B27EB8" w:rsidP="00B27EB8">
      <w:pPr>
        <w:rPr>
          <w:rFonts w:eastAsia="Times New Roman"/>
        </w:rPr>
      </w:pPr>
      <w:r>
        <w:rPr>
          <w:rFonts w:eastAsia="Times New Roman"/>
        </w:rPr>
        <w:t>6.2 Integration of SEMD Guidelines</w:t>
      </w:r>
    </w:p>
    <w:p w14:paraId="00AE17DA" w14:textId="77777777" w:rsidR="00B27EB8" w:rsidRDefault="00B27EB8" w:rsidP="00B27EB8">
      <w:pPr>
        <w:rPr>
          <w:rFonts w:eastAsia="Times New Roman"/>
        </w:rPr>
      </w:pPr>
    </w:p>
    <w:p w14:paraId="31D5C1B1" w14:textId="77777777" w:rsidR="00B27EB8" w:rsidRDefault="00B27EB8" w:rsidP="00B27EB8">
      <w:pPr>
        <w:rPr>
          <w:rFonts w:eastAsia="Times New Roman"/>
        </w:rPr>
      </w:pPr>
      <w:r>
        <w:rPr>
          <w:rFonts w:eastAsia="Times New Roman"/>
        </w:rPr>
        <w:t>Integrating the SEMD guidelines into DCWW's emergency preparedness framework reinforces the importance of addressing security alongside environmental challenges. By aligning training, planning, and response strategies with these guidelines, DCWW can ensure a comprehensive approach to managing emergencies.</w:t>
      </w:r>
    </w:p>
    <w:p w14:paraId="70745F51" w14:textId="77777777" w:rsidR="00B27EB8" w:rsidRDefault="00B27EB8" w:rsidP="00B27EB8">
      <w:pPr>
        <w:rPr>
          <w:rFonts w:eastAsia="Times New Roman"/>
        </w:rPr>
      </w:pPr>
    </w:p>
    <w:p w14:paraId="3B799EB9" w14:textId="79540A46" w:rsidR="00B27EB8" w:rsidRPr="001256D0" w:rsidRDefault="00B27EB8" w:rsidP="00B27EB8">
      <w:pPr>
        <w:rPr>
          <w:rFonts w:eastAsia="Times New Roman"/>
          <w:b/>
          <w:bCs/>
        </w:rPr>
      </w:pPr>
      <w:r w:rsidRPr="001256D0">
        <w:rPr>
          <w:rFonts w:eastAsia="Times New Roman"/>
          <w:b/>
          <w:bCs/>
        </w:rPr>
        <w:t>7. DEFRA Guidelines</w:t>
      </w:r>
    </w:p>
    <w:p w14:paraId="43CAFDD7" w14:textId="77777777" w:rsidR="00B27EB8" w:rsidRDefault="00B27EB8" w:rsidP="00B27EB8">
      <w:pPr>
        <w:rPr>
          <w:rFonts w:eastAsia="Times New Roman"/>
        </w:rPr>
      </w:pPr>
    </w:p>
    <w:p w14:paraId="5D790AC1" w14:textId="77777777" w:rsidR="00B27EB8" w:rsidRDefault="00B27EB8" w:rsidP="00B27EB8">
      <w:pPr>
        <w:rPr>
          <w:rFonts w:eastAsia="Times New Roman"/>
        </w:rPr>
      </w:pPr>
      <w:r>
        <w:rPr>
          <w:rFonts w:eastAsia="Times New Roman"/>
        </w:rPr>
        <w:t>The Department for Environment, Food &amp; Rural Affairs (DEFRA) provides guidance that further supports DCWW's efforts in emergency preparedness and response (DEFRA, 2020).</w:t>
      </w:r>
    </w:p>
    <w:p w14:paraId="079E6C4D" w14:textId="77777777" w:rsidR="00B27EB8" w:rsidRDefault="00B27EB8" w:rsidP="00B27EB8">
      <w:pPr>
        <w:rPr>
          <w:rFonts w:eastAsia="Times New Roman"/>
        </w:rPr>
      </w:pPr>
    </w:p>
    <w:p w14:paraId="63AD85CF" w14:textId="332C2084" w:rsidR="00B27EB8" w:rsidRDefault="00B27EB8" w:rsidP="00B27EB8">
      <w:pPr>
        <w:rPr>
          <w:rFonts w:eastAsia="Times New Roman"/>
        </w:rPr>
      </w:pPr>
      <w:r>
        <w:rPr>
          <w:rFonts w:eastAsia="Times New Roman"/>
        </w:rPr>
        <w:t>7.1 Key Aspects of DEFRA Guidelines</w:t>
      </w:r>
    </w:p>
    <w:p w14:paraId="12F34D1D" w14:textId="77777777" w:rsidR="00B27EB8" w:rsidRDefault="00B27EB8" w:rsidP="00B27EB8">
      <w:pPr>
        <w:rPr>
          <w:rFonts w:eastAsia="Times New Roman"/>
        </w:rPr>
      </w:pPr>
    </w:p>
    <w:p w14:paraId="17EB1797" w14:textId="77777777" w:rsidR="00462E66" w:rsidRDefault="00B27EB8" w:rsidP="00B27EB8">
      <w:pPr>
        <w:rPr>
          <w:rFonts w:eastAsia="Times New Roman"/>
        </w:rPr>
      </w:pPr>
      <w:r>
        <w:rPr>
          <w:rFonts w:eastAsia="Times New Roman"/>
        </w:rPr>
        <w:t xml:space="preserve"> Water Quality Standards: DEFRA establishes protocols for maintaining water quality during emergencies, ensuring that DCWW adheres to legal standards for safe drinking water even in crisis situations.</w:t>
      </w:r>
    </w:p>
    <w:p w14:paraId="425C8A78" w14:textId="2E233669" w:rsidR="00B27EB8" w:rsidRDefault="00B27EB8" w:rsidP="00B27EB8">
      <w:pPr>
        <w:rPr>
          <w:rFonts w:eastAsia="Times New Roman"/>
        </w:rPr>
      </w:pPr>
      <w:r>
        <w:rPr>
          <w:rFonts w:eastAsia="Times New Roman"/>
        </w:rPr>
        <w:t>Flood Risk Management: DEFRA guidelines include frameworks for assessing and managing flood risks, which are particularly relevant for DCWW given the potential impact of flooding on water supply and sewerage systems (Public Inquiry, 2019).</w:t>
      </w:r>
    </w:p>
    <w:p w14:paraId="6B902DF6" w14:textId="5E2B17C2" w:rsidR="00B27EB8" w:rsidRDefault="00B27EB8" w:rsidP="00B27EB8">
      <w:pPr>
        <w:rPr>
          <w:rFonts w:eastAsia="Times New Roman"/>
        </w:rPr>
      </w:pPr>
      <w:r>
        <w:rPr>
          <w:rFonts w:eastAsia="Times New Roman"/>
        </w:rPr>
        <w:lastRenderedPageBreak/>
        <w:t>Sustainable Water Management Practices: DEFRA emphasises the importance of sustainable practices in water management, encouraging utilities to adopt measures that protect natural resources and enhance resilience (Goldman et al., 2018).</w:t>
      </w:r>
    </w:p>
    <w:p w14:paraId="567E0A35" w14:textId="474A0766" w:rsidR="00B27EB8" w:rsidRDefault="00B27EB8" w:rsidP="00B27EB8">
      <w:pPr>
        <w:rPr>
          <w:rFonts w:eastAsia="Times New Roman"/>
        </w:rPr>
      </w:pPr>
      <w:r>
        <w:rPr>
          <w:rFonts w:eastAsia="Times New Roman"/>
        </w:rPr>
        <w:t>Emergency Planning and Response Frameworks: DEFRA provides resources to help organisations develop effective emergency planning and response strategies that are adaptable to various scenarios (Harrison, 2014).</w:t>
      </w:r>
    </w:p>
    <w:p w14:paraId="3C5A67EC" w14:textId="77777777" w:rsidR="00B27EB8" w:rsidRDefault="00B27EB8" w:rsidP="00B27EB8">
      <w:pPr>
        <w:rPr>
          <w:rFonts w:eastAsia="Times New Roman"/>
        </w:rPr>
      </w:pPr>
    </w:p>
    <w:p w14:paraId="7351AC50" w14:textId="7BE29305" w:rsidR="00B27EB8" w:rsidRDefault="00B27EB8" w:rsidP="00B27EB8">
      <w:pPr>
        <w:rPr>
          <w:rFonts w:eastAsia="Times New Roman"/>
        </w:rPr>
      </w:pPr>
      <w:r>
        <w:rPr>
          <w:rFonts w:eastAsia="Times New Roman"/>
        </w:rPr>
        <w:t>7.2 Alignment with Other Guidelines</w:t>
      </w:r>
    </w:p>
    <w:p w14:paraId="1F4C6244" w14:textId="77777777" w:rsidR="00B27EB8" w:rsidRDefault="00B27EB8" w:rsidP="00B27EB8">
      <w:pPr>
        <w:rPr>
          <w:rFonts w:eastAsia="Times New Roman"/>
        </w:rPr>
      </w:pPr>
    </w:p>
    <w:p w14:paraId="50627F14" w14:textId="451D2A6B" w:rsidR="00B27EB8" w:rsidRDefault="00B27EB8" w:rsidP="00B27EB8">
      <w:pPr>
        <w:rPr>
          <w:rFonts w:eastAsia="Times New Roman"/>
        </w:rPr>
      </w:pPr>
      <w:r>
        <w:rPr>
          <w:rFonts w:eastAsia="Times New Roman"/>
        </w:rPr>
        <w:t xml:space="preserve">The integration of DEFRA guidelines with those from CCA 2004, WIA 1991, and SEMD creates a robust framework for emergency preparedness. This </w:t>
      </w:r>
      <w:r w:rsidR="005F00B8">
        <w:rPr>
          <w:rFonts w:eastAsia="Times New Roman"/>
        </w:rPr>
        <w:t>comprehensive approach</w:t>
      </w:r>
      <w:r>
        <w:rPr>
          <w:rFonts w:eastAsia="Times New Roman"/>
        </w:rPr>
        <w:t xml:space="preserve"> ensures that DCWW is well</w:t>
      </w:r>
      <w:r w:rsidR="00BF1B7E">
        <w:rPr>
          <w:rFonts w:eastAsia="Times New Roman"/>
        </w:rPr>
        <w:t xml:space="preserve"> </w:t>
      </w:r>
      <w:r>
        <w:rPr>
          <w:rFonts w:eastAsia="Times New Roman"/>
        </w:rPr>
        <w:t>equipped to address a wide range of potential threats to water supply and public health.</w:t>
      </w:r>
    </w:p>
    <w:p w14:paraId="6DB1FAD4" w14:textId="77777777" w:rsidR="00B27EB8" w:rsidRDefault="00B27EB8" w:rsidP="00B27EB8">
      <w:pPr>
        <w:rPr>
          <w:rFonts w:eastAsia="Times New Roman"/>
        </w:rPr>
      </w:pPr>
    </w:p>
    <w:p w14:paraId="5FF08BAD" w14:textId="323519C6" w:rsidR="00B27EB8" w:rsidRPr="00462E66" w:rsidRDefault="00B27EB8" w:rsidP="00B27EB8">
      <w:pPr>
        <w:rPr>
          <w:rFonts w:eastAsia="Times New Roman"/>
          <w:b/>
          <w:bCs/>
        </w:rPr>
      </w:pPr>
      <w:r w:rsidRPr="00462E66">
        <w:rPr>
          <w:rFonts w:eastAsia="Times New Roman"/>
          <w:b/>
          <w:bCs/>
        </w:rPr>
        <w:t>8. Post Incident Review (PIR) Process</w:t>
      </w:r>
    </w:p>
    <w:p w14:paraId="2A2B6502" w14:textId="77777777" w:rsidR="00B27EB8" w:rsidRDefault="00B27EB8" w:rsidP="00B27EB8">
      <w:pPr>
        <w:rPr>
          <w:rFonts w:eastAsia="Times New Roman"/>
        </w:rPr>
      </w:pPr>
    </w:p>
    <w:p w14:paraId="5DCECC8D" w14:textId="7ADABA91" w:rsidR="00B27EB8" w:rsidRDefault="00B27EB8" w:rsidP="00B27EB8">
      <w:pPr>
        <w:rPr>
          <w:rFonts w:eastAsia="Times New Roman"/>
        </w:rPr>
      </w:pPr>
      <w:r>
        <w:rPr>
          <w:rFonts w:eastAsia="Times New Roman"/>
        </w:rPr>
        <w:t xml:space="preserve">A critical component of DCWW's emergency preparedness strategy is the Post Incident Review (PIR) process. This procedure details the steps taken to conduct a PIR after the closure of every </w:t>
      </w:r>
      <w:r w:rsidR="00462E66">
        <w:rPr>
          <w:rFonts w:eastAsia="Times New Roman"/>
        </w:rPr>
        <w:t>gold</w:t>
      </w:r>
      <w:r>
        <w:rPr>
          <w:rFonts w:eastAsia="Times New Roman"/>
        </w:rPr>
        <w:t xml:space="preserve"> incident declared as prescribed by the triggers outlined in the Incident Response Manual (IRM).</w:t>
      </w:r>
    </w:p>
    <w:p w14:paraId="618A1A5B" w14:textId="77777777" w:rsidR="00B27EB8" w:rsidRDefault="00B27EB8" w:rsidP="00B27EB8">
      <w:pPr>
        <w:rPr>
          <w:rFonts w:eastAsia="Times New Roman"/>
        </w:rPr>
      </w:pPr>
    </w:p>
    <w:p w14:paraId="0A220CCC" w14:textId="0DF67AF6" w:rsidR="00B27EB8" w:rsidRDefault="00B27EB8" w:rsidP="00B27EB8">
      <w:pPr>
        <w:rPr>
          <w:rFonts w:eastAsia="Times New Roman"/>
        </w:rPr>
      </w:pPr>
      <w:r>
        <w:rPr>
          <w:rFonts w:eastAsia="Times New Roman"/>
        </w:rPr>
        <w:t>8.1 Action Tracking and Accountability</w:t>
      </w:r>
    </w:p>
    <w:p w14:paraId="5751ABA0" w14:textId="77777777" w:rsidR="00B27EB8" w:rsidRDefault="00B27EB8" w:rsidP="00B27EB8">
      <w:pPr>
        <w:rPr>
          <w:rFonts w:eastAsia="Times New Roman"/>
        </w:rPr>
      </w:pPr>
    </w:p>
    <w:p w14:paraId="7331F7D5" w14:textId="3C0DB7F1" w:rsidR="00B27EB8" w:rsidRDefault="00B27EB8" w:rsidP="00B27EB8">
      <w:pPr>
        <w:rPr>
          <w:rFonts w:eastAsia="Times New Roman"/>
        </w:rPr>
      </w:pPr>
      <w:r>
        <w:rPr>
          <w:rFonts w:eastAsia="Times New Roman"/>
        </w:rPr>
        <w:t xml:space="preserve">Emergency Planning </w:t>
      </w:r>
      <w:r w:rsidR="005F00B8">
        <w:rPr>
          <w:rFonts w:eastAsia="Times New Roman"/>
        </w:rPr>
        <w:t>consult</w:t>
      </w:r>
      <w:r>
        <w:rPr>
          <w:rFonts w:eastAsia="Times New Roman"/>
        </w:rPr>
        <w:t xml:space="preserve"> with designated colleagues to ensure timely completion of actions. Any actions identified from external regulators such as the Drinking Water Inspectorate (DWI) can also be incorporated into the PIR Action Tracker for thoroughness.</w:t>
      </w:r>
    </w:p>
    <w:p w14:paraId="1FD3EFF1" w14:textId="77777777" w:rsidR="00F07DC6" w:rsidRDefault="00F07DC6" w:rsidP="00B27EB8">
      <w:pPr>
        <w:rPr>
          <w:rFonts w:eastAsia="Times New Roman"/>
        </w:rPr>
      </w:pPr>
    </w:p>
    <w:p w14:paraId="41968EC7" w14:textId="4A743DAB" w:rsidR="00B27EB8" w:rsidRDefault="00B27EB8" w:rsidP="00B27EB8">
      <w:pPr>
        <w:rPr>
          <w:rFonts w:eastAsia="Times New Roman"/>
        </w:rPr>
      </w:pPr>
      <w:r>
        <w:rPr>
          <w:rFonts w:eastAsia="Times New Roman"/>
        </w:rPr>
        <w:t>8.2 Handling Delays and Extensions</w:t>
      </w:r>
    </w:p>
    <w:p w14:paraId="47F02F7A" w14:textId="77777777" w:rsidR="00B27EB8" w:rsidRDefault="00B27EB8" w:rsidP="00B27EB8">
      <w:pPr>
        <w:rPr>
          <w:rFonts w:eastAsia="Times New Roman"/>
        </w:rPr>
      </w:pPr>
    </w:p>
    <w:p w14:paraId="645A2439" w14:textId="77777777" w:rsidR="00B27EB8" w:rsidRDefault="00B27EB8" w:rsidP="00B27EB8">
      <w:pPr>
        <w:rPr>
          <w:rFonts w:eastAsia="Times New Roman"/>
        </w:rPr>
      </w:pPr>
      <w:r>
        <w:rPr>
          <w:rFonts w:eastAsia="Times New Roman"/>
        </w:rPr>
        <w:t>The completion of identified actions is mandated under DCWW's Emergency Planning Policy and SEMD. If an action's completion is delayed without valid justification, Emergency Planning will escalate the issue to the appropriate Director for resolution (Public Inquiry, 2019).</w:t>
      </w:r>
    </w:p>
    <w:p w14:paraId="712C94CB" w14:textId="77777777" w:rsidR="00B27EB8" w:rsidRDefault="00B27EB8" w:rsidP="00B27EB8">
      <w:pPr>
        <w:rPr>
          <w:rFonts w:eastAsia="Times New Roman"/>
        </w:rPr>
      </w:pPr>
    </w:p>
    <w:p w14:paraId="565513C6" w14:textId="78A21B33" w:rsidR="00B27EB8" w:rsidRDefault="00B27EB8" w:rsidP="00B27EB8">
      <w:pPr>
        <w:rPr>
          <w:rFonts w:eastAsia="Times New Roman"/>
        </w:rPr>
      </w:pPr>
      <w:r>
        <w:rPr>
          <w:rFonts w:eastAsia="Times New Roman"/>
        </w:rPr>
        <w:t>8.3 Periodic Review and Continuous Improvement</w:t>
      </w:r>
    </w:p>
    <w:p w14:paraId="18E47FA7" w14:textId="77777777" w:rsidR="00B27EB8" w:rsidRDefault="00B27EB8" w:rsidP="00B27EB8">
      <w:pPr>
        <w:rPr>
          <w:rFonts w:eastAsia="Times New Roman"/>
        </w:rPr>
      </w:pPr>
    </w:p>
    <w:p w14:paraId="1101F2A7" w14:textId="77777777" w:rsidR="00B27EB8" w:rsidRDefault="00B27EB8" w:rsidP="00B27EB8">
      <w:pPr>
        <w:rPr>
          <w:rFonts w:eastAsia="Times New Roman"/>
        </w:rPr>
      </w:pPr>
      <w:r>
        <w:rPr>
          <w:rFonts w:eastAsia="Times New Roman"/>
        </w:rPr>
        <w:t>Emergency Planning conducts periodic reviews of PIR actions through the PIR Action Review Group. This is conducted monthly and aims to spot similar improvements across different teams. An example of this is new circuit boards for the mobile generator fleet, which was shared with our Waste Colleagues for the fixed generators under their ownership, which reduced faults (Harrison, 2014).</w:t>
      </w:r>
    </w:p>
    <w:p w14:paraId="53270C8F" w14:textId="77777777" w:rsidR="00B27EB8" w:rsidRDefault="00B27EB8" w:rsidP="00B27EB8">
      <w:pPr>
        <w:rPr>
          <w:rFonts w:eastAsia="Times New Roman"/>
        </w:rPr>
      </w:pPr>
    </w:p>
    <w:p w14:paraId="213CB092" w14:textId="2E558BAC" w:rsidR="00B27EB8" w:rsidRDefault="007D6D97" w:rsidP="007D6D97">
      <w:pPr>
        <w:rPr>
          <w:rFonts w:eastAsia="Times New Roman"/>
          <w:b/>
          <w:bCs/>
        </w:rPr>
      </w:pPr>
      <w:r>
        <w:rPr>
          <w:rFonts w:eastAsia="Times New Roman"/>
          <w:b/>
          <w:bCs/>
        </w:rPr>
        <w:t>9</w:t>
      </w:r>
      <w:r w:rsidR="005E0CEC">
        <w:rPr>
          <w:rFonts w:eastAsia="Times New Roman"/>
          <w:b/>
          <w:bCs/>
        </w:rPr>
        <w:t>.</w:t>
      </w:r>
      <w:r w:rsidR="00C150D7">
        <w:rPr>
          <w:rFonts w:eastAsia="Times New Roman"/>
          <w:b/>
          <w:bCs/>
        </w:rPr>
        <w:t xml:space="preserve"> </w:t>
      </w:r>
      <w:r w:rsidR="00B27EB8" w:rsidRPr="007D6D97">
        <w:rPr>
          <w:rFonts w:eastAsia="Times New Roman"/>
          <w:b/>
          <w:bCs/>
        </w:rPr>
        <w:t>JESIP</w:t>
      </w:r>
      <w:r w:rsidR="00A97248">
        <w:rPr>
          <w:rFonts w:eastAsia="Times New Roman"/>
          <w:b/>
          <w:bCs/>
        </w:rPr>
        <w:t xml:space="preserve"> and </w:t>
      </w:r>
      <w:r w:rsidR="00050A69">
        <w:rPr>
          <w:rFonts w:eastAsia="Times New Roman"/>
          <w:b/>
          <w:bCs/>
        </w:rPr>
        <w:t>External Partner Exercising</w:t>
      </w:r>
    </w:p>
    <w:p w14:paraId="13474486" w14:textId="77777777" w:rsidR="007D6D97" w:rsidRPr="007D6D97" w:rsidRDefault="007D6D97" w:rsidP="007D6D97">
      <w:pPr>
        <w:rPr>
          <w:rFonts w:eastAsia="Times New Roman"/>
          <w:b/>
          <w:bCs/>
        </w:rPr>
      </w:pPr>
    </w:p>
    <w:p w14:paraId="5653E05E" w14:textId="6E9748D6" w:rsidR="00B27EB8" w:rsidRDefault="00B27EB8" w:rsidP="00B27EB8">
      <w:pPr>
        <w:rPr>
          <w:rFonts w:eastAsia="Times New Roman"/>
        </w:rPr>
      </w:pPr>
      <w:r>
        <w:rPr>
          <w:rFonts w:eastAsia="Times New Roman"/>
        </w:rPr>
        <w:t xml:space="preserve">DCWW has not officially adopted the JESIP model however as documented in this assignment we have the basic building blocks to do this when we are </w:t>
      </w:r>
      <w:r w:rsidR="005F00B8">
        <w:rPr>
          <w:rFonts w:eastAsia="Times New Roman"/>
        </w:rPr>
        <w:t>collaborating</w:t>
      </w:r>
      <w:r>
        <w:rPr>
          <w:rFonts w:eastAsia="Times New Roman"/>
        </w:rPr>
        <w:t xml:space="preserve"> with stakeholder and Local Resilience Forum (LRF) partners. The Emergency Planning Team are the link into the Business and have undertaken Strategic Tactical and JESIP training. </w:t>
      </w:r>
      <w:r w:rsidR="00050A69">
        <w:rPr>
          <w:rFonts w:eastAsia="Times New Roman"/>
        </w:rPr>
        <w:t xml:space="preserve">DCWW participate in </w:t>
      </w:r>
      <w:r w:rsidR="006631B5">
        <w:rPr>
          <w:rFonts w:eastAsia="Times New Roman"/>
        </w:rPr>
        <w:t xml:space="preserve">multi-agency exercises such as Mighty Oak and also invite </w:t>
      </w:r>
      <w:r w:rsidR="00164452">
        <w:rPr>
          <w:rFonts w:eastAsia="Times New Roman"/>
        </w:rPr>
        <w:lastRenderedPageBreak/>
        <w:t>external stakeholders to participate</w:t>
      </w:r>
      <w:r w:rsidR="00520684">
        <w:rPr>
          <w:rFonts w:eastAsia="Times New Roman"/>
        </w:rPr>
        <w:t xml:space="preserve"> </w:t>
      </w:r>
      <w:r w:rsidR="00164452">
        <w:rPr>
          <w:rFonts w:eastAsia="Times New Roman"/>
        </w:rPr>
        <w:t xml:space="preserve">in our own exercises for example we conducted an </w:t>
      </w:r>
      <w:r w:rsidR="00520684">
        <w:rPr>
          <w:rFonts w:eastAsia="Times New Roman"/>
        </w:rPr>
        <w:t>AWS exercise</w:t>
      </w:r>
      <w:r w:rsidR="00164452">
        <w:rPr>
          <w:rFonts w:eastAsia="Times New Roman"/>
        </w:rPr>
        <w:t xml:space="preserve"> at </w:t>
      </w:r>
      <w:proofErr w:type="spellStart"/>
      <w:r w:rsidR="001A293D">
        <w:rPr>
          <w:rFonts w:eastAsia="Times New Roman"/>
        </w:rPr>
        <w:t>Gaerwen</w:t>
      </w:r>
      <w:proofErr w:type="spellEnd"/>
      <w:r w:rsidR="001A293D">
        <w:rPr>
          <w:rFonts w:eastAsia="Times New Roman"/>
        </w:rPr>
        <w:t xml:space="preserve"> on Anglesey and invited North Wales Police </w:t>
      </w:r>
      <w:r w:rsidR="00EA143A">
        <w:rPr>
          <w:rFonts w:eastAsia="Times New Roman"/>
        </w:rPr>
        <w:t xml:space="preserve">(NWP) </w:t>
      </w:r>
      <w:r w:rsidR="001A293D">
        <w:rPr>
          <w:rFonts w:eastAsia="Times New Roman"/>
        </w:rPr>
        <w:t xml:space="preserve">Gwynedd County Council </w:t>
      </w:r>
      <w:r w:rsidR="00EA143A">
        <w:rPr>
          <w:rFonts w:eastAsia="Times New Roman"/>
        </w:rPr>
        <w:t>(</w:t>
      </w:r>
      <w:r w:rsidR="00C542F9">
        <w:rPr>
          <w:rFonts w:eastAsia="Times New Roman"/>
        </w:rPr>
        <w:t xml:space="preserve">GCC) </w:t>
      </w:r>
      <w:r w:rsidR="001A293D">
        <w:rPr>
          <w:rFonts w:eastAsia="Times New Roman"/>
        </w:rPr>
        <w:t>and North and Mid Waled Trunk Road Agency</w:t>
      </w:r>
      <w:r w:rsidR="00C542F9">
        <w:rPr>
          <w:rFonts w:eastAsia="Times New Roman"/>
        </w:rPr>
        <w:t xml:space="preserve"> (NMWTRA)</w:t>
      </w:r>
      <w:r w:rsidR="001A293D">
        <w:rPr>
          <w:rFonts w:eastAsia="Times New Roman"/>
        </w:rPr>
        <w:t>.</w:t>
      </w:r>
      <w:r w:rsidR="00C542F9">
        <w:rPr>
          <w:rFonts w:eastAsia="Times New Roman"/>
        </w:rPr>
        <w:t xml:space="preserve"> This provided valuable insight into traffic management and security of </w:t>
      </w:r>
    </w:p>
    <w:p w14:paraId="6034198C" w14:textId="77777777" w:rsidR="001A293D" w:rsidRDefault="001A293D" w:rsidP="00B27EB8">
      <w:pPr>
        <w:rPr>
          <w:rFonts w:eastAsia="Times New Roman"/>
        </w:rPr>
      </w:pPr>
    </w:p>
    <w:p w14:paraId="3FC64B95" w14:textId="53685539" w:rsidR="00C150D7" w:rsidRPr="00B4444F" w:rsidRDefault="00804138" w:rsidP="00B27EB8">
      <w:pPr>
        <w:rPr>
          <w:rFonts w:eastAsia="Times New Roman"/>
        </w:rPr>
      </w:pPr>
      <w:r>
        <w:rPr>
          <w:rFonts w:eastAsia="Times New Roman"/>
        </w:rPr>
        <w:t>The Business has a</w:t>
      </w:r>
      <w:r w:rsidR="00587248">
        <w:rPr>
          <w:rFonts w:eastAsia="Times New Roman"/>
        </w:rPr>
        <w:t xml:space="preserve">greed to use the EP Team as representatives on Strategic Coordination Groups (SCG’s) and Tactical Coordination Groups (TCG’s). This is then supported by an </w:t>
      </w:r>
      <w:r w:rsidR="002D144A">
        <w:rPr>
          <w:rFonts w:eastAsia="Times New Roman"/>
        </w:rPr>
        <w:t>in-house</w:t>
      </w:r>
      <w:r w:rsidR="00587248">
        <w:rPr>
          <w:rFonts w:eastAsia="Times New Roman"/>
        </w:rPr>
        <w:t xml:space="preserve"> Gold/Siver Team which runs in parallel when an incident </w:t>
      </w:r>
      <w:r w:rsidR="00BF1B7E">
        <w:rPr>
          <w:rFonts w:eastAsia="Times New Roman"/>
        </w:rPr>
        <w:t xml:space="preserve">that affects DCWW occurs. </w:t>
      </w:r>
    </w:p>
    <w:p w14:paraId="1DB717B9" w14:textId="77777777" w:rsidR="00C150D7" w:rsidRDefault="00C150D7" w:rsidP="00B27EB8">
      <w:pPr>
        <w:rPr>
          <w:rFonts w:eastAsia="Times New Roman"/>
          <w:b/>
          <w:bCs/>
        </w:rPr>
      </w:pPr>
    </w:p>
    <w:p w14:paraId="691B368B" w14:textId="354E73A4" w:rsidR="00B27EB8" w:rsidRPr="00C150D7" w:rsidRDefault="00B27EB8" w:rsidP="00B27EB8">
      <w:pPr>
        <w:rPr>
          <w:rFonts w:eastAsia="Times New Roman"/>
          <w:b/>
          <w:bCs/>
        </w:rPr>
      </w:pPr>
      <w:r w:rsidRPr="00C150D7">
        <w:rPr>
          <w:rFonts w:eastAsia="Times New Roman"/>
          <w:b/>
          <w:bCs/>
        </w:rPr>
        <w:t>Conclusion</w:t>
      </w:r>
    </w:p>
    <w:p w14:paraId="54085F84" w14:textId="77777777" w:rsidR="00B27EB8" w:rsidRDefault="00B27EB8" w:rsidP="00B27EB8">
      <w:pPr>
        <w:rPr>
          <w:rFonts w:eastAsia="Times New Roman"/>
        </w:rPr>
      </w:pPr>
    </w:p>
    <w:p w14:paraId="60452FCE" w14:textId="6C9EE883" w:rsidR="00B27EB8" w:rsidRDefault="00B27EB8" w:rsidP="00B27EB8">
      <w:pPr>
        <w:rPr>
          <w:rFonts w:eastAsia="Times New Roman"/>
        </w:rPr>
      </w:pPr>
      <w:r>
        <w:rPr>
          <w:rFonts w:eastAsia="Times New Roman"/>
        </w:rPr>
        <w:t xml:space="preserve">In conclusion, the Civil Contingencies Act 2004, the Water Industry Act 1991, the Security Emergency Measures Direction, and DEFRA guidelines collectively shape the emergency preparedness framework for Dwr Cymru Welsh Water. By adhering to legislative requirements, integrating best practices, and actively learning from past incidents, DCWW can enhance its resilience and ensure </w:t>
      </w:r>
      <w:r w:rsidR="00F07DC6">
        <w:rPr>
          <w:rFonts w:eastAsia="Times New Roman"/>
        </w:rPr>
        <w:t>customer resilience</w:t>
      </w:r>
      <w:r>
        <w:rPr>
          <w:rFonts w:eastAsia="Times New Roman"/>
        </w:rPr>
        <w:t>.</w:t>
      </w:r>
    </w:p>
    <w:p w14:paraId="5947DE68" w14:textId="77777777" w:rsidR="00B27EB8" w:rsidRDefault="00B27EB8" w:rsidP="00B27EB8">
      <w:pPr>
        <w:rPr>
          <w:rFonts w:eastAsia="Times New Roman"/>
        </w:rPr>
      </w:pPr>
    </w:p>
    <w:p w14:paraId="352C1D30" w14:textId="6C524124" w:rsidR="00B27EB8" w:rsidRPr="00F07DC6" w:rsidRDefault="00B27EB8" w:rsidP="00F07DC6">
      <w:pPr>
        <w:rPr>
          <w:rFonts w:eastAsia="Times New Roman"/>
        </w:rPr>
      </w:pPr>
      <w:r w:rsidRPr="00F07DC6">
        <w:rPr>
          <w:rFonts w:eastAsia="Times New Roman"/>
        </w:rPr>
        <w:t xml:space="preserve">The benefits of training and exercising lead to improved response capabilities and </w:t>
      </w:r>
      <w:r w:rsidR="005F00B8" w:rsidRPr="00F07DC6">
        <w:rPr>
          <w:rFonts w:eastAsia="Times New Roman"/>
        </w:rPr>
        <w:t>safeguarding</w:t>
      </w:r>
      <w:r w:rsidRPr="00F07DC6">
        <w:rPr>
          <w:rFonts w:eastAsia="Times New Roman"/>
        </w:rPr>
        <w:t xml:space="preserve"> our customer requirements. As DCWW continues to plan for emergency management in an everchanging environment, a commitment to training and preparedness will remain essential in fulfilling our role as a vital utility provider in Wales and Herefordshire. By creating a culture of preparedness, embracing best practices, and recording and actioning lessons learned from past incidents, DCWW can not only meet its legal obligations but also ensure the safety and wellbeing of the communities it serves.</w:t>
      </w:r>
    </w:p>
    <w:p w14:paraId="7868995E" w14:textId="77777777" w:rsidR="00B27EB8" w:rsidRDefault="00B27EB8" w:rsidP="00B27EB8">
      <w:pPr>
        <w:rPr>
          <w:rFonts w:eastAsia="Times New Roman"/>
        </w:rPr>
      </w:pPr>
    </w:p>
    <w:p w14:paraId="5FD0B0AB" w14:textId="476A519B" w:rsidR="00B27EB8" w:rsidRPr="00DF5DE1" w:rsidRDefault="00B27EB8" w:rsidP="00B27EB8">
      <w:pPr>
        <w:rPr>
          <w:rFonts w:eastAsia="Times New Roman"/>
          <w:b/>
          <w:bCs/>
        </w:rPr>
      </w:pPr>
      <w:r w:rsidRPr="00DF5DE1">
        <w:rPr>
          <w:rFonts w:eastAsia="Times New Roman"/>
          <w:b/>
          <w:bCs/>
        </w:rPr>
        <w:t>References</w:t>
      </w:r>
    </w:p>
    <w:p w14:paraId="64168455" w14:textId="77777777" w:rsidR="00B27EB8" w:rsidRDefault="00B27EB8" w:rsidP="00B27EB8">
      <w:pPr>
        <w:rPr>
          <w:rFonts w:eastAsia="Times New Roman"/>
        </w:rPr>
      </w:pPr>
    </w:p>
    <w:p w14:paraId="4EDFA684" w14:textId="11E2E366" w:rsidR="00B27EB8" w:rsidRDefault="00B27EB8" w:rsidP="00B27EB8">
      <w:pPr>
        <w:rPr>
          <w:rFonts w:eastAsia="Times New Roman"/>
        </w:rPr>
      </w:pPr>
      <w:r>
        <w:rPr>
          <w:rFonts w:eastAsia="Times New Roman"/>
        </w:rPr>
        <w:t>Cabinet Office. (2017). *The UK Resilience Framework*. Retrieved from [link].</w:t>
      </w:r>
    </w:p>
    <w:p w14:paraId="7503F688" w14:textId="5BD4E85B" w:rsidR="00B27EB8" w:rsidRDefault="00B27EB8" w:rsidP="00B27EB8">
      <w:pPr>
        <w:rPr>
          <w:rFonts w:eastAsia="Times New Roman"/>
        </w:rPr>
      </w:pPr>
      <w:r>
        <w:rPr>
          <w:rFonts w:eastAsia="Times New Roman"/>
        </w:rPr>
        <w:t>Civil Contingencies Secretariat. (2015). *Emergency Preparedness*. Retrieved from [link].</w:t>
      </w:r>
    </w:p>
    <w:p w14:paraId="3415C4C8" w14:textId="228B7A05" w:rsidR="00B27EB8" w:rsidRDefault="00B27EB8" w:rsidP="00B27EB8">
      <w:pPr>
        <w:rPr>
          <w:rFonts w:eastAsia="Times New Roman"/>
        </w:rPr>
      </w:pPr>
      <w:r>
        <w:rPr>
          <w:rFonts w:eastAsia="Times New Roman"/>
        </w:rPr>
        <w:t>DEFRA. (2020). *Guidance on Water Quality Standards*. Retrieved from [link].</w:t>
      </w:r>
    </w:p>
    <w:p w14:paraId="422AEC6C" w14:textId="79613DC4" w:rsidR="00B27EB8" w:rsidRDefault="00B27EB8" w:rsidP="00B27EB8">
      <w:pPr>
        <w:rPr>
          <w:rFonts w:eastAsia="Times New Roman"/>
        </w:rPr>
      </w:pPr>
      <w:r>
        <w:rPr>
          <w:rFonts w:eastAsia="Times New Roman"/>
        </w:rPr>
        <w:t>Goldman, S., et al. (2018). *The Role of Debriefing in Emergency Management*. Journal of Emergency Management, 16(1), 4554.</w:t>
      </w:r>
    </w:p>
    <w:p w14:paraId="03BCB4D1" w14:textId="483A6897" w:rsidR="00B27EB8" w:rsidRDefault="00B27EB8" w:rsidP="00B27EB8">
      <w:pPr>
        <w:rPr>
          <w:rFonts w:eastAsia="Times New Roman"/>
        </w:rPr>
      </w:pPr>
      <w:r>
        <w:rPr>
          <w:rFonts w:eastAsia="Times New Roman"/>
        </w:rPr>
        <w:t>Harrison, S. (2014). *The Importance of Training in Emergency Preparedness*. Disaster Management Journal, 23(3), 112120.</w:t>
      </w:r>
    </w:p>
    <w:p w14:paraId="797177A2" w14:textId="03CB4CF7" w:rsidR="00B27EB8" w:rsidRDefault="00B27EB8" w:rsidP="00B27EB8">
      <w:pPr>
        <w:rPr>
          <w:rFonts w:eastAsia="Times New Roman"/>
        </w:rPr>
      </w:pPr>
      <w:r>
        <w:rPr>
          <w:rFonts w:eastAsia="Times New Roman"/>
        </w:rPr>
        <w:t>HM Government. (2011). *National Preparedness Guidelines*. Retrieved from [link].</w:t>
      </w:r>
    </w:p>
    <w:p w14:paraId="11078D85" w14:textId="2954469F" w:rsidR="00B27EB8" w:rsidRDefault="00B27EB8" w:rsidP="00B27EB8">
      <w:pPr>
        <w:rPr>
          <w:rFonts w:eastAsia="Times New Roman"/>
        </w:rPr>
      </w:pPr>
      <w:r>
        <w:rPr>
          <w:rFonts w:eastAsia="Times New Roman"/>
        </w:rPr>
        <w:t>Paton, D., &amp; Flin, R. (2014). *Developing Resilience: The Role of Training and Exercises*. Disaster Recovery Journal, 9(2), 3037.</w:t>
      </w:r>
    </w:p>
    <w:p w14:paraId="69CCF0F8" w14:textId="2125FFA8" w:rsidR="00B27EB8" w:rsidRDefault="00B27EB8" w:rsidP="00B27EB8">
      <w:pPr>
        <w:rPr>
          <w:rFonts w:eastAsia="Times New Roman"/>
        </w:rPr>
      </w:pPr>
      <w:r>
        <w:rPr>
          <w:rFonts w:eastAsia="Times New Roman"/>
        </w:rPr>
        <w:t>Public Inquiry. (2019). *Report on the Grenfell Tower Fire*. Retrieved from [link].</w:t>
      </w:r>
    </w:p>
    <w:p w14:paraId="76454922" w14:textId="49CD84DB" w:rsidR="00B27EB8" w:rsidRDefault="00B27EB8" w:rsidP="00B27EB8">
      <w:pPr>
        <w:rPr>
          <w:rFonts w:eastAsia="Times New Roman"/>
        </w:rPr>
      </w:pPr>
      <w:r>
        <w:rPr>
          <w:rFonts w:eastAsia="Times New Roman"/>
        </w:rPr>
        <w:t>Water Industry Act 1991. (UK Government, 1991). Retrieved from [link].</w:t>
      </w:r>
    </w:p>
    <w:p w14:paraId="0A96F5AB" w14:textId="4696C95C" w:rsidR="00B27EB8" w:rsidRDefault="00B27EB8" w:rsidP="00B27EB8">
      <w:pPr>
        <w:rPr>
          <w:rFonts w:eastAsia="Times New Roman"/>
        </w:rPr>
      </w:pPr>
      <w:hyperlink r:id="rId8" w:history="1">
        <w:r w:rsidRPr="00AF5982">
          <w:rPr>
            <w:rStyle w:val="Hyperlink"/>
            <w:rFonts w:eastAsia="Times New Roman"/>
          </w:rPr>
          <w:t>https://www.jesip.org.uk/aboutjesip/</w:t>
        </w:r>
      </w:hyperlink>
    </w:p>
    <w:p w14:paraId="3D630479" w14:textId="77777777" w:rsidR="00B27EB8" w:rsidRDefault="00B27EB8" w:rsidP="00B27EB8">
      <w:pPr>
        <w:rPr>
          <w:rFonts w:eastAsia="Times New Roman"/>
        </w:rPr>
      </w:pPr>
    </w:p>
    <w:p w14:paraId="0FF609B6" w14:textId="77777777" w:rsidR="007E7D58" w:rsidRDefault="007E7D58"/>
    <w:sectPr w:rsidR="007E7D58" w:rsidSect="00F07DC6">
      <w:pgSz w:w="11906" w:h="16838"/>
      <w:pgMar w:top="1440"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0058F"/>
    <w:multiLevelType w:val="hybridMultilevel"/>
    <w:tmpl w:val="D66A2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184971"/>
    <w:multiLevelType w:val="hybridMultilevel"/>
    <w:tmpl w:val="851AD2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572EA4"/>
    <w:multiLevelType w:val="hybridMultilevel"/>
    <w:tmpl w:val="158C0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0805867">
    <w:abstractNumId w:val="2"/>
  </w:num>
  <w:num w:numId="2" w16cid:durableId="1954894850">
    <w:abstractNumId w:val="0"/>
  </w:num>
  <w:num w:numId="3" w16cid:durableId="6502533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EB8"/>
    <w:rsid w:val="000402FD"/>
    <w:rsid w:val="00050A69"/>
    <w:rsid w:val="001256D0"/>
    <w:rsid w:val="00164452"/>
    <w:rsid w:val="001A293D"/>
    <w:rsid w:val="002D144A"/>
    <w:rsid w:val="0034254E"/>
    <w:rsid w:val="00450C60"/>
    <w:rsid w:val="00462E66"/>
    <w:rsid w:val="00520684"/>
    <w:rsid w:val="00520D0B"/>
    <w:rsid w:val="00587248"/>
    <w:rsid w:val="005B25E6"/>
    <w:rsid w:val="005E0CEC"/>
    <w:rsid w:val="005F00B8"/>
    <w:rsid w:val="006631B5"/>
    <w:rsid w:val="006C7522"/>
    <w:rsid w:val="007D6D97"/>
    <w:rsid w:val="007E7D58"/>
    <w:rsid w:val="00804138"/>
    <w:rsid w:val="00961EAE"/>
    <w:rsid w:val="00A97248"/>
    <w:rsid w:val="00B27EB8"/>
    <w:rsid w:val="00B4444F"/>
    <w:rsid w:val="00BF1B7E"/>
    <w:rsid w:val="00C150D7"/>
    <w:rsid w:val="00C542F9"/>
    <w:rsid w:val="00CE166B"/>
    <w:rsid w:val="00D375E2"/>
    <w:rsid w:val="00D613ED"/>
    <w:rsid w:val="00DF5DE1"/>
    <w:rsid w:val="00E022E7"/>
    <w:rsid w:val="00EA143A"/>
    <w:rsid w:val="00EF7408"/>
    <w:rsid w:val="00F07D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29682"/>
  <w15:chartTrackingRefBased/>
  <w15:docId w15:val="{BE0EF3DD-E395-4963-9117-D1C52400C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EB8"/>
    <w:pPr>
      <w:spacing w:after="0" w:line="240" w:lineRule="auto"/>
    </w:pPr>
    <w:rPr>
      <w:rFonts w:ascii="Aptos" w:hAnsi="Aptos" w:cs="Aptos"/>
      <w:kern w:val="0"/>
      <w:sz w:val="24"/>
      <w:szCs w:val="24"/>
      <w:lang w:eastAsia="en-GB"/>
      <w14:ligatures w14:val="none"/>
    </w:rPr>
  </w:style>
  <w:style w:type="paragraph" w:styleId="Heading1">
    <w:name w:val="heading 1"/>
    <w:basedOn w:val="Normal"/>
    <w:next w:val="Normal"/>
    <w:link w:val="Heading1Char"/>
    <w:uiPriority w:val="9"/>
    <w:qFormat/>
    <w:rsid w:val="00B27EB8"/>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27EB8"/>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27EB8"/>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27EB8"/>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B27EB8"/>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B27EB8"/>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B27EB8"/>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B27EB8"/>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B27EB8"/>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7E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7E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7E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7E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7E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7E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7E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7E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7EB8"/>
    <w:rPr>
      <w:rFonts w:eastAsiaTheme="majorEastAsia" w:cstheme="majorBidi"/>
      <w:color w:val="272727" w:themeColor="text1" w:themeTint="D8"/>
    </w:rPr>
  </w:style>
  <w:style w:type="paragraph" w:styleId="Title">
    <w:name w:val="Title"/>
    <w:basedOn w:val="Normal"/>
    <w:next w:val="Normal"/>
    <w:link w:val="TitleChar"/>
    <w:uiPriority w:val="10"/>
    <w:qFormat/>
    <w:rsid w:val="00B27EB8"/>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27E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7EB8"/>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27E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7EB8"/>
    <w:pPr>
      <w:spacing w:before="160" w:after="160" w:line="259" w:lineRule="auto"/>
      <w:jc w:val="center"/>
    </w:pPr>
    <w:rPr>
      <w:rFonts w:ascii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B27EB8"/>
    <w:rPr>
      <w:i/>
      <w:iCs/>
      <w:color w:val="404040" w:themeColor="text1" w:themeTint="BF"/>
    </w:rPr>
  </w:style>
  <w:style w:type="paragraph" w:styleId="ListParagraph">
    <w:name w:val="List Paragraph"/>
    <w:basedOn w:val="Normal"/>
    <w:uiPriority w:val="34"/>
    <w:qFormat/>
    <w:rsid w:val="00B27EB8"/>
    <w:pPr>
      <w:spacing w:after="160" w:line="259" w:lineRule="auto"/>
      <w:ind w:left="720"/>
      <w:contextualSpacing/>
    </w:pPr>
    <w:rPr>
      <w:rFonts w:ascii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B27EB8"/>
    <w:rPr>
      <w:i/>
      <w:iCs/>
      <w:color w:val="0F4761" w:themeColor="accent1" w:themeShade="BF"/>
    </w:rPr>
  </w:style>
  <w:style w:type="paragraph" w:styleId="IntenseQuote">
    <w:name w:val="Intense Quote"/>
    <w:basedOn w:val="Normal"/>
    <w:next w:val="Normal"/>
    <w:link w:val="IntenseQuoteChar"/>
    <w:uiPriority w:val="30"/>
    <w:qFormat/>
    <w:rsid w:val="00B27EB8"/>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B27EB8"/>
    <w:rPr>
      <w:i/>
      <w:iCs/>
      <w:color w:val="0F4761" w:themeColor="accent1" w:themeShade="BF"/>
    </w:rPr>
  </w:style>
  <w:style w:type="character" w:styleId="IntenseReference">
    <w:name w:val="Intense Reference"/>
    <w:basedOn w:val="DefaultParagraphFont"/>
    <w:uiPriority w:val="32"/>
    <w:qFormat/>
    <w:rsid w:val="00B27EB8"/>
    <w:rPr>
      <w:b/>
      <w:bCs/>
      <w:smallCaps/>
      <w:color w:val="0F4761" w:themeColor="accent1" w:themeShade="BF"/>
      <w:spacing w:val="5"/>
    </w:rPr>
  </w:style>
  <w:style w:type="character" w:styleId="Hyperlink">
    <w:name w:val="Hyperlink"/>
    <w:basedOn w:val="DefaultParagraphFont"/>
    <w:uiPriority w:val="99"/>
    <w:unhideWhenUsed/>
    <w:rsid w:val="00B27EB8"/>
    <w:rPr>
      <w:color w:val="467886" w:themeColor="hyperlink"/>
      <w:u w:val="single"/>
    </w:rPr>
  </w:style>
  <w:style w:type="character" w:styleId="UnresolvedMention">
    <w:name w:val="Unresolved Mention"/>
    <w:basedOn w:val="DefaultParagraphFont"/>
    <w:uiPriority w:val="99"/>
    <w:semiHidden/>
    <w:unhideWhenUsed/>
    <w:rsid w:val="00B27E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266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jesip.org.uk/about-jesip/"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10</Pages>
  <Words>3190</Words>
  <Characters>18183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Roy Chape</dc:creator>
  <cp:keywords/>
  <dc:description/>
  <cp:lastModifiedBy>Roy Chape</cp:lastModifiedBy>
  <cp:revision>30</cp:revision>
  <dcterms:created xsi:type="dcterms:W3CDTF">2025-01-24T09:43:00Z</dcterms:created>
  <dcterms:modified xsi:type="dcterms:W3CDTF">2025-01-24T13:47:00Z</dcterms:modified>
</cp:coreProperties>
</file>