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2D2DF" w14:textId="207D83BC" w:rsidR="00EA1D89" w:rsidRPr="00C801EF" w:rsidRDefault="00EA1D89" w:rsidP="00BF3979">
      <w:pPr>
        <w:shd w:val="clear" w:color="auto" w:fill="FFFFFF"/>
        <w:spacing w:before="100" w:beforeAutospacing="1" w:after="100" w:afterAutospacing="1" w:line="360" w:lineRule="auto"/>
        <w:jc w:val="both"/>
        <w:rPr>
          <w:rFonts w:ascii="Calibri" w:eastAsia="Times New Roman" w:hAnsi="Calibri" w:cs="Calibri"/>
          <w:b/>
          <w:bCs/>
          <w:color w:val="000000" w:themeColor="text1"/>
          <w:u w:val="single"/>
          <w:lang w:eastAsia="en-GB"/>
        </w:rPr>
      </w:pPr>
      <w:r w:rsidRPr="00C801EF">
        <w:rPr>
          <w:rFonts w:ascii="Calibri" w:eastAsia="Times New Roman" w:hAnsi="Calibri" w:cs="Calibri"/>
          <w:b/>
          <w:bCs/>
          <w:color w:val="000000" w:themeColor="text1"/>
          <w:u w:val="single"/>
          <w:lang w:eastAsia="en-GB"/>
        </w:rPr>
        <w:t xml:space="preserve">Judicial Independence </w:t>
      </w:r>
      <w:r w:rsidR="00DD05D0">
        <w:rPr>
          <w:rFonts w:ascii="Calibri" w:eastAsia="Times New Roman" w:hAnsi="Calibri" w:cs="Calibri"/>
          <w:b/>
          <w:bCs/>
          <w:color w:val="000000" w:themeColor="text1"/>
          <w:u w:val="single"/>
          <w:lang w:eastAsia="en-GB"/>
        </w:rPr>
        <w:t xml:space="preserve">– draft </w:t>
      </w:r>
    </w:p>
    <w:p w14:paraId="1C372BA5" w14:textId="77777777" w:rsidR="00EA1D89" w:rsidRPr="00C801EF" w:rsidRDefault="00EA1D89"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p>
    <w:p w14:paraId="16BEB452" w14:textId="0D868F35" w:rsidR="00F6743D" w:rsidRDefault="006B5DD5"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Montesquieu expressed</w:t>
      </w:r>
      <w:r w:rsidR="00A9694B" w:rsidRPr="00C801EF">
        <w:rPr>
          <w:rFonts w:ascii="Calibri" w:eastAsia="Times New Roman" w:hAnsi="Calibri" w:cs="Calibri"/>
          <w:color w:val="000000" w:themeColor="text1"/>
          <w:lang w:eastAsia="en-GB"/>
        </w:rPr>
        <w:t xml:space="preserve"> the earliest desire for a ‘separation of powers’ to </w:t>
      </w:r>
      <w:r w:rsidR="008D6595" w:rsidRPr="00C801EF">
        <w:rPr>
          <w:rFonts w:ascii="Calibri" w:eastAsia="Times New Roman" w:hAnsi="Calibri" w:cs="Calibri"/>
          <w:color w:val="000000" w:themeColor="text1"/>
          <w:lang w:eastAsia="en-GB"/>
        </w:rPr>
        <w:t>guard against tyranny and preserve libert</w:t>
      </w:r>
      <w:r w:rsidR="0021095E" w:rsidRPr="00C801EF">
        <w:rPr>
          <w:rFonts w:ascii="Calibri" w:eastAsia="Times New Roman" w:hAnsi="Calibri" w:cs="Calibri"/>
          <w:color w:val="000000" w:themeColor="text1"/>
          <w:lang w:eastAsia="en-GB"/>
        </w:rPr>
        <w:t xml:space="preserve">y </w:t>
      </w:r>
      <w:sdt>
        <w:sdtPr>
          <w:rPr>
            <w:rFonts w:ascii="Calibri" w:eastAsia="Times New Roman" w:hAnsi="Calibri" w:cs="Calibri"/>
            <w:color w:val="000000" w:themeColor="text1"/>
            <w:lang w:eastAsia="en-GB"/>
          </w:rPr>
          <w:id w:val="-1355259932"/>
          <w:citation/>
        </w:sdtPr>
        <w:sdtEndPr/>
        <w:sdtContent>
          <w:r w:rsidR="0021095E" w:rsidRPr="00C801EF">
            <w:rPr>
              <w:rFonts w:ascii="Calibri" w:eastAsia="Times New Roman" w:hAnsi="Calibri" w:cs="Calibri"/>
              <w:color w:val="000000" w:themeColor="text1"/>
              <w:lang w:eastAsia="en-GB"/>
            </w:rPr>
            <w:fldChar w:fldCharType="begin"/>
          </w:r>
          <w:r w:rsidR="0021095E" w:rsidRPr="00C801EF">
            <w:rPr>
              <w:rFonts w:ascii="Calibri" w:eastAsia="Times New Roman" w:hAnsi="Calibri" w:cs="Calibri"/>
              <w:color w:val="000000" w:themeColor="text1"/>
              <w:lang w:eastAsia="en-GB"/>
            </w:rPr>
            <w:instrText xml:space="preserve">CITATION Mon02 \l 2057 </w:instrText>
          </w:r>
          <w:r w:rsidR="0021095E" w:rsidRPr="00C801EF">
            <w:rPr>
              <w:rFonts w:ascii="Calibri" w:eastAsia="Times New Roman" w:hAnsi="Calibri" w:cs="Calibri"/>
              <w:color w:val="000000" w:themeColor="text1"/>
              <w:lang w:eastAsia="en-GB"/>
            </w:rPr>
            <w:fldChar w:fldCharType="separate"/>
          </w:r>
          <w:r w:rsidR="00F6743D" w:rsidRPr="00F6743D">
            <w:rPr>
              <w:rFonts w:ascii="Calibri" w:eastAsia="Times New Roman" w:hAnsi="Calibri" w:cs="Calibri"/>
              <w:noProof/>
              <w:color w:val="000000" w:themeColor="text1"/>
              <w:lang w:eastAsia="en-GB"/>
            </w:rPr>
            <w:t>(</w:t>
          </w:r>
          <w:r w:rsidR="00F6743D" w:rsidRPr="00811847">
            <w:rPr>
              <w:rFonts w:ascii="Calibri" w:eastAsia="Times New Roman" w:hAnsi="Calibri" w:cs="Calibri"/>
              <w:noProof/>
              <w:color w:val="000000" w:themeColor="text1"/>
              <w:lang w:eastAsia="en-GB"/>
            </w:rPr>
            <w:t>Montesquieu, 2002</w:t>
          </w:r>
          <w:r w:rsidR="00F6743D" w:rsidRPr="00F6743D">
            <w:rPr>
              <w:rFonts w:ascii="Calibri" w:eastAsia="Times New Roman" w:hAnsi="Calibri" w:cs="Calibri"/>
              <w:noProof/>
              <w:color w:val="000000" w:themeColor="text1"/>
              <w:lang w:eastAsia="en-GB"/>
            </w:rPr>
            <w:t>)</w:t>
          </w:r>
          <w:r w:rsidR="0021095E" w:rsidRPr="00C801EF">
            <w:rPr>
              <w:rFonts w:ascii="Calibri" w:eastAsia="Times New Roman" w:hAnsi="Calibri" w:cs="Calibri"/>
              <w:color w:val="000000" w:themeColor="text1"/>
              <w:lang w:eastAsia="en-GB"/>
            </w:rPr>
            <w:fldChar w:fldCharType="end"/>
          </w:r>
        </w:sdtContent>
      </w:sdt>
      <w:r w:rsidR="008D6595" w:rsidRPr="00C801EF">
        <w:rPr>
          <w:rFonts w:ascii="Calibri" w:eastAsia="Times New Roman" w:hAnsi="Calibri" w:cs="Calibri"/>
          <w:color w:val="000000" w:themeColor="text1"/>
          <w:lang w:eastAsia="en-GB"/>
        </w:rPr>
        <w:t>.</w:t>
      </w:r>
      <w:r w:rsidR="00D63369" w:rsidRPr="00C801EF">
        <w:rPr>
          <w:rFonts w:ascii="Calibri" w:eastAsia="Times New Roman" w:hAnsi="Calibri" w:cs="Calibri"/>
          <w:color w:val="000000" w:themeColor="text1"/>
          <w:lang w:eastAsia="en-GB"/>
        </w:rPr>
        <w:t xml:space="preserve"> </w:t>
      </w:r>
      <w:r w:rsidR="00EA1D89" w:rsidRPr="00C801EF">
        <w:rPr>
          <w:rFonts w:ascii="Calibri" w:eastAsia="Times New Roman" w:hAnsi="Calibri" w:cs="Calibri"/>
          <w:color w:val="000000" w:themeColor="text1"/>
          <w:lang w:eastAsia="en-GB"/>
        </w:rPr>
        <w:t>It will be argued that i</w:t>
      </w:r>
      <w:r w:rsidR="008D6595" w:rsidRPr="00C801EF">
        <w:rPr>
          <w:rFonts w:ascii="Calibri" w:eastAsia="Times New Roman" w:hAnsi="Calibri" w:cs="Calibri"/>
          <w:color w:val="000000" w:themeColor="text1"/>
          <w:lang w:eastAsia="en-GB"/>
        </w:rPr>
        <w:t xml:space="preserve">f one body has power above all there is the possibility of tyranny, with the separation of the Executive, legislative and the judiciary it is proposed that it would reduce the risk of tyranny and aide with enforcement of the law to be fair and free from bias and </w:t>
      </w:r>
      <w:r w:rsidR="00745BC6" w:rsidRPr="00811847">
        <w:rPr>
          <w:rFonts w:ascii="Calibri" w:eastAsia="Times New Roman" w:hAnsi="Calibri" w:cs="Calibri"/>
          <w:color w:val="000000" w:themeColor="text1"/>
          <w:lang w:eastAsia="en-GB"/>
        </w:rPr>
        <w:t>discrimination (</w:t>
      </w:r>
      <w:r w:rsidR="00F6743D" w:rsidRPr="00811847">
        <w:rPr>
          <w:rFonts w:ascii="Calibri" w:eastAsia="Times New Roman" w:hAnsi="Calibri" w:cs="Calibri"/>
          <w:color w:val="000000" w:themeColor="text1"/>
          <w:lang w:eastAsia="en-GB"/>
        </w:rPr>
        <w:t>Bok 2018</w:t>
      </w:r>
      <w:r w:rsidR="00F6743D">
        <w:rPr>
          <w:rFonts w:ascii="Calibri" w:eastAsia="Times New Roman" w:hAnsi="Calibri" w:cs="Calibri"/>
          <w:color w:val="000000" w:themeColor="text1"/>
          <w:lang w:eastAsia="en-GB"/>
        </w:rPr>
        <w:t>)</w:t>
      </w:r>
      <w:r w:rsidR="00C63C82" w:rsidRPr="00C801EF">
        <w:rPr>
          <w:rFonts w:ascii="Calibri" w:eastAsia="Times New Roman" w:hAnsi="Calibri" w:cs="Calibri"/>
          <w:color w:val="000000" w:themeColor="text1"/>
          <w:lang w:eastAsia="en-GB"/>
        </w:rPr>
        <w:t>.</w:t>
      </w:r>
      <w:r w:rsidR="00FF7A52" w:rsidRPr="00C801EF">
        <w:rPr>
          <w:rFonts w:ascii="Calibri" w:eastAsia="Times New Roman" w:hAnsi="Calibri" w:cs="Calibri"/>
          <w:color w:val="000000" w:themeColor="text1"/>
          <w:lang w:eastAsia="en-GB"/>
        </w:rPr>
        <w:t xml:space="preserve"> </w:t>
      </w:r>
    </w:p>
    <w:p w14:paraId="7282C0AF" w14:textId="76FBE358" w:rsidR="00745BC6" w:rsidRDefault="00E80005"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When referring to the separation of powers it is the idea that the Executive, Legislature and the Judiciary work independently of each other and as Montesquieu had stated this would be the ideal constitutional position for the law to be upheld and apply to all</w:t>
      </w:r>
      <w:r w:rsidR="00ED06AD" w:rsidRPr="00C801EF">
        <w:rPr>
          <w:rFonts w:ascii="Calibri" w:eastAsia="Times New Roman" w:hAnsi="Calibri" w:cs="Calibri"/>
          <w:color w:val="000000" w:themeColor="text1"/>
          <w:lang w:eastAsia="en-GB"/>
        </w:rPr>
        <w:t>, not everyone shared this view</w:t>
      </w:r>
      <w:r w:rsidR="00B948DE" w:rsidRPr="00C801EF">
        <w:rPr>
          <w:rFonts w:ascii="Calibri" w:eastAsia="Times New Roman" w:hAnsi="Calibri" w:cs="Calibri"/>
          <w:color w:val="000000" w:themeColor="text1"/>
          <w:lang w:eastAsia="en-GB"/>
        </w:rPr>
        <w:t xml:space="preserve"> however</w:t>
      </w:r>
      <w:r w:rsidR="00ED06AD" w:rsidRPr="00C801EF">
        <w:rPr>
          <w:rFonts w:ascii="Calibri" w:eastAsia="Times New Roman" w:hAnsi="Calibri" w:cs="Calibri"/>
          <w:color w:val="000000" w:themeColor="text1"/>
          <w:lang w:eastAsia="en-GB"/>
        </w:rPr>
        <w:t xml:space="preserve"> </w:t>
      </w:r>
      <w:r w:rsidR="00532FD9" w:rsidRPr="00C801EF">
        <w:rPr>
          <w:rFonts w:ascii="Calibri" w:eastAsia="Times New Roman" w:hAnsi="Calibri" w:cs="Calibri"/>
          <w:color w:val="000000" w:themeColor="text1"/>
          <w:lang w:eastAsia="en-GB"/>
        </w:rPr>
        <w:t>it has been suggested</w:t>
      </w:r>
      <w:r w:rsidR="00ED06AD" w:rsidRPr="00C801EF">
        <w:rPr>
          <w:rFonts w:ascii="Calibri" w:eastAsia="Times New Roman" w:hAnsi="Calibri" w:cs="Calibri"/>
          <w:color w:val="000000" w:themeColor="text1"/>
          <w:lang w:eastAsia="en-GB"/>
        </w:rPr>
        <w:t xml:space="preserve"> that in order for the ideal British constitution the institutions of the state should work closely together with very little or no separation</w:t>
      </w:r>
      <w:r w:rsidR="00745BC6">
        <w:rPr>
          <w:rFonts w:ascii="Calibri" w:eastAsia="Times New Roman" w:hAnsi="Calibri" w:cs="Calibri"/>
          <w:color w:val="000000" w:themeColor="text1"/>
          <w:lang w:eastAsia="en-GB"/>
        </w:rPr>
        <w:t xml:space="preserve"> </w:t>
      </w:r>
      <w:r w:rsidR="00BD7B6F">
        <w:rPr>
          <w:rFonts w:ascii="Calibri" w:eastAsia="Times New Roman" w:hAnsi="Calibri" w:cs="Calibri"/>
          <w:color w:val="000000" w:themeColor="text1"/>
          <w:lang w:eastAsia="en-GB"/>
        </w:rPr>
        <w:t xml:space="preserve">as reported by </w:t>
      </w:r>
      <w:r w:rsidR="00BD7B6F" w:rsidRPr="00811847">
        <w:rPr>
          <w:rFonts w:ascii="Calibri" w:eastAsia="Times New Roman" w:hAnsi="Calibri" w:cs="Calibri"/>
          <w:color w:val="000000" w:themeColor="text1"/>
          <w:lang w:eastAsia="en-GB"/>
        </w:rPr>
        <w:t>Bagehot (2009</w:t>
      </w:r>
      <w:r w:rsidR="00BD7B6F">
        <w:rPr>
          <w:rFonts w:ascii="Calibri" w:eastAsia="Times New Roman" w:hAnsi="Calibri" w:cs="Calibri"/>
          <w:color w:val="000000" w:themeColor="text1"/>
          <w:lang w:eastAsia="en-GB"/>
        </w:rPr>
        <w:t>)</w:t>
      </w:r>
      <w:r w:rsidR="006B122F" w:rsidRPr="00C801EF">
        <w:rPr>
          <w:rFonts w:ascii="Calibri" w:eastAsia="Times New Roman" w:hAnsi="Calibri" w:cs="Calibri"/>
          <w:color w:val="000000" w:themeColor="text1"/>
          <w:lang w:eastAsia="en-GB"/>
        </w:rPr>
        <w:t>.</w:t>
      </w:r>
      <w:r w:rsidR="00532FD9" w:rsidRPr="00C801EF">
        <w:rPr>
          <w:rFonts w:ascii="Calibri" w:eastAsia="Times New Roman" w:hAnsi="Calibri" w:cs="Calibri"/>
          <w:color w:val="000000" w:themeColor="text1"/>
          <w:lang w:eastAsia="en-GB"/>
        </w:rPr>
        <w:t xml:space="preserve"> </w:t>
      </w:r>
    </w:p>
    <w:p w14:paraId="28F81DC3" w14:textId="026B5D96" w:rsidR="00E94563" w:rsidRPr="00C801EF" w:rsidRDefault="006B122F"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T</w:t>
      </w:r>
      <w:r w:rsidR="00532FD9" w:rsidRPr="00C801EF">
        <w:rPr>
          <w:rFonts w:ascii="Calibri" w:eastAsia="Times New Roman" w:hAnsi="Calibri" w:cs="Calibri"/>
          <w:color w:val="000000" w:themeColor="text1"/>
          <w:lang w:eastAsia="en-GB"/>
        </w:rPr>
        <w:t xml:space="preserve">here are many countries that do not believe in a strict separation of powers and strive towards achieving compromise between the shared institutions of the state, </w:t>
      </w:r>
      <w:r w:rsidR="00B948DE" w:rsidRPr="00C801EF">
        <w:rPr>
          <w:rFonts w:ascii="Calibri" w:eastAsia="Times New Roman" w:hAnsi="Calibri" w:cs="Calibri"/>
          <w:color w:val="000000" w:themeColor="text1"/>
          <w:lang w:eastAsia="en-GB"/>
        </w:rPr>
        <w:t>nonetheless</w:t>
      </w:r>
      <w:r w:rsidR="00532FD9" w:rsidRPr="00C801EF">
        <w:rPr>
          <w:rFonts w:ascii="Calibri" w:eastAsia="Times New Roman" w:hAnsi="Calibri" w:cs="Calibri"/>
          <w:color w:val="000000" w:themeColor="text1"/>
          <w:lang w:eastAsia="en-GB"/>
        </w:rPr>
        <w:t xml:space="preserve"> with the introduction of the Human Rights Act</w:t>
      </w:r>
      <w:r w:rsidR="00B948DE" w:rsidRPr="00C801EF">
        <w:rPr>
          <w:rFonts w:ascii="Calibri" w:eastAsia="Times New Roman" w:hAnsi="Calibri" w:cs="Calibri"/>
          <w:color w:val="000000" w:themeColor="text1"/>
          <w:lang w:eastAsia="en-GB"/>
        </w:rPr>
        <w:t xml:space="preserve"> </w:t>
      </w:r>
      <w:r w:rsidR="00745BC6" w:rsidRPr="00C801EF">
        <w:rPr>
          <w:rFonts w:ascii="Calibri" w:eastAsia="Times New Roman" w:hAnsi="Calibri" w:cs="Calibri"/>
          <w:color w:val="000000" w:themeColor="text1"/>
          <w:lang w:eastAsia="en-GB"/>
        </w:rPr>
        <w:t>1998 judges</w:t>
      </w:r>
      <w:r w:rsidR="00532FD9" w:rsidRPr="00C801EF">
        <w:rPr>
          <w:rFonts w:ascii="Calibri" w:eastAsia="Times New Roman" w:hAnsi="Calibri" w:cs="Calibri"/>
          <w:color w:val="000000" w:themeColor="text1"/>
          <w:lang w:eastAsia="en-GB"/>
        </w:rPr>
        <w:t xml:space="preserve"> </w:t>
      </w:r>
      <w:r w:rsidR="00B948DE" w:rsidRPr="00C801EF">
        <w:rPr>
          <w:rFonts w:ascii="Calibri" w:eastAsia="Times New Roman" w:hAnsi="Calibri" w:cs="Calibri"/>
          <w:color w:val="000000" w:themeColor="text1"/>
          <w:lang w:eastAsia="en-GB"/>
        </w:rPr>
        <w:t>are</w:t>
      </w:r>
      <w:r w:rsidR="00532FD9" w:rsidRPr="00C801EF">
        <w:rPr>
          <w:rFonts w:ascii="Calibri" w:eastAsia="Times New Roman" w:hAnsi="Calibri" w:cs="Calibri"/>
          <w:color w:val="000000" w:themeColor="text1"/>
          <w:lang w:eastAsia="en-GB"/>
        </w:rPr>
        <w:t xml:space="preserve"> now required to rule on sensitive human rights issues which </w:t>
      </w:r>
      <w:r w:rsidR="00B948DE" w:rsidRPr="00C801EF">
        <w:rPr>
          <w:rFonts w:ascii="Calibri" w:eastAsia="Times New Roman" w:hAnsi="Calibri" w:cs="Calibri"/>
          <w:color w:val="000000" w:themeColor="text1"/>
          <w:lang w:eastAsia="en-GB"/>
        </w:rPr>
        <w:t xml:space="preserve">may </w:t>
      </w:r>
      <w:r w:rsidR="00532FD9" w:rsidRPr="00C801EF">
        <w:rPr>
          <w:rFonts w:ascii="Calibri" w:eastAsia="Times New Roman" w:hAnsi="Calibri" w:cs="Calibri"/>
          <w:color w:val="000000" w:themeColor="text1"/>
          <w:lang w:eastAsia="en-GB"/>
        </w:rPr>
        <w:t>require</w:t>
      </w:r>
      <w:r w:rsidR="00B948DE" w:rsidRPr="00C801EF">
        <w:rPr>
          <w:rFonts w:ascii="Calibri" w:eastAsia="Times New Roman" w:hAnsi="Calibri" w:cs="Calibri"/>
          <w:color w:val="000000" w:themeColor="text1"/>
          <w:lang w:eastAsia="en-GB"/>
        </w:rPr>
        <w:t xml:space="preserve"> questioning some constitutional boundaries this required a need for the judiciary have independence from other institutions of the State</w:t>
      </w:r>
      <w:r w:rsidR="00C213EB">
        <w:rPr>
          <w:rFonts w:ascii="Calibri" w:eastAsia="Times New Roman" w:hAnsi="Calibri" w:cs="Calibri"/>
          <w:color w:val="000000" w:themeColor="text1"/>
          <w:lang w:eastAsia="en-GB"/>
        </w:rPr>
        <w:t xml:space="preserve"> (</w:t>
      </w:r>
      <w:r w:rsidR="00C213EB" w:rsidRPr="00811847">
        <w:rPr>
          <w:rFonts w:ascii="Calibri" w:eastAsia="Times New Roman" w:hAnsi="Calibri" w:cs="Calibri"/>
          <w:color w:val="000000" w:themeColor="text1"/>
          <w:lang w:eastAsia="en-GB"/>
        </w:rPr>
        <w:t xml:space="preserve">Parliament, House of Lords, 2007).  </w:t>
      </w:r>
      <w:r w:rsidR="00B948DE" w:rsidRPr="00C801EF">
        <w:rPr>
          <w:rFonts w:ascii="Calibri" w:eastAsia="Times New Roman" w:hAnsi="Calibri" w:cs="Calibri"/>
          <w:color w:val="000000" w:themeColor="text1"/>
          <w:lang w:eastAsia="en-GB"/>
        </w:rPr>
        <w:t xml:space="preserve"> </w:t>
      </w:r>
    </w:p>
    <w:p w14:paraId="75CC0683" w14:textId="4F258600" w:rsidR="007714A6" w:rsidRPr="00811847" w:rsidRDefault="00FF7A52"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The need for an independent judiciary is </w:t>
      </w:r>
      <w:r w:rsidR="00EA1D89" w:rsidRPr="00C801EF">
        <w:rPr>
          <w:rFonts w:ascii="Calibri" w:eastAsia="Times New Roman" w:hAnsi="Calibri" w:cs="Calibri"/>
          <w:color w:val="000000" w:themeColor="text1"/>
          <w:lang w:eastAsia="en-GB"/>
        </w:rPr>
        <w:t>central</w:t>
      </w:r>
      <w:r w:rsidRPr="00C801EF">
        <w:rPr>
          <w:rFonts w:ascii="Calibri" w:eastAsia="Times New Roman" w:hAnsi="Calibri" w:cs="Calibri"/>
          <w:color w:val="000000" w:themeColor="text1"/>
          <w:lang w:eastAsia="en-GB"/>
        </w:rPr>
        <w:t xml:space="preserve"> when referring to the ‘rule of law’</w:t>
      </w:r>
      <w:r w:rsidR="00BD043F">
        <w:rPr>
          <w:rFonts w:ascii="Calibri" w:eastAsia="Times New Roman" w:hAnsi="Calibri" w:cs="Calibri"/>
          <w:color w:val="000000" w:themeColor="text1"/>
          <w:lang w:eastAsia="en-GB"/>
        </w:rPr>
        <w:t xml:space="preserve"> as indicated by Raz (2009).</w:t>
      </w:r>
      <w:r w:rsidRPr="00C801EF">
        <w:rPr>
          <w:rFonts w:ascii="Calibri" w:eastAsia="Times New Roman" w:hAnsi="Calibri" w:cs="Calibri"/>
          <w:color w:val="000000" w:themeColor="text1"/>
          <w:lang w:eastAsia="en-GB"/>
        </w:rPr>
        <w:t xml:space="preserve"> </w:t>
      </w:r>
      <w:r w:rsidR="00BA2519">
        <w:rPr>
          <w:rFonts w:ascii="Calibri" w:eastAsia="Times New Roman" w:hAnsi="Calibri" w:cs="Calibri"/>
          <w:color w:val="000000" w:themeColor="text1"/>
          <w:lang w:eastAsia="en-GB"/>
        </w:rPr>
        <w:t xml:space="preserve">In works based on the principle firstly documented by Albert Dicey an </w:t>
      </w:r>
      <w:proofErr w:type="gramStart"/>
      <w:r w:rsidR="00BA2519">
        <w:rPr>
          <w:rFonts w:ascii="Calibri" w:eastAsia="Times New Roman" w:hAnsi="Calibri" w:cs="Calibri"/>
          <w:color w:val="000000" w:themeColor="text1"/>
          <w:lang w:eastAsia="en-GB"/>
        </w:rPr>
        <w:t>eighteenth century</w:t>
      </w:r>
      <w:proofErr w:type="gramEnd"/>
      <w:r w:rsidR="00BA2519">
        <w:rPr>
          <w:rFonts w:ascii="Calibri" w:eastAsia="Times New Roman" w:hAnsi="Calibri" w:cs="Calibri"/>
          <w:color w:val="000000" w:themeColor="text1"/>
          <w:lang w:eastAsia="en-GB"/>
        </w:rPr>
        <w:t xml:space="preserve"> theorist </w:t>
      </w:r>
      <w:r w:rsidR="009B6F61">
        <w:rPr>
          <w:rFonts w:ascii="Calibri" w:eastAsia="Times New Roman" w:hAnsi="Calibri" w:cs="Calibri"/>
          <w:color w:val="000000" w:themeColor="text1"/>
          <w:lang w:eastAsia="en-GB"/>
        </w:rPr>
        <w:t>it has been documented that the</w:t>
      </w:r>
      <w:r w:rsidR="00BA2519">
        <w:rPr>
          <w:rFonts w:ascii="Calibri" w:eastAsia="Times New Roman" w:hAnsi="Calibri" w:cs="Calibri"/>
          <w:color w:val="000000" w:themeColor="text1"/>
          <w:lang w:eastAsia="en-GB"/>
        </w:rPr>
        <w:t xml:space="preserve"> </w:t>
      </w:r>
      <w:r w:rsidRPr="00C801EF">
        <w:rPr>
          <w:rFonts w:ascii="Calibri" w:eastAsia="Times New Roman" w:hAnsi="Calibri" w:cs="Calibri"/>
          <w:color w:val="000000" w:themeColor="text1"/>
          <w:lang w:eastAsia="en-GB"/>
        </w:rPr>
        <w:t>law should apply to all citizens that no person</w:t>
      </w:r>
      <w:r w:rsidR="00EA1D89" w:rsidRPr="00C801EF">
        <w:rPr>
          <w:rFonts w:ascii="Calibri" w:eastAsia="Times New Roman" w:hAnsi="Calibri" w:cs="Calibri"/>
          <w:color w:val="000000" w:themeColor="text1"/>
          <w:lang w:eastAsia="en-GB"/>
        </w:rPr>
        <w:t>s</w:t>
      </w:r>
      <w:r w:rsidRPr="00C801EF">
        <w:rPr>
          <w:rFonts w:ascii="Calibri" w:eastAsia="Times New Roman" w:hAnsi="Calibri" w:cs="Calibri"/>
          <w:color w:val="000000" w:themeColor="text1"/>
          <w:lang w:eastAsia="en-GB"/>
        </w:rPr>
        <w:t xml:space="preserve"> or individual is exempt from the law</w:t>
      </w:r>
      <w:r w:rsidR="00EA1D89" w:rsidRPr="00C801EF">
        <w:rPr>
          <w:rFonts w:ascii="Calibri" w:eastAsia="Times New Roman" w:hAnsi="Calibri" w:cs="Calibri"/>
          <w:color w:val="000000" w:themeColor="text1"/>
          <w:lang w:eastAsia="en-GB"/>
        </w:rPr>
        <w:t xml:space="preserve"> and that</w:t>
      </w:r>
      <w:r w:rsidRPr="00C801EF">
        <w:rPr>
          <w:rFonts w:ascii="Calibri" w:eastAsia="Times New Roman" w:hAnsi="Calibri" w:cs="Calibri"/>
          <w:color w:val="000000" w:themeColor="text1"/>
          <w:lang w:eastAsia="en-GB"/>
        </w:rPr>
        <w:t xml:space="preserve"> </w:t>
      </w:r>
      <w:r w:rsidR="00EA1D89" w:rsidRPr="00C801EF">
        <w:rPr>
          <w:rFonts w:ascii="Calibri" w:eastAsia="Times New Roman" w:hAnsi="Calibri" w:cs="Calibri"/>
          <w:color w:val="000000" w:themeColor="text1"/>
          <w:lang w:eastAsia="en-GB"/>
        </w:rPr>
        <w:t>all</w:t>
      </w:r>
      <w:r w:rsidRPr="00C801EF">
        <w:rPr>
          <w:rFonts w:ascii="Calibri" w:eastAsia="Times New Roman" w:hAnsi="Calibri" w:cs="Calibri"/>
          <w:color w:val="000000" w:themeColor="text1"/>
          <w:lang w:eastAsia="en-GB"/>
        </w:rPr>
        <w:t xml:space="preserve"> should be treated equally with right to a fair trial</w:t>
      </w:r>
      <w:r w:rsidR="00755147">
        <w:rPr>
          <w:rFonts w:ascii="Calibri" w:eastAsia="Times New Roman" w:hAnsi="Calibri" w:cs="Calibri"/>
          <w:color w:val="000000" w:themeColor="text1"/>
          <w:lang w:eastAsia="en-GB"/>
        </w:rPr>
        <w:t>.</w:t>
      </w:r>
      <w:r w:rsidRPr="00C801EF">
        <w:rPr>
          <w:rFonts w:ascii="Calibri" w:eastAsia="Times New Roman" w:hAnsi="Calibri" w:cs="Calibri"/>
          <w:color w:val="000000" w:themeColor="text1"/>
          <w:lang w:eastAsia="en-GB"/>
        </w:rPr>
        <w:t xml:space="preserve"> </w:t>
      </w:r>
      <w:r w:rsidR="00E80005" w:rsidRPr="00C801EF">
        <w:rPr>
          <w:rFonts w:ascii="Calibri" w:eastAsia="Times New Roman" w:hAnsi="Calibri" w:cs="Calibri"/>
          <w:color w:val="000000" w:themeColor="text1"/>
          <w:lang w:eastAsia="en-GB"/>
        </w:rPr>
        <w:t xml:space="preserve">It is the Judiciary’s sole purpose to enforce the law it </w:t>
      </w:r>
      <w:r w:rsidR="00C213EB">
        <w:rPr>
          <w:rFonts w:ascii="Calibri" w:eastAsia="Times New Roman" w:hAnsi="Calibri" w:cs="Calibri"/>
          <w:color w:val="000000" w:themeColor="text1"/>
          <w:lang w:eastAsia="en-GB"/>
        </w:rPr>
        <w:t xml:space="preserve">could be debated that it </w:t>
      </w:r>
      <w:r w:rsidR="006B122F" w:rsidRPr="00C801EF">
        <w:rPr>
          <w:rFonts w:ascii="Calibri" w:eastAsia="Times New Roman" w:hAnsi="Calibri" w:cs="Calibri"/>
          <w:color w:val="000000" w:themeColor="text1"/>
          <w:lang w:eastAsia="en-GB"/>
        </w:rPr>
        <w:t>m</w:t>
      </w:r>
      <w:r w:rsidR="00BD043F">
        <w:rPr>
          <w:rFonts w:ascii="Calibri" w:eastAsia="Times New Roman" w:hAnsi="Calibri" w:cs="Calibri"/>
          <w:color w:val="000000" w:themeColor="text1"/>
          <w:lang w:eastAsia="en-GB"/>
        </w:rPr>
        <w:t>ay</w:t>
      </w:r>
      <w:r w:rsidR="006B122F" w:rsidRPr="00C801EF">
        <w:rPr>
          <w:rFonts w:ascii="Calibri" w:eastAsia="Times New Roman" w:hAnsi="Calibri" w:cs="Calibri"/>
          <w:color w:val="000000" w:themeColor="text1"/>
          <w:lang w:eastAsia="en-GB"/>
        </w:rPr>
        <w:t xml:space="preserve"> not</w:t>
      </w:r>
      <w:r w:rsidR="00E80005" w:rsidRPr="00C801EF">
        <w:rPr>
          <w:rFonts w:ascii="Calibri" w:eastAsia="Times New Roman" w:hAnsi="Calibri" w:cs="Calibri"/>
          <w:color w:val="000000" w:themeColor="text1"/>
          <w:lang w:eastAsia="en-GB"/>
        </w:rPr>
        <w:t xml:space="preserve"> be possible for the judiciary to uphold the law and it be fair to</w:t>
      </w:r>
      <w:r w:rsidR="00AB3799" w:rsidRPr="00C801EF">
        <w:rPr>
          <w:rFonts w:ascii="Calibri" w:eastAsia="Times New Roman" w:hAnsi="Calibri" w:cs="Calibri"/>
          <w:color w:val="000000" w:themeColor="text1"/>
          <w:lang w:eastAsia="en-GB"/>
        </w:rPr>
        <w:t xml:space="preserve"> all if the Judiciary are not fully independent</w:t>
      </w:r>
      <w:r w:rsidR="009B6F61">
        <w:rPr>
          <w:rFonts w:ascii="Calibri" w:eastAsia="Times New Roman" w:hAnsi="Calibri" w:cs="Calibri"/>
          <w:color w:val="000000" w:themeColor="text1"/>
          <w:lang w:eastAsia="en-GB"/>
        </w:rPr>
        <w:t xml:space="preserve"> (Waldron, 2020)</w:t>
      </w:r>
      <w:r w:rsidR="00AB3799" w:rsidRPr="00811847">
        <w:rPr>
          <w:rFonts w:ascii="Calibri" w:eastAsia="Times New Roman" w:hAnsi="Calibri" w:cs="Calibri"/>
          <w:color w:val="000000" w:themeColor="text1"/>
          <w:lang w:eastAsia="en-GB"/>
        </w:rPr>
        <w:t xml:space="preserve">.  </w:t>
      </w:r>
    </w:p>
    <w:p w14:paraId="10BFD056" w14:textId="02AD379C" w:rsidR="008013CD" w:rsidRDefault="00356017"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The notion of a separation of powers is still something that is desired today and is a defining principle of the Constitutional Reform Act 2005 which saw the role of the Lord Chancellor </w:t>
      </w:r>
      <w:r w:rsidRPr="00C801EF">
        <w:rPr>
          <w:rFonts w:ascii="Calibri" w:eastAsia="Times New Roman" w:hAnsi="Calibri" w:cs="Calibri"/>
          <w:color w:val="000000" w:themeColor="text1"/>
          <w:lang w:eastAsia="en-GB"/>
        </w:rPr>
        <w:lastRenderedPageBreak/>
        <w:t>drastically change</w:t>
      </w:r>
      <w:r w:rsidR="00186A55" w:rsidRPr="00C801EF">
        <w:rPr>
          <w:rFonts w:ascii="Calibri" w:eastAsia="Times New Roman" w:hAnsi="Calibri" w:cs="Calibri"/>
          <w:color w:val="000000" w:themeColor="text1"/>
          <w:lang w:eastAsia="en-GB"/>
        </w:rPr>
        <w:t>. P</w:t>
      </w:r>
      <w:r w:rsidR="00D32BB0" w:rsidRPr="00C801EF">
        <w:rPr>
          <w:rFonts w:ascii="Calibri" w:eastAsia="Times New Roman" w:hAnsi="Calibri" w:cs="Calibri"/>
          <w:color w:val="000000" w:themeColor="text1"/>
          <w:lang w:eastAsia="en-GB"/>
        </w:rPr>
        <w:t xml:space="preserve">rior to the introduction of the Constitutional Reform Act the Lord Chancellor was </w:t>
      </w:r>
      <w:r w:rsidR="00E1106D" w:rsidRPr="00C801EF">
        <w:rPr>
          <w:rFonts w:ascii="Calibri" w:eastAsia="Times New Roman" w:hAnsi="Calibri" w:cs="Calibri"/>
          <w:color w:val="000000" w:themeColor="text1"/>
          <w:lang w:eastAsia="en-GB"/>
        </w:rPr>
        <w:t xml:space="preserve">a Cabinet Member, </w:t>
      </w:r>
      <w:r w:rsidR="00D32BB0" w:rsidRPr="00C801EF">
        <w:rPr>
          <w:rFonts w:ascii="Calibri" w:eastAsia="Times New Roman" w:hAnsi="Calibri" w:cs="Calibri"/>
          <w:color w:val="000000" w:themeColor="text1"/>
          <w:lang w:eastAsia="en-GB"/>
        </w:rPr>
        <w:t xml:space="preserve">an active member of the Legislature and </w:t>
      </w:r>
      <w:r w:rsidR="00E1106D" w:rsidRPr="00C801EF">
        <w:rPr>
          <w:rFonts w:ascii="Calibri" w:eastAsia="Times New Roman" w:hAnsi="Calibri" w:cs="Calibri"/>
          <w:color w:val="000000" w:themeColor="text1"/>
          <w:lang w:eastAsia="en-GB"/>
        </w:rPr>
        <w:t xml:space="preserve">Head of </w:t>
      </w:r>
      <w:r w:rsidR="00D32BB0" w:rsidRPr="00C801EF">
        <w:rPr>
          <w:rFonts w:ascii="Calibri" w:eastAsia="Times New Roman" w:hAnsi="Calibri" w:cs="Calibri"/>
          <w:color w:val="000000" w:themeColor="text1"/>
          <w:lang w:eastAsia="en-GB"/>
        </w:rPr>
        <w:t>the Judiciary</w:t>
      </w:r>
      <w:r w:rsidR="00BC3E2D" w:rsidRPr="00C801EF">
        <w:rPr>
          <w:rFonts w:ascii="Calibri" w:eastAsia="Times New Roman" w:hAnsi="Calibri" w:cs="Calibri"/>
          <w:color w:val="000000" w:themeColor="text1"/>
          <w:lang w:eastAsia="en-GB"/>
        </w:rPr>
        <w:t xml:space="preserve"> it could be argued that this created an apolitical system </w:t>
      </w:r>
      <w:r w:rsidR="005F16E2">
        <w:rPr>
          <w:rFonts w:ascii="Calibri" w:eastAsia="Times New Roman" w:hAnsi="Calibri" w:cs="Calibri"/>
          <w:color w:val="000000" w:themeColor="text1"/>
          <w:lang w:eastAsia="en-GB"/>
        </w:rPr>
        <w:t>(Stevens, 1999).</w:t>
      </w:r>
      <w:r w:rsidRPr="00C801EF">
        <w:rPr>
          <w:rFonts w:ascii="Calibri" w:eastAsia="Times New Roman" w:hAnsi="Calibri" w:cs="Calibri"/>
          <w:color w:val="000000" w:themeColor="text1"/>
          <w:lang w:eastAsia="en-GB"/>
        </w:rPr>
        <w:t xml:space="preserve"> </w:t>
      </w:r>
    </w:p>
    <w:p w14:paraId="6EE7728F" w14:textId="28D6DBC3" w:rsidR="00050796" w:rsidRPr="00C801EF" w:rsidRDefault="008013CD"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T</w:t>
      </w:r>
      <w:r w:rsidR="00DE2EA0" w:rsidRPr="00C801EF">
        <w:rPr>
          <w:rFonts w:ascii="Calibri" w:eastAsia="Times New Roman" w:hAnsi="Calibri" w:cs="Calibri"/>
          <w:color w:val="000000" w:themeColor="text1"/>
          <w:lang w:eastAsia="en-GB"/>
        </w:rPr>
        <w:t xml:space="preserve">he Constitutional reform act </w:t>
      </w:r>
      <w:r w:rsidR="00EF1D8A" w:rsidRPr="00C801EF">
        <w:rPr>
          <w:rFonts w:ascii="Calibri" w:eastAsia="Times New Roman" w:hAnsi="Calibri" w:cs="Calibri"/>
          <w:color w:val="000000" w:themeColor="text1"/>
          <w:lang w:eastAsia="en-GB"/>
        </w:rPr>
        <w:t>no longer allow</w:t>
      </w:r>
      <w:r w:rsidR="00755147">
        <w:rPr>
          <w:rFonts w:ascii="Calibri" w:eastAsia="Times New Roman" w:hAnsi="Calibri" w:cs="Calibri"/>
          <w:color w:val="000000" w:themeColor="text1"/>
          <w:lang w:eastAsia="en-GB"/>
        </w:rPr>
        <w:t>s</w:t>
      </w:r>
      <w:r w:rsidR="00EF1D8A" w:rsidRPr="00C801EF">
        <w:rPr>
          <w:rFonts w:ascii="Calibri" w:eastAsia="Times New Roman" w:hAnsi="Calibri" w:cs="Calibri"/>
          <w:color w:val="000000" w:themeColor="text1"/>
          <w:lang w:eastAsia="en-GB"/>
        </w:rPr>
        <w:t xml:space="preserve"> </w:t>
      </w:r>
      <w:r w:rsidR="00DE2EA0" w:rsidRPr="00C801EF">
        <w:rPr>
          <w:rFonts w:ascii="Calibri" w:eastAsia="Times New Roman" w:hAnsi="Calibri" w:cs="Calibri"/>
          <w:color w:val="000000" w:themeColor="text1"/>
          <w:lang w:eastAsia="en-GB"/>
        </w:rPr>
        <w:t>the Lord Chancellor</w:t>
      </w:r>
      <w:r w:rsidR="00D72242" w:rsidRPr="00C801EF">
        <w:rPr>
          <w:rFonts w:ascii="Calibri" w:eastAsia="Times New Roman" w:hAnsi="Calibri" w:cs="Calibri"/>
          <w:color w:val="000000" w:themeColor="text1"/>
          <w:lang w:eastAsia="en-GB"/>
        </w:rPr>
        <w:t xml:space="preserve"> </w:t>
      </w:r>
      <w:r w:rsidR="00EF1D8A" w:rsidRPr="00C801EF">
        <w:rPr>
          <w:rFonts w:ascii="Calibri" w:eastAsia="Times New Roman" w:hAnsi="Calibri" w:cs="Calibri"/>
          <w:color w:val="000000" w:themeColor="text1"/>
          <w:lang w:eastAsia="en-GB"/>
        </w:rPr>
        <w:t xml:space="preserve">to serve as a judge and be removed </w:t>
      </w:r>
      <w:r w:rsidR="00D72242" w:rsidRPr="00C801EF">
        <w:rPr>
          <w:rFonts w:ascii="Calibri" w:eastAsia="Times New Roman" w:hAnsi="Calibri" w:cs="Calibri"/>
          <w:color w:val="000000" w:themeColor="text1"/>
          <w:lang w:eastAsia="en-GB"/>
        </w:rPr>
        <w:t>as Head of the Judiciary</w:t>
      </w:r>
      <w:r w:rsidR="006B5DD5" w:rsidRPr="00C801EF">
        <w:rPr>
          <w:rFonts w:ascii="Calibri" w:eastAsia="Times New Roman" w:hAnsi="Calibri" w:cs="Calibri"/>
          <w:color w:val="000000" w:themeColor="text1"/>
          <w:lang w:eastAsia="en-GB"/>
        </w:rPr>
        <w:t xml:space="preserve"> </w:t>
      </w:r>
      <w:r w:rsidR="00186A55" w:rsidRPr="00C801EF">
        <w:rPr>
          <w:rFonts w:ascii="Calibri" w:eastAsia="Times New Roman" w:hAnsi="Calibri" w:cs="Calibri"/>
          <w:color w:val="000000" w:themeColor="text1"/>
          <w:lang w:eastAsia="en-GB"/>
        </w:rPr>
        <w:t>and was also replaced as the</w:t>
      </w:r>
      <w:r w:rsidR="00D72242" w:rsidRPr="00C801EF">
        <w:rPr>
          <w:rFonts w:ascii="Calibri" w:eastAsia="Times New Roman" w:hAnsi="Calibri" w:cs="Calibri"/>
          <w:color w:val="000000" w:themeColor="text1"/>
          <w:lang w:eastAsia="en-GB"/>
        </w:rPr>
        <w:t xml:space="preserve"> Speaker in the House of Lords</w:t>
      </w:r>
      <w:r w:rsidR="007714A6" w:rsidRPr="00C801EF">
        <w:rPr>
          <w:rFonts w:ascii="Calibri" w:eastAsia="Times New Roman" w:hAnsi="Calibri" w:cs="Calibri"/>
          <w:color w:val="000000" w:themeColor="text1"/>
          <w:lang w:eastAsia="en-GB"/>
        </w:rPr>
        <w:t xml:space="preserve">, </w:t>
      </w:r>
      <w:r w:rsidR="00EF1D8A" w:rsidRPr="00C801EF">
        <w:rPr>
          <w:rFonts w:ascii="Calibri" w:eastAsia="Times New Roman" w:hAnsi="Calibri" w:cs="Calibri"/>
          <w:color w:val="000000" w:themeColor="text1"/>
          <w:lang w:eastAsia="en-GB"/>
        </w:rPr>
        <w:t>it should be noted that prior to the introduction of the Constitutional Reform Act already in place is the</w:t>
      </w:r>
      <w:r w:rsidR="007714A6" w:rsidRPr="00C801EF">
        <w:rPr>
          <w:rFonts w:ascii="Calibri" w:eastAsia="Times New Roman" w:hAnsi="Calibri" w:cs="Calibri"/>
          <w:color w:val="000000" w:themeColor="text1"/>
          <w:lang w:eastAsia="en-GB"/>
        </w:rPr>
        <w:t xml:space="preserve"> House of Commons act 1975 th</w:t>
      </w:r>
      <w:r w:rsidR="00EF1D8A" w:rsidRPr="00C801EF">
        <w:rPr>
          <w:rFonts w:ascii="Calibri" w:eastAsia="Times New Roman" w:hAnsi="Calibri" w:cs="Calibri"/>
          <w:color w:val="000000" w:themeColor="text1"/>
          <w:lang w:eastAsia="en-GB"/>
        </w:rPr>
        <w:t>at</w:t>
      </w:r>
      <w:r w:rsidR="007714A6" w:rsidRPr="00C801EF">
        <w:rPr>
          <w:rFonts w:ascii="Calibri" w:eastAsia="Times New Roman" w:hAnsi="Calibri" w:cs="Calibri"/>
          <w:color w:val="000000" w:themeColor="text1"/>
          <w:lang w:eastAsia="en-GB"/>
        </w:rPr>
        <w:t xml:space="preserve"> has prohibited any members of the judiciary from running for election to parliament</w:t>
      </w:r>
      <w:r w:rsidR="006B122F" w:rsidRPr="00C801EF">
        <w:rPr>
          <w:rFonts w:ascii="Calibri" w:eastAsia="Times New Roman" w:hAnsi="Calibri" w:cs="Calibri"/>
          <w:color w:val="000000" w:themeColor="text1"/>
          <w:lang w:eastAsia="en-GB"/>
        </w:rPr>
        <w:t>,</w:t>
      </w:r>
      <w:r w:rsidR="007714A6" w:rsidRPr="00C801EF">
        <w:rPr>
          <w:rFonts w:ascii="Calibri" w:eastAsia="Times New Roman" w:hAnsi="Calibri" w:cs="Calibri"/>
          <w:color w:val="000000" w:themeColor="text1"/>
          <w:lang w:eastAsia="en-GB"/>
        </w:rPr>
        <w:t xml:space="preserve"> another very important safeguard to ensure that there is no conflict of interest</w:t>
      </w:r>
      <w:r w:rsidR="00755147">
        <w:rPr>
          <w:rFonts w:ascii="Calibri" w:eastAsia="Times New Roman" w:hAnsi="Calibri" w:cs="Calibri"/>
          <w:color w:val="000000" w:themeColor="text1"/>
          <w:lang w:eastAsia="en-GB"/>
        </w:rPr>
        <w:t>;</w:t>
      </w:r>
      <w:r w:rsidR="000D7414" w:rsidRPr="00C801EF">
        <w:rPr>
          <w:rFonts w:ascii="Calibri" w:eastAsia="Times New Roman" w:hAnsi="Calibri" w:cs="Calibri"/>
          <w:color w:val="000000" w:themeColor="text1"/>
          <w:lang w:eastAsia="en-GB"/>
        </w:rPr>
        <w:t xml:space="preserve"> this </w:t>
      </w:r>
      <w:r w:rsidR="00B948DE" w:rsidRPr="00C801EF">
        <w:rPr>
          <w:rFonts w:ascii="Calibri" w:eastAsia="Times New Roman" w:hAnsi="Calibri" w:cs="Calibri"/>
          <w:color w:val="000000" w:themeColor="text1"/>
          <w:lang w:eastAsia="en-GB"/>
        </w:rPr>
        <w:t xml:space="preserve">alongside the changes brought in by the Constitutional Reform Act 2005 </w:t>
      </w:r>
      <w:r w:rsidR="000D7414" w:rsidRPr="00C801EF">
        <w:rPr>
          <w:rFonts w:ascii="Calibri" w:eastAsia="Times New Roman" w:hAnsi="Calibri" w:cs="Calibri"/>
          <w:color w:val="000000" w:themeColor="text1"/>
          <w:lang w:eastAsia="en-GB"/>
        </w:rPr>
        <w:t>made the divi</w:t>
      </w:r>
      <w:r w:rsidR="00264323" w:rsidRPr="00C801EF">
        <w:rPr>
          <w:rFonts w:ascii="Calibri" w:eastAsia="Times New Roman" w:hAnsi="Calibri" w:cs="Calibri"/>
          <w:color w:val="000000" w:themeColor="text1"/>
          <w:lang w:eastAsia="en-GB"/>
        </w:rPr>
        <w:t xml:space="preserve">sion of powers very clear. </w:t>
      </w:r>
    </w:p>
    <w:p w14:paraId="260DB086" w14:textId="320F484D" w:rsidR="00811847" w:rsidRDefault="00D32BB0"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Th</w:t>
      </w:r>
      <w:r w:rsidR="00755147">
        <w:rPr>
          <w:rFonts w:ascii="Calibri" w:eastAsia="Times New Roman" w:hAnsi="Calibri" w:cs="Calibri"/>
          <w:color w:val="000000" w:themeColor="text1"/>
          <w:lang w:eastAsia="en-GB"/>
        </w:rPr>
        <w:t>e</w:t>
      </w:r>
      <w:r w:rsidRPr="00C801EF">
        <w:rPr>
          <w:rFonts w:ascii="Calibri" w:eastAsia="Times New Roman" w:hAnsi="Calibri" w:cs="Calibri"/>
          <w:color w:val="000000" w:themeColor="text1"/>
          <w:lang w:eastAsia="en-GB"/>
        </w:rPr>
        <w:t xml:space="preserve"> change saw the appointment of the Lord Chief Justice who </w:t>
      </w:r>
      <w:r w:rsidR="00934B10" w:rsidRPr="00C801EF">
        <w:rPr>
          <w:rFonts w:ascii="Calibri" w:eastAsia="Times New Roman" w:hAnsi="Calibri" w:cs="Calibri"/>
          <w:color w:val="000000" w:themeColor="text1"/>
          <w:lang w:eastAsia="en-GB"/>
        </w:rPr>
        <w:t>is now President of the Courts in England and Wales</w:t>
      </w:r>
      <w:r w:rsidRPr="00C801EF">
        <w:rPr>
          <w:rFonts w:ascii="Calibri" w:eastAsia="Times New Roman" w:hAnsi="Calibri" w:cs="Calibri"/>
          <w:color w:val="000000" w:themeColor="text1"/>
          <w:lang w:eastAsia="en-GB"/>
        </w:rPr>
        <w:t xml:space="preserve"> </w:t>
      </w:r>
      <w:r w:rsidR="00934B10" w:rsidRPr="00C801EF">
        <w:rPr>
          <w:rFonts w:ascii="Calibri" w:eastAsia="Times New Roman" w:hAnsi="Calibri" w:cs="Calibri"/>
          <w:color w:val="000000" w:themeColor="text1"/>
          <w:lang w:eastAsia="en-GB"/>
        </w:rPr>
        <w:t xml:space="preserve">and </w:t>
      </w:r>
      <w:r w:rsidRPr="00C801EF">
        <w:rPr>
          <w:rFonts w:ascii="Calibri" w:eastAsia="Times New Roman" w:hAnsi="Calibri" w:cs="Calibri"/>
          <w:color w:val="000000" w:themeColor="text1"/>
          <w:lang w:eastAsia="en-GB"/>
        </w:rPr>
        <w:t>head of the Judiciar</w:t>
      </w:r>
      <w:r w:rsidR="00934B10" w:rsidRPr="00C801EF">
        <w:rPr>
          <w:rFonts w:ascii="Calibri" w:eastAsia="Times New Roman" w:hAnsi="Calibri" w:cs="Calibri"/>
          <w:color w:val="000000" w:themeColor="text1"/>
          <w:lang w:eastAsia="en-GB"/>
        </w:rPr>
        <w:t xml:space="preserve">y. Under the terms of the Constitutional Reform </w:t>
      </w:r>
      <w:r w:rsidR="00D72242" w:rsidRPr="00C801EF">
        <w:rPr>
          <w:rFonts w:ascii="Calibri" w:eastAsia="Times New Roman" w:hAnsi="Calibri" w:cs="Calibri"/>
          <w:color w:val="000000" w:themeColor="text1"/>
          <w:lang w:eastAsia="en-GB"/>
        </w:rPr>
        <w:t>Act 2005</w:t>
      </w:r>
      <w:r w:rsidR="00934B10" w:rsidRPr="00C801EF">
        <w:rPr>
          <w:rFonts w:ascii="Calibri" w:eastAsia="Times New Roman" w:hAnsi="Calibri" w:cs="Calibri"/>
          <w:color w:val="000000" w:themeColor="text1"/>
          <w:lang w:eastAsia="en-GB"/>
        </w:rPr>
        <w:t xml:space="preserve"> </w:t>
      </w:r>
      <w:r w:rsidR="00D465DD" w:rsidRPr="00C801EF">
        <w:rPr>
          <w:rFonts w:ascii="Calibri" w:eastAsia="Times New Roman" w:hAnsi="Calibri" w:cs="Calibri"/>
          <w:color w:val="000000" w:themeColor="text1"/>
          <w:lang w:eastAsia="en-GB"/>
        </w:rPr>
        <w:t>came</w:t>
      </w:r>
      <w:r w:rsidR="00934B10" w:rsidRPr="00C801EF">
        <w:rPr>
          <w:rFonts w:ascii="Calibri" w:eastAsia="Times New Roman" w:hAnsi="Calibri" w:cs="Calibri"/>
          <w:color w:val="000000" w:themeColor="text1"/>
          <w:lang w:eastAsia="en-GB"/>
        </w:rPr>
        <w:t xml:space="preserve"> the introduction of </w:t>
      </w:r>
      <w:r w:rsidR="00F16843" w:rsidRPr="00C801EF">
        <w:rPr>
          <w:rFonts w:ascii="Calibri" w:eastAsia="Times New Roman" w:hAnsi="Calibri" w:cs="Calibri"/>
          <w:color w:val="000000" w:themeColor="text1"/>
          <w:lang w:eastAsia="en-GB"/>
        </w:rPr>
        <w:t>an independent</w:t>
      </w:r>
      <w:r w:rsidR="00934B10" w:rsidRPr="00C801EF">
        <w:rPr>
          <w:rFonts w:ascii="Calibri" w:eastAsia="Times New Roman" w:hAnsi="Calibri" w:cs="Calibri"/>
          <w:color w:val="000000" w:themeColor="text1"/>
          <w:lang w:eastAsia="en-GB"/>
        </w:rPr>
        <w:t xml:space="preserve"> Judicial appointments comm</w:t>
      </w:r>
      <w:r w:rsidR="00CD1C1B">
        <w:rPr>
          <w:rFonts w:ascii="Calibri" w:eastAsia="Times New Roman" w:hAnsi="Calibri" w:cs="Calibri"/>
          <w:color w:val="000000" w:themeColor="text1"/>
          <w:lang w:eastAsia="en-GB"/>
        </w:rPr>
        <w:t>ission</w:t>
      </w:r>
      <w:r w:rsidR="00934B10" w:rsidRPr="00C801EF">
        <w:rPr>
          <w:rFonts w:ascii="Calibri" w:eastAsia="Times New Roman" w:hAnsi="Calibri" w:cs="Calibri"/>
          <w:color w:val="000000" w:themeColor="text1"/>
          <w:lang w:eastAsia="en-GB"/>
        </w:rPr>
        <w:t xml:space="preserve">, this meant that the appointment of Judges to the </w:t>
      </w:r>
      <w:r w:rsidR="00934B10" w:rsidRPr="007204D3">
        <w:rPr>
          <w:rFonts w:ascii="Calibri" w:eastAsia="Times New Roman" w:hAnsi="Calibri" w:cs="Calibri"/>
          <w:color w:val="000000" w:themeColor="text1"/>
          <w:lang w:eastAsia="en-GB"/>
        </w:rPr>
        <w:t>Judiciary was no longer a responsibility of the Lord Chancellor, resulting in a more diverse, stronger and independent Judiciar</w:t>
      </w:r>
      <w:r w:rsidR="006B5DD5" w:rsidRPr="007204D3">
        <w:rPr>
          <w:rFonts w:ascii="Calibri" w:eastAsia="Times New Roman" w:hAnsi="Calibri" w:cs="Calibri"/>
          <w:color w:val="000000" w:themeColor="text1"/>
          <w:lang w:eastAsia="en-GB"/>
        </w:rPr>
        <w:t>y</w:t>
      </w:r>
      <w:r w:rsidR="007204D3" w:rsidRPr="007204D3">
        <w:rPr>
          <w:rFonts w:ascii="Calibri" w:eastAsia="Times New Roman" w:hAnsi="Calibri" w:cs="Calibri"/>
          <w:color w:val="000000" w:themeColor="text1"/>
          <w:lang w:eastAsia="en-GB"/>
        </w:rPr>
        <w:t xml:space="preserve"> (Courts and Tribunals Judiciary, 2020)</w:t>
      </w:r>
      <w:r w:rsidR="00D72242" w:rsidRPr="007204D3">
        <w:rPr>
          <w:rFonts w:ascii="Calibri" w:eastAsia="Times New Roman" w:hAnsi="Calibri" w:cs="Calibri"/>
          <w:color w:val="000000" w:themeColor="text1"/>
          <w:lang w:eastAsia="en-GB"/>
        </w:rPr>
        <w:t>.</w:t>
      </w:r>
      <w:r w:rsidR="00ED3B24" w:rsidRPr="007204D3">
        <w:rPr>
          <w:rFonts w:ascii="Calibri" w:eastAsia="Times New Roman" w:hAnsi="Calibri" w:cs="Calibri"/>
          <w:color w:val="000000" w:themeColor="text1"/>
          <w:lang w:eastAsia="en-GB"/>
        </w:rPr>
        <w:t xml:space="preserve"> </w:t>
      </w:r>
      <w:r w:rsidR="00AB3799" w:rsidRPr="00C801EF">
        <w:rPr>
          <w:rFonts w:ascii="Calibri" w:eastAsia="Times New Roman" w:hAnsi="Calibri" w:cs="Calibri"/>
          <w:color w:val="000000" w:themeColor="text1"/>
          <w:lang w:eastAsia="en-GB"/>
        </w:rPr>
        <w:t>J</w:t>
      </w:r>
      <w:r w:rsidR="00ED3B24" w:rsidRPr="00C801EF">
        <w:rPr>
          <w:rFonts w:ascii="Calibri" w:eastAsia="Times New Roman" w:hAnsi="Calibri" w:cs="Calibri"/>
          <w:color w:val="000000" w:themeColor="text1"/>
          <w:lang w:eastAsia="en-GB"/>
        </w:rPr>
        <w:t xml:space="preserve">udges of higher courts </w:t>
      </w:r>
      <w:r w:rsidR="00E1106D" w:rsidRPr="00C801EF">
        <w:rPr>
          <w:rFonts w:ascii="Calibri" w:eastAsia="Times New Roman" w:hAnsi="Calibri" w:cs="Calibri"/>
          <w:color w:val="000000" w:themeColor="text1"/>
          <w:lang w:eastAsia="en-GB"/>
        </w:rPr>
        <w:t>like those of</w:t>
      </w:r>
      <w:r w:rsidR="00ED3B24" w:rsidRPr="00C801EF">
        <w:rPr>
          <w:rFonts w:ascii="Calibri" w:eastAsia="Times New Roman" w:hAnsi="Calibri" w:cs="Calibri"/>
          <w:color w:val="000000" w:themeColor="text1"/>
          <w:lang w:eastAsia="en-GB"/>
        </w:rPr>
        <w:t xml:space="preserve"> the supreme court</w:t>
      </w:r>
      <w:r w:rsidR="00E1106D" w:rsidRPr="00C801EF">
        <w:rPr>
          <w:rFonts w:ascii="Calibri" w:eastAsia="Times New Roman" w:hAnsi="Calibri" w:cs="Calibri"/>
          <w:color w:val="000000" w:themeColor="text1"/>
          <w:lang w:eastAsia="en-GB"/>
        </w:rPr>
        <w:t xml:space="preserve">, </w:t>
      </w:r>
      <w:r w:rsidR="00AB3799" w:rsidRPr="00C801EF">
        <w:rPr>
          <w:rFonts w:ascii="Calibri" w:eastAsia="Times New Roman" w:hAnsi="Calibri" w:cs="Calibri"/>
          <w:color w:val="000000" w:themeColor="text1"/>
          <w:lang w:eastAsia="en-GB"/>
        </w:rPr>
        <w:t xml:space="preserve">will </w:t>
      </w:r>
      <w:r w:rsidR="00ED3B24" w:rsidRPr="00C801EF">
        <w:rPr>
          <w:rFonts w:ascii="Calibri" w:eastAsia="Times New Roman" w:hAnsi="Calibri" w:cs="Calibri"/>
          <w:color w:val="000000" w:themeColor="text1"/>
          <w:lang w:eastAsia="en-GB"/>
        </w:rPr>
        <w:t>have a life or long tenure this safeguard was put in place to support any ruling made</w:t>
      </w:r>
      <w:r w:rsidR="00050796" w:rsidRPr="00C801EF">
        <w:rPr>
          <w:rFonts w:ascii="Calibri" w:eastAsia="Times New Roman" w:hAnsi="Calibri" w:cs="Calibri"/>
          <w:color w:val="000000" w:themeColor="text1"/>
          <w:lang w:eastAsia="en-GB"/>
        </w:rPr>
        <w:t xml:space="preserve"> meaning that the judge in question will not receive any shortfall from either the executive or the legislative should the ruling be unfavourable to </w:t>
      </w:r>
      <w:r w:rsidR="00E1106D" w:rsidRPr="00C801EF">
        <w:rPr>
          <w:rFonts w:ascii="Calibri" w:eastAsia="Times New Roman" w:hAnsi="Calibri" w:cs="Calibri"/>
          <w:color w:val="000000" w:themeColor="text1"/>
          <w:lang w:eastAsia="en-GB"/>
        </w:rPr>
        <w:t>either</w:t>
      </w:r>
      <w:r w:rsidR="00050796" w:rsidRPr="00C801EF">
        <w:rPr>
          <w:rFonts w:ascii="Calibri" w:eastAsia="Times New Roman" w:hAnsi="Calibri" w:cs="Calibri"/>
          <w:color w:val="000000" w:themeColor="text1"/>
          <w:lang w:eastAsia="en-GB"/>
        </w:rPr>
        <w:t xml:space="preserve"> party </w:t>
      </w:r>
      <w:r w:rsidR="007714A6" w:rsidRPr="00C801EF">
        <w:rPr>
          <w:rFonts w:ascii="Calibri" w:eastAsia="Times New Roman" w:hAnsi="Calibri" w:cs="Calibri"/>
          <w:color w:val="000000" w:themeColor="text1"/>
          <w:lang w:eastAsia="en-GB"/>
        </w:rPr>
        <w:t xml:space="preserve">this can also be referred to </w:t>
      </w:r>
      <w:r w:rsidR="00FF7A52" w:rsidRPr="00C801EF">
        <w:rPr>
          <w:rFonts w:ascii="Calibri" w:eastAsia="Times New Roman" w:hAnsi="Calibri" w:cs="Calibri"/>
          <w:color w:val="000000" w:themeColor="text1"/>
          <w:lang w:eastAsia="en-GB"/>
        </w:rPr>
        <w:t xml:space="preserve">as the </w:t>
      </w:r>
      <w:r w:rsidR="006220A8" w:rsidRPr="00C801EF">
        <w:rPr>
          <w:rFonts w:ascii="Calibri" w:eastAsia="Times New Roman" w:hAnsi="Calibri" w:cs="Calibri"/>
          <w:color w:val="000000" w:themeColor="text1"/>
          <w:lang w:eastAsia="en-GB"/>
        </w:rPr>
        <w:t>‘</w:t>
      </w:r>
      <w:r w:rsidR="00FF7A52" w:rsidRPr="00C801EF">
        <w:rPr>
          <w:rFonts w:ascii="Calibri" w:eastAsia="Times New Roman" w:hAnsi="Calibri" w:cs="Calibri"/>
          <w:i/>
          <w:iCs/>
          <w:color w:val="000000" w:themeColor="text1"/>
          <w:lang w:eastAsia="en-GB"/>
        </w:rPr>
        <w:t>Sub Judice</w:t>
      </w:r>
      <w:r w:rsidR="006220A8" w:rsidRPr="00C801EF">
        <w:rPr>
          <w:rFonts w:ascii="Calibri" w:eastAsia="Times New Roman" w:hAnsi="Calibri" w:cs="Calibri"/>
          <w:color w:val="000000" w:themeColor="text1"/>
          <w:lang w:eastAsia="en-GB"/>
        </w:rPr>
        <w:t>’</w:t>
      </w:r>
      <w:r w:rsidR="00FF7A52" w:rsidRPr="00C801EF">
        <w:rPr>
          <w:rFonts w:ascii="Calibri" w:eastAsia="Times New Roman" w:hAnsi="Calibri" w:cs="Calibri"/>
          <w:color w:val="000000" w:themeColor="text1"/>
          <w:lang w:eastAsia="en-GB"/>
        </w:rPr>
        <w:t xml:space="preserve"> rule</w:t>
      </w:r>
      <w:r w:rsidR="00AB3799" w:rsidRPr="00C801EF">
        <w:rPr>
          <w:rFonts w:ascii="Calibri" w:eastAsia="Times New Roman" w:hAnsi="Calibri" w:cs="Calibri"/>
          <w:color w:val="000000" w:themeColor="text1"/>
          <w:lang w:eastAsia="en-GB"/>
        </w:rPr>
        <w:t xml:space="preserve">. </w:t>
      </w:r>
    </w:p>
    <w:p w14:paraId="2CF94D07" w14:textId="4BF7DFB3" w:rsidR="00D465DD" w:rsidRPr="00C801EF" w:rsidRDefault="00AB3799"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The ‘Sub Judice’ rule prohibits any commentary or debate</w:t>
      </w:r>
      <w:r w:rsidR="00623091" w:rsidRPr="00C801EF">
        <w:rPr>
          <w:rFonts w:ascii="Calibri" w:eastAsia="Times New Roman" w:hAnsi="Calibri" w:cs="Calibri"/>
          <w:color w:val="000000" w:themeColor="text1"/>
          <w:lang w:eastAsia="en-GB"/>
        </w:rPr>
        <w:t xml:space="preserve"> during on-going court proceedings</w:t>
      </w:r>
      <w:r w:rsidRPr="00C801EF">
        <w:rPr>
          <w:rFonts w:ascii="Calibri" w:eastAsia="Times New Roman" w:hAnsi="Calibri" w:cs="Calibri"/>
          <w:color w:val="000000" w:themeColor="text1"/>
          <w:lang w:eastAsia="en-GB"/>
        </w:rPr>
        <w:t xml:space="preserve"> within the </w:t>
      </w:r>
      <w:r w:rsidR="00623091" w:rsidRPr="00C801EF">
        <w:rPr>
          <w:rFonts w:ascii="Calibri" w:eastAsia="Times New Roman" w:hAnsi="Calibri" w:cs="Calibri"/>
          <w:color w:val="000000" w:themeColor="text1"/>
          <w:lang w:eastAsia="en-GB"/>
        </w:rPr>
        <w:t xml:space="preserve">Legislature this is to </w:t>
      </w:r>
      <w:r w:rsidRPr="00C801EF">
        <w:rPr>
          <w:rFonts w:ascii="Calibri" w:eastAsia="Times New Roman" w:hAnsi="Calibri" w:cs="Calibri"/>
          <w:color w:val="000000" w:themeColor="text1"/>
          <w:lang w:eastAsia="en-GB"/>
        </w:rPr>
        <w:t>avoid bias from either the Judiciary or jury</w:t>
      </w:r>
      <w:r w:rsidR="00623091" w:rsidRPr="00C801EF">
        <w:rPr>
          <w:rFonts w:ascii="Calibri" w:eastAsia="Times New Roman" w:hAnsi="Calibri" w:cs="Calibri"/>
          <w:color w:val="000000" w:themeColor="text1"/>
          <w:lang w:eastAsia="en-GB"/>
        </w:rPr>
        <w:t>.</w:t>
      </w:r>
      <w:r w:rsidR="00FC70A4" w:rsidRPr="00C801EF">
        <w:rPr>
          <w:rFonts w:ascii="Calibri" w:eastAsia="Times New Roman" w:hAnsi="Calibri" w:cs="Calibri"/>
          <w:color w:val="000000" w:themeColor="text1"/>
          <w:lang w:eastAsia="en-GB"/>
        </w:rPr>
        <w:t xml:space="preserve"> Abuse of an </w:t>
      </w:r>
      <w:r w:rsidR="00CE6221" w:rsidRPr="00C801EF">
        <w:rPr>
          <w:rFonts w:ascii="Calibri" w:eastAsia="Times New Roman" w:hAnsi="Calibri" w:cs="Calibri"/>
          <w:color w:val="000000" w:themeColor="text1"/>
          <w:lang w:eastAsia="en-GB"/>
        </w:rPr>
        <w:t>individual’s</w:t>
      </w:r>
      <w:r w:rsidR="00FC70A4" w:rsidRPr="00C801EF">
        <w:rPr>
          <w:rFonts w:ascii="Calibri" w:eastAsia="Times New Roman" w:hAnsi="Calibri" w:cs="Calibri"/>
          <w:color w:val="000000" w:themeColor="text1"/>
          <w:lang w:eastAsia="en-GB"/>
        </w:rPr>
        <w:t xml:space="preserve"> right to a fair trial is </w:t>
      </w:r>
      <w:r w:rsidR="00CE6221" w:rsidRPr="00C801EF">
        <w:rPr>
          <w:rFonts w:ascii="Calibri" w:eastAsia="Times New Roman" w:hAnsi="Calibri" w:cs="Calibri"/>
          <w:color w:val="000000" w:themeColor="text1"/>
          <w:lang w:eastAsia="en-GB"/>
        </w:rPr>
        <w:t>taken</w:t>
      </w:r>
      <w:r w:rsidR="00FC70A4" w:rsidRPr="00C801EF">
        <w:rPr>
          <w:rFonts w:ascii="Calibri" w:eastAsia="Times New Roman" w:hAnsi="Calibri" w:cs="Calibri"/>
          <w:color w:val="000000" w:themeColor="text1"/>
          <w:lang w:eastAsia="en-GB"/>
        </w:rPr>
        <w:t xml:space="preserve"> very seriously </w:t>
      </w:r>
      <w:r w:rsidR="00CE6221" w:rsidRPr="00C801EF">
        <w:rPr>
          <w:rFonts w:ascii="Calibri" w:eastAsia="Times New Roman" w:hAnsi="Calibri" w:cs="Calibri"/>
          <w:color w:val="000000" w:themeColor="text1"/>
          <w:lang w:eastAsia="en-GB"/>
        </w:rPr>
        <w:t xml:space="preserve">as can be seen in this case where a juror was found to have conducted an internet search which had </w:t>
      </w:r>
      <w:r w:rsidR="007C30BD" w:rsidRPr="00C801EF">
        <w:rPr>
          <w:rFonts w:ascii="Calibri" w:eastAsia="Times New Roman" w:hAnsi="Calibri" w:cs="Calibri"/>
          <w:color w:val="000000" w:themeColor="text1"/>
          <w:lang w:eastAsia="en-GB"/>
        </w:rPr>
        <w:t>immense</w:t>
      </w:r>
      <w:r w:rsidR="00CE6221" w:rsidRPr="00C801EF">
        <w:rPr>
          <w:rFonts w:ascii="Calibri" w:eastAsia="Times New Roman" w:hAnsi="Calibri" w:cs="Calibri"/>
          <w:color w:val="000000" w:themeColor="text1"/>
          <w:lang w:eastAsia="en-GB"/>
        </w:rPr>
        <w:t xml:space="preserve"> implications on the case</w:t>
      </w:r>
      <w:r w:rsidR="008C5E8A">
        <w:rPr>
          <w:rFonts w:ascii="Calibri" w:eastAsia="Times New Roman" w:hAnsi="Calibri" w:cs="Calibri"/>
          <w:color w:val="000000" w:themeColor="text1"/>
          <w:lang w:eastAsia="en-GB"/>
        </w:rPr>
        <w:t>. In the case of ‘Attorney General v</w:t>
      </w:r>
      <w:r w:rsidR="00A43912">
        <w:rPr>
          <w:rFonts w:ascii="Calibri" w:eastAsia="Times New Roman" w:hAnsi="Calibri" w:cs="Calibri"/>
          <w:color w:val="000000" w:themeColor="text1"/>
          <w:lang w:eastAsia="en-GB"/>
        </w:rPr>
        <w:t>.</w:t>
      </w:r>
      <w:r w:rsidR="008C5E8A">
        <w:rPr>
          <w:rFonts w:ascii="Calibri" w:eastAsia="Times New Roman" w:hAnsi="Calibri" w:cs="Calibri"/>
          <w:color w:val="000000" w:themeColor="text1"/>
          <w:lang w:eastAsia="en-GB"/>
        </w:rPr>
        <w:t xml:space="preserve"> Dallas’ (2012)</w:t>
      </w:r>
      <w:r w:rsidR="00CE6221" w:rsidRPr="00C801EF">
        <w:rPr>
          <w:rFonts w:ascii="Calibri" w:eastAsia="Times New Roman" w:hAnsi="Calibri" w:cs="Calibri"/>
          <w:color w:val="000000" w:themeColor="text1"/>
          <w:lang w:eastAsia="en-GB"/>
        </w:rPr>
        <w:t xml:space="preserve"> this directly violated the individuals human right</w:t>
      </w:r>
      <w:r w:rsidR="007C30BD" w:rsidRPr="00C801EF">
        <w:rPr>
          <w:rFonts w:ascii="Calibri" w:eastAsia="Times New Roman" w:hAnsi="Calibri" w:cs="Calibri"/>
          <w:color w:val="000000" w:themeColor="text1"/>
          <w:lang w:eastAsia="en-GB"/>
        </w:rPr>
        <w:t xml:space="preserve"> which according to the Human Rights Act 1998 allows all individuals the right </w:t>
      </w:r>
      <w:r w:rsidR="00CE6221" w:rsidRPr="00C801EF">
        <w:rPr>
          <w:rFonts w:ascii="Calibri" w:eastAsia="Times New Roman" w:hAnsi="Calibri" w:cs="Calibri"/>
          <w:color w:val="000000" w:themeColor="text1"/>
          <w:lang w:eastAsia="en-GB"/>
        </w:rPr>
        <w:t>to a fair trial.</w:t>
      </w:r>
      <w:r w:rsidR="00623091" w:rsidRPr="00C801EF">
        <w:rPr>
          <w:rFonts w:ascii="Calibri" w:eastAsia="Times New Roman" w:hAnsi="Calibri" w:cs="Calibri"/>
          <w:color w:val="000000" w:themeColor="text1"/>
          <w:lang w:eastAsia="en-GB"/>
        </w:rPr>
        <w:t xml:space="preserve"> This is vital in supporting the independence of the Judiciary and</w:t>
      </w:r>
      <w:r w:rsidR="00050796" w:rsidRPr="00C801EF">
        <w:rPr>
          <w:rFonts w:ascii="Calibri" w:eastAsia="Times New Roman" w:hAnsi="Calibri" w:cs="Calibri"/>
          <w:color w:val="000000" w:themeColor="text1"/>
          <w:lang w:eastAsia="en-GB"/>
        </w:rPr>
        <w:t xml:space="preserve"> </w:t>
      </w:r>
      <w:r w:rsidR="00EA03CE" w:rsidRPr="00C801EF">
        <w:rPr>
          <w:rFonts w:ascii="Calibri" w:eastAsia="Times New Roman" w:hAnsi="Calibri" w:cs="Calibri"/>
          <w:color w:val="000000" w:themeColor="text1"/>
          <w:lang w:eastAsia="en-GB"/>
        </w:rPr>
        <w:t>should</w:t>
      </w:r>
      <w:r w:rsidR="00050796" w:rsidRPr="00C801EF">
        <w:rPr>
          <w:rFonts w:ascii="Calibri" w:eastAsia="Times New Roman" w:hAnsi="Calibri" w:cs="Calibri"/>
          <w:color w:val="000000" w:themeColor="text1"/>
          <w:lang w:eastAsia="en-GB"/>
        </w:rPr>
        <w:t xml:space="preserve"> provide any individual that is to bring a case before the judiciary the utmost confidence that the law would be upheld</w:t>
      </w:r>
      <w:r w:rsidR="00623091" w:rsidRPr="00C801EF">
        <w:rPr>
          <w:rFonts w:ascii="Calibri" w:eastAsia="Times New Roman" w:hAnsi="Calibri" w:cs="Calibri"/>
          <w:color w:val="000000" w:themeColor="text1"/>
          <w:lang w:eastAsia="en-GB"/>
        </w:rPr>
        <w:t xml:space="preserve"> in a fair trial</w:t>
      </w:r>
      <w:r w:rsidR="00050796" w:rsidRPr="00C801EF">
        <w:rPr>
          <w:rFonts w:ascii="Calibri" w:eastAsia="Times New Roman" w:hAnsi="Calibri" w:cs="Calibri"/>
          <w:color w:val="000000" w:themeColor="text1"/>
          <w:lang w:eastAsia="en-GB"/>
        </w:rPr>
        <w:t xml:space="preserve">, supporting the </w:t>
      </w:r>
      <w:r w:rsidR="006B5DD5" w:rsidRPr="00C801EF">
        <w:rPr>
          <w:rFonts w:ascii="Calibri" w:eastAsia="Times New Roman" w:hAnsi="Calibri" w:cs="Calibri"/>
          <w:color w:val="000000" w:themeColor="text1"/>
          <w:lang w:eastAsia="en-GB"/>
        </w:rPr>
        <w:t>premiss</w:t>
      </w:r>
      <w:r w:rsidR="00050796" w:rsidRPr="00C801EF">
        <w:rPr>
          <w:rFonts w:ascii="Calibri" w:eastAsia="Times New Roman" w:hAnsi="Calibri" w:cs="Calibri"/>
          <w:color w:val="000000" w:themeColor="text1"/>
          <w:lang w:eastAsia="en-GB"/>
        </w:rPr>
        <w:t xml:space="preserve"> of the rule of law</w:t>
      </w:r>
      <w:r w:rsidR="00A43912">
        <w:rPr>
          <w:rFonts w:ascii="Calibri" w:eastAsia="Times New Roman" w:hAnsi="Calibri" w:cs="Calibri"/>
          <w:color w:val="000000" w:themeColor="text1"/>
          <w:lang w:eastAsia="en-GB"/>
        </w:rPr>
        <w:t xml:space="preserve"> (Parliament. House of Lords 2007)</w:t>
      </w:r>
      <w:r w:rsidR="00050796" w:rsidRPr="00C801EF">
        <w:rPr>
          <w:rFonts w:ascii="Calibri" w:eastAsia="Times New Roman" w:hAnsi="Calibri" w:cs="Calibri"/>
          <w:color w:val="000000" w:themeColor="text1"/>
          <w:lang w:eastAsia="en-GB"/>
        </w:rPr>
        <w:t xml:space="preserve">. </w:t>
      </w:r>
    </w:p>
    <w:p w14:paraId="5847C061" w14:textId="14123133" w:rsidR="00EF1D8A" w:rsidRPr="00C801EF" w:rsidRDefault="00EF1D8A"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lastRenderedPageBreak/>
        <w:t xml:space="preserve">Aside from the changing role of the Lord Chancellor </w:t>
      </w:r>
      <w:r w:rsidR="00F360E7" w:rsidRPr="00C801EF">
        <w:rPr>
          <w:rFonts w:ascii="Calibri" w:eastAsia="Times New Roman" w:hAnsi="Calibri" w:cs="Calibri"/>
          <w:color w:val="000000" w:themeColor="text1"/>
          <w:lang w:eastAsia="en-GB"/>
        </w:rPr>
        <w:t xml:space="preserve">there was </w:t>
      </w:r>
      <w:r w:rsidR="007C30BD" w:rsidRPr="00C801EF">
        <w:rPr>
          <w:rFonts w:ascii="Calibri" w:eastAsia="Times New Roman" w:hAnsi="Calibri" w:cs="Calibri"/>
          <w:color w:val="000000" w:themeColor="text1"/>
          <w:lang w:eastAsia="en-GB"/>
        </w:rPr>
        <w:t>additional</w:t>
      </w:r>
      <w:r w:rsidR="00F360E7" w:rsidRPr="00C801EF">
        <w:rPr>
          <w:rFonts w:ascii="Calibri" w:eastAsia="Times New Roman" w:hAnsi="Calibri" w:cs="Calibri"/>
          <w:color w:val="000000" w:themeColor="text1"/>
          <w:lang w:eastAsia="en-GB"/>
        </w:rPr>
        <w:t xml:space="preserve"> change</w:t>
      </w:r>
      <w:r w:rsidR="007C30BD" w:rsidRPr="00C801EF">
        <w:rPr>
          <w:rFonts w:ascii="Calibri" w:eastAsia="Times New Roman" w:hAnsi="Calibri" w:cs="Calibri"/>
          <w:color w:val="000000" w:themeColor="text1"/>
          <w:lang w:eastAsia="en-GB"/>
        </w:rPr>
        <w:t>s</w:t>
      </w:r>
      <w:r w:rsidR="00F360E7" w:rsidRPr="00C801EF">
        <w:rPr>
          <w:rFonts w:ascii="Calibri" w:eastAsia="Times New Roman" w:hAnsi="Calibri" w:cs="Calibri"/>
          <w:color w:val="000000" w:themeColor="text1"/>
          <w:lang w:eastAsia="en-GB"/>
        </w:rPr>
        <w:t xml:space="preserve"> that came from the Constitutional Reform Act sought to achieve complete separation between Senior Judicial members and the Legislature and this was the introduction of the Supreme Court which now means that most senior judges are entirely separate from the Parliamentary process, prior the introduction of the Supreme court they were established within the houses of Parliament in the House of Lords where they sat as the appellate committee of the House of Lords often referred to as ‘Law Lords’</w:t>
      </w:r>
      <w:r w:rsidR="00755147">
        <w:rPr>
          <w:rFonts w:ascii="Calibri" w:eastAsia="Times New Roman" w:hAnsi="Calibri" w:cs="Calibri"/>
          <w:color w:val="000000" w:themeColor="text1"/>
          <w:lang w:eastAsia="en-GB"/>
        </w:rPr>
        <w:t>.</w:t>
      </w:r>
      <w:r w:rsidR="00A7796F" w:rsidRPr="00C801EF">
        <w:rPr>
          <w:rFonts w:ascii="Calibri" w:eastAsia="Times New Roman" w:hAnsi="Calibri" w:cs="Calibri"/>
          <w:color w:val="000000" w:themeColor="text1"/>
          <w:lang w:eastAsia="en-GB"/>
        </w:rPr>
        <w:t xml:space="preserve"> </w:t>
      </w:r>
      <w:r w:rsidR="00755147">
        <w:rPr>
          <w:rFonts w:ascii="Calibri" w:eastAsia="Times New Roman" w:hAnsi="Calibri" w:cs="Calibri"/>
          <w:color w:val="000000" w:themeColor="text1"/>
          <w:lang w:eastAsia="en-GB"/>
        </w:rPr>
        <w:t>A</w:t>
      </w:r>
      <w:r w:rsidR="00FC70A4" w:rsidRPr="00C801EF">
        <w:rPr>
          <w:rFonts w:ascii="Calibri" w:eastAsia="Times New Roman" w:hAnsi="Calibri" w:cs="Calibri"/>
          <w:color w:val="000000" w:themeColor="text1"/>
          <w:lang w:eastAsia="en-GB"/>
        </w:rPr>
        <w:t xml:space="preserve">s of </w:t>
      </w:r>
      <w:proofErr w:type="gramStart"/>
      <w:r w:rsidR="00FC70A4" w:rsidRPr="00C801EF">
        <w:rPr>
          <w:rFonts w:ascii="Calibri" w:eastAsia="Times New Roman" w:hAnsi="Calibri" w:cs="Calibri"/>
          <w:color w:val="000000" w:themeColor="text1"/>
          <w:lang w:eastAsia="en-GB"/>
        </w:rPr>
        <w:t>October 2009</w:t>
      </w:r>
      <w:proofErr w:type="gramEnd"/>
      <w:r w:rsidR="00FC70A4" w:rsidRPr="00C801EF">
        <w:rPr>
          <w:rFonts w:ascii="Calibri" w:eastAsia="Times New Roman" w:hAnsi="Calibri" w:cs="Calibri"/>
          <w:color w:val="000000" w:themeColor="text1"/>
          <w:lang w:eastAsia="en-GB"/>
        </w:rPr>
        <w:t xml:space="preserve"> </w:t>
      </w:r>
      <w:r w:rsidR="00A7796F" w:rsidRPr="00C801EF">
        <w:rPr>
          <w:rFonts w:ascii="Calibri" w:eastAsia="Times New Roman" w:hAnsi="Calibri" w:cs="Calibri"/>
          <w:color w:val="000000" w:themeColor="text1"/>
          <w:lang w:eastAsia="en-GB"/>
        </w:rPr>
        <w:t xml:space="preserve">the Supreme </w:t>
      </w:r>
      <w:r w:rsidR="00FC70A4" w:rsidRPr="00C801EF">
        <w:rPr>
          <w:rFonts w:ascii="Calibri" w:eastAsia="Times New Roman" w:hAnsi="Calibri" w:cs="Calibri"/>
          <w:color w:val="000000" w:themeColor="text1"/>
          <w:lang w:eastAsia="en-GB"/>
        </w:rPr>
        <w:t>C</w:t>
      </w:r>
      <w:r w:rsidR="00A7796F" w:rsidRPr="00C801EF">
        <w:rPr>
          <w:rFonts w:ascii="Calibri" w:eastAsia="Times New Roman" w:hAnsi="Calibri" w:cs="Calibri"/>
          <w:color w:val="000000" w:themeColor="text1"/>
          <w:lang w:eastAsia="en-GB"/>
        </w:rPr>
        <w:t>ourt operate from a new location opposite the Houses of Parliament which according to the Supreme Court is highly symbolic of the United Kingdom’s Separation of powers</w:t>
      </w:r>
      <w:r w:rsidR="00F360E7" w:rsidRPr="00C801EF">
        <w:rPr>
          <w:rFonts w:ascii="Calibri" w:eastAsia="Times New Roman" w:hAnsi="Calibri" w:cs="Calibri"/>
          <w:color w:val="000000" w:themeColor="text1"/>
          <w:lang w:eastAsia="en-GB"/>
        </w:rPr>
        <w:t>.</w:t>
      </w:r>
      <w:r w:rsidR="00A7796F" w:rsidRPr="00C801EF">
        <w:rPr>
          <w:rFonts w:ascii="Calibri" w:eastAsia="Times New Roman" w:hAnsi="Calibri" w:cs="Calibri"/>
          <w:color w:val="000000" w:themeColor="text1"/>
          <w:lang w:eastAsia="en-GB"/>
        </w:rPr>
        <w:t xml:space="preserve"> The Supreme court is the highest court in the United Kingdom</w:t>
      </w:r>
      <w:r w:rsidR="00FC70A4" w:rsidRPr="00C801EF">
        <w:rPr>
          <w:rFonts w:ascii="Calibri" w:eastAsia="Times New Roman" w:hAnsi="Calibri" w:cs="Calibri"/>
          <w:color w:val="000000" w:themeColor="text1"/>
          <w:lang w:eastAsia="en-GB"/>
        </w:rPr>
        <w:t>.</w:t>
      </w:r>
      <w:r w:rsidR="00A7796F" w:rsidRPr="00C801EF">
        <w:rPr>
          <w:rFonts w:ascii="Calibri" w:eastAsia="Times New Roman" w:hAnsi="Calibri" w:cs="Calibri"/>
          <w:color w:val="000000" w:themeColor="text1"/>
          <w:lang w:eastAsia="en-GB"/>
        </w:rPr>
        <w:t xml:space="preserve"> </w:t>
      </w:r>
      <w:r w:rsidR="00FC70A4" w:rsidRPr="00C801EF">
        <w:rPr>
          <w:rFonts w:ascii="Calibri" w:eastAsia="Times New Roman" w:hAnsi="Calibri" w:cs="Calibri"/>
          <w:color w:val="000000" w:themeColor="text1"/>
          <w:lang w:eastAsia="en-GB"/>
        </w:rPr>
        <w:t>S</w:t>
      </w:r>
      <w:r w:rsidR="00A7796F" w:rsidRPr="00C801EF">
        <w:rPr>
          <w:rFonts w:ascii="Calibri" w:eastAsia="Times New Roman" w:hAnsi="Calibri" w:cs="Calibri"/>
          <w:color w:val="000000" w:themeColor="text1"/>
          <w:lang w:eastAsia="en-GB"/>
        </w:rPr>
        <w:t>enior judges that are members of the Supreme court are expected to maintain the highest standards which are set by the appellate committee</w:t>
      </w:r>
      <w:r w:rsidR="00FC70A4" w:rsidRPr="00C801EF">
        <w:rPr>
          <w:rFonts w:ascii="Calibri" w:eastAsia="Times New Roman" w:hAnsi="Calibri" w:cs="Calibri"/>
          <w:color w:val="000000" w:themeColor="text1"/>
          <w:lang w:eastAsia="en-GB"/>
        </w:rPr>
        <w:t xml:space="preserve">, the introduction of the Supreme Court has been undoubtably vital to the operation of the independence of the judiciary. </w:t>
      </w:r>
    </w:p>
    <w:p w14:paraId="56D5A148" w14:textId="16EB8F00" w:rsidR="00186A55" w:rsidRPr="00C801EF" w:rsidRDefault="007C30BD"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Moreover</w:t>
      </w:r>
      <w:r w:rsidR="00186A55" w:rsidRPr="00C801EF">
        <w:rPr>
          <w:rFonts w:ascii="Calibri" w:eastAsia="Times New Roman" w:hAnsi="Calibri" w:cs="Calibri"/>
          <w:color w:val="000000" w:themeColor="text1"/>
          <w:lang w:eastAsia="en-GB"/>
        </w:rPr>
        <w:t xml:space="preserve">, it is important to note the purpose of </w:t>
      </w:r>
      <w:r w:rsidR="00E1106D" w:rsidRPr="00C801EF">
        <w:rPr>
          <w:rFonts w:ascii="Calibri" w:eastAsia="Times New Roman" w:hAnsi="Calibri" w:cs="Calibri"/>
          <w:color w:val="000000" w:themeColor="text1"/>
          <w:lang w:eastAsia="en-GB"/>
        </w:rPr>
        <w:t xml:space="preserve">a </w:t>
      </w:r>
      <w:r w:rsidR="00186A55" w:rsidRPr="00C801EF">
        <w:rPr>
          <w:rFonts w:ascii="Calibri" w:eastAsia="Times New Roman" w:hAnsi="Calibri" w:cs="Calibri"/>
          <w:color w:val="000000" w:themeColor="text1"/>
          <w:lang w:eastAsia="en-GB"/>
        </w:rPr>
        <w:t>Judicial review</w:t>
      </w:r>
      <w:r w:rsidR="00E1106D" w:rsidRPr="00C801EF">
        <w:rPr>
          <w:rFonts w:ascii="Calibri" w:eastAsia="Times New Roman" w:hAnsi="Calibri" w:cs="Calibri"/>
          <w:color w:val="000000" w:themeColor="text1"/>
          <w:lang w:eastAsia="en-GB"/>
        </w:rPr>
        <w:t>. T</w:t>
      </w:r>
      <w:r w:rsidR="00C70CBC" w:rsidRPr="00C801EF">
        <w:rPr>
          <w:rFonts w:ascii="Calibri" w:eastAsia="Times New Roman" w:hAnsi="Calibri" w:cs="Calibri"/>
          <w:color w:val="000000" w:themeColor="text1"/>
          <w:lang w:eastAsia="en-GB"/>
        </w:rPr>
        <w:t xml:space="preserve">his allows the Judiciary to hold the Executive accountable </w:t>
      </w:r>
      <w:r w:rsidR="00E1106D" w:rsidRPr="00C801EF">
        <w:rPr>
          <w:rFonts w:ascii="Calibri" w:eastAsia="Times New Roman" w:hAnsi="Calibri" w:cs="Calibri"/>
          <w:color w:val="000000" w:themeColor="text1"/>
          <w:lang w:eastAsia="en-GB"/>
        </w:rPr>
        <w:t>as to</w:t>
      </w:r>
      <w:r w:rsidR="00C70CBC" w:rsidRPr="00C801EF">
        <w:rPr>
          <w:rFonts w:ascii="Calibri" w:eastAsia="Times New Roman" w:hAnsi="Calibri" w:cs="Calibri"/>
          <w:color w:val="000000" w:themeColor="text1"/>
          <w:lang w:eastAsia="en-GB"/>
        </w:rPr>
        <w:t xml:space="preserve"> how their powers have been exercised</w:t>
      </w:r>
      <w:r w:rsidR="00E1106D" w:rsidRPr="00C801EF">
        <w:rPr>
          <w:rFonts w:ascii="Calibri" w:eastAsia="Times New Roman" w:hAnsi="Calibri" w:cs="Calibri"/>
          <w:color w:val="000000" w:themeColor="text1"/>
          <w:lang w:eastAsia="en-GB"/>
        </w:rPr>
        <w:t xml:space="preserve"> and whether this has been done</w:t>
      </w:r>
      <w:r w:rsidR="00C70CBC" w:rsidRPr="00C801EF">
        <w:rPr>
          <w:rFonts w:ascii="Calibri" w:eastAsia="Times New Roman" w:hAnsi="Calibri" w:cs="Calibri"/>
          <w:color w:val="000000" w:themeColor="text1"/>
          <w:lang w:eastAsia="en-GB"/>
        </w:rPr>
        <w:t xml:space="preserve"> in</w:t>
      </w:r>
      <w:r w:rsidR="00E1106D" w:rsidRPr="00C801EF">
        <w:rPr>
          <w:rFonts w:ascii="Calibri" w:eastAsia="Times New Roman" w:hAnsi="Calibri" w:cs="Calibri"/>
          <w:color w:val="000000" w:themeColor="text1"/>
          <w:lang w:eastAsia="en-GB"/>
        </w:rPr>
        <w:t xml:space="preserve"> an</w:t>
      </w:r>
      <w:r w:rsidR="00C70CBC" w:rsidRPr="00C801EF">
        <w:rPr>
          <w:rFonts w:ascii="Calibri" w:eastAsia="Times New Roman" w:hAnsi="Calibri" w:cs="Calibri"/>
          <w:color w:val="000000" w:themeColor="text1"/>
          <w:lang w:eastAsia="en-GB"/>
        </w:rPr>
        <w:t xml:space="preserve"> appropriate and intentional manner</w:t>
      </w:r>
      <w:r w:rsidR="00186A55" w:rsidRPr="00C801EF">
        <w:rPr>
          <w:rFonts w:ascii="Calibri" w:eastAsia="Times New Roman" w:hAnsi="Calibri" w:cs="Calibri"/>
          <w:color w:val="000000" w:themeColor="text1"/>
          <w:lang w:eastAsia="en-GB"/>
        </w:rPr>
        <w:t xml:space="preserve">. Judicial review is in place to allow </w:t>
      </w:r>
      <w:r w:rsidR="00EA03CE" w:rsidRPr="00C801EF">
        <w:rPr>
          <w:rFonts w:ascii="Calibri" w:eastAsia="Times New Roman" w:hAnsi="Calibri" w:cs="Calibri"/>
          <w:color w:val="000000" w:themeColor="text1"/>
          <w:lang w:eastAsia="en-GB"/>
        </w:rPr>
        <w:t>an</w:t>
      </w:r>
      <w:r w:rsidR="00186A55" w:rsidRPr="00C801EF">
        <w:rPr>
          <w:rFonts w:ascii="Calibri" w:eastAsia="Times New Roman" w:hAnsi="Calibri" w:cs="Calibri"/>
          <w:color w:val="000000" w:themeColor="text1"/>
          <w:lang w:eastAsia="en-GB"/>
        </w:rPr>
        <w:t xml:space="preserve"> individual</w:t>
      </w:r>
      <w:r w:rsidR="00EA03CE" w:rsidRPr="00C801EF">
        <w:rPr>
          <w:rFonts w:ascii="Calibri" w:eastAsia="Times New Roman" w:hAnsi="Calibri" w:cs="Calibri"/>
          <w:color w:val="000000" w:themeColor="text1"/>
          <w:lang w:eastAsia="en-GB"/>
        </w:rPr>
        <w:t xml:space="preserve"> the right</w:t>
      </w:r>
      <w:r w:rsidR="00186A55" w:rsidRPr="00C801EF">
        <w:rPr>
          <w:rFonts w:ascii="Calibri" w:eastAsia="Times New Roman" w:hAnsi="Calibri" w:cs="Calibri"/>
          <w:color w:val="000000" w:themeColor="text1"/>
          <w:lang w:eastAsia="en-GB"/>
        </w:rPr>
        <w:t xml:space="preserve"> to challenge the way in which a </w:t>
      </w:r>
      <w:r w:rsidR="00AC6887" w:rsidRPr="00C801EF">
        <w:rPr>
          <w:rFonts w:ascii="Calibri" w:eastAsia="Times New Roman" w:hAnsi="Calibri" w:cs="Calibri"/>
          <w:color w:val="000000" w:themeColor="text1"/>
          <w:lang w:eastAsia="en-GB"/>
        </w:rPr>
        <w:t>decision</w:t>
      </w:r>
      <w:r w:rsidR="004455D8" w:rsidRPr="00C801EF">
        <w:rPr>
          <w:rFonts w:ascii="Calibri" w:eastAsia="Times New Roman" w:hAnsi="Calibri" w:cs="Calibri"/>
          <w:color w:val="000000" w:themeColor="text1"/>
          <w:lang w:eastAsia="en-GB"/>
        </w:rPr>
        <w:t xml:space="preserve"> by a public body has been</w:t>
      </w:r>
      <w:r w:rsidR="00186A55" w:rsidRPr="00C801EF">
        <w:rPr>
          <w:rFonts w:ascii="Calibri" w:eastAsia="Times New Roman" w:hAnsi="Calibri" w:cs="Calibri"/>
          <w:color w:val="000000" w:themeColor="text1"/>
          <w:lang w:eastAsia="en-GB"/>
        </w:rPr>
        <w:t xml:space="preserve"> made </w:t>
      </w:r>
      <w:r w:rsidR="00EA03CE" w:rsidRPr="00C801EF">
        <w:rPr>
          <w:rFonts w:ascii="Calibri" w:eastAsia="Times New Roman" w:hAnsi="Calibri" w:cs="Calibri"/>
          <w:color w:val="000000" w:themeColor="text1"/>
          <w:lang w:eastAsia="en-GB"/>
        </w:rPr>
        <w:t>but</w:t>
      </w:r>
      <w:r w:rsidR="00186A55" w:rsidRPr="00C801EF">
        <w:rPr>
          <w:rFonts w:ascii="Calibri" w:eastAsia="Times New Roman" w:hAnsi="Calibri" w:cs="Calibri"/>
          <w:color w:val="000000" w:themeColor="text1"/>
          <w:lang w:eastAsia="en-GB"/>
        </w:rPr>
        <w:t xml:space="preserve"> not necessarily the </w:t>
      </w:r>
      <w:r w:rsidR="00AC6887" w:rsidRPr="00C801EF">
        <w:rPr>
          <w:rFonts w:ascii="Calibri" w:eastAsia="Times New Roman" w:hAnsi="Calibri" w:cs="Calibri"/>
          <w:color w:val="000000" w:themeColor="text1"/>
          <w:lang w:eastAsia="en-GB"/>
        </w:rPr>
        <w:t>decision</w:t>
      </w:r>
      <w:r w:rsidR="00186A55" w:rsidRPr="00C801EF">
        <w:rPr>
          <w:rFonts w:ascii="Calibri" w:eastAsia="Times New Roman" w:hAnsi="Calibri" w:cs="Calibri"/>
          <w:color w:val="000000" w:themeColor="text1"/>
          <w:lang w:eastAsia="en-GB"/>
        </w:rPr>
        <w:t xml:space="preserve"> itself</w:t>
      </w:r>
      <w:r w:rsidR="00AC6887" w:rsidRPr="00C801EF">
        <w:rPr>
          <w:rFonts w:ascii="Calibri" w:eastAsia="Times New Roman" w:hAnsi="Calibri" w:cs="Calibri"/>
          <w:color w:val="000000" w:themeColor="text1"/>
          <w:lang w:eastAsia="en-GB"/>
        </w:rPr>
        <w:t>.</w:t>
      </w:r>
      <w:r w:rsidR="00186A55" w:rsidRPr="00C801EF">
        <w:rPr>
          <w:rFonts w:ascii="Calibri" w:eastAsia="Times New Roman" w:hAnsi="Calibri" w:cs="Calibri"/>
          <w:color w:val="000000" w:themeColor="text1"/>
          <w:lang w:eastAsia="en-GB"/>
        </w:rPr>
        <w:t xml:space="preserve"> This is</w:t>
      </w:r>
      <w:r w:rsidR="00C70CBC" w:rsidRPr="00C801EF">
        <w:rPr>
          <w:rFonts w:ascii="Calibri" w:eastAsia="Times New Roman" w:hAnsi="Calibri" w:cs="Calibri"/>
          <w:color w:val="000000" w:themeColor="text1"/>
          <w:lang w:eastAsia="en-GB"/>
        </w:rPr>
        <w:t xml:space="preserve"> also</w:t>
      </w:r>
      <w:r w:rsidR="00186A55" w:rsidRPr="00C801EF">
        <w:rPr>
          <w:rFonts w:ascii="Calibri" w:eastAsia="Times New Roman" w:hAnsi="Calibri" w:cs="Calibri"/>
          <w:color w:val="000000" w:themeColor="text1"/>
          <w:lang w:eastAsia="en-GB"/>
        </w:rPr>
        <w:t xml:space="preserve"> support</w:t>
      </w:r>
      <w:r w:rsidR="00AC6887" w:rsidRPr="00C801EF">
        <w:rPr>
          <w:rFonts w:ascii="Calibri" w:eastAsia="Times New Roman" w:hAnsi="Calibri" w:cs="Calibri"/>
          <w:color w:val="000000" w:themeColor="text1"/>
          <w:lang w:eastAsia="en-GB"/>
        </w:rPr>
        <w:t xml:space="preserve">ive </w:t>
      </w:r>
      <w:r w:rsidR="00186A55" w:rsidRPr="00C801EF">
        <w:rPr>
          <w:rFonts w:ascii="Calibri" w:eastAsia="Times New Roman" w:hAnsi="Calibri" w:cs="Calibri"/>
          <w:color w:val="000000" w:themeColor="text1"/>
          <w:lang w:eastAsia="en-GB"/>
        </w:rPr>
        <w:t xml:space="preserve">of the </w:t>
      </w:r>
      <w:r w:rsidR="00AC6887" w:rsidRPr="00C801EF">
        <w:rPr>
          <w:rFonts w:ascii="Calibri" w:eastAsia="Times New Roman" w:hAnsi="Calibri" w:cs="Calibri"/>
          <w:color w:val="000000" w:themeColor="text1"/>
          <w:lang w:eastAsia="en-GB"/>
        </w:rPr>
        <w:t>separation of powers as it allows the Judiciary to rule on decisions made by the Executive</w:t>
      </w:r>
      <w:r w:rsidR="00C70CBC" w:rsidRPr="00C801EF">
        <w:rPr>
          <w:rFonts w:ascii="Calibri" w:eastAsia="Times New Roman" w:hAnsi="Calibri" w:cs="Calibri"/>
          <w:color w:val="000000" w:themeColor="text1"/>
          <w:lang w:eastAsia="en-GB"/>
        </w:rPr>
        <w:t xml:space="preserve"> and as only secondary legislation is suitable for Judicial review it also provides a safeguard to ensure that delegated powers are not misused</w:t>
      </w:r>
      <w:r w:rsidR="00902F71">
        <w:rPr>
          <w:rFonts w:ascii="Calibri" w:eastAsia="Times New Roman" w:hAnsi="Calibri" w:cs="Calibri"/>
          <w:color w:val="000000" w:themeColor="text1"/>
          <w:lang w:eastAsia="en-GB"/>
        </w:rPr>
        <w:t xml:space="preserve"> according to Taylor (2019)</w:t>
      </w:r>
      <w:r w:rsidR="00623091" w:rsidRPr="00C801EF">
        <w:rPr>
          <w:rFonts w:ascii="Calibri" w:eastAsia="Times New Roman" w:hAnsi="Calibri" w:cs="Calibri"/>
          <w:color w:val="000000" w:themeColor="text1"/>
          <w:lang w:eastAsia="en-GB"/>
        </w:rPr>
        <w:t>.</w:t>
      </w:r>
      <w:r w:rsidR="00AD6A57" w:rsidRPr="00C801EF">
        <w:rPr>
          <w:rFonts w:ascii="Calibri" w:eastAsia="Times New Roman" w:hAnsi="Calibri" w:cs="Calibri"/>
          <w:color w:val="000000" w:themeColor="text1"/>
          <w:lang w:eastAsia="en-GB"/>
        </w:rPr>
        <w:t xml:space="preserve"> It has been reported that changes could be made within the Judicial review process </w:t>
      </w:r>
      <w:r w:rsidR="004455D8" w:rsidRPr="00C801EF">
        <w:rPr>
          <w:rFonts w:ascii="Calibri" w:eastAsia="Times New Roman" w:hAnsi="Calibri" w:cs="Calibri"/>
          <w:color w:val="000000" w:themeColor="text1"/>
          <w:lang w:eastAsia="en-GB"/>
        </w:rPr>
        <w:t xml:space="preserve">following the result of several </w:t>
      </w:r>
      <w:r w:rsidR="00EA03CE" w:rsidRPr="00C801EF">
        <w:rPr>
          <w:rFonts w:ascii="Calibri" w:eastAsia="Times New Roman" w:hAnsi="Calibri" w:cs="Calibri"/>
          <w:color w:val="000000" w:themeColor="text1"/>
          <w:lang w:eastAsia="en-GB"/>
        </w:rPr>
        <w:t>high-profile</w:t>
      </w:r>
      <w:r w:rsidR="004455D8" w:rsidRPr="00C801EF">
        <w:rPr>
          <w:rFonts w:ascii="Calibri" w:eastAsia="Times New Roman" w:hAnsi="Calibri" w:cs="Calibri"/>
          <w:color w:val="000000" w:themeColor="text1"/>
          <w:lang w:eastAsia="en-GB"/>
        </w:rPr>
        <w:t xml:space="preserve"> cases</w:t>
      </w:r>
      <w:r w:rsidR="006618DE">
        <w:rPr>
          <w:rFonts w:ascii="Calibri" w:eastAsia="Times New Roman" w:hAnsi="Calibri" w:cs="Calibri"/>
          <w:color w:val="000000" w:themeColor="text1"/>
          <w:lang w:eastAsia="en-GB"/>
        </w:rPr>
        <w:t xml:space="preserve"> (Brader, 2020)</w:t>
      </w:r>
      <w:r w:rsidR="00B27B46">
        <w:rPr>
          <w:rFonts w:ascii="Calibri" w:eastAsia="Times New Roman" w:hAnsi="Calibri" w:cs="Calibri"/>
          <w:color w:val="000000" w:themeColor="text1"/>
          <w:lang w:eastAsia="en-GB"/>
        </w:rPr>
        <w:t>. T</w:t>
      </w:r>
      <w:r w:rsidR="00EA03CE" w:rsidRPr="00C801EF">
        <w:rPr>
          <w:rFonts w:ascii="Calibri" w:eastAsia="Times New Roman" w:hAnsi="Calibri" w:cs="Calibri"/>
          <w:color w:val="000000" w:themeColor="text1"/>
          <w:lang w:eastAsia="en-GB"/>
        </w:rPr>
        <w:t>he original purpose of a judicial review has changed over the years there has been concern</w:t>
      </w:r>
      <w:r w:rsidR="00812B2F" w:rsidRPr="00C801EF">
        <w:rPr>
          <w:rFonts w:ascii="Calibri" w:eastAsia="Times New Roman" w:hAnsi="Calibri" w:cs="Calibri"/>
          <w:color w:val="000000" w:themeColor="text1"/>
          <w:lang w:eastAsia="en-GB"/>
        </w:rPr>
        <w:t>s</w:t>
      </w:r>
      <w:r w:rsidR="00EA03CE" w:rsidRPr="00C801EF">
        <w:rPr>
          <w:rFonts w:ascii="Calibri" w:eastAsia="Times New Roman" w:hAnsi="Calibri" w:cs="Calibri"/>
          <w:color w:val="000000" w:themeColor="text1"/>
          <w:lang w:eastAsia="en-GB"/>
        </w:rPr>
        <w:t xml:space="preserve"> outlined as to what the changes could mean for the judicial review process as this is viewed as a vital resource for citizens to hold the state accountable and ensure fair procedures</w:t>
      </w:r>
      <w:r w:rsidR="006618DE">
        <w:rPr>
          <w:rFonts w:ascii="Calibri" w:eastAsia="Times New Roman" w:hAnsi="Calibri" w:cs="Calibri"/>
          <w:color w:val="000000" w:themeColor="text1"/>
          <w:lang w:eastAsia="en-GB"/>
        </w:rPr>
        <w:t xml:space="preserve"> according to </w:t>
      </w:r>
      <w:proofErr w:type="spellStart"/>
      <w:r w:rsidR="006618DE">
        <w:rPr>
          <w:rFonts w:ascii="Calibri" w:eastAsia="Times New Roman" w:hAnsi="Calibri" w:cs="Calibri"/>
          <w:color w:val="000000" w:themeColor="text1"/>
          <w:lang w:eastAsia="en-GB"/>
        </w:rPr>
        <w:t>Hymas</w:t>
      </w:r>
      <w:proofErr w:type="spellEnd"/>
      <w:r w:rsidR="006618DE">
        <w:rPr>
          <w:rFonts w:ascii="Calibri" w:eastAsia="Times New Roman" w:hAnsi="Calibri" w:cs="Calibri"/>
          <w:color w:val="000000" w:themeColor="text1"/>
          <w:lang w:eastAsia="en-GB"/>
        </w:rPr>
        <w:t>, (2020)</w:t>
      </w:r>
      <w:r w:rsidR="00EA03CE" w:rsidRPr="00C801EF">
        <w:rPr>
          <w:rFonts w:ascii="Calibri" w:eastAsia="Times New Roman" w:hAnsi="Calibri" w:cs="Calibri"/>
          <w:color w:val="000000" w:themeColor="text1"/>
          <w:lang w:eastAsia="en-GB"/>
        </w:rPr>
        <w:t xml:space="preserve">. </w:t>
      </w:r>
    </w:p>
    <w:p w14:paraId="6CEA6722" w14:textId="593FED6C" w:rsidR="008B7725" w:rsidRPr="00C801EF" w:rsidRDefault="008B7725"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A central role of the Lord chancellor following the introduction of the Constitutional Reform Act is to ensure that judicial independence is not violated it also states in section 3 of The Constitutional Reform </w:t>
      </w:r>
      <w:r w:rsidR="00D7005A" w:rsidRPr="00C801EF">
        <w:rPr>
          <w:rFonts w:ascii="Calibri" w:eastAsia="Times New Roman" w:hAnsi="Calibri" w:cs="Calibri"/>
          <w:color w:val="000000" w:themeColor="text1"/>
          <w:lang w:eastAsia="en-GB"/>
        </w:rPr>
        <w:t>act that</w:t>
      </w:r>
      <w:r w:rsidRPr="00C801EF">
        <w:rPr>
          <w:rFonts w:ascii="Calibri" w:eastAsia="Times New Roman" w:hAnsi="Calibri" w:cs="Calibri"/>
          <w:color w:val="000000" w:themeColor="text1"/>
          <w:lang w:eastAsia="en-GB"/>
        </w:rPr>
        <w:t xml:space="preserve"> all Ministers have a duty to protect the independence of the </w:t>
      </w:r>
      <w:r w:rsidR="00755147">
        <w:rPr>
          <w:rFonts w:ascii="Calibri" w:eastAsia="Times New Roman" w:hAnsi="Calibri" w:cs="Calibri"/>
          <w:color w:val="000000" w:themeColor="text1"/>
          <w:lang w:eastAsia="en-GB"/>
        </w:rPr>
        <w:t>J</w:t>
      </w:r>
      <w:r w:rsidRPr="00C801EF">
        <w:rPr>
          <w:rFonts w:ascii="Calibri" w:eastAsia="Times New Roman" w:hAnsi="Calibri" w:cs="Calibri"/>
          <w:color w:val="000000" w:themeColor="text1"/>
          <w:lang w:eastAsia="en-GB"/>
        </w:rPr>
        <w:t>udic</w:t>
      </w:r>
      <w:r w:rsidR="00755147">
        <w:rPr>
          <w:rFonts w:ascii="Calibri" w:eastAsia="Times New Roman" w:hAnsi="Calibri" w:cs="Calibri"/>
          <w:color w:val="000000" w:themeColor="text1"/>
          <w:lang w:eastAsia="en-GB"/>
        </w:rPr>
        <w:t>iary</w:t>
      </w:r>
      <w:r w:rsidR="002F0DDC">
        <w:rPr>
          <w:rFonts w:ascii="Calibri" w:eastAsia="Times New Roman" w:hAnsi="Calibri" w:cs="Calibri"/>
          <w:color w:val="000000" w:themeColor="text1"/>
          <w:lang w:eastAsia="en-GB"/>
        </w:rPr>
        <w:t xml:space="preserve"> (Parliament. House of Lords, 2007)</w:t>
      </w:r>
      <w:r w:rsidR="00D7005A">
        <w:rPr>
          <w:rFonts w:ascii="Calibri" w:eastAsia="Times New Roman" w:hAnsi="Calibri" w:cs="Calibri"/>
          <w:color w:val="000000" w:themeColor="text1"/>
          <w:lang w:eastAsia="en-GB"/>
        </w:rPr>
        <w:t>.</w:t>
      </w:r>
      <w:r w:rsidRPr="00C801EF">
        <w:rPr>
          <w:rFonts w:ascii="Calibri" w:eastAsia="Times New Roman" w:hAnsi="Calibri" w:cs="Calibri"/>
          <w:color w:val="000000" w:themeColor="text1"/>
          <w:lang w:eastAsia="en-GB"/>
        </w:rPr>
        <w:t xml:space="preserve"> </w:t>
      </w:r>
      <w:r w:rsidR="00D7005A">
        <w:rPr>
          <w:rFonts w:ascii="Calibri" w:eastAsia="Times New Roman" w:hAnsi="Calibri" w:cs="Calibri"/>
          <w:color w:val="000000" w:themeColor="text1"/>
          <w:lang w:eastAsia="en-GB"/>
        </w:rPr>
        <w:t>D</w:t>
      </w:r>
      <w:r w:rsidRPr="00C801EF">
        <w:rPr>
          <w:rFonts w:ascii="Calibri" w:eastAsia="Times New Roman" w:hAnsi="Calibri" w:cs="Calibri"/>
          <w:color w:val="000000" w:themeColor="text1"/>
          <w:lang w:eastAsia="en-GB"/>
        </w:rPr>
        <w:t xml:space="preserve">espite this being written within the </w:t>
      </w:r>
      <w:r w:rsidRPr="00C801EF">
        <w:rPr>
          <w:rFonts w:ascii="Calibri" w:eastAsia="Times New Roman" w:hAnsi="Calibri" w:cs="Calibri"/>
          <w:color w:val="000000" w:themeColor="text1"/>
          <w:lang w:eastAsia="en-GB"/>
        </w:rPr>
        <w:lastRenderedPageBreak/>
        <w:t xml:space="preserve">constitutional reform act there have been instances that have seen members of the Judiciary be publicly criticized by </w:t>
      </w:r>
      <w:r w:rsidRPr="002F0DDC">
        <w:rPr>
          <w:rFonts w:ascii="Calibri" w:eastAsia="Times New Roman" w:hAnsi="Calibri" w:cs="Calibri"/>
          <w:color w:val="000000" w:themeColor="text1"/>
          <w:lang w:eastAsia="en-GB"/>
        </w:rPr>
        <w:t xml:space="preserve">Ministers </w:t>
      </w:r>
      <w:r w:rsidR="002F0DDC" w:rsidRPr="002F0DDC">
        <w:rPr>
          <w:rFonts w:ascii="Calibri" w:eastAsia="Times New Roman" w:hAnsi="Calibri" w:cs="Calibri"/>
          <w:color w:val="000000" w:themeColor="text1"/>
          <w:lang w:eastAsia="en-GB"/>
        </w:rPr>
        <w:t>(Johnson, 2013).</w:t>
      </w:r>
      <w:r w:rsidRPr="002F0DDC">
        <w:rPr>
          <w:rFonts w:ascii="Calibri" w:eastAsia="Times New Roman" w:hAnsi="Calibri" w:cs="Calibri"/>
          <w:color w:val="000000" w:themeColor="text1"/>
          <w:lang w:eastAsia="en-GB"/>
        </w:rPr>
        <w:t xml:space="preserve"> </w:t>
      </w:r>
      <w:r w:rsidR="00D7005A">
        <w:rPr>
          <w:rFonts w:ascii="Calibri" w:eastAsia="Times New Roman" w:hAnsi="Calibri" w:cs="Calibri"/>
          <w:color w:val="000000" w:themeColor="text1"/>
          <w:lang w:eastAsia="en-GB"/>
        </w:rPr>
        <w:t>T</w:t>
      </w:r>
      <w:r w:rsidRPr="00C801EF">
        <w:rPr>
          <w:rFonts w:ascii="Calibri" w:eastAsia="Times New Roman" w:hAnsi="Calibri" w:cs="Calibri"/>
          <w:color w:val="000000" w:themeColor="text1"/>
          <w:lang w:eastAsia="en-GB"/>
        </w:rPr>
        <w:t>his could be viewed as a threat to their independence and could strain the relationship between the Judiciary, Legislature and the Executive, particularly when an overlap of powers exists this could be concerning for all especially when it is done publicly</w:t>
      </w:r>
    </w:p>
    <w:p w14:paraId="42571112" w14:textId="2D4DAC79" w:rsidR="008B7725" w:rsidRPr="00C801EF" w:rsidRDefault="00934B10"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The Lord Chancellor </w:t>
      </w:r>
      <w:r w:rsidR="00E56703" w:rsidRPr="00C801EF">
        <w:rPr>
          <w:rFonts w:ascii="Calibri" w:eastAsia="Times New Roman" w:hAnsi="Calibri" w:cs="Calibri"/>
          <w:color w:val="000000" w:themeColor="text1"/>
          <w:lang w:eastAsia="en-GB"/>
        </w:rPr>
        <w:t>retained his role as a</w:t>
      </w:r>
      <w:r w:rsidR="00D465DD" w:rsidRPr="00C801EF">
        <w:rPr>
          <w:rFonts w:ascii="Calibri" w:eastAsia="Times New Roman" w:hAnsi="Calibri" w:cs="Calibri"/>
          <w:color w:val="000000" w:themeColor="text1"/>
          <w:lang w:eastAsia="en-GB"/>
        </w:rPr>
        <w:t xml:space="preserve"> senior member of the cabinet and they head the Ministry of Justice as the Secretary of State for justice, this is where </w:t>
      </w:r>
      <w:r w:rsidR="00CD1C1B">
        <w:rPr>
          <w:rFonts w:ascii="Calibri" w:eastAsia="Times New Roman" w:hAnsi="Calibri" w:cs="Calibri"/>
          <w:color w:val="000000" w:themeColor="text1"/>
          <w:lang w:eastAsia="en-GB"/>
        </w:rPr>
        <w:t xml:space="preserve">it could be argued that </w:t>
      </w:r>
      <w:r w:rsidR="00D465DD" w:rsidRPr="00C801EF">
        <w:rPr>
          <w:rFonts w:ascii="Calibri" w:eastAsia="Times New Roman" w:hAnsi="Calibri" w:cs="Calibri"/>
          <w:color w:val="000000" w:themeColor="text1"/>
          <w:lang w:eastAsia="en-GB"/>
        </w:rPr>
        <w:t xml:space="preserve">the idea of a separation of powers </w:t>
      </w:r>
      <w:r w:rsidR="0069159E" w:rsidRPr="00C801EF">
        <w:rPr>
          <w:rFonts w:ascii="Calibri" w:eastAsia="Times New Roman" w:hAnsi="Calibri" w:cs="Calibri"/>
          <w:color w:val="000000" w:themeColor="text1"/>
          <w:lang w:eastAsia="en-GB"/>
        </w:rPr>
        <w:t xml:space="preserve">becomes unclear as </w:t>
      </w:r>
      <w:r w:rsidR="00ED3B24" w:rsidRPr="00C801EF">
        <w:rPr>
          <w:rFonts w:ascii="Calibri" w:eastAsia="Times New Roman" w:hAnsi="Calibri" w:cs="Calibri"/>
          <w:color w:val="000000" w:themeColor="text1"/>
          <w:lang w:eastAsia="en-GB"/>
        </w:rPr>
        <w:t xml:space="preserve">funding for </w:t>
      </w:r>
      <w:r w:rsidR="0069159E" w:rsidRPr="00C801EF">
        <w:rPr>
          <w:rFonts w:ascii="Calibri" w:eastAsia="Times New Roman" w:hAnsi="Calibri" w:cs="Calibri"/>
          <w:color w:val="000000" w:themeColor="text1"/>
          <w:lang w:eastAsia="en-GB"/>
        </w:rPr>
        <w:t xml:space="preserve">the Judiciary </w:t>
      </w:r>
      <w:r w:rsidR="00ED3B24" w:rsidRPr="00C801EF">
        <w:rPr>
          <w:rFonts w:ascii="Calibri" w:eastAsia="Times New Roman" w:hAnsi="Calibri" w:cs="Calibri"/>
          <w:color w:val="000000" w:themeColor="text1"/>
          <w:lang w:eastAsia="en-GB"/>
        </w:rPr>
        <w:t>comes from</w:t>
      </w:r>
      <w:r w:rsidR="0069159E" w:rsidRPr="00C801EF">
        <w:rPr>
          <w:rFonts w:ascii="Calibri" w:eastAsia="Times New Roman" w:hAnsi="Calibri" w:cs="Calibri"/>
          <w:color w:val="000000" w:themeColor="text1"/>
          <w:lang w:eastAsia="en-GB"/>
        </w:rPr>
        <w:t xml:space="preserve"> the </w:t>
      </w:r>
      <w:r w:rsidR="00050796" w:rsidRPr="00C801EF">
        <w:rPr>
          <w:rFonts w:ascii="Calibri" w:eastAsia="Times New Roman" w:hAnsi="Calibri" w:cs="Calibri"/>
          <w:color w:val="000000" w:themeColor="text1"/>
          <w:lang w:eastAsia="en-GB"/>
        </w:rPr>
        <w:t>legislature in the form of the Ministry of Justice</w:t>
      </w:r>
      <w:r w:rsidR="0069159E" w:rsidRPr="00C801EF">
        <w:rPr>
          <w:rFonts w:ascii="Calibri" w:eastAsia="Times New Roman" w:hAnsi="Calibri" w:cs="Calibri"/>
          <w:color w:val="000000" w:themeColor="text1"/>
          <w:lang w:eastAsia="en-GB"/>
        </w:rPr>
        <w:t xml:space="preserve"> so the question could still be asked, </w:t>
      </w:r>
      <w:r w:rsidR="007B2BAD" w:rsidRPr="00C801EF">
        <w:rPr>
          <w:rFonts w:ascii="Calibri" w:eastAsia="Times New Roman" w:hAnsi="Calibri" w:cs="Calibri"/>
          <w:color w:val="000000" w:themeColor="text1"/>
          <w:lang w:eastAsia="en-GB"/>
        </w:rPr>
        <w:t xml:space="preserve">whether </w:t>
      </w:r>
      <w:r w:rsidR="0069159E" w:rsidRPr="00C801EF">
        <w:rPr>
          <w:rFonts w:ascii="Calibri" w:eastAsia="Times New Roman" w:hAnsi="Calibri" w:cs="Calibri"/>
          <w:color w:val="000000" w:themeColor="text1"/>
          <w:lang w:eastAsia="en-GB"/>
        </w:rPr>
        <w:t xml:space="preserve">the Judiciary </w:t>
      </w:r>
      <w:r w:rsidR="007B2BAD" w:rsidRPr="00C801EF">
        <w:rPr>
          <w:rFonts w:ascii="Calibri" w:eastAsia="Times New Roman" w:hAnsi="Calibri" w:cs="Calibri"/>
          <w:color w:val="000000" w:themeColor="text1"/>
          <w:lang w:eastAsia="en-GB"/>
        </w:rPr>
        <w:t xml:space="preserve">are </w:t>
      </w:r>
      <w:r w:rsidR="00ED3B24" w:rsidRPr="00C801EF">
        <w:rPr>
          <w:rFonts w:ascii="Calibri" w:eastAsia="Times New Roman" w:hAnsi="Calibri" w:cs="Calibri"/>
          <w:color w:val="000000" w:themeColor="text1"/>
          <w:lang w:eastAsia="en-GB"/>
        </w:rPr>
        <w:t xml:space="preserve">fully </w:t>
      </w:r>
      <w:r w:rsidR="0069159E" w:rsidRPr="00C801EF">
        <w:rPr>
          <w:rFonts w:ascii="Calibri" w:eastAsia="Times New Roman" w:hAnsi="Calibri" w:cs="Calibri"/>
          <w:color w:val="000000" w:themeColor="text1"/>
          <w:lang w:eastAsia="en-GB"/>
        </w:rPr>
        <w:t>independent</w:t>
      </w:r>
      <w:r w:rsidR="007D46BE" w:rsidRPr="00C801EF">
        <w:rPr>
          <w:rFonts w:ascii="Calibri" w:eastAsia="Times New Roman" w:hAnsi="Calibri" w:cs="Calibri"/>
          <w:color w:val="000000" w:themeColor="text1"/>
          <w:lang w:eastAsia="en-GB"/>
        </w:rPr>
        <w:t xml:space="preserve"> of the Lord Chancellor</w:t>
      </w:r>
      <w:r w:rsidR="00B45953">
        <w:rPr>
          <w:rFonts w:ascii="Calibri" w:eastAsia="Times New Roman" w:hAnsi="Calibri" w:cs="Calibri"/>
          <w:color w:val="000000" w:themeColor="text1"/>
          <w:lang w:eastAsia="en-GB"/>
        </w:rPr>
        <w:t xml:space="preserve"> (</w:t>
      </w:r>
      <w:proofErr w:type="spellStart"/>
      <w:r w:rsidR="00B45953">
        <w:rPr>
          <w:rFonts w:ascii="Calibri" w:eastAsia="Times New Roman" w:hAnsi="Calibri" w:cs="Calibri"/>
          <w:color w:val="000000" w:themeColor="text1"/>
          <w:lang w:eastAsia="en-GB"/>
        </w:rPr>
        <w:t>Benwell</w:t>
      </w:r>
      <w:proofErr w:type="spellEnd"/>
      <w:r w:rsidR="00B45953">
        <w:rPr>
          <w:rFonts w:ascii="Calibri" w:eastAsia="Times New Roman" w:hAnsi="Calibri" w:cs="Calibri"/>
          <w:color w:val="000000" w:themeColor="text1"/>
          <w:lang w:eastAsia="en-GB"/>
        </w:rPr>
        <w:t xml:space="preserve"> and Gay 2011)</w:t>
      </w:r>
      <w:r w:rsidR="00E9378F">
        <w:rPr>
          <w:rFonts w:ascii="Calibri" w:eastAsia="Times New Roman" w:hAnsi="Calibri" w:cs="Calibri"/>
          <w:color w:val="000000" w:themeColor="text1"/>
          <w:lang w:eastAsia="en-GB"/>
        </w:rPr>
        <w:t>.</w:t>
      </w:r>
      <w:r w:rsidR="00BF5025" w:rsidRPr="00C801EF">
        <w:rPr>
          <w:rFonts w:ascii="Calibri" w:eastAsia="Times New Roman" w:hAnsi="Calibri" w:cs="Calibri"/>
          <w:color w:val="000000" w:themeColor="text1"/>
          <w:lang w:eastAsia="en-GB"/>
        </w:rPr>
        <w:t xml:space="preserve">  </w:t>
      </w:r>
      <w:r w:rsidR="00E9378F">
        <w:rPr>
          <w:rFonts w:ascii="Calibri" w:eastAsia="Times New Roman" w:hAnsi="Calibri" w:cs="Calibri"/>
          <w:color w:val="000000" w:themeColor="text1"/>
          <w:lang w:eastAsia="en-GB"/>
        </w:rPr>
        <w:t>T</w:t>
      </w:r>
      <w:r w:rsidR="005779FF" w:rsidRPr="00C801EF">
        <w:rPr>
          <w:rFonts w:ascii="Calibri" w:eastAsia="Times New Roman" w:hAnsi="Calibri" w:cs="Calibri"/>
          <w:color w:val="000000" w:themeColor="text1"/>
          <w:lang w:eastAsia="en-GB"/>
        </w:rPr>
        <w:t xml:space="preserve">his does also </w:t>
      </w:r>
      <w:r w:rsidR="008B7725" w:rsidRPr="00C801EF">
        <w:rPr>
          <w:rFonts w:ascii="Calibri" w:eastAsia="Times New Roman" w:hAnsi="Calibri" w:cs="Calibri"/>
          <w:color w:val="000000" w:themeColor="text1"/>
          <w:lang w:eastAsia="en-GB"/>
        </w:rPr>
        <w:t xml:space="preserve">raise </w:t>
      </w:r>
      <w:r w:rsidR="00B45953" w:rsidRPr="00C801EF">
        <w:rPr>
          <w:rFonts w:ascii="Calibri" w:eastAsia="Times New Roman" w:hAnsi="Calibri" w:cs="Calibri"/>
          <w:color w:val="000000" w:themeColor="text1"/>
          <w:lang w:eastAsia="en-GB"/>
        </w:rPr>
        <w:t>questions regarding</w:t>
      </w:r>
      <w:r w:rsidR="008B7725" w:rsidRPr="00C801EF">
        <w:rPr>
          <w:rFonts w:ascii="Calibri" w:eastAsia="Times New Roman" w:hAnsi="Calibri" w:cs="Calibri"/>
          <w:color w:val="000000" w:themeColor="text1"/>
          <w:lang w:eastAsia="en-GB"/>
        </w:rPr>
        <w:t xml:space="preserve"> </w:t>
      </w:r>
      <w:r w:rsidR="00BF5025" w:rsidRPr="00C801EF">
        <w:rPr>
          <w:rFonts w:ascii="Calibri" w:eastAsia="Times New Roman" w:hAnsi="Calibri" w:cs="Calibri"/>
          <w:color w:val="000000" w:themeColor="text1"/>
          <w:lang w:eastAsia="en-GB"/>
        </w:rPr>
        <w:t>the</w:t>
      </w:r>
      <w:r w:rsidR="008B7725" w:rsidRPr="00C801EF">
        <w:rPr>
          <w:rFonts w:ascii="Calibri" w:eastAsia="Times New Roman" w:hAnsi="Calibri" w:cs="Calibri"/>
          <w:color w:val="000000" w:themeColor="text1"/>
          <w:lang w:eastAsia="en-GB"/>
        </w:rPr>
        <w:t xml:space="preserve"> position this leaves </w:t>
      </w:r>
      <w:r w:rsidR="00B45953" w:rsidRPr="00C801EF">
        <w:rPr>
          <w:rFonts w:ascii="Calibri" w:eastAsia="Times New Roman" w:hAnsi="Calibri" w:cs="Calibri"/>
          <w:color w:val="000000" w:themeColor="text1"/>
          <w:lang w:eastAsia="en-GB"/>
        </w:rPr>
        <w:t>the Judiciary in</w:t>
      </w:r>
      <w:r w:rsidR="00BF5025" w:rsidRPr="00C801EF">
        <w:rPr>
          <w:rFonts w:ascii="Calibri" w:eastAsia="Times New Roman" w:hAnsi="Calibri" w:cs="Calibri"/>
          <w:color w:val="000000" w:themeColor="text1"/>
          <w:lang w:eastAsia="en-GB"/>
        </w:rPr>
        <w:t xml:space="preserve"> as the Ministry of Justice also fund the prison services, </w:t>
      </w:r>
      <w:r w:rsidR="00E56703" w:rsidRPr="00C801EF">
        <w:rPr>
          <w:rFonts w:ascii="Calibri" w:eastAsia="Times New Roman" w:hAnsi="Calibri" w:cs="Calibri"/>
          <w:color w:val="000000" w:themeColor="text1"/>
          <w:lang w:eastAsia="en-GB"/>
        </w:rPr>
        <w:t>this may cause a</w:t>
      </w:r>
      <w:r w:rsidR="006B5DD5" w:rsidRPr="00C801EF">
        <w:rPr>
          <w:rFonts w:ascii="Calibri" w:eastAsia="Times New Roman" w:hAnsi="Calibri" w:cs="Calibri"/>
          <w:color w:val="000000" w:themeColor="text1"/>
          <w:lang w:eastAsia="en-GB"/>
        </w:rPr>
        <w:t xml:space="preserve"> conflict </w:t>
      </w:r>
      <w:r w:rsidR="007B2BAD" w:rsidRPr="00C801EF">
        <w:rPr>
          <w:rFonts w:ascii="Calibri" w:eastAsia="Times New Roman" w:hAnsi="Calibri" w:cs="Calibri"/>
          <w:color w:val="000000" w:themeColor="text1"/>
          <w:lang w:eastAsia="en-GB"/>
        </w:rPr>
        <w:t>of</w:t>
      </w:r>
      <w:r w:rsidR="006B5DD5" w:rsidRPr="00C801EF">
        <w:rPr>
          <w:rFonts w:ascii="Calibri" w:eastAsia="Times New Roman" w:hAnsi="Calibri" w:cs="Calibri"/>
          <w:color w:val="000000" w:themeColor="text1"/>
          <w:lang w:eastAsia="en-GB"/>
        </w:rPr>
        <w:t xml:space="preserve"> interest </w:t>
      </w:r>
      <w:r w:rsidR="00E56703" w:rsidRPr="00C801EF">
        <w:rPr>
          <w:rFonts w:ascii="Calibri" w:eastAsia="Times New Roman" w:hAnsi="Calibri" w:cs="Calibri"/>
          <w:color w:val="000000" w:themeColor="text1"/>
          <w:lang w:eastAsia="en-GB"/>
        </w:rPr>
        <w:t>and could</w:t>
      </w:r>
      <w:r w:rsidR="00BF5025" w:rsidRPr="00C801EF">
        <w:rPr>
          <w:rFonts w:ascii="Calibri" w:eastAsia="Times New Roman" w:hAnsi="Calibri" w:cs="Calibri"/>
          <w:color w:val="000000" w:themeColor="text1"/>
          <w:lang w:eastAsia="en-GB"/>
        </w:rPr>
        <w:t xml:space="preserve"> result in </w:t>
      </w:r>
      <w:r w:rsidR="00FC6C83" w:rsidRPr="00C801EF">
        <w:rPr>
          <w:rFonts w:ascii="Calibri" w:eastAsia="Times New Roman" w:hAnsi="Calibri" w:cs="Calibri"/>
          <w:color w:val="000000" w:themeColor="text1"/>
          <w:lang w:eastAsia="en-GB"/>
        </w:rPr>
        <w:t>inappropriate sentences</w:t>
      </w:r>
      <w:r w:rsidR="00BF5025" w:rsidRPr="00C801EF">
        <w:rPr>
          <w:rFonts w:ascii="Calibri" w:eastAsia="Times New Roman" w:hAnsi="Calibri" w:cs="Calibri"/>
          <w:color w:val="000000" w:themeColor="text1"/>
          <w:lang w:eastAsia="en-GB"/>
        </w:rPr>
        <w:t xml:space="preserve"> from the </w:t>
      </w:r>
      <w:r w:rsidR="00FC6C83" w:rsidRPr="00C801EF">
        <w:rPr>
          <w:rFonts w:ascii="Calibri" w:eastAsia="Times New Roman" w:hAnsi="Calibri" w:cs="Calibri"/>
          <w:color w:val="000000" w:themeColor="text1"/>
          <w:lang w:eastAsia="en-GB"/>
        </w:rPr>
        <w:t>J</w:t>
      </w:r>
      <w:r w:rsidR="006B5DD5" w:rsidRPr="00C801EF">
        <w:rPr>
          <w:rFonts w:ascii="Calibri" w:eastAsia="Times New Roman" w:hAnsi="Calibri" w:cs="Calibri"/>
          <w:color w:val="000000" w:themeColor="text1"/>
          <w:lang w:eastAsia="en-GB"/>
        </w:rPr>
        <w:t>udiciary</w:t>
      </w:r>
      <w:r w:rsidR="00E56703" w:rsidRPr="00C801EF">
        <w:rPr>
          <w:rFonts w:ascii="Calibri" w:eastAsia="Times New Roman" w:hAnsi="Calibri" w:cs="Calibri"/>
          <w:color w:val="000000" w:themeColor="text1"/>
          <w:lang w:eastAsia="en-GB"/>
        </w:rPr>
        <w:t>.</w:t>
      </w:r>
      <w:r w:rsidR="007B2BAD" w:rsidRPr="00C801EF">
        <w:rPr>
          <w:rFonts w:ascii="Calibri" w:eastAsia="Times New Roman" w:hAnsi="Calibri" w:cs="Calibri"/>
          <w:color w:val="000000" w:themeColor="text1"/>
          <w:lang w:eastAsia="en-GB"/>
        </w:rPr>
        <w:t xml:space="preserve"> </w:t>
      </w:r>
      <w:r w:rsidR="008E6D35">
        <w:rPr>
          <w:rFonts w:ascii="Calibri" w:eastAsia="Times New Roman" w:hAnsi="Calibri" w:cs="Calibri"/>
          <w:color w:val="000000" w:themeColor="text1"/>
          <w:lang w:eastAsia="en-GB"/>
        </w:rPr>
        <w:t>Phillips (2007)</w:t>
      </w:r>
      <w:r w:rsidR="00E56703" w:rsidRPr="00C801EF">
        <w:rPr>
          <w:rFonts w:ascii="Calibri" w:eastAsia="Times New Roman" w:hAnsi="Calibri" w:cs="Calibri"/>
          <w:color w:val="000000" w:themeColor="text1"/>
          <w:lang w:eastAsia="en-GB"/>
        </w:rPr>
        <w:t xml:space="preserve"> argued that i</w:t>
      </w:r>
      <w:r w:rsidR="007B2BAD" w:rsidRPr="00C801EF">
        <w:rPr>
          <w:rFonts w:ascii="Calibri" w:eastAsia="Times New Roman" w:hAnsi="Calibri" w:cs="Calibri"/>
          <w:color w:val="000000" w:themeColor="text1"/>
          <w:lang w:eastAsia="en-GB"/>
        </w:rPr>
        <w:t>f the prison service</w:t>
      </w:r>
      <w:r w:rsidR="00E1106D" w:rsidRPr="00C801EF">
        <w:rPr>
          <w:rFonts w:ascii="Calibri" w:eastAsia="Times New Roman" w:hAnsi="Calibri" w:cs="Calibri"/>
          <w:color w:val="000000" w:themeColor="text1"/>
          <w:lang w:eastAsia="en-GB"/>
        </w:rPr>
        <w:t>s are</w:t>
      </w:r>
      <w:r w:rsidR="007B2BAD" w:rsidRPr="00C801EF">
        <w:rPr>
          <w:rFonts w:ascii="Calibri" w:eastAsia="Times New Roman" w:hAnsi="Calibri" w:cs="Calibri"/>
          <w:color w:val="000000" w:themeColor="text1"/>
          <w:lang w:eastAsia="en-GB"/>
        </w:rPr>
        <w:t xml:space="preserve"> lacking funding it </w:t>
      </w:r>
      <w:r w:rsidR="008565BF">
        <w:rPr>
          <w:rFonts w:ascii="Calibri" w:eastAsia="Times New Roman" w:hAnsi="Calibri" w:cs="Calibri"/>
          <w:color w:val="000000" w:themeColor="text1"/>
          <w:lang w:eastAsia="en-GB"/>
        </w:rPr>
        <w:t>may</w:t>
      </w:r>
      <w:r w:rsidR="007B2BAD" w:rsidRPr="00C801EF">
        <w:rPr>
          <w:rFonts w:ascii="Calibri" w:eastAsia="Times New Roman" w:hAnsi="Calibri" w:cs="Calibri"/>
          <w:color w:val="000000" w:themeColor="text1"/>
          <w:lang w:eastAsia="en-GB"/>
        </w:rPr>
        <w:t xml:space="preserve"> result in fewer resources for the Judiciary</w:t>
      </w:r>
      <w:r w:rsidR="00755147">
        <w:rPr>
          <w:rFonts w:ascii="Calibri" w:eastAsia="Times New Roman" w:hAnsi="Calibri" w:cs="Calibri"/>
          <w:color w:val="000000" w:themeColor="text1"/>
          <w:lang w:eastAsia="en-GB"/>
        </w:rPr>
        <w:t>.</w:t>
      </w:r>
      <w:r w:rsidR="003E2E83" w:rsidRPr="00C801EF">
        <w:rPr>
          <w:rFonts w:ascii="Calibri" w:eastAsia="Times New Roman" w:hAnsi="Calibri" w:cs="Calibri"/>
          <w:color w:val="000000" w:themeColor="text1"/>
          <w:lang w:eastAsia="en-GB"/>
        </w:rPr>
        <w:t xml:space="preserve"> </w:t>
      </w:r>
      <w:r w:rsidR="00755147">
        <w:rPr>
          <w:rFonts w:ascii="Calibri" w:eastAsia="Times New Roman" w:hAnsi="Calibri" w:cs="Calibri"/>
          <w:color w:val="000000" w:themeColor="text1"/>
          <w:lang w:eastAsia="en-GB"/>
        </w:rPr>
        <w:t>D</w:t>
      </w:r>
      <w:r w:rsidR="00FC6C83" w:rsidRPr="00C801EF">
        <w:rPr>
          <w:rFonts w:ascii="Calibri" w:eastAsia="Times New Roman" w:hAnsi="Calibri" w:cs="Calibri"/>
          <w:color w:val="000000" w:themeColor="text1"/>
          <w:lang w:eastAsia="en-GB"/>
        </w:rPr>
        <w:t>uring the implementation of the changes brought in by the Constitutional Reform Act 2005 t</w:t>
      </w:r>
      <w:r w:rsidR="003E2E83" w:rsidRPr="00C801EF">
        <w:rPr>
          <w:rFonts w:ascii="Calibri" w:eastAsia="Times New Roman" w:hAnsi="Calibri" w:cs="Calibri"/>
          <w:color w:val="000000" w:themeColor="text1"/>
          <w:lang w:eastAsia="en-GB"/>
        </w:rPr>
        <w:t xml:space="preserve">his topic has seen some media </w:t>
      </w:r>
      <w:r w:rsidR="008E6D35" w:rsidRPr="00C801EF">
        <w:rPr>
          <w:rFonts w:ascii="Calibri" w:eastAsia="Times New Roman" w:hAnsi="Calibri" w:cs="Calibri"/>
          <w:color w:val="000000" w:themeColor="text1"/>
          <w:lang w:eastAsia="en-GB"/>
        </w:rPr>
        <w:t>attention highlighting</w:t>
      </w:r>
      <w:r w:rsidR="00FC6C83" w:rsidRPr="00C801EF">
        <w:rPr>
          <w:rFonts w:ascii="Calibri" w:eastAsia="Times New Roman" w:hAnsi="Calibri" w:cs="Calibri"/>
          <w:color w:val="000000" w:themeColor="text1"/>
          <w:lang w:eastAsia="en-GB"/>
        </w:rPr>
        <w:t xml:space="preserve"> such concerns</w:t>
      </w:r>
      <w:r w:rsidR="008E6D35">
        <w:rPr>
          <w:rFonts w:ascii="Calibri" w:eastAsia="Times New Roman" w:hAnsi="Calibri" w:cs="Calibri"/>
          <w:color w:val="000000" w:themeColor="text1"/>
          <w:lang w:eastAsia="en-GB"/>
        </w:rPr>
        <w:t xml:space="preserve"> (</w:t>
      </w:r>
      <w:proofErr w:type="spellStart"/>
      <w:r w:rsidR="008E6D35">
        <w:rPr>
          <w:rFonts w:ascii="Calibri" w:eastAsia="Times New Roman" w:hAnsi="Calibri" w:cs="Calibri"/>
          <w:color w:val="000000" w:themeColor="text1"/>
          <w:lang w:eastAsia="en-GB"/>
        </w:rPr>
        <w:t>Rozenburg</w:t>
      </w:r>
      <w:proofErr w:type="spellEnd"/>
      <w:r w:rsidR="008E6D35">
        <w:rPr>
          <w:rFonts w:ascii="Calibri" w:eastAsia="Times New Roman" w:hAnsi="Calibri" w:cs="Calibri"/>
          <w:color w:val="000000" w:themeColor="text1"/>
          <w:lang w:eastAsia="en-GB"/>
        </w:rPr>
        <w:t>, 2007)</w:t>
      </w:r>
      <w:r w:rsidR="00FC6C83" w:rsidRPr="00C801EF">
        <w:rPr>
          <w:rFonts w:ascii="Calibri" w:eastAsia="Times New Roman" w:hAnsi="Calibri" w:cs="Calibri"/>
          <w:color w:val="000000" w:themeColor="text1"/>
          <w:lang w:eastAsia="en-GB"/>
        </w:rPr>
        <w:t>.</w:t>
      </w:r>
      <w:r w:rsidR="00E56703" w:rsidRPr="00C801EF">
        <w:rPr>
          <w:rFonts w:ascii="Calibri" w:eastAsia="Times New Roman" w:hAnsi="Calibri" w:cs="Calibri"/>
          <w:color w:val="000000" w:themeColor="text1"/>
          <w:lang w:eastAsia="en-GB"/>
        </w:rPr>
        <w:t xml:space="preserve"> </w:t>
      </w:r>
    </w:p>
    <w:p w14:paraId="0FE78326" w14:textId="734FC3EC" w:rsidR="0057648C" w:rsidRPr="00C801EF" w:rsidRDefault="00755147"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It could be argued that this causes</w:t>
      </w:r>
      <w:r w:rsidR="00E56703" w:rsidRPr="00C801EF">
        <w:rPr>
          <w:rFonts w:ascii="Calibri" w:eastAsia="Times New Roman" w:hAnsi="Calibri" w:cs="Calibri"/>
          <w:color w:val="000000" w:themeColor="text1"/>
          <w:lang w:eastAsia="en-GB"/>
        </w:rPr>
        <w:t xml:space="preserve"> a significant overlap and raises questions whether the Judiciary are free to exercise their Judicial duties without external pressures</w:t>
      </w:r>
      <w:r w:rsidR="00623091" w:rsidRPr="00C801EF">
        <w:rPr>
          <w:rFonts w:ascii="Calibri" w:eastAsia="Times New Roman" w:hAnsi="Calibri" w:cs="Calibri"/>
          <w:color w:val="000000" w:themeColor="text1"/>
          <w:lang w:eastAsia="en-GB"/>
        </w:rPr>
        <w:t xml:space="preserve"> and in doing so contradicts the changes made by the Constitutional Reform Act 2005. It </w:t>
      </w:r>
      <w:r w:rsidR="00C801EF" w:rsidRPr="00C801EF">
        <w:rPr>
          <w:rFonts w:ascii="Calibri" w:eastAsia="Times New Roman" w:hAnsi="Calibri" w:cs="Calibri"/>
          <w:color w:val="000000" w:themeColor="text1"/>
          <w:lang w:eastAsia="en-GB"/>
        </w:rPr>
        <w:t>could</w:t>
      </w:r>
      <w:r w:rsidR="00623091" w:rsidRPr="00C801EF">
        <w:rPr>
          <w:rFonts w:ascii="Calibri" w:eastAsia="Times New Roman" w:hAnsi="Calibri" w:cs="Calibri"/>
          <w:color w:val="000000" w:themeColor="text1"/>
          <w:lang w:eastAsia="en-GB"/>
        </w:rPr>
        <w:t xml:space="preserve"> be </w:t>
      </w:r>
      <w:r w:rsidR="008B7725" w:rsidRPr="00C801EF">
        <w:rPr>
          <w:rFonts w:ascii="Calibri" w:eastAsia="Times New Roman" w:hAnsi="Calibri" w:cs="Calibri"/>
          <w:color w:val="000000" w:themeColor="text1"/>
          <w:lang w:eastAsia="en-GB"/>
        </w:rPr>
        <w:t xml:space="preserve">a </w:t>
      </w:r>
      <w:r w:rsidR="00623091" w:rsidRPr="00C801EF">
        <w:rPr>
          <w:rFonts w:ascii="Calibri" w:eastAsia="Times New Roman" w:hAnsi="Calibri" w:cs="Calibri"/>
          <w:color w:val="000000" w:themeColor="text1"/>
          <w:lang w:eastAsia="en-GB"/>
        </w:rPr>
        <w:t xml:space="preserve">fair judgement to be concerned with the overlap that still remains despite the positive changes brought in by the Constitutional Reform Act 2005 has enough been done to ensure the Judiciary are free from </w:t>
      </w:r>
      <w:r w:rsidR="001D3BE8" w:rsidRPr="00C801EF">
        <w:rPr>
          <w:rFonts w:ascii="Calibri" w:eastAsia="Times New Roman" w:hAnsi="Calibri" w:cs="Calibri"/>
          <w:color w:val="000000" w:themeColor="text1"/>
          <w:lang w:eastAsia="en-GB"/>
        </w:rPr>
        <w:t>bias.</w:t>
      </w:r>
      <w:r w:rsidR="0057648C" w:rsidRPr="00C801EF">
        <w:rPr>
          <w:rFonts w:ascii="Calibri" w:eastAsia="Times New Roman" w:hAnsi="Calibri" w:cs="Calibri"/>
          <w:color w:val="000000" w:themeColor="text1"/>
          <w:lang w:eastAsia="en-GB"/>
        </w:rPr>
        <w:t xml:space="preserve"> </w:t>
      </w:r>
    </w:p>
    <w:p w14:paraId="27620623" w14:textId="41007FD9" w:rsidR="00513177" w:rsidRDefault="008D3F01"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It could be viewed</w:t>
      </w:r>
      <w:r w:rsidR="00DF4A1D" w:rsidRPr="00C801EF">
        <w:rPr>
          <w:rFonts w:ascii="Calibri" w:eastAsia="Times New Roman" w:hAnsi="Calibri" w:cs="Calibri"/>
          <w:color w:val="000000" w:themeColor="text1"/>
          <w:lang w:eastAsia="en-GB"/>
        </w:rPr>
        <w:t xml:space="preserve"> that the Constitutional reform act 2005</w:t>
      </w:r>
      <w:r w:rsidR="00CD1C1B">
        <w:rPr>
          <w:rFonts w:ascii="Calibri" w:eastAsia="Times New Roman" w:hAnsi="Calibri" w:cs="Calibri"/>
          <w:color w:val="000000" w:themeColor="text1"/>
          <w:lang w:eastAsia="en-GB"/>
        </w:rPr>
        <w:t xml:space="preserve"> has</w:t>
      </w:r>
      <w:r w:rsidR="00DF4A1D" w:rsidRPr="00C801EF">
        <w:rPr>
          <w:rFonts w:ascii="Calibri" w:eastAsia="Times New Roman" w:hAnsi="Calibri" w:cs="Calibri"/>
          <w:color w:val="000000" w:themeColor="text1"/>
          <w:lang w:eastAsia="en-GB"/>
        </w:rPr>
        <w:t xml:space="preserve"> brought in some very positive changes with a big step towards a separation of powers</w:t>
      </w:r>
      <w:r w:rsidR="00C801EF">
        <w:rPr>
          <w:rFonts w:ascii="Calibri" w:eastAsia="Times New Roman" w:hAnsi="Calibri" w:cs="Calibri"/>
          <w:color w:val="000000" w:themeColor="text1"/>
          <w:lang w:eastAsia="en-GB"/>
        </w:rPr>
        <w:t xml:space="preserve"> by re locati</w:t>
      </w:r>
      <w:r w:rsidR="00CD1C1B">
        <w:rPr>
          <w:rFonts w:ascii="Calibri" w:eastAsia="Times New Roman" w:hAnsi="Calibri" w:cs="Calibri"/>
          <w:color w:val="000000" w:themeColor="text1"/>
          <w:lang w:eastAsia="en-GB"/>
        </w:rPr>
        <w:t>ng</w:t>
      </w:r>
      <w:r w:rsidR="00C801EF">
        <w:rPr>
          <w:rFonts w:ascii="Calibri" w:eastAsia="Times New Roman" w:hAnsi="Calibri" w:cs="Calibri"/>
          <w:color w:val="000000" w:themeColor="text1"/>
          <w:lang w:eastAsia="en-GB"/>
        </w:rPr>
        <w:t xml:space="preserve"> senior judges from the House of Lords and creating the Supreme court </w:t>
      </w:r>
      <w:r w:rsidR="00DD05D0">
        <w:rPr>
          <w:rFonts w:ascii="Calibri" w:eastAsia="Times New Roman" w:hAnsi="Calibri" w:cs="Calibri"/>
          <w:color w:val="000000" w:themeColor="text1"/>
          <w:lang w:eastAsia="en-GB"/>
        </w:rPr>
        <w:t>and removing the Lord Chancellor from prior roles that entwined the Executive, Legislature and the Judiciary</w:t>
      </w:r>
      <w:r w:rsidR="00513177">
        <w:rPr>
          <w:rFonts w:ascii="Calibri" w:eastAsia="Times New Roman" w:hAnsi="Calibri" w:cs="Calibri"/>
          <w:color w:val="000000" w:themeColor="text1"/>
          <w:lang w:eastAsia="en-GB"/>
        </w:rPr>
        <w:t>.</w:t>
      </w:r>
      <w:r w:rsidR="00DF4A1D" w:rsidRPr="00C801EF">
        <w:rPr>
          <w:rFonts w:ascii="Calibri" w:eastAsia="Times New Roman" w:hAnsi="Calibri" w:cs="Calibri"/>
          <w:color w:val="000000" w:themeColor="text1"/>
          <w:lang w:eastAsia="en-GB"/>
        </w:rPr>
        <w:t xml:space="preserve"> </w:t>
      </w:r>
      <w:r w:rsidR="00513177">
        <w:rPr>
          <w:rFonts w:ascii="Calibri" w:eastAsia="Times New Roman" w:hAnsi="Calibri" w:cs="Calibri"/>
          <w:color w:val="000000" w:themeColor="text1"/>
          <w:lang w:eastAsia="en-GB"/>
        </w:rPr>
        <w:t>H</w:t>
      </w:r>
      <w:r w:rsidR="00513177" w:rsidRPr="00C801EF">
        <w:rPr>
          <w:rFonts w:ascii="Calibri" w:eastAsia="Times New Roman" w:hAnsi="Calibri" w:cs="Calibri"/>
          <w:color w:val="000000" w:themeColor="text1"/>
          <w:lang w:eastAsia="en-GB"/>
        </w:rPr>
        <w:t>owever,</w:t>
      </w:r>
      <w:r w:rsidR="00DD05D0">
        <w:rPr>
          <w:rFonts w:ascii="Calibri" w:eastAsia="Times New Roman" w:hAnsi="Calibri" w:cs="Calibri"/>
          <w:color w:val="000000" w:themeColor="text1"/>
          <w:lang w:eastAsia="en-GB"/>
        </w:rPr>
        <w:t xml:space="preserve"> with all the changes taken into account</w:t>
      </w:r>
      <w:r w:rsidR="00DF4A1D" w:rsidRPr="00C801EF">
        <w:rPr>
          <w:rFonts w:ascii="Calibri" w:eastAsia="Times New Roman" w:hAnsi="Calibri" w:cs="Calibri"/>
          <w:color w:val="000000" w:themeColor="text1"/>
          <w:lang w:eastAsia="en-GB"/>
        </w:rPr>
        <w:t xml:space="preserve"> it could</w:t>
      </w:r>
      <w:r w:rsidR="00DD05D0">
        <w:rPr>
          <w:rFonts w:ascii="Calibri" w:eastAsia="Times New Roman" w:hAnsi="Calibri" w:cs="Calibri"/>
          <w:color w:val="000000" w:themeColor="text1"/>
          <w:lang w:eastAsia="en-GB"/>
        </w:rPr>
        <w:t xml:space="preserve"> still</w:t>
      </w:r>
      <w:r w:rsidR="00DF4A1D" w:rsidRPr="00C801EF">
        <w:rPr>
          <w:rFonts w:ascii="Calibri" w:eastAsia="Times New Roman" w:hAnsi="Calibri" w:cs="Calibri"/>
          <w:color w:val="000000" w:themeColor="text1"/>
          <w:lang w:eastAsia="en-GB"/>
        </w:rPr>
        <w:t xml:space="preserve"> be </w:t>
      </w:r>
      <w:r w:rsidR="00C801EF">
        <w:rPr>
          <w:rFonts w:ascii="Calibri" w:eastAsia="Times New Roman" w:hAnsi="Calibri" w:cs="Calibri"/>
          <w:color w:val="000000" w:themeColor="text1"/>
          <w:lang w:eastAsia="en-GB"/>
        </w:rPr>
        <w:t>argued</w:t>
      </w:r>
      <w:r w:rsidR="00DF4A1D" w:rsidRPr="00C801EF">
        <w:rPr>
          <w:rFonts w:ascii="Calibri" w:eastAsia="Times New Roman" w:hAnsi="Calibri" w:cs="Calibri"/>
          <w:color w:val="000000" w:themeColor="text1"/>
          <w:lang w:eastAsia="en-GB"/>
        </w:rPr>
        <w:t xml:space="preserve"> </w:t>
      </w:r>
      <w:r w:rsidR="00812B2F" w:rsidRPr="00C801EF">
        <w:rPr>
          <w:rFonts w:ascii="Calibri" w:eastAsia="Times New Roman" w:hAnsi="Calibri" w:cs="Calibri"/>
          <w:color w:val="000000" w:themeColor="text1"/>
          <w:lang w:eastAsia="en-GB"/>
        </w:rPr>
        <w:t xml:space="preserve">that not </w:t>
      </w:r>
      <w:r w:rsidR="00DF4A1D" w:rsidRPr="00C801EF">
        <w:rPr>
          <w:rFonts w:ascii="Calibri" w:eastAsia="Times New Roman" w:hAnsi="Calibri" w:cs="Calibri"/>
          <w:color w:val="000000" w:themeColor="text1"/>
          <w:lang w:eastAsia="en-GB"/>
        </w:rPr>
        <w:t>enough has been done to ensure the overlap is minimal.</w:t>
      </w:r>
      <w:r w:rsidR="00C801EF">
        <w:rPr>
          <w:rFonts w:ascii="Calibri" w:eastAsia="Times New Roman" w:hAnsi="Calibri" w:cs="Calibri"/>
          <w:color w:val="000000" w:themeColor="text1"/>
          <w:lang w:eastAsia="en-GB"/>
        </w:rPr>
        <w:t xml:space="preserve"> </w:t>
      </w:r>
    </w:p>
    <w:p w14:paraId="361D7999" w14:textId="190A1EC1" w:rsidR="00EF1D8A" w:rsidRPr="00C801EF" w:rsidRDefault="00C801EF" w:rsidP="00BF3979">
      <w:pPr>
        <w:shd w:val="clear" w:color="auto" w:fill="FFFFFF"/>
        <w:spacing w:before="100" w:beforeAutospacing="1" w:after="100" w:afterAutospacing="1" w:line="36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lastRenderedPageBreak/>
        <w:t>Some may find it concerning when focusing on funding from the Ministry of Justice</w:t>
      </w:r>
      <w:r w:rsidR="00513177">
        <w:rPr>
          <w:rFonts w:ascii="Calibri" w:eastAsia="Times New Roman" w:hAnsi="Calibri" w:cs="Calibri"/>
          <w:color w:val="000000" w:themeColor="text1"/>
          <w:lang w:eastAsia="en-GB"/>
        </w:rPr>
        <w:t>,</w:t>
      </w:r>
      <w:r w:rsidR="00DD05D0">
        <w:rPr>
          <w:rFonts w:ascii="Calibri" w:eastAsia="Times New Roman" w:hAnsi="Calibri" w:cs="Calibri"/>
          <w:color w:val="000000" w:themeColor="text1"/>
          <w:lang w:eastAsia="en-GB"/>
        </w:rPr>
        <w:t xml:space="preserve"> </w:t>
      </w:r>
      <w:r w:rsidR="00072CFE">
        <w:rPr>
          <w:rFonts w:ascii="Calibri" w:eastAsia="Times New Roman" w:hAnsi="Calibri" w:cs="Calibri"/>
          <w:color w:val="000000" w:themeColor="text1"/>
          <w:lang w:eastAsia="en-GB"/>
        </w:rPr>
        <w:t xml:space="preserve">and </w:t>
      </w:r>
      <w:r>
        <w:rPr>
          <w:rFonts w:ascii="Calibri" w:eastAsia="Times New Roman" w:hAnsi="Calibri" w:cs="Calibri"/>
          <w:color w:val="000000" w:themeColor="text1"/>
          <w:lang w:eastAsia="en-GB"/>
        </w:rPr>
        <w:t xml:space="preserve">the significant overlap that </w:t>
      </w:r>
      <w:r w:rsidR="00072CFE">
        <w:rPr>
          <w:rFonts w:ascii="Calibri" w:eastAsia="Times New Roman" w:hAnsi="Calibri" w:cs="Calibri"/>
          <w:color w:val="000000" w:themeColor="text1"/>
          <w:lang w:eastAsia="en-GB"/>
        </w:rPr>
        <w:t>it has</w:t>
      </w:r>
      <w:r>
        <w:rPr>
          <w:rFonts w:ascii="Calibri" w:eastAsia="Times New Roman" w:hAnsi="Calibri" w:cs="Calibri"/>
          <w:color w:val="000000" w:themeColor="text1"/>
          <w:lang w:eastAsia="en-GB"/>
        </w:rPr>
        <w:t xml:space="preserve"> created</w:t>
      </w:r>
      <w:r w:rsidR="00072CFE">
        <w:rPr>
          <w:rFonts w:ascii="Calibri" w:eastAsia="Times New Roman" w:hAnsi="Calibri" w:cs="Calibri"/>
          <w:color w:val="000000" w:themeColor="text1"/>
          <w:lang w:eastAsia="en-GB"/>
        </w:rPr>
        <w:t xml:space="preserve"> between the Judiciary and the HM Prison service</w:t>
      </w:r>
      <w:r>
        <w:rPr>
          <w:rFonts w:ascii="Calibri" w:eastAsia="Times New Roman" w:hAnsi="Calibri" w:cs="Calibri"/>
          <w:color w:val="000000" w:themeColor="text1"/>
          <w:lang w:eastAsia="en-GB"/>
        </w:rPr>
        <w:t xml:space="preserve">, </w:t>
      </w:r>
      <w:r w:rsidR="00072CFE">
        <w:rPr>
          <w:rFonts w:ascii="Calibri" w:eastAsia="Times New Roman" w:hAnsi="Calibri" w:cs="Calibri"/>
          <w:color w:val="000000" w:themeColor="text1"/>
          <w:lang w:eastAsia="en-GB"/>
        </w:rPr>
        <w:t>especially when</w:t>
      </w:r>
      <w:r>
        <w:rPr>
          <w:rFonts w:ascii="Calibri" w:eastAsia="Times New Roman" w:hAnsi="Calibri" w:cs="Calibri"/>
          <w:color w:val="000000" w:themeColor="text1"/>
          <w:lang w:eastAsia="en-GB"/>
        </w:rPr>
        <w:t xml:space="preserve"> taking into consideration the Lord Chancellors previous and current role. It could be suggested that more should be done to ensure that there is a greater separation of powers by looking into alternative funding or reducing the Lord Chancellors involvement</w:t>
      </w:r>
      <w:r w:rsidR="0090325B">
        <w:rPr>
          <w:rFonts w:ascii="Calibri" w:eastAsia="Times New Roman" w:hAnsi="Calibri" w:cs="Calibri"/>
          <w:color w:val="000000" w:themeColor="text1"/>
          <w:lang w:eastAsia="en-GB"/>
        </w:rPr>
        <w:t xml:space="preserve"> (</w:t>
      </w:r>
      <w:proofErr w:type="spellStart"/>
      <w:r w:rsidR="0090325B">
        <w:rPr>
          <w:rFonts w:ascii="Calibri" w:eastAsia="Times New Roman" w:hAnsi="Calibri" w:cs="Calibri"/>
          <w:color w:val="000000" w:themeColor="text1"/>
          <w:lang w:eastAsia="en-GB"/>
        </w:rPr>
        <w:t>Benwell</w:t>
      </w:r>
      <w:proofErr w:type="spellEnd"/>
      <w:r w:rsidR="0090325B">
        <w:rPr>
          <w:rFonts w:ascii="Calibri" w:eastAsia="Times New Roman" w:hAnsi="Calibri" w:cs="Calibri"/>
          <w:color w:val="000000" w:themeColor="text1"/>
          <w:lang w:eastAsia="en-GB"/>
        </w:rPr>
        <w:t xml:space="preserve"> and Gay 2011)</w:t>
      </w:r>
      <w:r>
        <w:rPr>
          <w:rFonts w:ascii="Calibri" w:eastAsia="Times New Roman" w:hAnsi="Calibri" w:cs="Calibri"/>
          <w:color w:val="000000" w:themeColor="text1"/>
          <w:lang w:eastAsia="en-GB"/>
        </w:rPr>
        <w:t xml:space="preserve">. </w:t>
      </w:r>
      <w:r w:rsidR="00DD05D0">
        <w:rPr>
          <w:rFonts w:ascii="Calibri" w:eastAsia="Times New Roman" w:hAnsi="Calibri" w:cs="Calibri"/>
          <w:color w:val="000000" w:themeColor="text1"/>
          <w:lang w:eastAsia="en-GB"/>
        </w:rPr>
        <w:t xml:space="preserve">Despite the safeguards that have been put in place to reinforce the Separation that does exist, there is some element of trust that is required from the public to ensure that the law is applied is equally and fair. </w:t>
      </w:r>
      <w:r>
        <w:rPr>
          <w:rFonts w:ascii="Calibri" w:eastAsia="Times New Roman" w:hAnsi="Calibri" w:cs="Calibri"/>
          <w:color w:val="000000" w:themeColor="text1"/>
          <w:lang w:eastAsia="en-GB"/>
        </w:rPr>
        <w:t xml:space="preserve"> </w:t>
      </w:r>
    </w:p>
    <w:p w14:paraId="762BBE8A" w14:textId="3F1375B5" w:rsidR="00BF3979" w:rsidRDefault="00BF3979" w:rsidP="00F6743D">
      <w:pPr>
        <w:spacing w:line="360" w:lineRule="auto"/>
      </w:pPr>
    </w:p>
    <w:p w14:paraId="2C3CCB5D" w14:textId="34DA455C" w:rsidR="00264323" w:rsidRDefault="00A565A0" w:rsidP="004B2215">
      <w:pPr>
        <w:shd w:val="clear" w:color="auto" w:fill="FFFFFF"/>
        <w:spacing w:before="100" w:beforeAutospacing="1" w:after="100" w:afterAutospacing="1"/>
        <w:jc w:val="both"/>
        <w:rPr>
          <w:rFonts w:ascii="Calibri" w:eastAsia="Times New Roman" w:hAnsi="Calibri" w:cs="Calibri"/>
          <w:b/>
          <w:bCs/>
          <w:color w:val="000000" w:themeColor="text1"/>
          <w:u w:val="single"/>
          <w:lang w:eastAsia="en-GB"/>
        </w:rPr>
      </w:pPr>
      <w:r w:rsidRPr="00A565A0">
        <w:rPr>
          <w:rFonts w:ascii="Calibri" w:eastAsia="Times New Roman" w:hAnsi="Calibri" w:cs="Calibri"/>
          <w:b/>
          <w:bCs/>
          <w:color w:val="000000" w:themeColor="text1"/>
          <w:u w:val="single"/>
          <w:lang w:eastAsia="en-GB"/>
        </w:rPr>
        <w:t xml:space="preserve">Reference List </w:t>
      </w:r>
    </w:p>
    <w:p w14:paraId="2258A4ED" w14:textId="77777777" w:rsidR="0090325B" w:rsidRDefault="0090325B" w:rsidP="00BD7B6F">
      <w:pPr>
        <w:rPr>
          <w:lang w:val="en-US" w:bidi="en-US"/>
        </w:rPr>
      </w:pPr>
    </w:p>
    <w:p w14:paraId="6808E009" w14:textId="77777777" w:rsidR="0090325B" w:rsidRPr="00A43912" w:rsidRDefault="0090325B" w:rsidP="00A43912">
      <w:pPr>
        <w:rPr>
          <w:rFonts w:ascii="Times New Roman" w:eastAsia="Times New Roman" w:hAnsi="Times New Roman" w:cs="Times New Roman"/>
          <w:lang w:eastAsia="en-GB"/>
        </w:rPr>
      </w:pPr>
      <w:r>
        <w:rPr>
          <w:lang w:val="en-US" w:bidi="en-US"/>
        </w:rPr>
        <w:t>‘Attorney General v. Dallas’ (2012) United Kingdom Supreme Court case</w:t>
      </w:r>
      <w:r w:rsidRPr="00A43912">
        <w:rPr>
          <w:lang w:val="en-US" w:bidi="en-US"/>
        </w:rPr>
        <w:t xml:space="preserve"> </w:t>
      </w:r>
      <w:r w:rsidRPr="00A43912">
        <w:rPr>
          <w:rFonts w:eastAsia="Times New Roman" w:cstheme="minorHAnsi"/>
          <w:color w:val="000000"/>
          <w:lang w:eastAsia="en-GB"/>
        </w:rPr>
        <w:t>CO/10400/2011</w:t>
      </w:r>
      <w:r w:rsidRPr="00A43912">
        <w:rPr>
          <w:rFonts w:eastAsia="Times New Roman" w:cstheme="minorHAnsi"/>
          <w:color w:val="000000"/>
          <w:lang w:eastAsia="en-GB"/>
        </w:rPr>
        <w:t xml:space="preserve">. </w:t>
      </w:r>
      <w:r w:rsidRPr="00A43912">
        <w:rPr>
          <w:rFonts w:eastAsia="Times New Roman" w:cstheme="minorHAnsi"/>
          <w:i/>
          <w:iCs/>
          <w:color w:val="000000"/>
          <w:lang w:eastAsia="en-GB"/>
        </w:rPr>
        <w:t xml:space="preserve">BAILLI. </w:t>
      </w:r>
      <w:r w:rsidRPr="00A43912">
        <w:rPr>
          <w:rFonts w:eastAsia="Times New Roman" w:cstheme="minorHAnsi"/>
          <w:color w:val="000000"/>
          <w:lang w:eastAsia="en-GB"/>
        </w:rPr>
        <w:t>Available at</w:t>
      </w:r>
      <w:r>
        <w:rPr>
          <w:rFonts w:eastAsia="Times New Roman" w:cstheme="minorHAnsi"/>
          <w:color w:val="000000"/>
          <w:lang w:eastAsia="en-GB"/>
        </w:rPr>
        <w:t xml:space="preserve">: </w:t>
      </w:r>
      <w:hyperlink r:id="rId6" w:history="1">
        <w:r w:rsidRPr="009C161F">
          <w:rPr>
            <w:rStyle w:val="Hyperlink"/>
            <w:rFonts w:eastAsia="Times New Roman" w:cstheme="minorHAnsi"/>
            <w:lang w:eastAsia="en-GB"/>
          </w:rPr>
          <w:t>http://www.bailii.org/ew/cases/EWHC/Admin/2012/156.html</w:t>
        </w:r>
      </w:hyperlink>
      <w:r>
        <w:rPr>
          <w:rFonts w:eastAsia="Times New Roman" w:cstheme="minorHAnsi"/>
          <w:color w:val="000000"/>
          <w:lang w:eastAsia="en-GB"/>
        </w:rPr>
        <w:t xml:space="preserve"> (Accessed: 11 November 2020).</w:t>
      </w:r>
    </w:p>
    <w:p w14:paraId="378797C1" w14:textId="48CA2D62" w:rsidR="0090325B" w:rsidRDefault="0090325B" w:rsidP="00BD7B6F">
      <w:pPr>
        <w:rPr>
          <w:lang w:val="en-US" w:bidi="en-US"/>
        </w:rPr>
      </w:pPr>
      <w:r>
        <w:rPr>
          <w:lang w:val="en-US" w:bidi="en-US"/>
        </w:rPr>
        <w:t xml:space="preserve">Available at: </w:t>
      </w:r>
      <w:r w:rsidRPr="00C213EB">
        <w:rPr>
          <w:lang w:val="en-US" w:bidi="en-US"/>
        </w:rPr>
        <w:t>https://publications.parliament.uk/pa/ld200607/ldselect/ldconst/151/15110.htm</w:t>
      </w:r>
      <w:r>
        <w:rPr>
          <w:lang w:val="en-US" w:bidi="en-US"/>
        </w:rPr>
        <w:t xml:space="preserve"> (Accessed: 12 November 2020). </w:t>
      </w:r>
    </w:p>
    <w:p w14:paraId="0F3BE524" w14:textId="77777777" w:rsidR="0090325B" w:rsidRDefault="0090325B" w:rsidP="00BD7B6F">
      <w:pPr>
        <w:rPr>
          <w:lang w:val="en-US" w:bidi="en-US"/>
        </w:rPr>
      </w:pPr>
    </w:p>
    <w:p w14:paraId="67D5A2D3" w14:textId="07D25612" w:rsidR="0090325B" w:rsidRDefault="0090325B" w:rsidP="00BD7B6F">
      <w:pPr>
        <w:rPr>
          <w:lang w:val="en-US" w:bidi="en-US"/>
        </w:rPr>
      </w:pPr>
      <w:r>
        <w:rPr>
          <w:lang w:val="en-US" w:bidi="en-US"/>
        </w:rPr>
        <w:t xml:space="preserve">Bagehot, W. (2009) </w:t>
      </w:r>
      <w:r>
        <w:rPr>
          <w:i/>
          <w:iCs/>
          <w:lang w:val="en-US" w:bidi="en-US"/>
        </w:rPr>
        <w:t xml:space="preserve">The English Constitution. </w:t>
      </w:r>
      <w:r>
        <w:rPr>
          <w:lang w:val="en-US" w:bidi="en-US"/>
        </w:rPr>
        <w:t xml:space="preserve">Rev. </w:t>
      </w:r>
      <w:proofErr w:type="spellStart"/>
      <w:r>
        <w:rPr>
          <w:lang w:val="en-US" w:bidi="en-US"/>
        </w:rPr>
        <w:t>edn</w:t>
      </w:r>
      <w:proofErr w:type="spellEnd"/>
      <w:r>
        <w:rPr>
          <w:lang w:val="en-US" w:bidi="en-US"/>
        </w:rPr>
        <w:t xml:space="preserve">. Oxford: Oxford University Press </w:t>
      </w:r>
    </w:p>
    <w:p w14:paraId="2B3CA8A9" w14:textId="77777777" w:rsidR="0090325B" w:rsidRDefault="0090325B" w:rsidP="00BD7B6F">
      <w:pPr>
        <w:rPr>
          <w:lang w:val="en-US" w:bidi="en-US"/>
        </w:rPr>
      </w:pPr>
    </w:p>
    <w:p w14:paraId="09D45F15" w14:textId="511F371B" w:rsidR="0090325B" w:rsidRDefault="0090325B" w:rsidP="00BD7B6F">
      <w:pPr>
        <w:rPr>
          <w:lang w:val="en-US" w:bidi="en-US"/>
        </w:rPr>
      </w:pPr>
      <w:proofErr w:type="spellStart"/>
      <w:r>
        <w:rPr>
          <w:lang w:val="en-US" w:bidi="en-US"/>
        </w:rPr>
        <w:t>Benwell</w:t>
      </w:r>
      <w:proofErr w:type="spellEnd"/>
      <w:r>
        <w:rPr>
          <w:lang w:val="en-US" w:bidi="en-US"/>
        </w:rPr>
        <w:t xml:space="preserve">, R. and Gay, O. (2011) </w:t>
      </w:r>
      <w:r>
        <w:rPr>
          <w:i/>
          <w:iCs/>
          <w:lang w:val="en-US" w:bidi="en-US"/>
        </w:rPr>
        <w:t xml:space="preserve">The Separation of Powers </w:t>
      </w:r>
      <w:r>
        <w:rPr>
          <w:lang w:val="en-US" w:bidi="en-US"/>
        </w:rPr>
        <w:t xml:space="preserve">(House of Commons Library briefing paper 6053). Available at: </w:t>
      </w:r>
      <w:hyperlink r:id="rId7" w:history="1">
        <w:r w:rsidRPr="009C161F">
          <w:rPr>
            <w:rStyle w:val="Hyperlink"/>
            <w:lang w:val="en-US" w:bidi="en-US"/>
          </w:rPr>
          <w:t>https://commonslibrary.parliament.uk/research-briefings/sn06053/</w:t>
        </w:r>
      </w:hyperlink>
      <w:r>
        <w:rPr>
          <w:lang w:val="en-US" w:bidi="en-US"/>
        </w:rPr>
        <w:t xml:space="preserve"> (Accessed: 9 November 2020).</w:t>
      </w:r>
    </w:p>
    <w:p w14:paraId="3591ED3D" w14:textId="77777777" w:rsidR="0090325B" w:rsidRDefault="0090325B" w:rsidP="00BD7B6F">
      <w:pPr>
        <w:rPr>
          <w:lang w:val="en-US" w:bidi="en-US"/>
        </w:rPr>
      </w:pPr>
    </w:p>
    <w:p w14:paraId="335067B8" w14:textId="77777777" w:rsidR="0090325B" w:rsidRPr="0090325B" w:rsidRDefault="0090325B" w:rsidP="00BD7B6F">
      <w:pPr>
        <w:rPr>
          <w:lang w:val="en-US" w:bidi="en-US"/>
        </w:rPr>
      </w:pPr>
      <w:proofErr w:type="spellStart"/>
      <w:r>
        <w:rPr>
          <w:lang w:val="en-US" w:bidi="en-US"/>
        </w:rPr>
        <w:t>Benwell</w:t>
      </w:r>
      <w:proofErr w:type="spellEnd"/>
      <w:r>
        <w:rPr>
          <w:lang w:val="en-US" w:bidi="en-US"/>
        </w:rPr>
        <w:t>, R. and Gay, O. (20</w:t>
      </w:r>
      <w:r>
        <w:rPr>
          <w:lang w:val="en-US" w:bidi="en-US"/>
        </w:rPr>
        <w:t>11</w:t>
      </w:r>
      <w:r>
        <w:rPr>
          <w:lang w:val="en-US" w:bidi="en-US"/>
        </w:rPr>
        <w:t xml:space="preserve">) </w:t>
      </w:r>
      <w:r>
        <w:rPr>
          <w:i/>
          <w:iCs/>
          <w:lang w:val="en-US" w:bidi="en-US"/>
        </w:rPr>
        <w:t xml:space="preserve">The Separation of Powers </w:t>
      </w:r>
      <w:r>
        <w:rPr>
          <w:lang w:val="en-US" w:bidi="en-US"/>
        </w:rPr>
        <w:t xml:space="preserve">(House of Commons Library briefing paper 6053). Available at: </w:t>
      </w:r>
      <w:hyperlink r:id="rId8" w:history="1">
        <w:r w:rsidRPr="009C161F">
          <w:rPr>
            <w:rStyle w:val="Hyperlink"/>
            <w:lang w:val="en-US" w:bidi="en-US"/>
          </w:rPr>
          <w:t>https://commonslibrary.parliament.uk/research-briefings/sn06053/</w:t>
        </w:r>
      </w:hyperlink>
      <w:r>
        <w:rPr>
          <w:lang w:val="en-US" w:bidi="en-US"/>
        </w:rPr>
        <w:t xml:space="preserve"> </w:t>
      </w:r>
      <w:r>
        <w:rPr>
          <w:lang w:val="en-US" w:bidi="en-US"/>
        </w:rPr>
        <w:t>(Accessed: 9 November 2020).</w:t>
      </w:r>
      <w:r>
        <w:rPr>
          <w:lang w:val="en-US" w:bidi="en-US"/>
        </w:rPr>
        <w:t xml:space="preserve"> Ibid., 10.</w:t>
      </w:r>
    </w:p>
    <w:p w14:paraId="2EA7D570" w14:textId="77777777" w:rsidR="0090325B" w:rsidRDefault="0090325B" w:rsidP="00F6743D">
      <w:pPr>
        <w:pStyle w:val="Heading1"/>
        <w:spacing w:before="0" w:after="120" w:line="240" w:lineRule="atLeast"/>
        <w:rPr>
          <w:rFonts w:ascii="Source Sans Pro" w:hAnsi="Source Sans Pro"/>
          <w:b w:val="0"/>
          <w:bCs w:val="0"/>
          <w:color w:val="000000"/>
          <w:sz w:val="24"/>
          <w:szCs w:val="24"/>
        </w:rPr>
      </w:pPr>
      <w:r w:rsidRPr="00F6743D">
        <w:rPr>
          <w:rFonts w:ascii="Calibri" w:eastAsia="Times New Roman" w:hAnsi="Calibri" w:cs="Calibri"/>
          <w:b w:val="0"/>
          <w:bCs w:val="0"/>
          <w:color w:val="000000" w:themeColor="text1"/>
          <w:sz w:val="24"/>
          <w:szCs w:val="24"/>
          <w:lang w:eastAsia="en-GB"/>
        </w:rPr>
        <w:t>Bok, H. (2018)</w:t>
      </w:r>
      <w:r w:rsidRPr="00F6743D">
        <w:rPr>
          <w:rFonts w:ascii="Calibri" w:eastAsia="Times New Roman" w:hAnsi="Calibri" w:cs="Calibri"/>
          <w:color w:val="000000" w:themeColor="text1"/>
          <w:sz w:val="24"/>
          <w:szCs w:val="24"/>
          <w:lang w:eastAsia="en-GB"/>
        </w:rPr>
        <w:t xml:space="preserve"> </w:t>
      </w:r>
      <w:r>
        <w:rPr>
          <w:rFonts w:ascii="Calibri" w:eastAsia="Times New Roman" w:hAnsi="Calibri" w:cs="Calibri"/>
          <w:color w:val="000000" w:themeColor="text1"/>
          <w:sz w:val="24"/>
          <w:szCs w:val="24"/>
          <w:lang w:eastAsia="en-GB"/>
        </w:rPr>
        <w:t>‘</w:t>
      </w:r>
      <w:r w:rsidRPr="00F6743D">
        <w:rPr>
          <w:rFonts w:ascii="Source Sans Pro" w:hAnsi="Source Sans Pro"/>
          <w:b w:val="0"/>
          <w:bCs w:val="0"/>
          <w:color w:val="000000"/>
          <w:sz w:val="24"/>
          <w:szCs w:val="24"/>
        </w:rPr>
        <w:t xml:space="preserve">Baron de Montesquieu, Charles-Louis de </w:t>
      </w:r>
      <w:proofErr w:type="spellStart"/>
      <w:r w:rsidRPr="00F6743D">
        <w:rPr>
          <w:rFonts w:ascii="Source Sans Pro" w:hAnsi="Source Sans Pro"/>
          <w:b w:val="0"/>
          <w:bCs w:val="0"/>
          <w:color w:val="000000"/>
          <w:sz w:val="24"/>
          <w:szCs w:val="24"/>
        </w:rPr>
        <w:t>Secondat</w:t>
      </w:r>
      <w:proofErr w:type="spellEnd"/>
      <w:r>
        <w:rPr>
          <w:rFonts w:ascii="Source Sans Pro" w:hAnsi="Source Sans Pro"/>
          <w:b w:val="0"/>
          <w:bCs w:val="0"/>
          <w:color w:val="000000"/>
          <w:sz w:val="24"/>
          <w:szCs w:val="24"/>
        </w:rPr>
        <w:t>’</w:t>
      </w:r>
      <w:r>
        <w:rPr>
          <w:rFonts w:ascii="Source Sans Pro" w:hAnsi="Source Sans Pro"/>
          <w:b w:val="0"/>
          <w:bCs w:val="0"/>
          <w:i/>
          <w:iCs/>
          <w:color w:val="000000"/>
          <w:sz w:val="24"/>
          <w:szCs w:val="24"/>
        </w:rPr>
        <w:t xml:space="preserve">, </w:t>
      </w:r>
      <w:r>
        <w:rPr>
          <w:rFonts w:ascii="Source Sans Pro" w:hAnsi="Source Sans Pro"/>
          <w:b w:val="0"/>
          <w:bCs w:val="0"/>
          <w:color w:val="000000"/>
          <w:sz w:val="24"/>
          <w:szCs w:val="24"/>
        </w:rPr>
        <w:t xml:space="preserve">in </w:t>
      </w:r>
      <w:r>
        <w:rPr>
          <w:rFonts w:ascii="Source Sans Pro" w:hAnsi="Source Sans Pro"/>
          <w:b w:val="0"/>
          <w:bCs w:val="0"/>
          <w:i/>
          <w:iCs/>
          <w:color w:val="000000"/>
          <w:sz w:val="24"/>
          <w:szCs w:val="24"/>
        </w:rPr>
        <w:t>Stanford Encyclopedia of Philosophy.</w:t>
      </w:r>
      <w:r>
        <w:rPr>
          <w:rFonts w:ascii="Source Sans Pro" w:hAnsi="Source Sans Pro"/>
          <w:b w:val="0"/>
          <w:bCs w:val="0"/>
          <w:color w:val="000000"/>
          <w:sz w:val="24"/>
          <w:szCs w:val="24"/>
        </w:rPr>
        <w:t xml:space="preserve"> Available at: </w:t>
      </w:r>
      <w:hyperlink r:id="rId9" w:history="1">
        <w:r w:rsidRPr="009C161F">
          <w:rPr>
            <w:rStyle w:val="Hyperlink"/>
            <w:rFonts w:ascii="Source Sans Pro" w:hAnsi="Source Sans Pro"/>
            <w:b w:val="0"/>
            <w:bCs w:val="0"/>
            <w:sz w:val="24"/>
            <w:szCs w:val="24"/>
          </w:rPr>
          <w:t>https://plato.stanford.edu/entries/montesquieu/</w:t>
        </w:r>
      </w:hyperlink>
      <w:r>
        <w:rPr>
          <w:rFonts w:ascii="Source Sans Pro" w:hAnsi="Source Sans Pro"/>
          <w:b w:val="0"/>
          <w:bCs w:val="0"/>
          <w:color w:val="000000"/>
          <w:sz w:val="24"/>
          <w:szCs w:val="24"/>
        </w:rPr>
        <w:t xml:space="preserve"> (Accessed at: 11 October 2020).</w:t>
      </w:r>
    </w:p>
    <w:p w14:paraId="77B3EA1F" w14:textId="5CCABA25" w:rsidR="0090325B" w:rsidRDefault="0090325B" w:rsidP="00BD7B6F">
      <w:pPr>
        <w:rPr>
          <w:lang w:val="en-US" w:bidi="en-US"/>
        </w:rPr>
      </w:pPr>
      <w:r>
        <w:rPr>
          <w:lang w:val="en-US" w:bidi="en-US"/>
        </w:rPr>
        <w:t xml:space="preserve">Brader, C. (2020) </w:t>
      </w:r>
      <w:r>
        <w:rPr>
          <w:i/>
          <w:iCs/>
          <w:lang w:val="en-US" w:bidi="en-US"/>
        </w:rPr>
        <w:t xml:space="preserve">Judicial Review: Time for a Change? </w:t>
      </w:r>
      <w:r>
        <w:rPr>
          <w:lang w:val="en-US" w:bidi="en-US"/>
        </w:rPr>
        <w:t xml:space="preserve">London: The Stationary Office. Available At: </w:t>
      </w:r>
      <w:hyperlink r:id="rId10" w:history="1">
        <w:r w:rsidRPr="009C161F">
          <w:rPr>
            <w:rStyle w:val="Hyperlink"/>
            <w:lang w:val="en-US" w:bidi="en-US"/>
          </w:rPr>
          <w:t>https://lordslibrary.parliament.uk/judicial-review-time-for-change/</w:t>
        </w:r>
      </w:hyperlink>
      <w:r>
        <w:rPr>
          <w:lang w:val="en-US" w:bidi="en-US"/>
        </w:rPr>
        <w:t xml:space="preserve"> (Accessed: 10 November 2020) </w:t>
      </w:r>
    </w:p>
    <w:p w14:paraId="6853FACD" w14:textId="77777777" w:rsidR="00513177" w:rsidRPr="006618DE" w:rsidRDefault="00513177" w:rsidP="00BD7B6F">
      <w:pPr>
        <w:rPr>
          <w:lang w:val="en-US" w:bidi="en-US"/>
        </w:rPr>
      </w:pPr>
    </w:p>
    <w:p w14:paraId="4C29AF8E" w14:textId="78C970BF" w:rsidR="0090325B" w:rsidRDefault="0090325B" w:rsidP="00BD7B6F">
      <w:pPr>
        <w:rPr>
          <w:lang w:val="en-US" w:bidi="en-US"/>
        </w:rPr>
      </w:pPr>
      <w:r>
        <w:rPr>
          <w:lang w:val="en-US" w:bidi="en-US"/>
        </w:rPr>
        <w:t xml:space="preserve">Courts and Tribunals Judiciary (2020), </w:t>
      </w:r>
      <w:r>
        <w:rPr>
          <w:i/>
          <w:iCs/>
          <w:lang w:val="en-US" w:bidi="en-US"/>
        </w:rPr>
        <w:t xml:space="preserve">Independence. </w:t>
      </w:r>
      <w:r>
        <w:rPr>
          <w:lang w:val="en-US" w:bidi="en-US"/>
        </w:rPr>
        <w:t xml:space="preserve">Available at: </w:t>
      </w:r>
      <w:hyperlink r:id="rId11" w:history="1">
        <w:r w:rsidRPr="009C161F">
          <w:rPr>
            <w:rStyle w:val="Hyperlink"/>
            <w:lang w:val="en-US" w:bidi="en-US"/>
          </w:rPr>
          <w:t>https://www.judiciary.uk/about-the-judiciary/the-judiciary-the-government-and-the-constitution/jud-acc-ind/independence/</w:t>
        </w:r>
      </w:hyperlink>
      <w:r>
        <w:rPr>
          <w:lang w:val="en-US" w:bidi="en-US"/>
        </w:rPr>
        <w:t xml:space="preserve"> (Accessed: 12 November 2020).</w:t>
      </w:r>
    </w:p>
    <w:p w14:paraId="62F74D44" w14:textId="77777777" w:rsidR="00513177" w:rsidRDefault="00513177" w:rsidP="00BD7B6F">
      <w:pPr>
        <w:rPr>
          <w:lang w:val="en-US" w:bidi="en-US"/>
        </w:rPr>
      </w:pPr>
    </w:p>
    <w:p w14:paraId="7640C402" w14:textId="445C0989" w:rsidR="0090325B" w:rsidRDefault="0090325B" w:rsidP="00BD7B6F">
      <w:pPr>
        <w:rPr>
          <w:lang w:val="en-US" w:bidi="en-US"/>
        </w:rPr>
      </w:pPr>
      <w:proofErr w:type="spellStart"/>
      <w:r>
        <w:rPr>
          <w:lang w:val="en-US" w:bidi="en-US"/>
        </w:rPr>
        <w:lastRenderedPageBreak/>
        <w:t>Hymas</w:t>
      </w:r>
      <w:proofErr w:type="spellEnd"/>
      <w:r>
        <w:rPr>
          <w:lang w:val="en-US" w:bidi="en-US"/>
        </w:rPr>
        <w:t xml:space="preserve">, C. (2020) ‘Former Tory justice minister to head independent review of role of judges in politics’, </w:t>
      </w:r>
      <w:r>
        <w:rPr>
          <w:i/>
          <w:iCs/>
          <w:lang w:val="en-US" w:bidi="en-US"/>
        </w:rPr>
        <w:t xml:space="preserve">The Telegraph, </w:t>
      </w:r>
      <w:r>
        <w:rPr>
          <w:lang w:val="en-US" w:bidi="en-US"/>
        </w:rPr>
        <w:t xml:space="preserve">31 July, Available at: </w:t>
      </w:r>
      <w:hyperlink r:id="rId12" w:history="1">
        <w:r w:rsidRPr="009C161F">
          <w:rPr>
            <w:rStyle w:val="Hyperlink"/>
            <w:lang w:val="en-US" w:bidi="en-US"/>
          </w:rPr>
          <w:t>https://www.telegraph.co.uk/politics/2020/07/31/former-tory-justice-minister-head-independent-review-role-judges/</w:t>
        </w:r>
      </w:hyperlink>
      <w:r>
        <w:rPr>
          <w:lang w:val="en-US" w:bidi="en-US"/>
        </w:rPr>
        <w:t xml:space="preserve"> (Accessed: 14 November 2020).</w:t>
      </w:r>
    </w:p>
    <w:p w14:paraId="19E6B2D3" w14:textId="77777777" w:rsidR="00513177" w:rsidRDefault="00513177" w:rsidP="00BD7B6F">
      <w:pPr>
        <w:rPr>
          <w:lang w:val="en-US" w:bidi="en-US"/>
        </w:rPr>
      </w:pPr>
    </w:p>
    <w:p w14:paraId="2DAC705F" w14:textId="77777777" w:rsidR="0090325B" w:rsidRDefault="0090325B" w:rsidP="00BD7B6F">
      <w:pPr>
        <w:rPr>
          <w:lang w:val="en-US" w:bidi="en-US"/>
        </w:rPr>
      </w:pPr>
      <w:r>
        <w:rPr>
          <w:lang w:val="en-US" w:bidi="en-US"/>
        </w:rPr>
        <w:t xml:space="preserve">Johnson, W. (2013) ‘Britain’s top judge attacks Theresa May’s criticism of the judiciary’, </w:t>
      </w:r>
      <w:r>
        <w:rPr>
          <w:i/>
          <w:iCs/>
          <w:lang w:val="en-US" w:bidi="en-US"/>
        </w:rPr>
        <w:t xml:space="preserve">The Telegraph, </w:t>
      </w:r>
      <w:r>
        <w:rPr>
          <w:lang w:val="en-US" w:bidi="en-US"/>
        </w:rPr>
        <w:t xml:space="preserve">04 March, Available at: </w:t>
      </w:r>
      <w:hyperlink r:id="rId13" w:history="1">
        <w:r w:rsidRPr="009C161F">
          <w:rPr>
            <w:rStyle w:val="Hyperlink"/>
            <w:lang w:val="en-US" w:bidi="en-US"/>
          </w:rPr>
          <w:t>https://www.telegraph.co.uk/news/uknews/law-and-order/9908528/Britains-top-judge-attacks-Theresa-Mays-criticism-of-judiciary.html</w:t>
        </w:r>
      </w:hyperlink>
      <w:r>
        <w:rPr>
          <w:lang w:val="en-US" w:bidi="en-US"/>
        </w:rPr>
        <w:t xml:space="preserve"> (Accessed: 15 November 2020) </w:t>
      </w:r>
    </w:p>
    <w:p w14:paraId="4B5FB8DD" w14:textId="77777777" w:rsidR="0090325B" w:rsidRDefault="0090325B" w:rsidP="004B2215">
      <w:pPr>
        <w:shd w:val="clear" w:color="auto" w:fill="FFFFFF"/>
        <w:spacing w:before="100" w:beforeAutospacing="1" w:after="100" w:afterAutospacing="1"/>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Montesquieu, C. (2002) </w:t>
      </w:r>
      <w:r>
        <w:rPr>
          <w:rFonts w:ascii="Calibri" w:eastAsia="Times New Roman" w:hAnsi="Calibri" w:cs="Calibri"/>
          <w:i/>
          <w:iCs/>
          <w:color w:val="000000" w:themeColor="text1"/>
          <w:lang w:eastAsia="en-GB"/>
        </w:rPr>
        <w:t xml:space="preserve">The Spirit of Laws. </w:t>
      </w:r>
      <w:r>
        <w:rPr>
          <w:rFonts w:ascii="Calibri" w:eastAsia="Times New Roman" w:hAnsi="Calibri" w:cs="Calibri"/>
          <w:color w:val="000000" w:themeColor="text1"/>
          <w:lang w:eastAsia="en-GB"/>
        </w:rPr>
        <w:t xml:space="preserve">Rev. </w:t>
      </w:r>
      <w:proofErr w:type="spellStart"/>
      <w:r>
        <w:rPr>
          <w:rFonts w:ascii="Calibri" w:eastAsia="Times New Roman" w:hAnsi="Calibri" w:cs="Calibri"/>
          <w:color w:val="000000" w:themeColor="text1"/>
          <w:lang w:eastAsia="en-GB"/>
        </w:rPr>
        <w:t>edn</w:t>
      </w:r>
      <w:proofErr w:type="spellEnd"/>
      <w:r>
        <w:rPr>
          <w:rFonts w:ascii="Calibri" w:eastAsia="Times New Roman" w:hAnsi="Calibri" w:cs="Calibri"/>
          <w:color w:val="000000" w:themeColor="text1"/>
          <w:lang w:eastAsia="en-GB"/>
        </w:rPr>
        <w:t>. New York: Prometheus Books</w:t>
      </w:r>
    </w:p>
    <w:p w14:paraId="3243D3A6" w14:textId="42670B44" w:rsidR="0090325B" w:rsidRDefault="0090325B" w:rsidP="00BD7B6F">
      <w:pPr>
        <w:rPr>
          <w:lang w:val="en-US" w:bidi="en-US"/>
        </w:rPr>
      </w:pPr>
      <w:r>
        <w:rPr>
          <w:lang w:val="en-US" w:bidi="en-US"/>
        </w:rPr>
        <w:t xml:space="preserve">Parliament. House of Lords (2007) </w:t>
      </w:r>
      <w:r>
        <w:rPr>
          <w:i/>
          <w:iCs/>
          <w:lang w:val="en-US" w:bidi="en-US"/>
        </w:rPr>
        <w:t xml:space="preserve">Relations between the executive, the judiciary and Parliament. </w:t>
      </w:r>
      <w:r>
        <w:rPr>
          <w:lang w:val="en-US" w:bidi="en-US"/>
        </w:rPr>
        <w:t xml:space="preserve">(HL 2006-2007 (151)). London: The Stationary Office. </w:t>
      </w:r>
    </w:p>
    <w:p w14:paraId="0627F58A" w14:textId="77777777" w:rsidR="00513177" w:rsidRDefault="00513177" w:rsidP="00BD7B6F">
      <w:pPr>
        <w:rPr>
          <w:lang w:val="en-US" w:bidi="en-US"/>
        </w:rPr>
      </w:pPr>
    </w:p>
    <w:p w14:paraId="6F1B4737" w14:textId="46036DB3" w:rsidR="0090325B" w:rsidRDefault="0090325B" w:rsidP="00BD7B6F">
      <w:pPr>
        <w:rPr>
          <w:lang w:val="en-US" w:bidi="en-US"/>
        </w:rPr>
      </w:pPr>
      <w:r>
        <w:rPr>
          <w:lang w:val="en-US" w:bidi="en-US"/>
        </w:rPr>
        <w:t xml:space="preserve">Parliament. House of Lords (2007) </w:t>
      </w:r>
      <w:r>
        <w:rPr>
          <w:i/>
          <w:iCs/>
          <w:lang w:val="en-US" w:bidi="en-US"/>
        </w:rPr>
        <w:t xml:space="preserve">The Effect of the Constitutional Reform Act 2005 on the relationship between the Judiciary, the Executive and Parliament: sixth report from the Select Committee on Constitution. </w:t>
      </w:r>
      <w:r>
        <w:rPr>
          <w:lang w:val="en-US" w:bidi="en-US"/>
        </w:rPr>
        <w:t xml:space="preserve"> (HL 2006-2007 (63)). London: The Stationary Office.</w:t>
      </w:r>
    </w:p>
    <w:p w14:paraId="0C943935" w14:textId="77777777" w:rsidR="00513177" w:rsidRDefault="00513177" w:rsidP="00BD7B6F">
      <w:pPr>
        <w:rPr>
          <w:lang w:val="en-US" w:bidi="en-US"/>
        </w:rPr>
      </w:pPr>
    </w:p>
    <w:p w14:paraId="048806DD" w14:textId="3C4116AB" w:rsidR="0090325B" w:rsidRDefault="0090325B" w:rsidP="00BD7B6F">
      <w:pPr>
        <w:rPr>
          <w:lang w:val="en-US" w:bidi="en-US"/>
        </w:rPr>
      </w:pPr>
      <w:r>
        <w:rPr>
          <w:lang w:val="en-US" w:bidi="en-US"/>
        </w:rPr>
        <w:t xml:space="preserve"> Parliament. House of Lords (2007) </w:t>
      </w:r>
      <w:r>
        <w:rPr>
          <w:i/>
          <w:iCs/>
          <w:lang w:val="en-US" w:bidi="en-US"/>
        </w:rPr>
        <w:t xml:space="preserve">The Rule of Law. </w:t>
      </w:r>
      <w:r>
        <w:rPr>
          <w:lang w:val="en-US" w:bidi="en-US"/>
        </w:rPr>
        <w:t xml:space="preserve">(HL 2006 – 2007 (65)). London: The Stationary Office. Available at: </w:t>
      </w:r>
      <w:hyperlink r:id="rId14" w:history="1">
        <w:r w:rsidRPr="009C161F">
          <w:rPr>
            <w:rStyle w:val="Hyperlink"/>
            <w:lang w:val="en-US" w:bidi="en-US"/>
          </w:rPr>
          <w:t>https://publications.parliament.uk/pa/ld200607/ldselect/ldconst/151/15115.htm</w:t>
        </w:r>
      </w:hyperlink>
      <w:r>
        <w:rPr>
          <w:lang w:val="en-US" w:bidi="en-US"/>
        </w:rPr>
        <w:t xml:space="preserve"> (Accessed: 12 November 2020)</w:t>
      </w:r>
      <w:r w:rsidR="00513177">
        <w:rPr>
          <w:lang w:val="en-US" w:bidi="en-US"/>
        </w:rPr>
        <w:t>.</w:t>
      </w:r>
    </w:p>
    <w:p w14:paraId="280F7D95" w14:textId="77777777" w:rsidR="00513177" w:rsidRDefault="00513177" w:rsidP="00BD7B6F">
      <w:pPr>
        <w:rPr>
          <w:lang w:val="en-US" w:bidi="en-US"/>
        </w:rPr>
      </w:pPr>
    </w:p>
    <w:p w14:paraId="717C05C1" w14:textId="75518056" w:rsidR="0090325B" w:rsidRDefault="0090325B" w:rsidP="00BD7B6F">
      <w:pPr>
        <w:rPr>
          <w:lang w:val="en-US" w:bidi="en-US"/>
        </w:rPr>
      </w:pPr>
      <w:r>
        <w:rPr>
          <w:lang w:val="en-US" w:bidi="en-US"/>
        </w:rPr>
        <w:t xml:space="preserve">Phillips, L. (2007) ‘judicial independence’, </w:t>
      </w:r>
      <w:r>
        <w:rPr>
          <w:i/>
          <w:iCs/>
          <w:lang w:val="en-US" w:bidi="en-US"/>
        </w:rPr>
        <w:t xml:space="preserve">Commonwealth Law conference, </w:t>
      </w:r>
      <w:r>
        <w:rPr>
          <w:lang w:val="en-US" w:bidi="en-US"/>
        </w:rPr>
        <w:t xml:space="preserve">Nairobi, Kenya 12 September 2007. Available at: </w:t>
      </w:r>
      <w:hyperlink r:id="rId15" w:history="1">
        <w:r w:rsidRPr="009C161F">
          <w:rPr>
            <w:rStyle w:val="Hyperlink"/>
            <w:lang w:val="en-US" w:bidi="en-US"/>
          </w:rPr>
          <w:t>https://www.judiciary.uk/wp-content/uploads/JCO/Documents/Speeches/lcj_kenya_clc_120907.pdf</w:t>
        </w:r>
      </w:hyperlink>
      <w:r>
        <w:rPr>
          <w:lang w:val="en-US" w:bidi="en-US"/>
        </w:rPr>
        <w:t xml:space="preserve"> (Accessed: 9 November 2020). </w:t>
      </w:r>
    </w:p>
    <w:p w14:paraId="52B560D2" w14:textId="77777777" w:rsidR="00513177" w:rsidRDefault="00513177" w:rsidP="00BD7B6F">
      <w:pPr>
        <w:rPr>
          <w:lang w:val="en-US" w:bidi="en-US"/>
        </w:rPr>
      </w:pPr>
    </w:p>
    <w:p w14:paraId="3DF5A32B" w14:textId="1350429E" w:rsidR="0090325B" w:rsidRDefault="0090325B" w:rsidP="00BD7B6F">
      <w:pPr>
        <w:rPr>
          <w:lang w:val="en-US" w:bidi="en-US"/>
        </w:rPr>
      </w:pPr>
      <w:r>
        <w:rPr>
          <w:lang w:val="en-US" w:bidi="en-US"/>
        </w:rPr>
        <w:t xml:space="preserve">Raz, J. (2009) </w:t>
      </w:r>
      <w:r>
        <w:rPr>
          <w:i/>
          <w:iCs/>
          <w:lang w:val="en-US" w:bidi="en-US"/>
        </w:rPr>
        <w:t xml:space="preserve">The Authority of Law. </w:t>
      </w:r>
      <w:r>
        <w:rPr>
          <w:lang w:val="en-US" w:bidi="en-US"/>
        </w:rPr>
        <w:t>2</w:t>
      </w:r>
      <w:r w:rsidRPr="00BD043F">
        <w:rPr>
          <w:vertAlign w:val="superscript"/>
          <w:lang w:val="en-US" w:bidi="en-US"/>
        </w:rPr>
        <w:t>nd</w:t>
      </w:r>
      <w:r>
        <w:rPr>
          <w:lang w:val="en-US" w:bidi="en-US"/>
        </w:rPr>
        <w:t xml:space="preserve"> </w:t>
      </w:r>
      <w:proofErr w:type="spellStart"/>
      <w:r>
        <w:rPr>
          <w:lang w:val="en-US" w:bidi="en-US"/>
        </w:rPr>
        <w:t>edn</w:t>
      </w:r>
      <w:proofErr w:type="spellEnd"/>
      <w:r>
        <w:rPr>
          <w:lang w:val="en-US" w:bidi="en-US"/>
        </w:rPr>
        <w:t xml:space="preserve">. Oxford: Oxford University Press. </w:t>
      </w:r>
    </w:p>
    <w:p w14:paraId="09185136" w14:textId="77777777" w:rsidR="00513177" w:rsidRDefault="00513177" w:rsidP="00BD7B6F">
      <w:pPr>
        <w:rPr>
          <w:lang w:val="en-US" w:bidi="en-US"/>
        </w:rPr>
      </w:pPr>
    </w:p>
    <w:p w14:paraId="13816B63" w14:textId="04F045BC" w:rsidR="0090325B" w:rsidRDefault="0090325B" w:rsidP="00BD7B6F">
      <w:pPr>
        <w:rPr>
          <w:lang w:val="en-US" w:bidi="en-US"/>
        </w:rPr>
      </w:pPr>
      <w:r>
        <w:rPr>
          <w:lang w:val="en-US" w:bidi="en-US"/>
        </w:rPr>
        <w:t xml:space="preserve"> </w:t>
      </w:r>
      <w:proofErr w:type="spellStart"/>
      <w:r>
        <w:rPr>
          <w:lang w:val="en-US" w:bidi="en-US"/>
        </w:rPr>
        <w:t>Rozenburg</w:t>
      </w:r>
      <w:proofErr w:type="spellEnd"/>
      <w:r>
        <w:rPr>
          <w:lang w:val="en-US" w:bidi="en-US"/>
        </w:rPr>
        <w:t xml:space="preserve">, J. (2007) ‘Judges to condemn new Ministry of Justice’, </w:t>
      </w:r>
      <w:r>
        <w:rPr>
          <w:i/>
          <w:iCs/>
          <w:lang w:val="en-US" w:bidi="en-US"/>
        </w:rPr>
        <w:t xml:space="preserve">The Telegraph, </w:t>
      </w:r>
      <w:r>
        <w:rPr>
          <w:lang w:val="en-US" w:bidi="en-US"/>
        </w:rPr>
        <w:t xml:space="preserve">15 May, Available at: </w:t>
      </w:r>
      <w:hyperlink r:id="rId16" w:history="1">
        <w:r w:rsidRPr="009C161F">
          <w:rPr>
            <w:rStyle w:val="Hyperlink"/>
            <w:lang w:val="en-US" w:bidi="en-US"/>
          </w:rPr>
          <w:t>https://www.telegraph.co.uk/news/uknews/1551595/Judges-to-condemn-new-Ministry-of-Justice.html</w:t>
        </w:r>
      </w:hyperlink>
      <w:r>
        <w:rPr>
          <w:lang w:val="en-US" w:bidi="en-US"/>
        </w:rPr>
        <w:t xml:space="preserve"> (Accessed: 8 November 2020) </w:t>
      </w:r>
    </w:p>
    <w:p w14:paraId="10AFEADB" w14:textId="77777777" w:rsidR="00513177" w:rsidRDefault="00513177" w:rsidP="00BD7B6F">
      <w:pPr>
        <w:rPr>
          <w:lang w:val="en-US" w:bidi="en-US"/>
        </w:rPr>
      </w:pPr>
    </w:p>
    <w:p w14:paraId="6701625F" w14:textId="47D197D1" w:rsidR="0090325B" w:rsidRDefault="0090325B" w:rsidP="00BD7B6F">
      <w:pPr>
        <w:rPr>
          <w:lang w:val="en-US" w:bidi="en-US"/>
        </w:rPr>
      </w:pPr>
      <w:r>
        <w:rPr>
          <w:lang w:val="en-US" w:bidi="en-US"/>
        </w:rPr>
        <w:t xml:space="preserve">Stevens, R. (1999) ‘A loss of Innocence? Judicial independence and the Separation of Powers’, </w:t>
      </w:r>
      <w:r>
        <w:rPr>
          <w:i/>
          <w:iCs/>
          <w:lang w:val="en-US" w:bidi="en-US"/>
        </w:rPr>
        <w:t xml:space="preserve">Oxford Journal of Law, </w:t>
      </w:r>
      <w:r>
        <w:rPr>
          <w:lang w:val="en-US" w:bidi="en-US"/>
        </w:rPr>
        <w:t>19(3), pp. 365-402.</w:t>
      </w:r>
    </w:p>
    <w:p w14:paraId="4EBA18F9" w14:textId="77777777" w:rsidR="00513177" w:rsidRDefault="00513177" w:rsidP="00BD7B6F">
      <w:pPr>
        <w:rPr>
          <w:lang w:val="en-US" w:bidi="en-US"/>
        </w:rPr>
      </w:pPr>
    </w:p>
    <w:p w14:paraId="3B27B333" w14:textId="545CDF73" w:rsidR="0090325B" w:rsidRDefault="0090325B" w:rsidP="00BD7B6F">
      <w:pPr>
        <w:rPr>
          <w:lang w:val="en-US" w:bidi="en-US"/>
        </w:rPr>
      </w:pPr>
      <w:r>
        <w:rPr>
          <w:lang w:val="en-US" w:bidi="en-US"/>
        </w:rPr>
        <w:t xml:space="preserve">Taylor, C. (2019) </w:t>
      </w:r>
      <w:r>
        <w:rPr>
          <w:i/>
          <w:iCs/>
          <w:lang w:val="en-US" w:bidi="en-US"/>
        </w:rPr>
        <w:t xml:space="preserve">Constitutional and Administrative Law. </w:t>
      </w:r>
      <w:r>
        <w:rPr>
          <w:lang w:val="en-US" w:bidi="en-US"/>
        </w:rPr>
        <w:t>6</w:t>
      </w:r>
      <w:r w:rsidRPr="00902F71">
        <w:rPr>
          <w:vertAlign w:val="superscript"/>
          <w:lang w:val="en-US" w:bidi="en-US"/>
        </w:rPr>
        <w:t>th</w:t>
      </w:r>
      <w:r>
        <w:rPr>
          <w:lang w:val="en-US" w:bidi="en-US"/>
        </w:rPr>
        <w:t xml:space="preserve"> </w:t>
      </w:r>
      <w:proofErr w:type="spellStart"/>
      <w:r>
        <w:rPr>
          <w:lang w:val="en-US" w:bidi="en-US"/>
        </w:rPr>
        <w:t>edn</w:t>
      </w:r>
      <w:proofErr w:type="spellEnd"/>
      <w:r>
        <w:rPr>
          <w:lang w:val="en-US" w:bidi="en-US"/>
        </w:rPr>
        <w:t xml:space="preserve">. Harlow: Pearson PLC. </w:t>
      </w:r>
    </w:p>
    <w:p w14:paraId="09F51433" w14:textId="77777777" w:rsidR="00513177" w:rsidRDefault="00513177" w:rsidP="00BD7B6F">
      <w:pPr>
        <w:rPr>
          <w:lang w:val="en-US" w:bidi="en-US"/>
        </w:rPr>
      </w:pPr>
    </w:p>
    <w:p w14:paraId="7D127973" w14:textId="77777777" w:rsidR="0090325B" w:rsidRDefault="0090325B" w:rsidP="00BD7B6F">
      <w:pPr>
        <w:rPr>
          <w:lang w:val="en-US" w:bidi="en-US"/>
        </w:rPr>
      </w:pPr>
      <w:r>
        <w:rPr>
          <w:lang w:val="en-US" w:bidi="en-US"/>
        </w:rPr>
        <w:t xml:space="preserve">Waldon, J. (2020) ‘The Rule of Law’, in </w:t>
      </w:r>
      <w:r w:rsidRPr="009B6F61">
        <w:rPr>
          <w:i/>
          <w:iCs/>
          <w:lang w:val="en-US" w:bidi="en-US"/>
        </w:rPr>
        <w:t>Stanford Encyclopedia of Philosophy</w:t>
      </w:r>
      <w:r>
        <w:rPr>
          <w:i/>
          <w:iCs/>
          <w:lang w:val="en-US" w:bidi="en-US"/>
        </w:rPr>
        <w:t xml:space="preserve">. </w:t>
      </w:r>
      <w:r>
        <w:rPr>
          <w:lang w:val="en-US" w:bidi="en-US"/>
        </w:rPr>
        <w:t xml:space="preserve">Available at: </w:t>
      </w:r>
      <w:hyperlink r:id="rId17" w:history="1">
        <w:r w:rsidRPr="009C161F">
          <w:rPr>
            <w:rStyle w:val="Hyperlink"/>
            <w:lang w:val="en-US" w:bidi="en-US"/>
          </w:rPr>
          <w:t>https://plato.stanford.edu/entries/rule-of-law/</w:t>
        </w:r>
      </w:hyperlink>
      <w:r>
        <w:rPr>
          <w:lang w:val="en-US" w:bidi="en-US"/>
        </w:rPr>
        <w:t xml:space="preserve"> (Accessed at: 12 November 2020). </w:t>
      </w:r>
    </w:p>
    <w:p w14:paraId="144C99A4" w14:textId="77777777" w:rsidR="001F63F9" w:rsidRPr="001F63F9" w:rsidRDefault="001F63F9" w:rsidP="00BD7B6F">
      <w:pPr>
        <w:rPr>
          <w:lang w:val="en-US" w:bidi="en-US"/>
        </w:rPr>
      </w:pPr>
    </w:p>
    <w:p w14:paraId="616055BA" w14:textId="77777777" w:rsidR="002F0DDC" w:rsidRPr="002F0DDC" w:rsidRDefault="002F0DDC" w:rsidP="00BD7B6F">
      <w:pPr>
        <w:rPr>
          <w:lang w:val="en-US" w:bidi="en-US"/>
        </w:rPr>
      </w:pPr>
    </w:p>
    <w:p w14:paraId="47195404" w14:textId="77777777" w:rsidR="00D7005A" w:rsidRPr="00D7005A" w:rsidRDefault="00D7005A" w:rsidP="00BD7B6F">
      <w:pPr>
        <w:rPr>
          <w:lang w:val="en-US" w:bidi="en-US"/>
        </w:rPr>
      </w:pPr>
    </w:p>
    <w:p w14:paraId="37523030" w14:textId="77777777" w:rsidR="00B27B46" w:rsidRPr="00902F71" w:rsidRDefault="00B27B46" w:rsidP="00BD7B6F">
      <w:pPr>
        <w:rPr>
          <w:lang w:val="en-US" w:bidi="en-US"/>
        </w:rPr>
      </w:pPr>
    </w:p>
    <w:p w14:paraId="1C385671" w14:textId="77777777" w:rsidR="00B6396C" w:rsidRPr="00A43912" w:rsidRDefault="00B6396C" w:rsidP="00BD7B6F">
      <w:pPr>
        <w:rPr>
          <w:lang w:val="en-US" w:bidi="en-US"/>
        </w:rPr>
      </w:pPr>
    </w:p>
    <w:p w14:paraId="7BED83D6" w14:textId="77777777" w:rsidR="005F16E2" w:rsidRPr="005F16E2" w:rsidRDefault="005F16E2" w:rsidP="00BD7B6F">
      <w:pPr>
        <w:rPr>
          <w:lang w:val="en-US" w:bidi="en-US"/>
        </w:rPr>
      </w:pPr>
    </w:p>
    <w:p w14:paraId="3B73E8C9" w14:textId="68B629B4" w:rsidR="00BD043F" w:rsidRDefault="00BD043F" w:rsidP="00BD7B6F">
      <w:pPr>
        <w:rPr>
          <w:lang w:val="en-US" w:bidi="en-US"/>
        </w:rPr>
      </w:pPr>
    </w:p>
    <w:p w14:paraId="2F6AD18F" w14:textId="77777777" w:rsidR="00BD043F" w:rsidRPr="00BD043F" w:rsidRDefault="00BD043F" w:rsidP="00BD7B6F">
      <w:pPr>
        <w:rPr>
          <w:lang w:val="en-US" w:bidi="en-US"/>
        </w:rPr>
      </w:pPr>
    </w:p>
    <w:p w14:paraId="034D24CC" w14:textId="26AAF26F" w:rsidR="00F6743D" w:rsidRPr="00F6743D" w:rsidRDefault="00F6743D" w:rsidP="004B2215">
      <w:pPr>
        <w:shd w:val="clear" w:color="auto" w:fill="FFFFFF"/>
        <w:spacing w:before="100" w:beforeAutospacing="1" w:after="100" w:afterAutospacing="1"/>
        <w:jc w:val="both"/>
        <w:rPr>
          <w:rFonts w:ascii="Calibri" w:eastAsia="Times New Roman" w:hAnsi="Calibri" w:cs="Calibri"/>
          <w:i/>
          <w:iCs/>
          <w:color w:val="000000" w:themeColor="text1"/>
          <w:lang w:eastAsia="en-GB"/>
        </w:rPr>
      </w:pPr>
    </w:p>
    <w:p w14:paraId="5510A7E3" w14:textId="77777777" w:rsidR="004E65B8" w:rsidRPr="00A565A0" w:rsidRDefault="004E65B8" w:rsidP="004B2215">
      <w:pPr>
        <w:shd w:val="clear" w:color="auto" w:fill="FFFFFF"/>
        <w:spacing w:before="100" w:beforeAutospacing="1" w:after="100" w:afterAutospacing="1"/>
        <w:jc w:val="both"/>
        <w:rPr>
          <w:rFonts w:ascii="Calibri" w:eastAsia="Times New Roman" w:hAnsi="Calibri" w:cs="Calibri"/>
          <w:color w:val="000000" w:themeColor="text1"/>
          <w:lang w:eastAsia="en-GB"/>
        </w:rPr>
      </w:pPr>
    </w:p>
    <w:p w14:paraId="2EB0B017" w14:textId="77777777" w:rsidR="00264323" w:rsidRDefault="00264323" w:rsidP="004B2215">
      <w:pPr>
        <w:shd w:val="clear" w:color="auto" w:fill="FFFFFF"/>
        <w:spacing w:before="100" w:beforeAutospacing="1" w:after="100" w:afterAutospacing="1"/>
        <w:jc w:val="both"/>
        <w:rPr>
          <w:rFonts w:ascii="Calibri" w:eastAsia="Times New Roman" w:hAnsi="Calibri" w:cs="Calibri"/>
          <w:color w:val="000000" w:themeColor="text1"/>
          <w:lang w:eastAsia="en-GB"/>
        </w:rPr>
      </w:pPr>
    </w:p>
    <w:p w14:paraId="3BFF1E33" w14:textId="77777777" w:rsidR="00FC6C83" w:rsidRDefault="00FC6C83"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47EE5C8" w14:textId="77777777" w:rsidR="007714A6" w:rsidRDefault="007714A6"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91AE834" w14:textId="384ADFC5"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B7749FB" w14:textId="1A5DEB9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024C02D" w14:textId="3CED4588"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75913B4F" w14:textId="5F9D3BC9"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E0B720D" w14:textId="08232302"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4702C5BD" w14:textId="5068BE79"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5D60077D" w14:textId="480C36F4"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7A501BD" w14:textId="304073FF"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33AECA4A" w14:textId="53934BC1"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54CE00E8" w14:textId="7E059D4B"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38703E5B" w14:textId="4515097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5319F7D8" w14:textId="264607D7"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67A78BEF" w14:textId="21B03EF2"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16B8BB5" w14:textId="15DB3E4D"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6F1D583" w14:textId="5698B0C8"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3AC2D4F7" w14:textId="5F70E3E4"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8E38BB5" w14:textId="1C73451F"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D2F69BE" w14:textId="6EF84954"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46221B45" w14:textId="257CF45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45B78CDF" w14:textId="2DA40EDF"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9DB3BE9" w14:textId="3A960448"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82EFF32" w14:textId="2E00EE1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74BBBD47" w14:textId="77777777"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7860A7C" w14:textId="77777777" w:rsidR="00436243" w:rsidRDefault="00436243" w:rsidP="000454B6">
      <w:pPr>
        <w:shd w:val="clear" w:color="auto" w:fill="FFFFFF"/>
        <w:spacing w:before="100" w:beforeAutospacing="1" w:after="100" w:afterAutospacing="1"/>
        <w:rPr>
          <w:rFonts w:ascii="Calibri" w:eastAsia="Times New Roman" w:hAnsi="Calibri" w:cs="Calibri"/>
          <w:color w:val="000000"/>
          <w:lang w:eastAsia="en-GB"/>
        </w:rPr>
      </w:pPr>
    </w:p>
    <w:p w14:paraId="2C99A3EF" w14:textId="1D32E291" w:rsidR="008E0367" w:rsidRDefault="008E0367" w:rsidP="000454B6">
      <w:pPr>
        <w:shd w:val="clear" w:color="auto" w:fill="FFFFFF"/>
        <w:spacing w:before="100" w:beforeAutospacing="1" w:after="100" w:afterAutospacing="1"/>
        <w:rPr>
          <w:rFonts w:ascii="Calibri" w:eastAsia="Times New Roman" w:hAnsi="Calibri" w:cs="Calibri"/>
          <w:color w:val="000000"/>
          <w:lang w:eastAsia="en-GB"/>
        </w:rPr>
      </w:pPr>
    </w:p>
    <w:p w14:paraId="65F995F5" w14:textId="5A458E04" w:rsidR="00ED3B24" w:rsidRPr="000454B6" w:rsidRDefault="00ED3B24" w:rsidP="000454B6">
      <w:r>
        <w:t xml:space="preserve"> </w:t>
      </w:r>
    </w:p>
    <w:sectPr w:rsidR="00ED3B24" w:rsidRPr="00045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99721E"/>
    <w:multiLevelType w:val="multilevel"/>
    <w:tmpl w:val="9050AF8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1E1170"/>
    <w:multiLevelType w:val="multilevel"/>
    <w:tmpl w:val="42EE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B6"/>
    <w:rsid w:val="000454B6"/>
    <w:rsid w:val="00050796"/>
    <w:rsid w:val="00072CFE"/>
    <w:rsid w:val="000D7414"/>
    <w:rsid w:val="000E57E9"/>
    <w:rsid w:val="000F2B3C"/>
    <w:rsid w:val="00186A55"/>
    <w:rsid w:val="001D3BE8"/>
    <w:rsid w:val="001F63F9"/>
    <w:rsid w:val="0021095E"/>
    <w:rsid w:val="00264323"/>
    <w:rsid w:val="00275714"/>
    <w:rsid w:val="002D200D"/>
    <w:rsid w:val="002F0DDC"/>
    <w:rsid w:val="00356017"/>
    <w:rsid w:val="003E0404"/>
    <w:rsid w:val="003E2E83"/>
    <w:rsid w:val="003F022A"/>
    <w:rsid w:val="00422404"/>
    <w:rsid w:val="00436243"/>
    <w:rsid w:val="004455D8"/>
    <w:rsid w:val="00465C18"/>
    <w:rsid w:val="004B2215"/>
    <w:rsid w:val="004E65B8"/>
    <w:rsid w:val="00513177"/>
    <w:rsid w:val="00532FD9"/>
    <w:rsid w:val="0057648C"/>
    <w:rsid w:val="005779FF"/>
    <w:rsid w:val="005F16E2"/>
    <w:rsid w:val="006220A8"/>
    <w:rsid w:val="00623091"/>
    <w:rsid w:val="006618DE"/>
    <w:rsid w:val="0069159E"/>
    <w:rsid w:val="006B122F"/>
    <w:rsid w:val="006B5DD5"/>
    <w:rsid w:val="007204D3"/>
    <w:rsid w:val="00745BC6"/>
    <w:rsid w:val="00755147"/>
    <w:rsid w:val="007714A6"/>
    <w:rsid w:val="007B2BAD"/>
    <w:rsid w:val="007C30BD"/>
    <w:rsid w:val="007D46BE"/>
    <w:rsid w:val="008013CD"/>
    <w:rsid w:val="00811847"/>
    <w:rsid w:val="00812B2F"/>
    <w:rsid w:val="00842558"/>
    <w:rsid w:val="008565BF"/>
    <w:rsid w:val="008B7725"/>
    <w:rsid w:val="008C5E8A"/>
    <w:rsid w:val="008D3F01"/>
    <w:rsid w:val="008D6595"/>
    <w:rsid w:val="008E0367"/>
    <w:rsid w:val="008E6D35"/>
    <w:rsid w:val="00902F71"/>
    <w:rsid w:val="0090325B"/>
    <w:rsid w:val="009141C8"/>
    <w:rsid w:val="00934B10"/>
    <w:rsid w:val="009B6F61"/>
    <w:rsid w:val="009F5256"/>
    <w:rsid w:val="00A25F89"/>
    <w:rsid w:val="00A43912"/>
    <w:rsid w:val="00A565A0"/>
    <w:rsid w:val="00A7796F"/>
    <w:rsid w:val="00A9694B"/>
    <w:rsid w:val="00AA7BEB"/>
    <w:rsid w:val="00AB3799"/>
    <w:rsid w:val="00AC6887"/>
    <w:rsid w:val="00AD6A57"/>
    <w:rsid w:val="00B27B46"/>
    <w:rsid w:val="00B45953"/>
    <w:rsid w:val="00B6396C"/>
    <w:rsid w:val="00B948DE"/>
    <w:rsid w:val="00BA2519"/>
    <w:rsid w:val="00BC3E2D"/>
    <w:rsid w:val="00BD043F"/>
    <w:rsid w:val="00BD7B6F"/>
    <w:rsid w:val="00BF3979"/>
    <w:rsid w:val="00BF5025"/>
    <w:rsid w:val="00C1374D"/>
    <w:rsid w:val="00C213EB"/>
    <w:rsid w:val="00C60772"/>
    <w:rsid w:val="00C63C82"/>
    <w:rsid w:val="00C70CBC"/>
    <w:rsid w:val="00C801EF"/>
    <w:rsid w:val="00C81AF3"/>
    <w:rsid w:val="00CD1C1B"/>
    <w:rsid w:val="00CE573B"/>
    <w:rsid w:val="00CE6221"/>
    <w:rsid w:val="00D32BB0"/>
    <w:rsid w:val="00D465DD"/>
    <w:rsid w:val="00D63369"/>
    <w:rsid w:val="00D7005A"/>
    <w:rsid w:val="00D72242"/>
    <w:rsid w:val="00DD05D0"/>
    <w:rsid w:val="00DE2EA0"/>
    <w:rsid w:val="00DF4A1D"/>
    <w:rsid w:val="00E1106D"/>
    <w:rsid w:val="00E26BE2"/>
    <w:rsid w:val="00E56703"/>
    <w:rsid w:val="00E56CAD"/>
    <w:rsid w:val="00E80005"/>
    <w:rsid w:val="00E9378F"/>
    <w:rsid w:val="00E94563"/>
    <w:rsid w:val="00EA03CE"/>
    <w:rsid w:val="00EA1D89"/>
    <w:rsid w:val="00ED06AD"/>
    <w:rsid w:val="00ED3B24"/>
    <w:rsid w:val="00EF1D8A"/>
    <w:rsid w:val="00F031D2"/>
    <w:rsid w:val="00F16843"/>
    <w:rsid w:val="00F360E7"/>
    <w:rsid w:val="00F6743D"/>
    <w:rsid w:val="00FC6C83"/>
    <w:rsid w:val="00FC70A4"/>
    <w:rsid w:val="00FF7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ED7A"/>
  <w15:chartTrackingRefBased/>
  <w15:docId w15:val="{1809F1E8-5579-5240-AAF3-3BE069D7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97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4B6"/>
    <w:pPr>
      <w:ind w:left="720"/>
      <w:contextualSpacing/>
    </w:pPr>
  </w:style>
  <w:style w:type="paragraph" w:styleId="NormalWeb">
    <w:name w:val="Normal (Web)"/>
    <w:basedOn w:val="Normal"/>
    <w:uiPriority w:val="99"/>
    <w:semiHidden/>
    <w:unhideWhenUsed/>
    <w:rsid w:val="00264323"/>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F397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F3979"/>
  </w:style>
  <w:style w:type="paragraph" w:styleId="BalloonText">
    <w:name w:val="Balloon Text"/>
    <w:basedOn w:val="Normal"/>
    <w:link w:val="BalloonTextChar"/>
    <w:uiPriority w:val="99"/>
    <w:semiHidden/>
    <w:unhideWhenUsed/>
    <w:rsid w:val="00F6743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6743D"/>
    <w:rPr>
      <w:rFonts w:ascii="Times New Roman" w:hAnsi="Times New Roman" w:cs="Times New Roman"/>
      <w:sz w:val="18"/>
      <w:szCs w:val="18"/>
    </w:rPr>
  </w:style>
  <w:style w:type="character" w:styleId="Hyperlink">
    <w:name w:val="Hyperlink"/>
    <w:basedOn w:val="DefaultParagraphFont"/>
    <w:uiPriority w:val="99"/>
    <w:unhideWhenUsed/>
    <w:rsid w:val="00745BC6"/>
    <w:rPr>
      <w:color w:val="0563C1" w:themeColor="hyperlink"/>
      <w:u w:val="single"/>
    </w:rPr>
  </w:style>
  <w:style w:type="character" w:styleId="UnresolvedMention">
    <w:name w:val="Unresolved Mention"/>
    <w:basedOn w:val="DefaultParagraphFont"/>
    <w:uiPriority w:val="99"/>
    <w:semiHidden/>
    <w:unhideWhenUsed/>
    <w:rsid w:val="00745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4314">
      <w:bodyDiv w:val="1"/>
      <w:marLeft w:val="0"/>
      <w:marRight w:val="0"/>
      <w:marTop w:val="0"/>
      <w:marBottom w:val="0"/>
      <w:divBdr>
        <w:top w:val="none" w:sz="0" w:space="0" w:color="auto"/>
        <w:left w:val="none" w:sz="0" w:space="0" w:color="auto"/>
        <w:bottom w:val="none" w:sz="0" w:space="0" w:color="auto"/>
        <w:right w:val="none" w:sz="0" w:space="0" w:color="auto"/>
      </w:divBdr>
    </w:div>
    <w:div w:id="27340101">
      <w:bodyDiv w:val="1"/>
      <w:marLeft w:val="0"/>
      <w:marRight w:val="0"/>
      <w:marTop w:val="0"/>
      <w:marBottom w:val="0"/>
      <w:divBdr>
        <w:top w:val="none" w:sz="0" w:space="0" w:color="auto"/>
        <w:left w:val="none" w:sz="0" w:space="0" w:color="auto"/>
        <w:bottom w:val="none" w:sz="0" w:space="0" w:color="auto"/>
        <w:right w:val="none" w:sz="0" w:space="0" w:color="auto"/>
      </w:divBdr>
    </w:div>
    <w:div w:id="74327480">
      <w:bodyDiv w:val="1"/>
      <w:marLeft w:val="0"/>
      <w:marRight w:val="0"/>
      <w:marTop w:val="0"/>
      <w:marBottom w:val="0"/>
      <w:divBdr>
        <w:top w:val="none" w:sz="0" w:space="0" w:color="auto"/>
        <w:left w:val="none" w:sz="0" w:space="0" w:color="auto"/>
        <w:bottom w:val="none" w:sz="0" w:space="0" w:color="auto"/>
        <w:right w:val="none" w:sz="0" w:space="0" w:color="auto"/>
      </w:divBdr>
    </w:div>
    <w:div w:id="121119651">
      <w:bodyDiv w:val="1"/>
      <w:marLeft w:val="0"/>
      <w:marRight w:val="0"/>
      <w:marTop w:val="0"/>
      <w:marBottom w:val="0"/>
      <w:divBdr>
        <w:top w:val="none" w:sz="0" w:space="0" w:color="auto"/>
        <w:left w:val="none" w:sz="0" w:space="0" w:color="auto"/>
        <w:bottom w:val="none" w:sz="0" w:space="0" w:color="auto"/>
        <w:right w:val="none" w:sz="0" w:space="0" w:color="auto"/>
      </w:divBdr>
    </w:div>
    <w:div w:id="121195326">
      <w:bodyDiv w:val="1"/>
      <w:marLeft w:val="0"/>
      <w:marRight w:val="0"/>
      <w:marTop w:val="0"/>
      <w:marBottom w:val="0"/>
      <w:divBdr>
        <w:top w:val="none" w:sz="0" w:space="0" w:color="auto"/>
        <w:left w:val="none" w:sz="0" w:space="0" w:color="auto"/>
        <w:bottom w:val="none" w:sz="0" w:space="0" w:color="auto"/>
        <w:right w:val="none" w:sz="0" w:space="0" w:color="auto"/>
      </w:divBdr>
    </w:div>
    <w:div w:id="124591031">
      <w:bodyDiv w:val="1"/>
      <w:marLeft w:val="0"/>
      <w:marRight w:val="0"/>
      <w:marTop w:val="0"/>
      <w:marBottom w:val="0"/>
      <w:divBdr>
        <w:top w:val="none" w:sz="0" w:space="0" w:color="auto"/>
        <w:left w:val="none" w:sz="0" w:space="0" w:color="auto"/>
        <w:bottom w:val="none" w:sz="0" w:space="0" w:color="auto"/>
        <w:right w:val="none" w:sz="0" w:space="0" w:color="auto"/>
      </w:divBdr>
    </w:div>
    <w:div w:id="154418983">
      <w:bodyDiv w:val="1"/>
      <w:marLeft w:val="0"/>
      <w:marRight w:val="0"/>
      <w:marTop w:val="0"/>
      <w:marBottom w:val="0"/>
      <w:divBdr>
        <w:top w:val="none" w:sz="0" w:space="0" w:color="auto"/>
        <w:left w:val="none" w:sz="0" w:space="0" w:color="auto"/>
        <w:bottom w:val="none" w:sz="0" w:space="0" w:color="auto"/>
        <w:right w:val="none" w:sz="0" w:space="0" w:color="auto"/>
      </w:divBdr>
    </w:div>
    <w:div w:id="171575311">
      <w:bodyDiv w:val="1"/>
      <w:marLeft w:val="0"/>
      <w:marRight w:val="0"/>
      <w:marTop w:val="0"/>
      <w:marBottom w:val="0"/>
      <w:divBdr>
        <w:top w:val="none" w:sz="0" w:space="0" w:color="auto"/>
        <w:left w:val="none" w:sz="0" w:space="0" w:color="auto"/>
        <w:bottom w:val="none" w:sz="0" w:space="0" w:color="auto"/>
        <w:right w:val="none" w:sz="0" w:space="0" w:color="auto"/>
      </w:divBdr>
    </w:div>
    <w:div w:id="215165529">
      <w:bodyDiv w:val="1"/>
      <w:marLeft w:val="0"/>
      <w:marRight w:val="0"/>
      <w:marTop w:val="0"/>
      <w:marBottom w:val="0"/>
      <w:divBdr>
        <w:top w:val="none" w:sz="0" w:space="0" w:color="auto"/>
        <w:left w:val="none" w:sz="0" w:space="0" w:color="auto"/>
        <w:bottom w:val="none" w:sz="0" w:space="0" w:color="auto"/>
        <w:right w:val="none" w:sz="0" w:space="0" w:color="auto"/>
      </w:divBdr>
    </w:div>
    <w:div w:id="265581772">
      <w:bodyDiv w:val="1"/>
      <w:marLeft w:val="0"/>
      <w:marRight w:val="0"/>
      <w:marTop w:val="0"/>
      <w:marBottom w:val="0"/>
      <w:divBdr>
        <w:top w:val="none" w:sz="0" w:space="0" w:color="auto"/>
        <w:left w:val="none" w:sz="0" w:space="0" w:color="auto"/>
        <w:bottom w:val="none" w:sz="0" w:space="0" w:color="auto"/>
        <w:right w:val="none" w:sz="0" w:space="0" w:color="auto"/>
      </w:divBdr>
    </w:div>
    <w:div w:id="326515542">
      <w:bodyDiv w:val="1"/>
      <w:marLeft w:val="0"/>
      <w:marRight w:val="0"/>
      <w:marTop w:val="0"/>
      <w:marBottom w:val="0"/>
      <w:divBdr>
        <w:top w:val="none" w:sz="0" w:space="0" w:color="auto"/>
        <w:left w:val="none" w:sz="0" w:space="0" w:color="auto"/>
        <w:bottom w:val="none" w:sz="0" w:space="0" w:color="auto"/>
        <w:right w:val="none" w:sz="0" w:space="0" w:color="auto"/>
      </w:divBdr>
    </w:div>
    <w:div w:id="349531235">
      <w:bodyDiv w:val="1"/>
      <w:marLeft w:val="0"/>
      <w:marRight w:val="0"/>
      <w:marTop w:val="0"/>
      <w:marBottom w:val="0"/>
      <w:divBdr>
        <w:top w:val="none" w:sz="0" w:space="0" w:color="auto"/>
        <w:left w:val="none" w:sz="0" w:space="0" w:color="auto"/>
        <w:bottom w:val="none" w:sz="0" w:space="0" w:color="auto"/>
        <w:right w:val="none" w:sz="0" w:space="0" w:color="auto"/>
      </w:divBdr>
    </w:div>
    <w:div w:id="416710239">
      <w:bodyDiv w:val="1"/>
      <w:marLeft w:val="0"/>
      <w:marRight w:val="0"/>
      <w:marTop w:val="0"/>
      <w:marBottom w:val="0"/>
      <w:divBdr>
        <w:top w:val="none" w:sz="0" w:space="0" w:color="auto"/>
        <w:left w:val="none" w:sz="0" w:space="0" w:color="auto"/>
        <w:bottom w:val="none" w:sz="0" w:space="0" w:color="auto"/>
        <w:right w:val="none" w:sz="0" w:space="0" w:color="auto"/>
      </w:divBdr>
    </w:div>
    <w:div w:id="438381527">
      <w:bodyDiv w:val="1"/>
      <w:marLeft w:val="0"/>
      <w:marRight w:val="0"/>
      <w:marTop w:val="0"/>
      <w:marBottom w:val="0"/>
      <w:divBdr>
        <w:top w:val="none" w:sz="0" w:space="0" w:color="auto"/>
        <w:left w:val="none" w:sz="0" w:space="0" w:color="auto"/>
        <w:bottom w:val="none" w:sz="0" w:space="0" w:color="auto"/>
        <w:right w:val="none" w:sz="0" w:space="0" w:color="auto"/>
      </w:divBdr>
    </w:div>
    <w:div w:id="457531099">
      <w:bodyDiv w:val="1"/>
      <w:marLeft w:val="0"/>
      <w:marRight w:val="0"/>
      <w:marTop w:val="0"/>
      <w:marBottom w:val="0"/>
      <w:divBdr>
        <w:top w:val="none" w:sz="0" w:space="0" w:color="auto"/>
        <w:left w:val="none" w:sz="0" w:space="0" w:color="auto"/>
        <w:bottom w:val="none" w:sz="0" w:space="0" w:color="auto"/>
        <w:right w:val="none" w:sz="0" w:space="0" w:color="auto"/>
      </w:divBdr>
    </w:div>
    <w:div w:id="520750618">
      <w:bodyDiv w:val="1"/>
      <w:marLeft w:val="0"/>
      <w:marRight w:val="0"/>
      <w:marTop w:val="0"/>
      <w:marBottom w:val="0"/>
      <w:divBdr>
        <w:top w:val="none" w:sz="0" w:space="0" w:color="auto"/>
        <w:left w:val="none" w:sz="0" w:space="0" w:color="auto"/>
        <w:bottom w:val="none" w:sz="0" w:space="0" w:color="auto"/>
        <w:right w:val="none" w:sz="0" w:space="0" w:color="auto"/>
      </w:divBdr>
    </w:div>
    <w:div w:id="532694491">
      <w:bodyDiv w:val="1"/>
      <w:marLeft w:val="0"/>
      <w:marRight w:val="0"/>
      <w:marTop w:val="0"/>
      <w:marBottom w:val="0"/>
      <w:divBdr>
        <w:top w:val="none" w:sz="0" w:space="0" w:color="auto"/>
        <w:left w:val="none" w:sz="0" w:space="0" w:color="auto"/>
        <w:bottom w:val="none" w:sz="0" w:space="0" w:color="auto"/>
        <w:right w:val="none" w:sz="0" w:space="0" w:color="auto"/>
      </w:divBdr>
    </w:div>
    <w:div w:id="541476340">
      <w:bodyDiv w:val="1"/>
      <w:marLeft w:val="0"/>
      <w:marRight w:val="0"/>
      <w:marTop w:val="0"/>
      <w:marBottom w:val="0"/>
      <w:divBdr>
        <w:top w:val="none" w:sz="0" w:space="0" w:color="auto"/>
        <w:left w:val="none" w:sz="0" w:space="0" w:color="auto"/>
        <w:bottom w:val="none" w:sz="0" w:space="0" w:color="auto"/>
        <w:right w:val="none" w:sz="0" w:space="0" w:color="auto"/>
      </w:divBdr>
    </w:div>
    <w:div w:id="569269426">
      <w:bodyDiv w:val="1"/>
      <w:marLeft w:val="0"/>
      <w:marRight w:val="0"/>
      <w:marTop w:val="0"/>
      <w:marBottom w:val="0"/>
      <w:divBdr>
        <w:top w:val="none" w:sz="0" w:space="0" w:color="auto"/>
        <w:left w:val="none" w:sz="0" w:space="0" w:color="auto"/>
        <w:bottom w:val="none" w:sz="0" w:space="0" w:color="auto"/>
        <w:right w:val="none" w:sz="0" w:space="0" w:color="auto"/>
      </w:divBdr>
    </w:div>
    <w:div w:id="572935797">
      <w:bodyDiv w:val="1"/>
      <w:marLeft w:val="0"/>
      <w:marRight w:val="0"/>
      <w:marTop w:val="0"/>
      <w:marBottom w:val="0"/>
      <w:divBdr>
        <w:top w:val="none" w:sz="0" w:space="0" w:color="auto"/>
        <w:left w:val="none" w:sz="0" w:space="0" w:color="auto"/>
        <w:bottom w:val="none" w:sz="0" w:space="0" w:color="auto"/>
        <w:right w:val="none" w:sz="0" w:space="0" w:color="auto"/>
      </w:divBdr>
    </w:div>
    <w:div w:id="628901473">
      <w:bodyDiv w:val="1"/>
      <w:marLeft w:val="0"/>
      <w:marRight w:val="0"/>
      <w:marTop w:val="0"/>
      <w:marBottom w:val="0"/>
      <w:divBdr>
        <w:top w:val="none" w:sz="0" w:space="0" w:color="auto"/>
        <w:left w:val="none" w:sz="0" w:space="0" w:color="auto"/>
        <w:bottom w:val="none" w:sz="0" w:space="0" w:color="auto"/>
        <w:right w:val="none" w:sz="0" w:space="0" w:color="auto"/>
      </w:divBdr>
    </w:div>
    <w:div w:id="675307019">
      <w:bodyDiv w:val="1"/>
      <w:marLeft w:val="0"/>
      <w:marRight w:val="0"/>
      <w:marTop w:val="0"/>
      <w:marBottom w:val="0"/>
      <w:divBdr>
        <w:top w:val="none" w:sz="0" w:space="0" w:color="auto"/>
        <w:left w:val="none" w:sz="0" w:space="0" w:color="auto"/>
        <w:bottom w:val="none" w:sz="0" w:space="0" w:color="auto"/>
        <w:right w:val="none" w:sz="0" w:space="0" w:color="auto"/>
      </w:divBdr>
    </w:div>
    <w:div w:id="714357478">
      <w:bodyDiv w:val="1"/>
      <w:marLeft w:val="0"/>
      <w:marRight w:val="0"/>
      <w:marTop w:val="0"/>
      <w:marBottom w:val="0"/>
      <w:divBdr>
        <w:top w:val="none" w:sz="0" w:space="0" w:color="auto"/>
        <w:left w:val="none" w:sz="0" w:space="0" w:color="auto"/>
        <w:bottom w:val="none" w:sz="0" w:space="0" w:color="auto"/>
        <w:right w:val="none" w:sz="0" w:space="0" w:color="auto"/>
      </w:divBdr>
    </w:div>
    <w:div w:id="828400097">
      <w:bodyDiv w:val="1"/>
      <w:marLeft w:val="0"/>
      <w:marRight w:val="0"/>
      <w:marTop w:val="0"/>
      <w:marBottom w:val="0"/>
      <w:divBdr>
        <w:top w:val="none" w:sz="0" w:space="0" w:color="auto"/>
        <w:left w:val="none" w:sz="0" w:space="0" w:color="auto"/>
        <w:bottom w:val="none" w:sz="0" w:space="0" w:color="auto"/>
        <w:right w:val="none" w:sz="0" w:space="0" w:color="auto"/>
      </w:divBdr>
    </w:div>
    <w:div w:id="833225577">
      <w:bodyDiv w:val="1"/>
      <w:marLeft w:val="0"/>
      <w:marRight w:val="0"/>
      <w:marTop w:val="0"/>
      <w:marBottom w:val="0"/>
      <w:divBdr>
        <w:top w:val="none" w:sz="0" w:space="0" w:color="auto"/>
        <w:left w:val="none" w:sz="0" w:space="0" w:color="auto"/>
        <w:bottom w:val="none" w:sz="0" w:space="0" w:color="auto"/>
        <w:right w:val="none" w:sz="0" w:space="0" w:color="auto"/>
      </w:divBdr>
    </w:div>
    <w:div w:id="877665738">
      <w:bodyDiv w:val="1"/>
      <w:marLeft w:val="0"/>
      <w:marRight w:val="0"/>
      <w:marTop w:val="0"/>
      <w:marBottom w:val="0"/>
      <w:divBdr>
        <w:top w:val="none" w:sz="0" w:space="0" w:color="auto"/>
        <w:left w:val="none" w:sz="0" w:space="0" w:color="auto"/>
        <w:bottom w:val="none" w:sz="0" w:space="0" w:color="auto"/>
        <w:right w:val="none" w:sz="0" w:space="0" w:color="auto"/>
      </w:divBdr>
      <w:divsChild>
        <w:div w:id="2111002061">
          <w:marLeft w:val="0"/>
          <w:marRight w:val="0"/>
          <w:marTop w:val="0"/>
          <w:marBottom w:val="0"/>
          <w:divBdr>
            <w:top w:val="none" w:sz="0" w:space="0" w:color="auto"/>
            <w:left w:val="none" w:sz="0" w:space="0" w:color="auto"/>
            <w:bottom w:val="none" w:sz="0" w:space="0" w:color="auto"/>
            <w:right w:val="none" w:sz="0" w:space="0" w:color="auto"/>
          </w:divBdr>
          <w:divsChild>
            <w:div w:id="709259071">
              <w:marLeft w:val="0"/>
              <w:marRight w:val="0"/>
              <w:marTop w:val="0"/>
              <w:marBottom w:val="0"/>
              <w:divBdr>
                <w:top w:val="none" w:sz="0" w:space="0" w:color="auto"/>
                <w:left w:val="none" w:sz="0" w:space="0" w:color="auto"/>
                <w:bottom w:val="none" w:sz="0" w:space="0" w:color="auto"/>
                <w:right w:val="none" w:sz="0" w:space="0" w:color="auto"/>
              </w:divBdr>
              <w:divsChild>
                <w:div w:id="70949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0420">
      <w:bodyDiv w:val="1"/>
      <w:marLeft w:val="0"/>
      <w:marRight w:val="0"/>
      <w:marTop w:val="0"/>
      <w:marBottom w:val="0"/>
      <w:divBdr>
        <w:top w:val="none" w:sz="0" w:space="0" w:color="auto"/>
        <w:left w:val="none" w:sz="0" w:space="0" w:color="auto"/>
        <w:bottom w:val="none" w:sz="0" w:space="0" w:color="auto"/>
        <w:right w:val="none" w:sz="0" w:space="0" w:color="auto"/>
      </w:divBdr>
    </w:div>
    <w:div w:id="1025867467">
      <w:bodyDiv w:val="1"/>
      <w:marLeft w:val="0"/>
      <w:marRight w:val="0"/>
      <w:marTop w:val="0"/>
      <w:marBottom w:val="0"/>
      <w:divBdr>
        <w:top w:val="none" w:sz="0" w:space="0" w:color="auto"/>
        <w:left w:val="none" w:sz="0" w:space="0" w:color="auto"/>
        <w:bottom w:val="none" w:sz="0" w:space="0" w:color="auto"/>
        <w:right w:val="none" w:sz="0" w:space="0" w:color="auto"/>
      </w:divBdr>
    </w:div>
    <w:div w:id="1084572958">
      <w:bodyDiv w:val="1"/>
      <w:marLeft w:val="0"/>
      <w:marRight w:val="0"/>
      <w:marTop w:val="0"/>
      <w:marBottom w:val="0"/>
      <w:divBdr>
        <w:top w:val="none" w:sz="0" w:space="0" w:color="auto"/>
        <w:left w:val="none" w:sz="0" w:space="0" w:color="auto"/>
        <w:bottom w:val="none" w:sz="0" w:space="0" w:color="auto"/>
        <w:right w:val="none" w:sz="0" w:space="0" w:color="auto"/>
      </w:divBdr>
    </w:div>
    <w:div w:id="1092625387">
      <w:bodyDiv w:val="1"/>
      <w:marLeft w:val="0"/>
      <w:marRight w:val="0"/>
      <w:marTop w:val="0"/>
      <w:marBottom w:val="0"/>
      <w:divBdr>
        <w:top w:val="none" w:sz="0" w:space="0" w:color="auto"/>
        <w:left w:val="none" w:sz="0" w:space="0" w:color="auto"/>
        <w:bottom w:val="none" w:sz="0" w:space="0" w:color="auto"/>
        <w:right w:val="none" w:sz="0" w:space="0" w:color="auto"/>
      </w:divBdr>
    </w:div>
    <w:div w:id="1121849608">
      <w:bodyDiv w:val="1"/>
      <w:marLeft w:val="0"/>
      <w:marRight w:val="0"/>
      <w:marTop w:val="0"/>
      <w:marBottom w:val="0"/>
      <w:divBdr>
        <w:top w:val="none" w:sz="0" w:space="0" w:color="auto"/>
        <w:left w:val="none" w:sz="0" w:space="0" w:color="auto"/>
        <w:bottom w:val="none" w:sz="0" w:space="0" w:color="auto"/>
        <w:right w:val="none" w:sz="0" w:space="0" w:color="auto"/>
      </w:divBdr>
    </w:div>
    <w:div w:id="1144472107">
      <w:bodyDiv w:val="1"/>
      <w:marLeft w:val="0"/>
      <w:marRight w:val="0"/>
      <w:marTop w:val="0"/>
      <w:marBottom w:val="0"/>
      <w:divBdr>
        <w:top w:val="none" w:sz="0" w:space="0" w:color="auto"/>
        <w:left w:val="none" w:sz="0" w:space="0" w:color="auto"/>
        <w:bottom w:val="none" w:sz="0" w:space="0" w:color="auto"/>
        <w:right w:val="none" w:sz="0" w:space="0" w:color="auto"/>
      </w:divBdr>
    </w:div>
    <w:div w:id="1163467565">
      <w:bodyDiv w:val="1"/>
      <w:marLeft w:val="0"/>
      <w:marRight w:val="0"/>
      <w:marTop w:val="0"/>
      <w:marBottom w:val="0"/>
      <w:divBdr>
        <w:top w:val="none" w:sz="0" w:space="0" w:color="auto"/>
        <w:left w:val="none" w:sz="0" w:space="0" w:color="auto"/>
        <w:bottom w:val="none" w:sz="0" w:space="0" w:color="auto"/>
        <w:right w:val="none" w:sz="0" w:space="0" w:color="auto"/>
      </w:divBdr>
    </w:div>
    <w:div w:id="1202205012">
      <w:bodyDiv w:val="1"/>
      <w:marLeft w:val="0"/>
      <w:marRight w:val="0"/>
      <w:marTop w:val="0"/>
      <w:marBottom w:val="0"/>
      <w:divBdr>
        <w:top w:val="none" w:sz="0" w:space="0" w:color="auto"/>
        <w:left w:val="none" w:sz="0" w:space="0" w:color="auto"/>
        <w:bottom w:val="none" w:sz="0" w:space="0" w:color="auto"/>
        <w:right w:val="none" w:sz="0" w:space="0" w:color="auto"/>
      </w:divBdr>
    </w:div>
    <w:div w:id="1320889844">
      <w:bodyDiv w:val="1"/>
      <w:marLeft w:val="0"/>
      <w:marRight w:val="0"/>
      <w:marTop w:val="0"/>
      <w:marBottom w:val="0"/>
      <w:divBdr>
        <w:top w:val="none" w:sz="0" w:space="0" w:color="auto"/>
        <w:left w:val="none" w:sz="0" w:space="0" w:color="auto"/>
        <w:bottom w:val="none" w:sz="0" w:space="0" w:color="auto"/>
        <w:right w:val="none" w:sz="0" w:space="0" w:color="auto"/>
      </w:divBdr>
    </w:div>
    <w:div w:id="1321499017">
      <w:bodyDiv w:val="1"/>
      <w:marLeft w:val="0"/>
      <w:marRight w:val="0"/>
      <w:marTop w:val="0"/>
      <w:marBottom w:val="0"/>
      <w:divBdr>
        <w:top w:val="none" w:sz="0" w:space="0" w:color="auto"/>
        <w:left w:val="none" w:sz="0" w:space="0" w:color="auto"/>
        <w:bottom w:val="none" w:sz="0" w:space="0" w:color="auto"/>
        <w:right w:val="none" w:sz="0" w:space="0" w:color="auto"/>
      </w:divBdr>
    </w:div>
    <w:div w:id="1332292368">
      <w:bodyDiv w:val="1"/>
      <w:marLeft w:val="0"/>
      <w:marRight w:val="0"/>
      <w:marTop w:val="0"/>
      <w:marBottom w:val="0"/>
      <w:divBdr>
        <w:top w:val="none" w:sz="0" w:space="0" w:color="auto"/>
        <w:left w:val="none" w:sz="0" w:space="0" w:color="auto"/>
        <w:bottom w:val="none" w:sz="0" w:space="0" w:color="auto"/>
        <w:right w:val="none" w:sz="0" w:space="0" w:color="auto"/>
      </w:divBdr>
    </w:div>
    <w:div w:id="1350527436">
      <w:bodyDiv w:val="1"/>
      <w:marLeft w:val="0"/>
      <w:marRight w:val="0"/>
      <w:marTop w:val="0"/>
      <w:marBottom w:val="0"/>
      <w:divBdr>
        <w:top w:val="none" w:sz="0" w:space="0" w:color="auto"/>
        <w:left w:val="none" w:sz="0" w:space="0" w:color="auto"/>
        <w:bottom w:val="none" w:sz="0" w:space="0" w:color="auto"/>
        <w:right w:val="none" w:sz="0" w:space="0" w:color="auto"/>
      </w:divBdr>
    </w:div>
    <w:div w:id="1370718048">
      <w:bodyDiv w:val="1"/>
      <w:marLeft w:val="0"/>
      <w:marRight w:val="0"/>
      <w:marTop w:val="0"/>
      <w:marBottom w:val="0"/>
      <w:divBdr>
        <w:top w:val="none" w:sz="0" w:space="0" w:color="auto"/>
        <w:left w:val="none" w:sz="0" w:space="0" w:color="auto"/>
        <w:bottom w:val="none" w:sz="0" w:space="0" w:color="auto"/>
        <w:right w:val="none" w:sz="0" w:space="0" w:color="auto"/>
      </w:divBdr>
    </w:div>
    <w:div w:id="1416705939">
      <w:bodyDiv w:val="1"/>
      <w:marLeft w:val="0"/>
      <w:marRight w:val="0"/>
      <w:marTop w:val="0"/>
      <w:marBottom w:val="0"/>
      <w:divBdr>
        <w:top w:val="none" w:sz="0" w:space="0" w:color="auto"/>
        <w:left w:val="none" w:sz="0" w:space="0" w:color="auto"/>
        <w:bottom w:val="none" w:sz="0" w:space="0" w:color="auto"/>
        <w:right w:val="none" w:sz="0" w:space="0" w:color="auto"/>
      </w:divBdr>
    </w:div>
    <w:div w:id="1502812487">
      <w:bodyDiv w:val="1"/>
      <w:marLeft w:val="0"/>
      <w:marRight w:val="0"/>
      <w:marTop w:val="0"/>
      <w:marBottom w:val="0"/>
      <w:divBdr>
        <w:top w:val="none" w:sz="0" w:space="0" w:color="auto"/>
        <w:left w:val="none" w:sz="0" w:space="0" w:color="auto"/>
        <w:bottom w:val="none" w:sz="0" w:space="0" w:color="auto"/>
        <w:right w:val="none" w:sz="0" w:space="0" w:color="auto"/>
      </w:divBdr>
    </w:div>
    <w:div w:id="1512257922">
      <w:bodyDiv w:val="1"/>
      <w:marLeft w:val="0"/>
      <w:marRight w:val="0"/>
      <w:marTop w:val="0"/>
      <w:marBottom w:val="0"/>
      <w:divBdr>
        <w:top w:val="none" w:sz="0" w:space="0" w:color="auto"/>
        <w:left w:val="none" w:sz="0" w:space="0" w:color="auto"/>
        <w:bottom w:val="none" w:sz="0" w:space="0" w:color="auto"/>
        <w:right w:val="none" w:sz="0" w:space="0" w:color="auto"/>
      </w:divBdr>
    </w:div>
    <w:div w:id="1523937001">
      <w:bodyDiv w:val="1"/>
      <w:marLeft w:val="0"/>
      <w:marRight w:val="0"/>
      <w:marTop w:val="0"/>
      <w:marBottom w:val="0"/>
      <w:divBdr>
        <w:top w:val="none" w:sz="0" w:space="0" w:color="auto"/>
        <w:left w:val="none" w:sz="0" w:space="0" w:color="auto"/>
        <w:bottom w:val="none" w:sz="0" w:space="0" w:color="auto"/>
        <w:right w:val="none" w:sz="0" w:space="0" w:color="auto"/>
      </w:divBdr>
    </w:div>
    <w:div w:id="1550413563">
      <w:bodyDiv w:val="1"/>
      <w:marLeft w:val="0"/>
      <w:marRight w:val="0"/>
      <w:marTop w:val="0"/>
      <w:marBottom w:val="0"/>
      <w:divBdr>
        <w:top w:val="none" w:sz="0" w:space="0" w:color="auto"/>
        <w:left w:val="none" w:sz="0" w:space="0" w:color="auto"/>
        <w:bottom w:val="none" w:sz="0" w:space="0" w:color="auto"/>
        <w:right w:val="none" w:sz="0" w:space="0" w:color="auto"/>
      </w:divBdr>
    </w:div>
    <w:div w:id="1561594867">
      <w:bodyDiv w:val="1"/>
      <w:marLeft w:val="0"/>
      <w:marRight w:val="0"/>
      <w:marTop w:val="0"/>
      <w:marBottom w:val="0"/>
      <w:divBdr>
        <w:top w:val="none" w:sz="0" w:space="0" w:color="auto"/>
        <w:left w:val="none" w:sz="0" w:space="0" w:color="auto"/>
        <w:bottom w:val="none" w:sz="0" w:space="0" w:color="auto"/>
        <w:right w:val="none" w:sz="0" w:space="0" w:color="auto"/>
      </w:divBdr>
    </w:div>
    <w:div w:id="1564481819">
      <w:bodyDiv w:val="1"/>
      <w:marLeft w:val="0"/>
      <w:marRight w:val="0"/>
      <w:marTop w:val="0"/>
      <w:marBottom w:val="0"/>
      <w:divBdr>
        <w:top w:val="none" w:sz="0" w:space="0" w:color="auto"/>
        <w:left w:val="none" w:sz="0" w:space="0" w:color="auto"/>
        <w:bottom w:val="none" w:sz="0" w:space="0" w:color="auto"/>
        <w:right w:val="none" w:sz="0" w:space="0" w:color="auto"/>
      </w:divBdr>
    </w:div>
    <w:div w:id="1570731741">
      <w:bodyDiv w:val="1"/>
      <w:marLeft w:val="0"/>
      <w:marRight w:val="0"/>
      <w:marTop w:val="0"/>
      <w:marBottom w:val="0"/>
      <w:divBdr>
        <w:top w:val="none" w:sz="0" w:space="0" w:color="auto"/>
        <w:left w:val="none" w:sz="0" w:space="0" w:color="auto"/>
        <w:bottom w:val="none" w:sz="0" w:space="0" w:color="auto"/>
        <w:right w:val="none" w:sz="0" w:space="0" w:color="auto"/>
      </w:divBdr>
    </w:div>
    <w:div w:id="1682705073">
      <w:bodyDiv w:val="1"/>
      <w:marLeft w:val="0"/>
      <w:marRight w:val="0"/>
      <w:marTop w:val="0"/>
      <w:marBottom w:val="0"/>
      <w:divBdr>
        <w:top w:val="none" w:sz="0" w:space="0" w:color="auto"/>
        <w:left w:val="none" w:sz="0" w:space="0" w:color="auto"/>
        <w:bottom w:val="none" w:sz="0" w:space="0" w:color="auto"/>
        <w:right w:val="none" w:sz="0" w:space="0" w:color="auto"/>
      </w:divBdr>
    </w:div>
    <w:div w:id="1696492592">
      <w:bodyDiv w:val="1"/>
      <w:marLeft w:val="0"/>
      <w:marRight w:val="0"/>
      <w:marTop w:val="0"/>
      <w:marBottom w:val="0"/>
      <w:divBdr>
        <w:top w:val="none" w:sz="0" w:space="0" w:color="auto"/>
        <w:left w:val="none" w:sz="0" w:space="0" w:color="auto"/>
        <w:bottom w:val="none" w:sz="0" w:space="0" w:color="auto"/>
        <w:right w:val="none" w:sz="0" w:space="0" w:color="auto"/>
      </w:divBdr>
    </w:div>
    <w:div w:id="1705863130">
      <w:bodyDiv w:val="1"/>
      <w:marLeft w:val="0"/>
      <w:marRight w:val="0"/>
      <w:marTop w:val="0"/>
      <w:marBottom w:val="0"/>
      <w:divBdr>
        <w:top w:val="none" w:sz="0" w:space="0" w:color="auto"/>
        <w:left w:val="none" w:sz="0" w:space="0" w:color="auto"/>
        <w:bottom w:val="none" w:sz="0" w:space="0" w:color="auto"/>
        <w:right w:val="none" w:sz="0" w:space="0" w:color="auto"/>
      </w:divBdr>
    </w:div>
    <w:div w:id="1793667272">
      <w:bodyDiv w:val="1"/>
      <w:marLeft w:val="0"/>
      <w:marRight w:val="0"/>
      <w:marTop w:val="0"/>
      <w:marBottom w:val="0"/>
      <w:divBdr>
        <w:top w:val="none" w:sz="0" w:space="0" w:color="auto"/>
        <w:left w:val="none" w:sz="0" w:space="0" w:color="auto"/>
        <w:bottom w:val="none" w:sz="0" w:space="0" w:color="auto"/>
        <w:right w:val="none" w:sz="0" w:space="0" w:color="auto"/>
      </w:divBdr>
    </w:div>
    <w:div w:id="1898474265">
      <w:bodyDiv w:val="1"/>
      <w:marLeft w:val="0"/>
      <w:marRight w:val="0"/>
      <w:marTop w:val="0"/>
      <w:marBottom w:val="0"/>
      <w:divBdr>
        <w:top w:val="none" w:sz="0" w:space="0" w:color="auto"/>
        <w:left w:val="none" w:sz="0" w:space="0" w:color="auto"/>
        <w:bottom w:val="none" w:sz="0" w:space="0" w:color="auto"/>
        <w:right w:val="none" w:sz="0" w:space="0" w:color="auto"/>
      </w:divBdr>
    </w:div>
    <w:div w:id="1958178111">
      <w:bodyDiv w:val="1"/>
      <w:marLeft w:val="0"/>
      <w:marRight w:val="0"/>
      <w:marTop w:val="0"/>
      <w:marBottom w:val="0"/>
      <w:divBdr>
        <w:top w:val="none" w:sz="0" w:space="0" w:color="auto"/>
        <w:left w:val="none" w:sz="0" w:space="0" w:color="auto"/>
        <w:bottom w:val="none" w:sz="0" w:space="0" w:color="auto"/>
        <w:right w:val="none" w:sz="0" w:space="0" w:color="auto"/>
      </w:divBdr>
    </w:div>
    <w:div w:id="2111773267">
      <w:bodyDiv w:val="1"/>
      <w:marLeft w:val="0"/>
      <w:marRight w:val="0"/>
      <w:marTop w:val="0"/>
      <w:marBottom w:val="0"/>
      <w:divBdr>
        <w:top w:val="none" w:sz="0" w:space="0" w:color="auto"/>
        <w:left w:val="none" w:sz="0" w:space="0" w:color="auto"/>
        <w:bottom w:val="none" w:sz="0" w:space="0" w:color="auto"/>
        <w:right w:val="none" w:sz="0" w:space="0" w:color="auto"/>
      </w:divBdr>
    </w:div>
    <w:div w:id="2123064577">
      <w:bodyDiv w:val="1"/>
      <w:marLeft w:val="0"/>
      <w:marRight w:val="0"/>
      <w:marTop w:val="0"/>
      <w:marBottom w:val="0"/>
      <w:divBdr>
        <w:top w:val="none" w:sz="0" w:space="0" w:color="auto"/>
        <w:left w:val="none" w:sz="0" w:space="0" w:color="auto"/>
        <w:bottom w:val="none" w:sz="0" w:space="0" w:color="auto"/>
        <w:right w:val="none" w:sz="0" w:space="0" w:color="auto"/>
      </w:divBdr>
    </w:div>
    <w:div w:id="213825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sn06053/" TargetMode="External"/><Relationship Id="rId13" Type="http://schemas.openxmlformats.org/officeDocument/2006/relationships/hyperlink" Target="https://www.telegraph.co.uk/news/uknews/law-and-order/9908528/Britains-top-judge-attacks-Theresa-Mays-criticism-of-judiciar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ommonslibrary.parliament.uk/research-briefings/sn06053/" TargetMode="External"/><Relationship Id="rId12" Type="http://schemas.openxmlformats.org/officeDocument/2006/relationships/hyperlink" Target="https://www.telegraph.co.uk/politics/2020/07/31/former-tory-justice-minister-head-independent-review-role-judges/" TargetMode="External"/><Relationship Id="rId17" Type="http://schemas.openxmlformats.org/officeDocument/2006/relationships/hyperlink" Target="https://plato.stanford.edu/entries/rule-of-law/" TargetMode="External"/><Relationship Id="rId2" Type="http://schemas.openxmlformats.org/officeDocument/2006/relationships/numbering" Target="numbering.xml"/><Relationship Id="rId16" Type="http://schemas.openxmlformats.org/officeDocument/2006/relationships/hyperlink" Target="https://www.telegraph.co.uk/news/uknews/1551595/Judges-to-condemn-new-Ministry-of-Justice.html" TargetMode="External"/><Relationship Id="rId1" Type="http://schemas.openxmlformats.org/officeDocument/2006/relationships/customXml" Target="../customXml/item1.xml"/><Relationship Id="rId6" Type="http://schemas.openxmlformats.org/officeDocument/2006/relationships/hyperlink" Target="http://www.bailii.org/ew/cases/EWHC/Admin/2012/156.html" TargetMode="External"/><Relationship Id="rId11" Type="http://schemas.openxmlformats.org/officeDocument/2006/relationships/hyperlink" Target="https://www.judiciary.uk/about-the-judiciary/the-judiciary-the-government-and-the-constitution/jud-acc-ind/independence/" TargetMode="External"/><Relationship Id="rId5" Type="http://schemas.openxmlformats.org/officeDocument/2006/relationships/webSettings" Target="webSettings.xml"/><Relationship Id="rId15" Type="http://schemas.openxmlformats.org/officeDocument/2006/relationships/hyperlink" Target="https://www.judiciary.uk/wp-content/uploads/JCO/Documents/Speeches/lcj_kenya_clc_120907.pdf" TargetMode="External"/><Relationship Id="rId10" Type="http://schemas.openxmlformats.org/officeDocument/2006/relationships/hyperlink" Target="https://lordslibrary.parliament.uk/judicial-review-time-for-chan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lato.stanford.edu/entries/montesquieu/" TargetMode="External"/><Relationship Id="rId14" Type="http://schemas.openxmlformats.org/officeDocument/2006/relationships/hyperlink" Target="https://publications.parliament.uk/pa/ld200607/ldselect/ldconst/151/1511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Lor07</b:Tag>
    <b:SourceType>ConferenceProceedings</b:SourceType>
    <b:Guid>{AF25702E-A3DC-6049-B5F5-FC9CE5615960}</b:Guid>
    <b:Title>Judicial Independence </b:Title>
    <b:City>Nairobi </b:City>
    <b:Year>2007</b:Year>
    <b:Author>
      <b:Author>
        <b:NameList>
          <b:Person>
            <b:Last>Phillips</b:Last>
            <b:First>Lord</b:First>
          </b:Person>
        </b:NameList>
      </b:Author>
    </b:Author>
    <b:RefOrder>2</b:RefOrder>
  </b:Source>
  <b:Source>
    <b:Tag>jud20</b:Tag>
    <b:SourceType>InternetSite</b:SourceType>
    <b:Guid>{19D5B659-7CD0-9B4C-9CED-B2376A6A35CE}</b:Guid>
    <b:Title>judiciary</b:Title>
    <b:Year>2020</b:Year>
    <b:URL>www.judiciary.co.uk</b:URL>
    <b:RefOrder>3</b:RefOrder>
  </b:Source>
  <b:Source>
    <b:Tag>cha45</b:Tag>
    <b:SourceType>Book</b:SourceType>
    <b:Guid>{F5E808EE-CF33-2D43-B681-1DC1E94CEA64}</b:Guid>
    <b:Author>
      <b:Author>
        <b:NameList>
          <b:Person>
            <b:Last>charles- louis de secondat</b:Last>
            <b:First>baron</b:First>
            <b:Middle>de la brède et de Montesquieu</b:Middle>
          </b:Person>
        </b:NameList>
      </b:Author>
    </b:Author>
    <b:Title>the spirit of law </b:Title>
    <b:URL>https://plato.stanford.edu/entries/montesquieu</b:URL>
    <b:Year>1745</b:Year>
    <b:Month>winter </b:Month>
    <b:RefOrder>4</b:RefOrder>
  </b:Source>
  <b:Source>
    <b:Tag>Mon02</b:Tag>
    <b:SourceType>Book</b:SourceType>
    <b:Guid>{6C697A80-A36E-F04B-A0A2-623B1FCD4836}</b:Guid>
    <b:Title>the spirit of the laws</b:Title>
    <b:City>Cambrodge</b:City>
    <b:Publisher>Cambridge university press</b:Publisher>
    <b:Year>2002</b:Year>
    <b:Author>
      <b:Author>
        <b:NameList>
          <b:Person>
            <b:Last>Montesquieu</b:Last>
          </b:Person>
        </b:NameList>
      </b:Author>
      <b:Editor>
        <b:NameList>
          <b:Person>
            <b:Last>Anne M. Cohler</b:Last>
            <b:First>Basia</b:First>
            <b:Middle>C. Miller &amp; Harold S. Stone</b:Middle>
          </b:Person>
        </b:NameList>
      </b:Editor>
    </b:Author>
    <b:RefOrder>1</b:RefOrder>
  </b:Source>
  <b:Source>
    <b:Tag>Bok18</b:Tag>
    <b:SourceType>DocumentFromInternetSite</b:SourceType>
    <b:Guid>{E9971EFE-9FA2-EE46-B383-9C49B3F8FCEA}</b:Guid>
    <b:Title>The Stanford Encylopedia of Philosophy</b:Title>
    <b:Year>2018</b:Year>
    <b:Author>
      <b:Author>
        <b:NameList>
          <b:Person>
            <b:Last>Bok</b:Last>
            <b:First>Hilary</b:First>
          </b:Person>
        </b:NameList>
      </b:Author>
    </b:Author>
    <b:URL>https://plato.stanford.edu/archives/montesquieu/&gt;.</b:URL>
    <b:RefOrder>5</b:RefOrder>
  </b:Source>
  <b:Source>
    <b:Tag>Placeholder1</b:Tag>
    <b:SourceType>DocumentFromInternetSite</b:SourceType>
    <b:Guid>{2C9E63CF-2514-2E43-A16D-59C18FCD3EA1}</b:Guid>
    <b:RefOrder>6</b:RefOrder>
  </b:Source>
  <b:Source>
    <b:Tag>Cra07</b:Tag>
    <b:SourceType>Report</b:SourceType>
    <b:Guid>{5094692B-9720-9142-89FC-53A0256DE596}</b:Guid>
    <b:Title>the rule of law </b:Title>
    <b:Publisher>constitution committee publications </b:Publisher>
    <b:Year>2007</b:Year>
    <b:Author>
      <b:Author>
        <b:NameList>
          <b:Person>
            <b:Last>Craig</b:Last>
            <b:First>Paul</b:First>
          </b:Person>
        </b:NameList>
      </b:Author>
    </b:Author>
    <b:URL>www.publications.parliament.uk</b:URL>
    <b:Month>july</b:Month>
    <b:Day>11</b:Day>
    <b:Institution>House of Lords</b:Institution>
    <b:RefOrder>7</b:RefOrder>
  </b:Source>
  <b:Source>
    <b:Tag>ric11</b:Tag>
    <b:SourceType>DocumentFromInternetSite</b:SourceType>
    <b:Guid>{8244F9EC-73B5-5D4E-A864-8C1E3F971D68}</b:Guid>
    <b:Title>house of commons library</b:Title>
    <b:Year>2011</b:Year>
    <b:Author>
      <b:Author>
        <b:NameList>
          <b:Person>
            <b:Last>Benwell </b:Last>
            <b:First>Richard</b:First>
          </b:Person>
          <b:Person>
            <b:Last>Gay </b:Last>
            <b:First>Oonagh</b:First>
          </b:Person>
        </b:NameList>
      </b:Author>
    </b:Author>
    <b:URL>www.commonslibrary.parliament.uk</b:URL>
    <b:Month>august</b:Month>
    <b:Day>15</b:Day>
    <b:RefOrder>8</b:RefOrder>
  </b:Source>
  <b:Source>
    <b:Tag>Dic85</b:Tag>
    <b:SourceType>Book</b:SourceType>
    <b:Guid>{BD6DE16B-75C1-A448-8A2D-6069442D7A85}</b:Guid>
    <b:Title>the rule of law </b:Title>
    <b:Year>1885</b:Year>
    <b:Author>
      <b:Author>
        <b:NameList>
          <b:Person>
            <b:Last>Dicey</b:Last>
            <b:First>Albert</b:First>
          </b:Person>
        </b:NameList>
      </b:Author>
    </b:Author>
    <b:RefOrder>9</b:RefOrder>
  </b:Source>
  <b:Source>
    <b:Tag>Jos79</b:Tag>
    <b:SourceType>Book</b:SourceType>
    <b:Guid>{B48AE879-07D9-FC46-9EF5-AE407374457C}</b:Guid>
    <b:Author>
      <b:Author>
        <b:NameList>
          <b:Person>
            <b:Last>Raz</b:Last>
            <b:First>Joseph</b:First>
          </b:Person>
        </b:NameList>
      </b:Author>
    </b:Author>
    <b:Title>The authority of law:</b:Title>
    <b:Publisher>claredon press </b:Publisher>
    <b:Year>1979</b:Year>
    <b:RefOrder>10</b:RefOrder>
  </b:Source>
  <b:Source>
    <b:Tag>Roz07</b:Tag>
    <b:SourceType>ArticleInAPeriodical</b:SourceType>
    <b:Guid>{1F29643E-01E4-624D-9236-45B45B6BF6F8}</b:Guid>
    <b:Title>Judges to condem new Ministry of Justice</b:Title>
    <b:Year>2007</b:Year>
    <b:Author>
      <b:Author>
        <b:NameList>
          <b:Person>
            <b:Last>Rozenburg</b:Last>
            <b:First>Joshua</b:First>
          </b:Person>
        </b:NameList>
      </b:Author>
    </b:Author>
    <b:PeriodicalTitle>The telegraph</b:PeriodicalTitle>
    <b:Month>May </b:Month>
    <b:Day>15 </b:Day>
    <b:RefOrder>11</b:RefOrder>
  </b:Source>
  <b:Source>
    <b:Tag>Chr19</b:Tag>
    <b:SourceType>Book</b:SourceType>
    <b:Guid>{7BC53C4E-2E40-F54B-AE93-088C1BA5AD09}</b:Guid>
    <b:Title>Constitutional and Administrative Law</b:Title>
    <b:Year>2019</b:Year>
    <b:Author>
      <b:Author>
        <b:NameList>
          <b:Person>
            <b:Last>Taylor</b:Last>
            <b:First>Chris</b:First>
          </b:Person>
        </b:NameList>
      </b:Author>
    </b:Author>
    <b:Publisher>pearson</b:Publisher>
    <b:Edition>6th edition</b:Edition>
    <b:RefOrder>12</b:RefOrder>
  </b:Source>
  <b:Source>
    <b:Tag>Hou01</b:Tag>
    <b:SourceType>Report</b:SourceType>
    <b:Guid>{72541ADA-7B02-994C-B9E7-D9CD7B8D1FB7}</b:Guid>
    <b:Title>RELATIONS BETWEEN THE EXECUTIVE, JUDICIARY AND PARLIAMENT</b:Title>
    <b:Publisher>Authority of the House of Lords</b:Publisher>
    <b:Year>2007</b:Year>
    <b:Author>
      <b:Author>
        <b:NameList>
          <b:Person>
            <b:Last>constitution</b:Last>
            <b:First>select</b:First>
            <b:Middle>committee on the</b:Middle>
          </b:Person>
        </b:NameList>
      </b:Author>
    </b:Author>
    <b:RefOrder>13</b:RefOrder>
  </b:Source>
  <b:Source>
    <b:Tag>Wen13</b:Tag>
    <b:SourceType>ArticleInAPeriodical</b:SourceType>
    <b:Guid>{8CF4B6AD-EC9D-CE4A-BE4B-8FE3F2BCE354}</b:Guid>
    <b:Title>Britains top Judge attacks Theresa May's criticism of judiciary </b:Title>
    <b:Year>2013</b:Year>
    <b:Author>
      <b:Author>
        <b:NameList>
          <b:Person>
            <b:Last>Johnson</b:Last>
            <b:First>Wendy</b:First>
          </b:Person>
        </b:NameList>
      </b:Author>
    </b:Author>
    <b:PeriodicalTitle>The Telegraph </b:PeriodicalTitle>
    <b:Month>March </b:Month>
    <b:Day>04</b:Day>
    <b:RefOrder>14</b:RefOrder>
  </b:Source>
  <b:Source>
    <b:Tag>Cla20</b:Tag>
    <b:SourceType>DocumentFromInternetSite</b:SourceType>
    <b:Guid>{91FC7758-CE60-1B43-9F05-84E55566E670}</b:Guid>
    <b:Title>House of Lords Library </b:Title>
    <b:Year>2020</b:Year>
    <b:Month>June </b:Month>
    <b:Day>08</b:Day>
    <b:Author>
      <b:Author>
        <b:NameList>
          <b:Person>
            <b:Last>Brader</b:Last>
            <b:First>Clair</b:First>
          </b:Person>
        </b:NameList>
      </b:Author>
    </b:Author>
    <b:URL>www.lordslibrary.parliament.uk</b:URL>
    <b:RefOrder>15</b:RefOrder>
  </b:Source>
  <b:Source>
    <b:Tag>Cha20</b:Tag>
    <b:SourceType>ArticleInAPeriodical</b:SourceType>
    <b:Guid>{A3DCB7F3-EC96-A840-B2D2-AD6BB56490F4}</b:Guid>
    <b:Title>Former Tory justice Minister to head independent review of role of judges in politics</b:Title>
    <b:Year>2020</b:Year>
    <b:Month>July </b:Month>
    <b:Day>31</b:Day>
    <b:Author>
      <b:Author>
        <b:NameList>
          <b:Person>
            <b:Last>Hymas</b:Last>
            <b:First>Charles</b:First>
          </b:Person>
        </b:NameList>
      </b:Author>
    </b:Author>
    <b:PeriodicalTitle>The Telegraph </b:PeriodicalTitle>
    <b:RefOrder>16</b:RefOrder>
  </b:Source>
  <b:Source>
    <b:Tag>Rob99</b:Tag>
    <b:SourceType>JournalArticle</b:SourceType>
    <b:Guid>{5942053F-6D44-3F41-9476-4A598FA387F3}</b:Guid>
    <b:Title>A loss of innocence? Judicial Independence and the Separation of Powers </b:Title>
    <b:Year>1999</b:Year>
    <b:Pages>365 - 402</b:Pages>
    <b:Author>
      <b:Author>
        <b:NameList>
          <b:Person>
            <b:Last>Stevens</b:Last>
            <b:First>Robert</b:First>
          </b:Person>
        </b:NameList>
      </b:Author>
    </b:Author>
    <b:JournalName>Oxford Journals </b:JournalName>
    <b:Volume>19</b:Volume>
    <b:RefOrder>17</b:RefOrder>
  </b:Source>
  <b:Source>
    <b:Tag>Att12</b:Tag>
    <b:SourceType>Case</b:SourceType>
    <b:Guid>{A0872AE9-80FB-744F-910D-BDF7FE591FEC}</b:Guid>
    <b:Title>Attorney General V Dallas </b:Title>
    <b:Year>2012 </b:Year>
    <b:RefOrder>18</b:RefOrder>
  </b:Source>
  <b:Source>
    <b:Tag>Wal67</b:Tag>
    <b:SourceType>Book</b:SourceType>
    <b:Guid>{FDE93DB8-E13D-7C4B-A860-1C201243FEB4}</b:Guid>
    <b:Title>the English Constitution</b:Title>
    <b:Year>1867</b:Year>
    <b:Author>
      <b:Author>
        <b:NameList>
          <b:Person>
            <b:Last>Bagehot</b:Last>
            <b:First>Walter</b:First>
          </b:Person>
        </b:NameList>
      </b:Author>
    </b:Author>
    <b:RefOrder>19</b:RefOrder>
  </b:Source>
  <b:Source>
    <b:Tag>Kat07</b:Tag>
    <b:SourceType>Report</b:SourceType>
    <b:Guid>{8D365DA3-AD2D-BC48-AB88-F788685FC976}</b:Guid>
    <b:Title>The Effect of the constitutional reform act 2005 on the relationship between the judiciary, the executive and parliament </b:Title>
    <b:Year>2007</b:Year>
    <b:Author>
      <b:Author>
        <b:NameList>
          <b:Person>
            <b:Last>Malleson</b:Last>
            <b:First>Kate</b:First>
          </b:Person>
        </b:NameList>
      </b:Author>
    </b:Author>
    <b:RefOrder>20</b:RefOrder>
  </b:Source>
</b:Sources>
</file>

<file path=customXml/itemProps1.xml><?xml version="1.0" encoding="utf-8"?>
<ds:datastoreItem xmlns:ds="http://schemas.openxmlformats.org/officeDocument/2006/customXml" ds:itemID="{A26F7EE7-DC2B-F640-9DCE-4EE4BC54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8</Pages>
  <Words>2317</Words>
  <Characters>13210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ANNE KAN</dc:creator>
  <cp:keywords/>
  <dc:description/>
  <cp:lastModifiedBy>Teresa Anne Kan (2017444)</cp:lastModifiedBy>
  <cp:revision>31</cp:revision>
  <cp:lastPrinted>2020-11-21T14:40:00Z</cp:lastPrinted>
  <dcterms:created xsi:type="dcterms:W3CDTF">2020-11-12T16:15:00Z</dcterms:created>
  <dcterms:modified xsi:type="dcterms:W3CDTF">2020-11-21T16:01:00Z</dcterms:modified>
</cp:coreProperties>
</file>