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74B2B9"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b/>
          <w:bCs/>
          <w:color w:val="191919"/>
          <w:sz w:val="22"/>
          <w:szCs w:val="22"/>
          <w:lang w:val="en-US"/>
        </w:rPr>
        <w:t>Critical response to an article that provides evidence of sound knowledge and understanding of themes related to the teaching of Welsh in the English-medium sector.</w:t>
      </w:r>
      <w:r>
        <w:rPr>
          <w:rStyle w:val="normaltextrun"/>
          <w:rFonts w:ascii="Arial" w:hAnsi="Arial" w:cs="Arial"/>
          <w:sz w:val="22"/>
          <w:szCs w:val="22"/>
        </w:rPr>
        <w:t> </w:t>
      </w:r>
      <w:r>
        <w:rPr>
          <w:rStyle w:val="eop"/>
          <w:rFonts w:ascii="Arial" w:hAnsi="Arial" w:cs="Arial"/>
          <w:sz w:val="22"/>
          <w:szCs w:val="22"/>
        </w:rPr>
        <w:t> </w:t>
      </w:r>
    </w:p>
    <w:p w14:paraId="4DF91CFA"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rPr>
        <w:t> </w:t>
      </w:r>
      <w:r>
        <w:rPr>
          <w:rStyle w:val="eop"/>
          <w:rFonts w:ascii="Arial" w:hAnsi="Arial" w:cs="Arial"/>
          <w:sz w:val="22"/>
          <w:szCs w:val="22"/>
        </w:rPr>
        <w:t> </w:t>
      </w:r>
    </w:p>
    <w:p w14:paraId="68D97E61" w14:textId="77777777" w:rsidR="00B041C4" w:rsidRDefault="00B041C4" w:rsidP="009B2DEC">
      <w:pPr>
        <w:pStyle w:val="paragraph"/>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color w:val="191919"/>
          <w:sz w:val="22"/>
          <w:szCs w:val="22"/>
          <w:lang w:val="en-US"/>
        </w:rPr>
        <w:t>The essay will provide a critical response to the article “Non-Native English Students Learning in English: Reviewing and Reflecting on the Research” co-authored by</w:t>
      </w:r>
      <w:r>
        <w:rPr>
          <w:rStyle w:val="normaltextrun"/>
          <w:rFonts w:ascii="Arial" w:hAnsi="Arial" w:cs="Arial"/>
          <w:sz w:val="22"/>
          <w:szCs w:val="22"/>
          <w:lang w:val="en-US"/>
        </w:rPr>
        <w:t> Bernardo, A and Gaerlan</w:t>
      </w:r>
      <w:bookmarkStart w:id="0" w:name="_GoBack"/>
      <w:bookmarkEnd w:id="0"/>
      <w:r w:rsidRPr="009B2DEC">
        <w:rPr>
          <w:rStyle w:val="normaltextrun"/>
          <w:rFonts w:ascii="Arial" w:hAnsi="Arial" w:cs="Arial"/>
          <w:color w:val="000000" w:themeColor="text1"/>
          <w:sz w:val="22"/>
          <w:szCs w:val="22"/>
          <w:lang w:val="en-US"/>
        </w:rPr>
        <w:t>, M.J.M. (2011) which appeared</w:t>
      </w:r>
      <w:r w:rsidR="00492F83" w:rsidRPr="009B2DEC">
        <w:rPr>
          <w:rStyle w:val="normaltextrun"/>
          <w:rFonts w:ascii="Arial" w:hAnsi="Arial" w:cs="Arial"/>
          <w:color w:val="000000" w:themeColor="text1"/>
          <w:sz w:val="22"/>
          <w:szCs w:val="22"/>
          <w:lang w:val="en-US"/>
        </w:rPr>
        <w:t> in</w:t>
      </w:r>
      <w:r w:rsidRPr="009B2DEC">
        <w:rPr>
          <w:rStyle w:val="normaltextrun"/>
          <w:rFonts w:ascii="Arial" w:hAnsi="Arial" w:cs="Arial"/>
          <w:color w:val="000000" w:themeColor="text1"/>
          <w:sz w:val="22"/>
          <w:szCs w:val="22"/>
          <w:lang w:val="en-US"/>
        </w:rPr>
        <w:t> </w:t>
      </w:r>
      <w:r w:rsidRPr="009B2DEC">
        <w:rPr>
          <w:rStyle w:val="spellingerror"/>
          <w:rFonts w:ascii="Arial" w:hAnsi="Arial" w:cs="Arial"/>
          <w:color w:val="000000" w:themeColor="text1"/>
          <w:sz w:val="22"/>
          <w:szCs w:val="22"/>
          <w:lang w:val="en-US"/>
        </w:rPr>
        <w:t>Jaidey</w:t>
      </w:r>
      <w:r w:rsidRPr="009B2DEC">
        <w:rPr>
          <w:rStyle w:val="normaltextrun"/>
          <w:rFonts w:ascii="Arial" w:hAnsi="Arial" w:cs="Arial"/>
          <w:color w:val="000000" w:themeColor="text1"/>
          <w:sz w:val="22"/>
          <w:szCs w:val="22"/>
          <w:lang w:val="en-US"/>
        </w:rPr>
        <w:t>, R., Sadorra, M.L.C., Wong, J.O., Lee, M.C. &amp; Lorente, M.C. (eds.) </w:t>
      </w:r>
      <w:r w:rsidRPr="009B2DEC">
        <w:rPr>
          <w:rStyle w:val="normaltextrun"/>
          <w:rFonts w:ascii="Arial" w:hAnsi="Arial" w:cs="Arial"/>
          <w:i/>
          <w:iCs/>
          <w:color w:val="000000" w:themeColor="text1"/>
          <w:sz w:val="22"/>
          <w:szCs w:val="22"/>
          <w:lang w:val="en-US"/>
        </w:rPr>
        <w:t>Global perspectives, local initiatives: Reflections and practices in ELT</w:t>
      </w:r>
      <w:r w:rsidRPr="009B2DEC">
        <w:rPr>
          <w:rStyle w:val="normaltextrun"/>
          <w:rFonts w:ascii="Arial" w:hAnsi="Arial" w:cs="Arial"/>
          <w:color w:val="000000" w:themeColor="text1"/>
          <w:sz w:val="22"/>
          <w:szCs w:val="22"/>
          <w:lang w:val="en-US"/>
        </w:rPr>
        <w:t>.  National University of Singapore, CELC, pp.1-9.</w:t>
      </w:r>
      <w:r w:rsidRPr="009B2DEC">
        <w:rPr>
          <w:rStyle w:val="normaltextrun"/>
          <w:rFonts w:ascii="Arial" w:hAnsi="Arial" w:cs="Arial"/>
          <w:color w:val="000000" w:themeColor="text1"/>
          <w:sz w:val="22"/>
          <w:szCs w:val="22"/>
        </w:rPr>
        <w:t> It will consider the strengths of the work as an academic research journal and review it specifically in terms of its importance in the context of the teaching and learning of Welsh as a second language particularly in a primary education setting</w:t>
      </w:r>
      <w:r w:rsidR="00492F83" w:rsidRPr="009B2DEC">
        <w:rPr>
          <w:rStyle w:val="normaltextrun"/>
          <w:rFonts w:ascii="Arial" w:hAnsi="Arial" w:cs="Arial"/>
          <w:color w:val="000000" w:themeColor="text1"/>
          <w:sz w:val="22"/>
          <w:szCs w:val="22"/>
        </w:rPr>
        <w:t>.</w:t>
      </w:r>
    </w:p>
    <w:p w14:paraId="7AD24E17" w14:textId="77777777" w:rsidR="00492F83" w:rsidRDefault="00492F83" w:rsidP="009B2DEC">
      <w:pPr>
        <w:pStyle w:val="paragraph"/>
        <w:spacing w:before="0" w:beforeAutospacing="0" w:after="0" w:afterAutospacing="0" w:line="360" w:lineRule="auto"/>
        <w:textAlignment w:val="baseline"/>
        <w:rPr>
          <w:rFonts w:ascii="Arial" w:hAnsi="Arial" w:cs="Arial"/>
          <w:sz w:val="18"/>
          <w:szCs w:val="18"/>
        </w:rPr>
      </w:pPr>
    </w:p>
    <w:p w14:paraId="710AB60C"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The title of the article is arguably unspecific as it does not convey the scope of the study. Indeed, it does not follow the advice given by the Cambridge University Press that the title should be ‘</w:t>
      </w:r>
      <w:r>
        <w:rPr>
          <w:rStyle w:val="normaltextrun"/>
          <w:rFonts w:ascii="Arial" w:hAnsi="Arial" w:cs="Arial"/>
          <w:sz w:val="22"/>
          <w:szCs w:val="22"/>
        </w:rPr>
        <w:t>descriptive, unambiguous, and accurate’ (Cambridge University Press, 2019). This lack of clarity continues in the </w:t>
      </w:r>
      <w:r>
        <w:rPr>
          <w:rStyle w:val="normaltextrun"/>
          <w:rFonts w:ascii="Arial" w:hAnsi="Arial" w:cs="Arial"/>
          <w:sz w:val="22"/>
          <w:szCs w:val="22"/>
          <w:lang w:val="en-US"/>
        </w:rPr>
        <w:t>abstract which also fails because it does not feature the focus of the investigation, the rationale for the research, the research methods</w:t>
      </w:r>
      <w:r w:rsidR="00492F83" w:rsidRPr="00492F83">
        <w:rPr>
          <w:rStyle w:val="eop"/>
          <w:rFonts w:ascii="Arial" w:hAnsi="Arial" w:cs="Arial"/>
          <w:sz w:val="22"/>
          <w:szCs w:val="22"/>
        </w:rPr>
        <w:t xml:space="preserve"> </w:t>
      </w:r>
      <w:r w:rsidR="00492F83">
        <w:rPr>
          <w:rStyle w:val="eop"/>
          <w:rFonts w:ascii="Arial" w:hAnsi="Arial" w:cs="Arial"/>
          <w:sz w:val="22"/>
          <w:szCs w:val="22"/>
        </w:rPr>
        <w:t>Bernardo and Gaerlan (2011)</w:t>
      </w:r>
      <w:r>
        <w:rPr>
          <w:rStyle w:val="normaltextrun"/>
          <w:rFonts w:ascii="Arial" w:hAnsi="Arial" w:cs="Arial"/>
          <w:sz w:val="22"/>
          <w:szCs w:val="22"/>
          <w:lang w:val="en-US"/>
        </w:rPr>
        <w:t>, the main results or the conclusions and implications of the research; five features which ensure that an abstract is a fully self-contained description of the overall content of the article (Queens University Belfast, no date). The abstract of the journal under consideration does not stand alone</w:t>
      </w:r>
      <w:r w:rsidR="00492F83" w:rsidRPr="00492F83">
        <w:rPr>
          <w:rStyle w:val="eop"/>
          <w:rFonts w:ascii="Arial" w:hAnsi="Arial" w:cs="Arial"/>
          <w:sz w:val="22"/>
          <w:szCs w:val="22"/>
        </w:rPr>
        <w:t xml:space="preserve"> </w:t>
      </w:r>
      <w:r w:rsidR="00492F83">
        <w:rPr>
          <w:rStyle w:val="eop"/>
          <w:rFonts w:ascii="Arial" w:hAnsi="Arial" w:cs="Arial"/>
          <w:sz w:val="22"/>
          <w:szCs w:val="22"/>
        </w:rPr>
        <w:t>Bernardo and Gae</w:t>
      </w:r>
      <w:r w:rsidR="00492F83">
        <w:rPr>
          <w:rStyle w:val="eop"/>
          <w:rFonts w:ascii="Arial" w:hAnsi="Arial" w:cs="Arial"/>
          <w:sz w:val="22"/>
          <w:szCs w:val="22"/>
        </w:rPr>
        <w:t>rlan (2011)</w:t>
      </w:r>
      <w:r>
        <w:rPr>
          <w:rStyle w:val="normaltextrun"/>
          <w:rFonts w:ascii="Arial" w:hAnsi="Arial" w:cs="Arial"/>
          <w:sz w:val="22"/>
          <w:szCs w:val="22"/>
          <w:lang w:val="en-US"/>
        </w:rPr>
        <w:t xml:space="preserve">, this is apparent after reading the remainder of the article.  Failings in the structure of the article continue throughout with the main findings appearing in the discussion which also reveals the conclusion of the findings and suggestions for future research.  These important elements are not identified by sub-headings which would enable easier identification of </w:t>
      </w:r>
      <w:r w:rsidR="00754BFB">
        <w:rPr>
          <w:rStyle w:val="normaltextrun"/>
          <w:rFonts w:ascii="Arial" w:hAnsi="Arial" w:cs="Arial"/>
          <w:sz w:val="22"/>
          <w:szCs w:val="22"/>
          <w:lang w:val="en-US"/>
        </w:rPr>
        <w:t xml:space="preserve">them </w:t>
      </w:r>
      <w:r w:rsidR="00754BFB">
        <w:rPr>
          <w:rStyle w:val="eop"/>
          <w:rFonts w:ascii="Arial" w:hAnsi="Arial" w:cs="Arial"/>
          <w:sz w:val="22"/>
          <w:szCs w:val="22"/>
        </w:rPr>
        <w:t xml:space="preserve">Bernardo and Gaerlan (2011). </w:t>
      </w:r>
      <w:r>
        <w:rPr>
          <w:rStyle w:val="normaltextrun"/>
          <w:rFonts w:ascii="Arial" w:hAnsi="Arial" w:cs="Arial"/>
          <w:sz w:val="22"/>
          <w:szCs w:val="22"/>
          <w:lang w:val="en-US"/>
        </w:rPr>
        <w:t>  </w:t>
      </w:r>
      <w:r>
        <w:rPr>
          <w:rStyle w:val="eop"/>
          <w:rFonts w:ascii="Arial" w:hAnsi="Arial" w:cs="Arial"/>
          <w:sz w:val="22"/>
          <w:szCs w:val="22"/>
        </w:rPr>
        <w:t> </w:t>
      </w:r>
    </w:p>
    <w:p w14:paraId="42F6E791"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03CAFDBA" w14:textId="77777777" w:rsidR="009B2DEC"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By reading the abstract and the introduction an idea of the focus of the research begins to evolve.  To explain, the abstract comments that ‘more non-native speakers of English are learning English so that they can learn in English’</w:t>
      </w:r>
      <w:r w:rsidR="005C54E7">
        <w:rPr>
          <w:rStyle w:val="normaltextrun"/>
          <w:rFonts w:ascii="Arial" w:hAnsi="Arial" w:cs="Arial"/>
          <w:sz w:val="22"/>
          <w:szCs w:val="22"/>
          <w:lang w:val="en-US"/>
        </w:rPr>
        <w:t xml:space="preserve"> </w:t>
      </w:r>
      <w:r w:rsidR="005C54E7">
        <w:rPr>
          <w:rStyle w:val="eop"/>
          <w:rFonts w:ascii="Arial" w:hAnsi="Arial" w:cs="Arial"/>
          <w:sz w:val="22"/>
          <w:szCs w:val="22"/>
        </w:rPr>
        <w:t>Bernardo and Gae</w:t>
      </w:r>
      <w:r w:rsidR="009B2DEC">
        <w:rPr>
          <w:rStyle w:val="eop"/>
          <w:rFonts w:ascii="Arial" w:hAnsi="Arial" w:cs="Arial"/>
          <w:sz w:val="22"/>
          <w:szCs w:val="22"/>
        </w:rPr>
        <w:t xml:space="preserve">rlan (2011), </w:t>
      </w:r>
      <w:r>
        <w:rPr>
          <w:rStyle w:val="normaltextrun"/>
          <w:rFonts w:ascii="Arial" w:hAnsi="Arial" w:cs="Arial"/>
          <w:sz w:val="22"/>
          <w:szCs w:val="22"/>
          <w:lang w:val="en-US"/>
        </w:rPr>
        <w:t xml:space="preserve"> however the introduction states that the study will be considering the Philippine educational system and specifically exploring how students there learn and perform in mathematics which is taught in English</w:t>
      </w:r>
      <w:r w:rsidR="009B2DEC">
        <w:rPr>
          <w:rStyle w:val="normaltextrun"/>
          <w:rFonts w:ascii="Arial" w:hAnsi="Arial" w:cs="Arial"/>
          <w:sz w:val="22"/>
          <w:szCs w:val="22"/>
          <w:lang w:val="en-US"/>
        </w:rPr>
        <w:t xml:space="preserve"> </w:t>
      </w:r>
      <w:r w:rsidR="009B2DEC">
        <w:rPr>
          <w:rStyle w:val="eop"/>
          <w:rFonts w:ascii="Arial" w:hAnsi="Arial" w:cs="Arial"/>
          <w:sz w:val="22"/>
          <w:szCs w:val="22"/>
        </w:rPr>
        <w:t>Bernardo and Gae</w:t>
      </w:r>
      <w:r w:rsidR="009B2DEC">
        <w:rPr>
          <w:rStyle w:val="eop"/>
          <w:rFonts w:ascii="Arial" w:hAnsi="Arial" w:cs="Arial"/>
          <w:sz w:val="22"/>
          <w:szCs w:val="22"/>
        </w:rPr>
        <w:t>rlan (2011)</w:t>
      </w:r>
      <w:r>
        <w:rPr>
          <w:rStyle w:val="normaltextrun"/>
          <w:rFonts w:ascii="Arial" w:hAnsi="Arial" w:cs="Arial"/>
          <w:sz w:val="22"/>
          <w:szCs w:val="22"/>
          <w:lang w:val="en-US"/>
        </w:rPr>
        <w:t>. The reason for choosing mathematics is stated as being that the content of mathematics is ‘purportedly abstract’ and that it is possible that ‘the language used in the students’ mathematics learning activities may not have any effect on the stud</w:t>
      </w:r>
      <w:r w:rsidR="009B2DEC">
        <w:rPr>
          <w:rStyle w:val="normaltextrun"/>
          <w:rFonts w:ascii="Arial" w:hAnsi="Arial" w:cs="Arial"/>
          <w:sz w:val="22"/>
          <w:szCs w:val="22"/>
          <w:lang w:val="en-US"/>
        </w:rPr>
        <w:t xml:space="preserve">ents’ learning and performance </w:t>
      </w:r>
      <w:r w:rsidR="009B2DEC">
        <w:rPr>
          <w:rStyle w:val="eop"/>
          <w:rFonts w:ascii="Arial" w:hAnsi="Arial" w:cs="Arial"/>
          <w:sz w:val="22"/>
          <w:szCs w:val="22"/>
        </w:rPr>
        <w:t xml:space="preserve">Bernardo and Gaerlan (2011). </w:t>
      </w:r>
    </w:p>
    <w:p w14:paraId="151E6D3C" w14:textId="63FC812A"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lastRenderedPageBreak/>
        <w:t xml:space="preserve">However, they add they will consider more general studies not just those learning mathematics </w:t>
      </w:r>
      <w:r w:rsidR="009B2DEC">
        <w:rPr>
          <w:rStyle w:val="normaltextrun"/>
          <w:rFonts w:ascii="Arial" w:hAnsi="Arial" w:cs="Arial"/>
          <w:sz w:val="22"/>
          <w:szCs w:val="22"/>
          <w:lang w:val="en-US"/>
        </w:rPr>
        <w:t xml:space="preserve">which is somewhat contradictory </w:t>
      </w:r>
      <w:r w:rsidR="009B2DEC">
        <w:rPr>
          <w:rStyle w:val="eop"/>
          <w:rFonts w:ascii="Arial" w:hAnsi="Arial" w:cs="Arial"/>
          <w:sz w:val="22"/>
          <w:szCs w:val="22"/>
        </w:rPr>
        <w:t>Bernardo and Gaerlan (2011).</w:t>
      </w:r>
      <w:r>
        <w:rPr>
          <w:rStyle w:val="normaltextrun"/>
          <w:rFonts w:ascii="Arial" w:hAnsi="Arial" w:cs="Arial"/>
          <w:sz w:val="22"/>
          <w:szCs w:val="22"/>
          <w:lang w:val="en-US"/>
        </w:rPr>
        <w:t xml:space="preserve"> The introduction also mentions that consideration will be made to studies of bilingua</w:t>
      </w:r>
      <w:r w:rsidR="009B2DEC">
        <w:rPr>
          <w:rStyle w:val="normaltextrun"/>
          <w:rFonts w:ascii="Arial" w:hAnsi="Arial" w:cs="Arial"/>
          <w:sz w:val="22"/>
          <w:szCs w:val="22"/>
          <w:lang w:val="en-US"/>
        </w:rPr>
        <w:t xml:space="preserve">l learners in the United States </w:t>
      </w:r>
      <w:r w:rsidR="009B2DEC">
        <w:rPr>
          <w:rStyle w:val="eop"/>
          <w:rFonts w:ascii="Arial" w:hAnsi="Arial" w:cs="Arial"/>
          <w:sz w:val="22"/>
          <w:szCs w:val="22"/>
        </w:rPr>
        <w:t>Bernardo and Gaerlan (2011).</w:t>
      </w:r>
      <w:r w:rsidR="009B2DEC">
        <w:rPr>
          <w:rStyle w:val="normaltextrun"/>
          <w:rFonts w:ascii="Arial" w:hAnsi="Arial" w:cs="Arial"/>
          <w:sz w:val="22"/>
          <w:szCs w:val="22"/>
          <w:lang w:val="en-US"/>
        </w:rPr>
        <w:t> </w:t>
      </w:r>
      <w:r>
        <w:rPr>
          <w:rStyle w:val="normaltextrun"/>
          <w:rFonts w:ascii="Arial" w:hAnsi="Arial" w:cs="Arial"/>
          <w:sz w:val="22"/>
          <w:szCs w:val="22"/>
          <w:lang w:val="en-US"/>
        </w:rPr>
        <w:t>This approach is difficult to relate to second language and bilingual studies in Welsh Foundation Phase teaching where ‘Welsh is an integral part of daily routines’ (</w:t>
      </w:r>
      <w:r>
        <w:rPr>
          <w:rStyle w:val="spellingerror"/>
          <w:rFonts w:ascii="Arial" w:hAnsi="Arial" w:cs="Arial"/>
          <w:sz w:val="22"/>
          <w:szCs w:val="22"/>
          <w:lang w:val="en-US"/>
        </w:rPr>
        <w:t>Estyn</w:t>
      </w:r>
      <w:r>
        <w:rPr>
          <w:rStyle w:val="normaltextrun"/>
          <w:rFonts w:ascii="Arial" w:hAnsi="Arial" w:cs="Arial"/>
          <w:sz w:val="22"/>
          <w:szCs w:val="22"/>
          <w:lang w:val="en-US"/>
        </w:rPr>
        <w:t>, 2013).  </w:t>
      </w:r>
      <w:r>
        <w:rPr>
          <w:rStyle w:val="eop"/>
          <w:rFonts w:ascii="Arial" w:hAnsi="Arial" w:cs="Arial"/>
          <w:sz w:val="22"/>
          <w:szCs w:val="22"/>
        </w:rPr>
        <w:t> </w:t>
      </w:r>
    </w:p>
    <w:p w14:paraId="4B515C2E"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0B4A3232" w14:textId="77180A3B"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Turning attention to the context of the journal in terms of the authors</w:t>
      </w:r>
      <w:r w:rsidR="009B2DEC" w:rsidRPr="009B2DEC">
        <w:rPr>
          <w:rStyle w:val="eop"/>
          <w:rFonts w:ascii="Arial" w:hAnsi="Arial" w:cs="Arial"/>
          <w:sz w:val="22"/>
          <w:szCs w:val="22"/>
        </w:rPr>
        <w:t xml:space="preserve"> </w:t>
      </w:r>
      <w:r w:rsidR="009B2DEC">
        <w:rPr>
          <w:rStyle w:val="eop"/>
          <w:rFonts w:ascii="Arial" w:hAnsi="Arial" w:cs="Arial"/>
          <w:sz w:val="22"/>
          <w:szCs w:val="22"/>
        </w:rPr>
        <w:t>Bernardo and Gae</w:t>
      </w:r>
      <w:r w:rsidR="009B2DEC">
        <w:rPr>
          <w:rStyle w:val="eop"/>
          <w:rFonts w:ascii="Arial" w:hAnsi="Arial" w:cs="Arial"/>
          <w:sz w:val="22"/>
          <w:szCs w:val="22"/>
        </w:rPr>
        <w:t>rlan (2011),</w:t>
      </w:r>
      <w:r>
        <w:rPr>
          <w:rStyle w:val="normaltextrun"/>
          <w:rFonts w:ascii="Arial" w:hAnsi="Arial" w:cs="Arial"/>
          <w:sz w:val="22"/>
          <w:szCs w:val="22"/>
          <w:lang w:val="en-US"/>
        </w:rPr>
        <w:t xml:space="preserve"> it is noteworthy that there are no biographical details about the authors so no determination about their academic credentials can be made.  Indeed, there is no explanation why this biographical information is not presented.  However, the reference list contains 44 listings, 29.55% of which are the work of one of the authors, Bernardo which was carried out between 1996 and 2008.  This research by Bernardo could be believed somewhat outdated however consideration must be given to the fact that the psycholinguistic model for second language acquisition that Bernardo considers</w:t>
      </w:r>
      <w:r>
        <w:rPr>
          <w:rStyle w:val="normaltextrun"/>
          <w:rFonts w:ascii="Arial" w:hAnsi="Arial" w:cs="Arial"/>
          <w:color w:val="333333"/>
          <w:sz w:val="18"/>
          <w:szCs w:val="18"/>
          <w:lang w:val="en-US"/>
        </w:rPr>
        <w:t> </w:t>
      </w:r>
      <w:r>
        <w:rPr>
          <w:rStyle w:val="normaltextrun"/>
          <w:rFonts w:ascii="Arial" w:hAnsi="Arial" w:cs="Arial"/>
          <w:sz w:val="22"/>
          <w:szCs w:val="22"/>
          <w:lang w:val="en-US"/>
        </w:rPr>
        <w:t>remains at the center of cu</w:t>
      </w:r>
      <w:r w:rsidR="009B2DEC">
        <w:rPr>
          <w:rStyle w:val="normaltextrun"/>
          <w:rFonts w:ascii="Arial" w:hAnsi="Arial" w:cs="Arial"/>
          <w:sz w:val="22"/>
          <w:szCs w:val="22"/>
          <w:lang w:val="en-US"/>
        </w:rPr>
        <w:t xml:space="preserve">rrent literature on the subject </w:t>
      </w:r>
      <w:r w:rsidR="009B2DEC">
        <w:rPr>
          <w:rStyle w:val="eop"/>
          <w:rFonts w:ascii="Arial" w:hAnsi="Arial" w:cs="Arial"/>
          <w:sz w:val="22"/>
          <w:szCs w:val="22"/>
        </w:rPr>
        <w:t>Bernardo and Gaerlan (2011).</w:t>
      </w:r>
      <w:r>
        <w:rPr>
          <w:rStyle w:val="normaltextrun"/>
          <w:rFonts w:ascii="Arial" w:hAnsi="Arial" w:cs="Arial"/>
          <w:sz w:val="22"/>
          <w:szCs w:val="22"/>
          <w:lang w:val="en-US"/>
        </w:rPr>
        <w:t xml:space="preserve"> </w:t>
      </w:r>
      <w:r w:rsidR="009B2DEC">
        <w:rPr>
          <w:rStyle w:val="normaltextrun"/>
          <w:rFonts w:ascii="Arial" w:hAnsi="Arial" w:cs="Arial"/>
          <w:sz w:val="22"/>
          <w:szCs w:val="22"/>
          <w:lang w:val="en-US"/>
        </w:rPr>
        <w:t>Indeed,</w:t>
      </w:r>
      <w:r>
        <w:rPr>
          <w:rStyle w:val="normaltextrun"/>
          <w:rFonts w:ascii="Arial" w:hAnsi="Arial" w:cs="Arial"/>
          <w:sz w:val="22"/>
          <w:szCs w:val="22"/>
          <w:lang w:val="en-US"/>
        </w:rPr>
        <w:t> </w:t>
      </w:r>
      <w:r>
        <w:rPr>
          <w:rStyle w:val="normaltextrun"/>
          <w:rFonts w:ascii="Arial" w:hAnsi="Arial" w:cs="Arial"/>
          <w:sz w:val="22"/>
          <w:szCs w:val="22"/>
        </w:rPr>
        <w:t>since the 1990s, a tremendous surge of research has been undertaken on second language acquisition and bilingualism</w:t>
      </w:r>
      <w:r>
        <w:rPr>
          <w:rStyle w:val="normaltextrun"/>
          <w:rFonts w:ascii="Arial" w:hAnsi="Arial" w:cs="Arial"/>
          <w:sz w:val="22"/>
          <w:szCs w:val="22"/>
          <w:lang w:val="en-US"/>
        </w:rPr>
        <w:t> (Rossi and Kroll, 2018). Although research from the beginning of the nineteenth century up to the 1960s has had tendency to focus on the negative effects of bilingualism on the individuals thinking and intelligence Saunders (1988), there was an emphasis on the effect of mental confusion of all bilingual pupils in comparison to children that are monolingual (Reynold,1928 cited in Saunders, 1988). However, in the 1960s this theory changed, Peal a Lambert (1962), conducted research that suggested that there wasn’t a negative issue with bilingualism and intelligence Peal a Lambert (1962). Peal a Lambert (1962), suggested that the mental abilities of bilingual children are more diverse, and the children have more mental flexibility Peal a Lambert (1962). Also, Jones- Diaz (1997) suggest that studies that have taken place between monolinguals and bilingual learners have shown that children who are bilingual tend to show more sophisticated cognitive skills Jones- Diaz (1997).  </w:t>
      </w:r>
      <w:r>
        <w:rPr>
          <w:rStyle w:val="eop"/>
          <w:rFonts w:ascii="Arial" w:hAnsi="Arial" w:cs="Arial"/>
          <w:sz w:val="22"/>
          <w:szCs w:val="22"/>
        </w:rPr>
        <w:t> </w:t>
      </w:r>
    </w:p>
    <w:p w14:paraId="387467B4"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64BB3F6D" w14:textId="50E8F5C5" w:rsidR="00B041C4" w:rsidRPr="009B2DEC" w:rsidRDefault="00B041C4" w:rsidP="009B2DEC">
      <w:pPr>
        <w:pStyle w:val="paragraph"/>
        <w:spacing w:before="0" w:beforeAutospacing="0" w:after="0" w:afterAutospacing="0" w:line="360" w:lineRule="auto"/>
        <w:textAlignment w:val="baseline"/>
        <w:rPr>
          <w:rStyle w:val="normaltextrun"/>
          <w:rFonts w:ascii="Arial" w:hAnsi="Arial" w:cs="Arial"/>
          <w:sz w:val="18"/>
          <w:szCs w:val="18"/>
        </w:rPr>
      </w:pPr>
      <w:r>
        <w:rPr>
          <w:rStyle w:val="normaltextrun"/>
          <w:rFonts w:ascii="Arial" w:hAnsi="Arial" w:cs="Arial"/>
          <w:sz w:val="22"/>
          <w:szCs w:val="22"/>
          <w:lang w:val="en-US"/>
        </w:rPr>
        <w:t>In the article under review there is a section on psycholinguistic perspectives which </w:t>
      </w:r>
      <w:r>
        <w:rPr>
          <w:rStyle w:val="normaltextrun"/>
          <w:rFonts w:ascii="Arial" w:hAnsi="Arial" w:cs="Arial"/>
          <w:sz w:val="22"/>
          <w:szCs w:val="22"/>
        </w:rPr>
        <w:t>emphasises</w:t>
      </w:r>
      <w:r w:rsidR="009B2DEC">
        <w:rPr>
          <w:rStyle w:val="normaltextrun"/>
          <w:rFonts w:ascii="Arial" w:hAnsi="Arial" w:cs="Arial"/>
          <w:sz w:val="22"/>
          <w:szCs w:val="22"/>
          <w:lang w:val="en-US"/>
        </w:rPr>
        <w:t xml:space="preserve"> a focus of the research </w:t>
      </w:r>
      <w:r w:rsidR="009B2DEC">
        <w:rPr>
          <w:rStyle w:val="eop"/>
          <w:rFonts w:ascii="Arial" w:hAnsi="Arial" w:cs="Arial"/>
          <w:sz w:val="22"/>
          <w:szCs w:val="22"/>
        </w:rPr>
        <w:t>Bernardo and Gaerlan (2011).</w:t>
      </w:r>
      <w:r>
        <w:rPr>
          <w:rStyle w:val="normaltextrun"/>
          <w:rFonts w:ascii="Arial" w:hAnsi="Arial" w:cs="Arial"/>
          <w:sz w:val="22"/>
          <w:szCs w:val="22"/>
          <w:lang w:val="en-US"/>
        </w:rPr>
        <w:t xml:space="preserve"> However, the authors allude to a variety of linked processes which are involved in the learning of various subjects including mathematics. These factors were not written about in detail. The following section considered in detail the learning of mathematics in the Philippines providing results. They </w:t>
      </w:r>
      <w:r>
        <w:rPr>
          <w:rStyle w:val="spellingerror"/>
          <w:rFonts w:ascii="Arial" w:hAnsi="Arial" w:cs="Arial"/>
          <w:sz w:val="22"/>
          <w:szCs w:val="22"/>
          <w:lang w:val="en-US"/>
        </w:rPr>
        <w:t>recognised</w:t>
      </w:r>
      <w:r>
        <w:rPr>
          <w:rStyle w:val="normaltextrun"/>
          <w:rFonts w:ascii="Arial" w:hAnsi="Arial" w:cs="Arial"/>
          <w:sz w:val="22"/>
          <w:szCs w:val="22"/>
          <w:lang w:val="en-US"/>
        </w:rPr>
        <w:t> the limitations of the psycholinguistic studies of bilingual learning and devoted another section to the sociolinguistic approaches to bilingual learners specifically how language relates to their identity and af</w:t>
      </w:r>
      <w:r w:rsidR="009B2DEC">
        <w:rPr>
          <w:rStyle w:val="normaltextrun"/>
          <w:rFonts w:ascii="Arial" w:hAnsi="Arial" w:cs="Arial"/>
          <w:sz w:val="22"/>
          <w:szCs w:val="22"/>
          <w:lang w:val="en-US"/>
        </w:rPr>
        <w:t xml:space="preserve">fects relationships for example </w:t>
      </w:r>
      <w:r w:rsidR="009B2DEC">
        <w:rPr>
          <w:rStyle w:val="eop"/>
          <w:rFonts w:ascii="Arial" w:hAnsi="Arial" w:cs="Arial"/>
          <w:sz w:val="22"/>
          <w:szCs w:val="22"/>
        </w:rPr>
        <w:t>Bernardo and Gae</w:t>
      </w:r>
      <w:r w:rsidR="009B2DEC">
        <w:rPr>
          <w:rStyle w:val="eop"/>
          <w:rFonts w:ascii="Arial" w:hAnsi="Arial" w:cs="Arial"/>
          <w:sz w:val="22"/>
          <w:szCs w:val="22"/>
        </w:rPr>
        <w:t>rlan (2011).</w:t>
      </w:r>
      <w:r>
        <w:rPr>
          <w:rStyle w:val="normaltextrun"/>
          <w:rFonts w:ascii="Arial" w:hAnsi="Arial" w:cs="Arial"/>
          <w:sz w:val="22"/>
          <w:szCs w:val="22"/>
          <w:lang w:val="en-US"/>
        </w:rPr>
        <w:t xml:space="preserve"> This is endorsed by </w:t>
      </w:r>
      <w:r>
        <w:rPr>
          <w:rStyle w:val="spellingerror"/>
          <w:rFonts w:ascii="Arial" w:hAnsi="Arial" w:cs="Arial"/>
          <w:sz w:val="22"/>
          <w:szCs w:val="22"/>
          <w:lang w:val="en-US"/>
        </w:rPr>
        <w:t>Trosset</w:t>
      </w:r>
      <w:r>
        <w:rPr>
          <w:rStyle w:val="normaltextrun"/>
          <w:rFonts w:ascii="Arial" w:hAnsi="Arial" w:cs="Arial"/>
          <w:sz w:val="22"/>
          <w:szCs w:val="22"/>
          <w:lang w:val="en-US"/>
        </w:rPr>
        <w:t> (1986) who concurred that most second language learning centered on the mental processes of individual learners.  This ‘self-limiting approach’ she added, ignored the notion that ‘language is above all an instrument of interpersonal interaction’ (</w:t>
      </w:r>
      <w:r>
        <w:rPr>
          <w:rStyle w:val="spellingerror"/>
          <w:rFonts w:ascii="Arial" w:hAnsi="Arial" w:cs="Arial"/>
          <w:sz w:val="22"/>
          <w:szCs w:val="22"/>
          <w:lang w:val="en-US"/>
        </w:rPr>
        <w:t>Trosset</w:t>
      </w:r>
      <w:r>
        <w:rPr>
          <w:rStyle w:val="normaltextrun"/>
          <w:rFonts w:ascii="Arial" w:hAnsi="Arial" w:cs="Arial"/>
          <w:sz w:val="22"/>
          <w:szCs w:val="22"/>
          <w:lang w:val="en-US"/>
        </w:rPr>
        <w:t xml:space="preserve">, 1986). The learning of Welsh in Foundation phase is </w:t>
      </w:r>
      <w:r>
        <w:rPr>
          <w:rStyle w:val="normaltextrun"/>
          <w:rFonts w:ascii="Arial" w:hAnsi="Arial" w:cs="Arial"/>
          <w:sz w:val="22"/>
          <w:szCs w:val="22"/>
          <w:lang w:val="en-US"/>
        </w:rPr>
        <w:t>worthy</w:t>
      </w:r>
      <w:r>
        <w:rPr>
          <w:rStyle w:val="normaltextrun"/>
          <w:rFonts w:ascii="Arial" w:hAnsi="Arial" w:cs="Arial"/>
          <w:sz w:val="22"/>
          <w:szCs w:val="22"/>
          <w:lang w:val="en-US"/>
        </w:rPr>
        <w:t xml:space="preserve"> and despite research into how language is learned and despite the aims of the Welsh Government through the curriculum</w:t>
      </w:r>
      <w:r>
        <w:rPr>
          <w:rStyle w:val="normaltextrun"/>
          <w:rFonts w:ascii="Arial" w:hAnsi="Arial" w:cs="Arial"/>
          <w:sz w:val="22"/>
          <w:szCs w:val="22"/>
          <w:lang w:val="en-US"/>
        </w:rPr>
        <w:t>,</w:t>
      </w:r>
      <w:r>
        <w:rPr>
          <w:rStyle w:val="normaltextrun"/>
          <w:rFonts w:ascii="Arial" w:hAnsi="Arial" w:cs="Arial"/>
          <w:sz w:val="22"/>
          <w:szCs w:val="22"/>
          <w:lang w:val="en-US"/>
        </w:rPr>
        <w:t xml:space="preserve"> the following problem</w:t>
      </w:r>
      <w:r>
        <w:rPr>
          <w:rStyle w:val="normaltextrun"/>
          <w:rFonts w:ascii="Arial" w:hAnsi="Arial" w:cs="Arial"/>
          <w:sz w:val="22"/>
          <w:szCs w:val="22"/>
          <w:lang w:val="en-US"/>
        </w:rPr>
        <w:t>s, within the foundation phase, between 2010 and 2012 had</w:t>
      </w:r>
      <w:r>
        <w:rPr>
          <w:rStyle w:val="normaltextrun"/>
          <w:rFonts w:ascii="Arial" w:hAnsi="Arial" w:cs="Arial"/>
          <w:sz w:val="22"/>
          <w:szCs w:val="22"/>
          <w:lang w:val="en-US"/>
        </w:rPr>
        <w:t xml:space="preserve"> been identified by </w:t>
      </w:r>
      <w:r>
        <w:rPr>
          <w:rStyle w:val="spellingerror"/>
          <w:rFonts w:ascii="Arial" w:hAnsi="Arial" w:cs="Arial"/>
          <w:sz w:val="22"/>
          <w:szCs w:val="22"/>
          <w:lang w:val="en-US"/>
        </w:rPr>
        <w:t>Estyn</w:t>
      </w:r>
      <w:r>
        <w:rPr>
          <w:rStyle w:val="normaltextrun"/>
          <w:rFonts w:ascii="Arial" w:hAnsi="Arial" w:cs="Arial"/>
          <w:sz w:val="22"/>
          <w:szCs w:val="22"/>
          <w:lang w:val="en-US"/>
        </w:rPr>
        <w:t> (2013)</w:t>
      </w:r>
      <w:r>
        <w:rPr>
          <w:rStyle w:val="normaltextrun"/>
          <w:rFonts w:ascii="Arial" w:hAnsi="Arial" w:cs="Arial"/>
          <w:sz w:val="22"/>
          <w:szCs w:val="22"/>
          <w:lang w:val="en-US"/>
        </w:rPr>
        <w:t>.</w:t>
      </w:r>
      <w:r>
        <w:rPr>
          <w:rStyle w:val="normaltextrun"/>
          <w:rFonts w:ascii="Arial" w:hAnsi="Arial" w:cs="Arial"/>
          <w:sz w:val="22"/>
          <w:szCs w:val="22"/>
          <w:lang w:val="en-US"/>
        </w:rPr>
        <w:t xml:space="preserve"> The problems that were identified in this report suggest that in few cases teachers and practitioners have weakness in their own knowledge and understanding </w:t>
      </w:r>
      <w:r>
        <w:rPr>
          <w:rStyle w:val="spellingerror"/>
          <w:rFonts w:ascii="Arial" w:hAnsi="Arial" w:cs="Arial"/>
          <w:sz w:val="22"/>
          <w:szCs w:val="22"/>
          <w:lang w:val="en-US"/>
        </w:rPr>
        <w:t>Es</w:t>
      </w:r>
      <w:r>
        <w:rPr>
          <w:rStyle w:val="spellingerror"/>
          <w:rFonts w:ascii="Arial" w:hAnsi="Arial" w:cs="Arial"/>
          <w:sz w:val="22"/>
          <w:szCs w:val="22"/>
          <w:lang w:val="en-US"/>
        </w:rPr>
        <w:t>tyn</w:t>
      </w:r>
      <w:r>
        <w:rPr>
          <w:rStyle w:val="normaltextrun"/>
          <w:rFonts w:ascii="Arial" w:hAnsi="Arial" w:cs="Arial"/>
          <w:sz w:val="22"/>
          <w:szCs w:val="22"/>
          <w:lang w:val="en-US"/>
        </w:rPr>
        <w:t> (2013</w:t>
      </w:r>
      <w:r>
        <w:rPr>
          <w:rStyle w:val="contextualspellingandgrammarerror"/>
          <w:rFonts w:ascii="Arial" w:hAnsi="Arial" w:cs="Arial"/>
          <w:sz w:val="22"/>
          <w:szCs w:val="22"/>
          <w:lang w:val="en-US"/>
        </w:rPr>
        <w:t>), and</w:t>
      </w:r>
      <w:r>
        <w:rPr>
          <w:rStyle w:val="normaltextrun"/>
          <w:rFonts w:ascii="Arial" w:hAnsi="Arial" w:cs="Arial"/>
          <w:sz w:val="22"/>
          <w:szCs w:val="22"/>
          <w:lang w:val="en-US"/>
        </w:rPr>
        <w:t> are not confident in their own speaking of the language </w:t>
      </w:r>
      <w:r>
        <w:rPr>
          <w:rStyle w:val="spellingerror"/>
          <w:rFonts w:ascii="Arial" w:hAnsi="Arial" w:cs="Arial"/>
          <w:sz w:val="22"/>
          <w:szCs w:val="22"/>
          <w:lang w:val="en-US"/>
        </w:rPr>
        <w:t>E</w:t>
      </w:r>
      <w:r>
        <w:rPr>
          <w:rStyle w:val="spellingerror"/>
          <w:rFonts w:ascii="Arial" w:hAnsi="Arial" w:cs="Arial"/>
          <w:sz w:val="22"/>
          <w:szCs w:val="22"/>
          <w:lang w:val="en-US"/>
        </w:rPr>
        <w:t>styn</w:t>
      </w:r>
      <w:r>
        <w:rPr>
          <w:rStyle w:val="normaltextrun"/>
          <w:rFonts w:ascii="Arial" w:hAnsi="Arial" w:cs="Arial"/>
          <w:sz w:val="22"/>
          <w:szCs w:val="22"/>
          <w:lang w:val="en-US"/>
        </w:rPr>
        <w:t> (2013). </w:t>
      </w:r>
      <w:r>
        <w:rPr>
          <w:rStyle w:val="contextualspellingandgrammarerror"/>
          <w:rFonts w:ascii="Arial" w:hAnsi="Arial" w:cs="Arial"/>
          <w:sz w:val="22"/>
          <w:szCs w:val="22"/>
          <w:lang w:val="en-US"/>
        </w:rPr>
        <w:t>Generall</w:t>
      </w:r>
      <w:r>
        <w:rPr>
          <w:rStyle w:val="contextualspellingandgrammarerror"/>
          <w:rFonts w:ascii="Arial" w:hAnsi="Arial" w:cs="Arial"/>
          <w:sz w:val="22"/>
          <w:szCs w:val="22"/>
          <w:lang w:val="en-US"/>
        </w:rPr>
        <w:t>y,</w:t>
      </w:r>
      <w:r>
        <w:rPr>
          <w:rStyle w:val="normaltextrun"/>
          <w:rFonts w:ascii="Arial" w:hAnsi="Arial" w:cs="Arial"/>
          <w:sz w:val="22"/>
          <w:szCs w:val="22"/>
          <w:lang w:val="en-US"/>
        </w:rPr>
        <w:t> what was noted in the </w:t>
      </w:r>
      <w:r>
        <w:rPr>
          <w:rStyle w:val="spellingerror"/>
          <w:rFonts w:ascii="Arial" w:hAnsi="Arial" w:cs="Arial"/>
          <w:sz w:val="22"/>
          <w:szCs w:val="22"/>
          <w:lang w:val="en-US"/>
        </w:rPr>
        <w:t>E</w:t>
      </w:r>
      <w:r>
        <w:rPr>
          <w:rStyle w:val="spellingerror"/>
          <w:rFonts w:ascii="Arial" w:hAnsi="Arial" w:cs="Arial"/>
          <w:sz w:val="22"/>
          <w:szCs w:val="22"/>
          <w:lang w:val="en-US"/>
        </w:rPr>
        <w:t>styn</w:t>
      </w:r>
      <w:r>
        <w:rPr>
          <w:rStyle w:val="normaltextrun"/>
          <w:rFonts w:ascii="Arial" w:hAnsi="Arial" w:cs="Arial"/>
          <w:sz w:val="22"/>
          <w:szCs w:val="22"/>
          <w:lang w:val="en-US"/>
        </w:rPr>
        <w:t> Report (2013) was that when Primary practitioner</w:t>
      </w:r>
      <w:r>
        <w:rPr>
          <w:rStyle w:val="normaltextrun"/>
          <w:rFonts w:ascii="Arial" w:hAnsi="Arial" w:cs="Arial"/>
          <w:sz w:val="22"/>
          <w:szCs w:val="22"/>
          <w:lang w:val="en-US"/>
        </w:rPr>
        <w:t>’</w:t>
      </w:r>
      <w:r>
        <w:rPr>
          <w:rStyle w:val="normaltextrun"/>
          <w:rFonts w:ascii="Arial" w:hAnsi="Arial" w:cs="Arial"/>
          <w:sz w:val="22"/>
          <w:szCs w:val="22"/>
          <w:lang w:val="en-US"/>
        </w:rPr>
        <w:t>s Welsh was fluent or the teacher’s first language is Welsh the pupils</w:t>
      </w:r>
      <w:r>
        <w:rPr>
          <w:rStyle w:val="normaltextrun"/>
          <w:rFonts w:ascii="Arial" w:hAnsi="Arial" w:cs="Arial"/>
          <w:sz w:val="22"/>
          <w:szCs w:val="22"/>
          <w:lang w:val="en-US"/>
        </w:rPr>
        <w:t>’</w:t>
      </w:r>
      <w:r>
        <w:rPr>
          <w:rStyle w:val="normaltextrun"/>
          <w:rFonts w:ascii="Arial" w:hAnsi="Arial" w:cs="Arial"/>
          <w:sz w:val="22"/>
          <w:szCs w:val="22"/>
          <w:lang w:val="en-US"/>
        </w:rPr>
        <w:t xml:space="preserve"> progression </w:t>
      </w:r>
      <w:r>
        <w:rPr>
          <w:rStyle w:val="normaltextrun"/>
          <w:rFonts w:ascii="Arial" w:hAnsi="Arial" w:cs="Arial"/>
          <w:sz w:val="22"/>
          <w:szCs w:val="22"/>
          <w:lang w:val="en-US"/>
        </w:rPr>
        <w:t>was</w:t>
      </w:r>
      <w:r>
        <w:rPr>
          <w:rStyle w:val="normaltextrun"/>
          <w:rFonts w:ascii="Arial" w:hAnsi="Arial" w:cs="Arial"/>
          <w:sz w:val="22"/>
          <w:szCs w:val="22"/>
          <w:lang w:val="en-US"/>
        </w:rPr>
        <w:t xml:space="preserve"> much better in</w:t>
      </w:r>
      <w:r>
        <w:rPr>
          <w:rStyle w:val="normaltextrun"/>
          <w:rFonts w:ascii="Arial" w:hAnsi="Arial" w:cs="Arial"/>
          <w:sz w:val="22"/>
          <w:szCs w:val="22"/>
          <w:lang w:val="en-US"/>
        </w:rPr>
        <w:t xml:space="preserve"> their</w:t>
      </w:r>
      <w:r>
        <w:rPr>
          <w:rStyle w:val="normaltextrun"/>
          <w:rFonts w:ascii="Arial" w:hAnsi="Arial" w:cs="Arial"/>
          <w:sz w:val="22"/>
          <w:szCs w:val="22"/>
          <w:lang w:val="en-US"/>
        </w:rPr>
        <w:t xml:space="preserve"> Welsh</w:t>
      </w:r>
      <w:r>
        <w:rPr>
          <w:rStyle w:val="normaltextrun"/>
          <w:rFonts w:ascii="Arial" w:hAnsi="Arial" w:cs="Arial"/>
          <w:sz w:val="22"/>
          <w:szCs w:val="22"/>
          <w:lang w:val="en-US"/>
        </w:rPr>
        <w:t xml:space="preserve"> language</w:t>
      </w:r>
      <w:r>
        <w:rPr>
          <w:rStyle w:val="normaltextrun"/>
          <w:rFonts w:ascii="Arial" w:hAnsi="Arial" w:cs="Arial"/>
          <w:sz w:val="22"/>
          <w:szCs w:val="22"/>
          <w:lang w:val="en-US"/>
        </w:rPr>
        <w:t> </w:t>
      </w:r>
      <w:r>
        <w:rPr>
          <w:rStyle w:val="spellingerror"/>
          <w:rFonts w:ascii="Arial" w:hAnsi="Arial" w:cs="Arial"/>
          <w:sz w:val="22"/>
          <w:szCs w:val="22"/>
          <w:lang w:val="en-US"/>
        </w:rPr>
        <w:t>E</w:t>
      </w:r>
      <w:r>
        <w:rPr>
          <w:rStyle w:val="spellingerror"/>
          <w:rFonts w:ascii="Arial" w:hAnsi="Arial" w:cs="Arial"/>
          <w:sz w:val="22"/>
          <w:szCs w:val="22"/>
          <w:lang w:val="en-US"/>
        </w:rPr>
        <w:t>styn</w:t>
      </w:r>
      <w:r>
        <w:rPr>
          <w:rStyle w:val="normaltextrun"/>
          <w:rFonts w:ascii="Arial" w:hAnsi="Arial" w:cs="Arial"/>
          <w:sz w:val="22"/>
          <w:szCs w:val="22"/>
          <w:lang w:val="en-US"/>
        </w:rPr>
        <w:t> (2013).</w:t>
      </w:r>
    </w:p>
    <w:p w14:paraId="7E7D2D08"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23359673"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The article under review does not identify the ages of the learners who are being considered.  This is information that would be of importance because identifying the demographic would make it relevant and relatable to any other researcher. </w:t>
      </w:r>
      <w:r>
        <w:rPr>
          <w:rStyle w:val="normaltextrun"/>
          <w:rFonts w:ascii="Arial" w:hAnsi="Arial" w:cs="Arial"/>
          <w:sz w:val="22"/>
          <w:szCs w:val="22"/>
        </w:rPr>
        <w:t>Demographic information is essential in determining whether the participants are a representative sample (Salkind 2010). </w:t>
      </w:r>
      <w:r>
        <w:rPr>
          <w:rStyle w:val="normaltextrun"/>
          <w:rFonts w:ascii="Arial" w:hAnsi="Arial" w:cs="Arial"/>
          <w:sz w:val="22"/>
          <w:szCs w:val="22"/>
          <w:lang w:val="en-US"/>
        </w:rPr>
        <w:t>To </w:t>
      </w:r>
      <w:r>
        <w:rPr>
          <w:rStyle w:val="spellingerror"/>
          <w:rFonts w:ascii="Arial" w:hAnsi="Arial" w:cs="Arial"/>
          <w:sz w:val="22"/>
          <w:szCs w:val="22"/>
          <w:lang w:val="en-US"/>
        </w:rPr>
        <w:t>emphasise</w:t>
      </w:r>
      <w:r>
        <w:rPr>
          <w:rStyle w:val="normaltextrun"/>
          <w:rFonts w:ascii="Arial" w:hAnsi="Arial" w:cs="Arial"/>
          <w:sz w:val="22"/>
          <w:szCs w:val="22"/>
          <w:lang w:val="en-US"/>
        </w:rPr>
        <w:t>, this is of significance from a Primary Educator’s perspective because according to Matlin (1994) young people especially are ‘biologically predisposed to language learning’ and that ‘developmentally appropriate instruction must be considered in second language learning’ (Matlin in </w:t>
      </w:r>
      <w:r>
        <w:rPr>
          <w:rStyle w:val="spellingerror"/>
          <w:rFonts w:ascii="Arial" w:hAnsi="Arial" w:cs="Arial"/>
          <w:sz w:val="22"/>
          <w:szCs w:val="22"/>
          <w:lang w:val="en-US"/>
        </w:rPr>
        <w:t>Maftoon</w:t>
      </w:r>
      <w:r>
        <w:rPr>
          <w:rStyle w:val="normaltextrun"/>
          <w:rFonts w:ascii="Arial" w:hAnsi="Arial" w:cs="Arial"/>
          <w:sz w:val="22"/>
          <w:szCs w:val="22"/>
          <w:lang w:val="en-US"/>
        </w:rPr>
        <w:t> and </w:t>
      </w:r>
      <w:r>
        <w:rPr>
          <w:rStyle w:val="spellingerror"/>
          <w:rFonts w:ascii="Arial" w:hAnsi="Arial" w:cs="Arial"/>
          <w:sz w:val="22"/>
          <w:szCs w:val="22"/>
          <w:lang w:val="en-US"/>
        </w:rPr>
        <w:t>Shakouri</w:t>
      </w:r>
      <w:r>
        <w:rPr>
          <w:rStyle w:val="normaltextrun"/>
          <w:rFonts w:ascii="Arial" w:hAnsi="Arial" w:cs="Arial"/>
          <w:sz w:val="22"/>
          <w:szCs w:val="22"/>
          <w:lang w:val="en-US"/>
        </w:rPr>
        <w:t> 2012). This is endorsed by the </w:t>
      </w:r>
      <w:r>
        <w:rPr>
          <w:rStyle w:val="normaltextrun"/>
          <w:rFonts w:ascii="Arial" w:hAnsi="Arial" w:cs="Arial"/>
          <w:sz w:val="22"/>
          <w:szCs w:val="22"/>
        </w:rPr>
        <w:t>The Welsh Foundation Phase Framework for Children’s learning which states that in educational settings where English is the main language there should be a progressive development of the children’s Welsh language skills.  This development of language skills should occur during the Foundation Phase in accordance with the Welsh Language Development Area of Learning (Estyn, 2013).  The Welsh Government in the ‘One Language for All’ (2013) document highlight Professor </w:t>
      </w:r>
      <w:r>
        <w:rPr>
          <w:rStyle w:val="spellingerror"/>
          <w:rFonts w:ascii="Arial" w:hAnsi="Arial" w:cs="Arial"/>
          <w:sz w:val="22"/>
          <w:szCs w:val="22"/>
        </w:rPr>
        <w:t>Sioned</w:t>
      </w:r>
      <w:r>
        <w:rPr>
          <w:rStyle w:val="normaltextrun"/>
          <w:rFonts w:ascii="Arial" w:hAnsi="Arial" w:cs="Arial"/>
          <w:sz w:val="22"/>
          <w:szCs w:val="22"/>
        </w:rPr>
        <w:t> Davies who remarked that the ‘future of Welsh and Welsh culture is wholly dependent on transmitting the language into our young people (WAG, 2013). UNESCO (1953) proposed that the best way for a child to progress educationally is through the medium of their native tongue UNESCO (1953), this is the best medium for them to learn through rather than through a linguistic medium that is unfamiliar to them UNESCO (1953). </w:t>
      </w:r>
      <w:r>
        <w:rPr>
          <w:rStyle w:val="eop"/>
          <w:rFonts w:ascii="Arial" w:hAnsi="Arial" w:cs="Arial"/>
          <w:sz w:val="22"/>
          <w:szCs w:val="22"/>
        </w:rPr>
        <w:t> </w:t>
      </w:r>
    </w:p>
    <w:p w14:paraId="59D98E12"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0A2C2FA5"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As to who the target audience for the article is a look at the abstract rather loosely states that it ends with some ‘reflections’ for ESL (English as a Second Language) and EFL (English as a Foreign Language) teachers along with teachers of bilingual students.  Rather disappointingly the final paragraph identifies that the article ‘did not address the problem of how these students learn English’ which arguably provides testament to its worth even to those language teachers it purports to provide ‘reflections’ for.  Conversely it could be canvassed that this article might provide an overview for trainee language teachers in this area, however the non-conforming format makes it a difficult read.  </w:t>
      </w:r>
      <w:r>
        <w:rPr>
          <w:rStyle w:val="eop"/>
          <w:rFonts w:ascii="Arial" w:hAnsi="Arial" w:cs="Arial"/>
          <w:sz w:val="22"/>
          <w:szCs w:val="22"/>
        </w:rPr>
        <w:t> </w:t>
      </w:r>
    </w:p>
    <w:p w14:paraId="5C2C7E05"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3F19473F" w14:textId="6740037F"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It is problematic to ascertain the authors’ purpose from the title, abstract and introduction however the discussion does tend to be illuminative of their aims of investigating how students learn English as a second language.  The authors’ further comments demonstrate their knowledge and understanding of the limitations of their paper; they</w:t>
      </w:r>
      <w:r>
        <w:rPr>
          <w:rStyle w:val="normaltextrun"/>
          <w:rFonts w:ascii="Arial" w:hAnsi="Arial" w:cs="Arial"/>
          <w:sz w:val="22"/>
          <w:szCs w:val="22"/>
        </w:rPr>
        <w:t> recognise</w:t>
      </w:r>
      <w:r>
        <w:rPr>
          <w:rStyle w:val="normaltextrun"/>
          <w:rFonts w:ascii="Arial" w:hAnsi="Arial" w:cs="Arial"/>
          <w:sz w:val="22"/>
          <w:szCs w:val="22"/>
          <w:lang w:val="en-US"/>
        </w:rPr>
        <w:t> that the learning of English as a second language is a very big issue</w:t>
      </w:r>
      <w:r w:rsidR="009B2DEC">
        <w:rPr>
          <w:rStyle w:val="normaltextrun"/>
          <w:rFonts w:ascii="Arial" w:hAnsi="Arial" w:cs="Arial"/>
          <w:sz w:val="22"/>
          <w:szCs w:val="22"/>
          <w:lang w:val="en-US"/>
        </w:rPr>
        <w:t xml:space="preserve"> </w:t>
      </w:r>
      <w:r w:rsidR="009B2DEC">
        <w:rPr>
          <w:rStyle w:val="eop"/>
          <w:rFonts w:ascii="Arial" w:hAnsi="Arial" w:cs="Arial"/>
          <w:sz w:val="22"/>
          <w:szCs w:val="22"/>
        </w:rPr>
        <w:t>Bernardo and Gae</w:t>
      </w:r>
      <w:r w:rsidR="009B2DEC">
        <w:rPr>
          <w:rStyle w:val="eop"/>
          <w:rFonts w:ascii="Arial" w:hAnsi="Arial" w:cs="Arial"/>
          <w:sz w:val="22"/>
          <w:szCs w:val="22"/>
        </w:rPr>
        <w:t>rlan (2011)</w:t>
      </w:r>
      <w:r>
        <w:rPr>
          <w:rStyle w:val="normaltextrun"/>
          <w:rFonts w:ascii="Arial" w:hAnsi="Arial" w:cs="Arial"/>
          <w:sz w:val="22"/>
          <w:szCs w:val="22"/>
          <w:lang w:val="en-US"/>
        </w:rPr>
        <w:t>, an issue which they do not address.  Perhaps this further endorses </w:t>
      </w:r>
      <w:r>
        <w:rPr>
          <w:rStyle w:val="contextualspellingandgrammarerror"/>
          <w:rFonts w:ascii="Arial" w:hAnsi="Arial" w:cs="Arial"/>
          <w:sz w:val="22"/>
          <w:szCs w:val="22"/>
          <w:lang w:val="en-US"/>
        </w:rPr>
        <w:t>this journal</w:t>
      </w:r>
      <w:r w:rsidR="00984C89">
        <w:rPr>
          <w:rStyle w:val="contextualspellingandgrammarerror"/>
          <w:rFonts w:ascii="Arial" w:hAnsi="Arial" w:cs="Arial"/>
          <w:sz w:val="22"/>
          <w:szCs w:val="22"/>
          <w:lang w:val="en-US"/>
        </w:rPr>
        <w:t>’</w:t>
      </w:r>
      <w:r>
        <w:rPr>
          <w:rStyle w:val="contextualspellingandgrammarerror"/>
          <w:rFonts w:ascii="Arial" w:hAnsi="Arial" w:cs="Arial"/>
          <w:sz w:val="22"/>
          <w:szCs w:val="22"/>
          <w:lang w:val="en-US"/>
        </w:rPr>
        <w:t>s</w:t>
      </w:r>
      <w:r>
        <w:rPr>
          <w:rStyle w:val="normaltextrun"/>
          <w:rFonts w:ascii="Arial" w:hAnsi="Arial" w:cs="Arial"/>
          <w:sz w:val="22"/>
          <w:szCs w:val="22"/>
          <w:lang w:val="en-US"/>
        </w:rPr>
        <w:t> lack of relevance to a Primary Educator in Wales where the learning of the native language by English speaking students has been considered extensively by those who have fought for its position in the curriculum. Through its Welsh Language </w:t>
      </w:r>
      <w:r w:rsidR="009B2DEC">
        <w:rPr>
          <w:rStyle w:val="contextualspellingandgrammarerror"/>
          <w:rFonts w:ascii="Arial" w:hAnsi="Arial" w:cs="Arial"/>
          <w:sz w:val="22"/>
          <w:szCs w:val="22"/>
          <w:lang w:val="en-US"/>
        </w:rPr>
        <w:t>Strategy,</w:t>
      </w:r>
      <w:r>
        <w:rPr>
          <w:rStyle w:val="normaltextrun"/>
          <w:rFonts w:ascii="Arial" w:hAnsi="Arial" w:cs="Arial"/>
          <w:sz w:val="22"/>
          <w:szCs w:val="22"/>
          <w:lang w:val="en-US"/>
        </w:rPr>
        <w:t> the Welsh Government has, according to Donaldson revealed its ‘commitment’ to developing Wales as a bilingual nation (Donaldson, 2015).</w:t>
      </w:r>
      <w:r>
        <w:rPr>
          <w:rStyle w:val="eop"/>
          <w:rFonts w:ascii="Arial" w:hAnsi="Arial" w:cs="Arial"/>
          <w:sz w:val="22"/>
          <w:szCs w:val="22"/>
        </w:rPr>
        <w:t> </w:t>
      </w:r>
    </w:p>
    <w:p w14:paraId="47CF0F0F"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 </w:t>
      </w:r>
      <w:r>
        <w:rPr>
          <w:rStyle w:val="eop"/>
          <w:rFonts w:ascii="Arial" w:hAnsi="Arial" w:cs="Arial"/>
          <w:sz w:val="22"/>
          <w:szCs w:val="22"/>
        </w:rPr>
        <w:t> </w:t>
      </w:r>
    </w:p>
    <w:p w14:paraId="6D817DC0" w14:textId="77777777" w:rsidR="00B041C4" w:rsidRDefault="00B041C4" w:rsidP="009B2DEC">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lang w:val="en-US"/>
        </w:rPr>
        <w:t>In conclusion it must be stated that the journal under review fails on certain levels.  Its lack of clarity in its design makes it a difficult read.  From the outset the title is not specific enough and the abstract is not stand alone it did not feature the focus of the investigation, the rationale for the research, the research methods, the main results or the conclusions and implications of the research.  </w:t>
      </w:r>
      <w:r>
        <w:rPr>
          <w:rStyle w:val="contextualspellingandgrammarerror"/>
          <w:rFonts w:ascii="Arial" w:hAnsi="Arial" w:cs="Arial"/>
          <w:sz w:val="22"/>
          <w:szCs w:val="22"/>
          <w:lang w:val="en-US"/>
        </w:rPr>
        <w:t>Additionally</w:t>
      </w:r>
      <w:r w:rsidR="00D760FC">
        <w:rPr>
          <w:rStyle w:val="contextualspellingandgrammarerror"/>
          <w:rFonts w:ascii="Arial" w:hAnsi="Arial" w:cs="Arial"/>
          <w:sz w:val="22"/>
          <w:szCs w:val="22"/>
          <w:lang w:val="en-US"/>
        </w:rPr>
        <w:t>,</w:t>
      </w:r>
      <w:r>
        <w:rPr>
          <w:rStyle w:val="normaltextrun"/>
          <w:rFonts w:ascii="Arial" w:hAnsi="Arial" w:cs="Arial"/>
          <w:sz w:val="22"/>
          <w:szCs w:val="22"/>
          <w:lang w:val="en-US"/>
        </w:rPr>
        <w:t xml:space="preserve"> the discussion revealed the main findings and also revealed the conclusion of the findings and suggestions for future research.  A more considered and structured article was essential.  Because of the difficult layout any important information was problematic in identifying and this was compounded by the fact that important elements were by the authors’ own omission not addressed in any detail.  For </w:t>
      </w:r>
    </w:p>
    <w:p w14:paraId="1BC21DA5" w14:textId="5CF07312" w:rsidR="00B041C4" w:rsidRDefault="00B041C4" w:rsidP="009B2DEC">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lang w:val="en-US"/>
        </w:rPr>
        <w:t>Turning attention to the article’s relevance to Primary Educators in Wales, the most notable problem was that no direct comparison could be made because the demographic of the learners in the article was not identified. Arguably this lack of demographic could cause problems for making general comparisons to bilingual learners of any age. </w:t>
      </w:r>
      <w:r>
        <w:rPr>
          <w:rStyle w:val="contextualspellingandgrammarerror"/>
          <w:rFonts w:ascii="Arial" w:hAnsi="Arial" w:cs="Arial"/>
          <w:sz w:val="22"/>
          <w:szCs w:val="22"/>
          <w:lang w:val="en-US"/>
        </w:rPr>
        <w:t>Specifically</w:t>
      </w:r>
      <w:r>
        <w:rPr>
          <w:rStyle w:val="normaltextrun"/>
          <w:rFonts w:ascii="Arial" w:hAnsi="Arial" w:cs="Arial"/>
          <w:sz w:val="22"/>
          <w:szCs w:val="22"/>
          <w:lang w:val="en-US"/>
        </w:rPr>
        <w:t> </w:t>
      </w:r>
      <w:r>
        <w:rPr>
          <w:rStyle w:val="spellingerror"/>
          <w:rFonts w:ascii="Arial" w:hAnsi="Arial" w:cs="Arial"/>
          <w:sz w:val="22"/>
          <w:szCs w:val="22"/>
          <w:lang w:val="en-US"/>
        </w:rPr>
        <w:t>consider</w:t>
      </w:r>
      <w:r>
        <w:rPr>
          <w:rStyle w:val="normaltextrun"/>
          <w:rFonts w:ascii="Arial" w:hAnsi="Arial" w:cs="Arial"/>
          <w:sz w:val="22"/>
          <w:szCs w:val="22"/>
          <w:lang w:val="en-US"/>
        </w:rPr>
        <w:t>ing</w:t>
      </w:r>
      <w:r>
        <w:rPr>
          <w:rStyle w:val="normaltextrun"/>
          <w:rFonts w:ascii="Arial" w:hAnsi="Arial" w:cs="Arial"/>
          <w:sz w:val="22"/>
          <w:szCs w:val="22"/>
          <w:lang w:val="en-US"/>
        </w:rPr>
        <w:t xml:space="preserve"> Primary learners in Wales the ability to understand how bilingual learners learn would be useful in fulfilling the curriculum aims and the aims of preserving language as part of the cultural identity. </w:t>
      </w:r>
      <w:r w:rsidR="00984C89">
        <w:rPr>
          <w:rStyle w:val="normaltextrun"/>
          <w:rFonts w:ascii="Arial" w:hAnsi="Arial" w:cs="Arial"/>
          <w:sz w:val="22"/>
          <w:szCs w:val="22"/>
          <w:lang w:val="en-US"/>
        </w:rPr>
        <w:t>For</w:t>
      </w:r>
      <w:r>
        <w:rPr>
          <w:rStyle w:val="normaltextrun"/>
          <w:rFonts w:ascii="Arial" w:hAnsi="Arial" w:cs="Arial"/>
          <w:sz w:val="22"/>
          <w:szCs w:val="22"/>
          <w:lang w:val="en-US"/>
        </w:rPr>
        <w:t xml:space="preserve"> example</w:t>
      </w:r>
      <w:r w:rsidR="00984C89">
        <w:rPr>
          <w:rStyle w:val="normaltextrun"/>
          <w:rFonts w:ascii="Arial" w:hAnsi="Arial" w:cs="Arial"/>
          <w:sz w:val="22"/>
          <w:szCs w:val="22"/>
          <w:lang w:val="en-US"/>
        </w:rPr>
        <w:t>,</w:t>
      </w:r>
      <w:r>
        <w:rPr>
          <w:rStyle w:val="normaltextrun"/>
          <w:rFonts w:ascii="Arial" w:hAnsi="Arial" w:cs="Arial"/>
          <w:sz w:val="22"/>
          <w:szCs w:val="22"/>
          <w:lang w:val="en-US"/>
        </w:rPr>
        <w:t xml:space="preserve"> they </w:t>
      </w:r>
      <w:r>
        <w:rPr>
          <w:rStyle w:val="spellingerror"/>
          <w:rFonts w:ascii="Arial" w:hAnsi="Arial" w:cs="Arial"/>
          <w:sz w:val="22"/>
          <w:szCs w:val="22"/>
          <w:lang w:val="en-US"/>
        </w:rPr>
        <w:t>recognised</w:t>
      </w:r>
      <w:r>
        <w:rPr>
          <w:rStyle w:val="normaltextrun"/>
          <w:rFonts w:ascii="Arial" w:hAnsi="Arial" w:cs="Arial"/>
          <w:sz w:val="22"/>
          <w:szCs w:val="22"/>
          <w:lang w:val="en-US"/>
        </w:rPr>
        <w:t> that learning of English as a seco</w:t>
      </w:r>
      <w:r w:rsidR="00984C89">
        <w:rPr>
          <w:rStyle w:val="normaltextrun"/>
          <w:rFonts w:ascii="Arial" w:hAnsi="Arial" w:cs="Arial"/>
          <w:sz w:val="22"/>
          <w:szCs w:val="22"/>
          <w:lang w:val="en-US"/>
        </w:rPr>
        <w:t>nd language was of a high caliber of importance</w:t>
      </w:r>
      <w:r>
        <w:rPr>
          <w:rStyle w:val="normaltextrun"/>
          <w:rFonts w:ascii="Arial" w:hAnsi="Arial" w:cs="Arial"/>
          <w:sz w:val="22"/>
          <w:szCs w:val="22"/>
          <w:lang w:val="en-US"/>
        </w:rPr>
        <w:t xml:space="preserve"> but</w:t>
      </w:r>
      <w:r w:rsidR="00984C89">
        <w:rPr>
          <w:rStyle w:val="normaltextrun"/>
          <w:rFonts w:ascii="Arial" w:hAnsi="Arial" w:cs="Arial"/>
          <w:sz w:val="22"/>
          <w:szCs w:val="22"/>
          <w:lang w:val="en-US"/>
        </w:rPr>
        <w:t xml:space="preserve"> </w:t>
      </w:r>
      <w:r w:rsidR="009B2DEC">
        <w:rPr>
          <w:rStyle w:val="normaltextrun"/>
          <w:rFonts w:ascii="Arial" w:hAnsi="Arial" w:cs="Arial"/>
          <w:sz w:val="22"/>
          <w:szCs w:val="22"/>
          <w:lang w:val="en-US"/>
        </w:rPr>
        <w:t>further</w:t>
      </w:r>
      <w:r w:rsidR="00984C89">
        <w:rPr>
          <w:rStyle w:val="normaltextrun"/>
          <w:rFonts w:ascii="Arial" w:hAnsi="Arial" w:cs="Arial"/>
          <w:sz w:val="22"/>
          <w:szCs w:val="22"/>
          <w:lang w:val="en-US"/>
        </w:rPr>
        <w:t xml:space="preserve"> discussed that</w:t>
      </w:r>
      <w:r>
        <w:rPr>
          <w:rStyle w:val="normaltextrun"/>
          <w:rFonts w:ascii="Arial" w:hAnsi="Arial" w:cs="Arial"/>
          <w:sz w:val="22"/>
          <w:szCs w:val="22"/>
          <w:lang w:val="en-US"/>
        </w:rPr>
        <w:t xml:space="preserve"> this was not being pursued.</w:t>
      </w:r>
      <w:r>
        <w:rPr>
          <w:rStyle w:val="eop"/>
          <w:rFonts w:ascii="Arial" w:hAnsi="Arial" w:cs="Arial"/>
          <w:sz w:val="22"/>
          <w:szCs w:val="22"/>
        </w:rPr>
        <w:t> </w:t>
      </w:r>
    </w:p>
    <w:p w14:paraId="1DD30E8F" w14:textId="77777777" w:rsidR="009B2DEC" w:rsidRDefault="009B2DEC" w:rsidP="009B2DEC">
      <w:pPr>
        <w:pStyle w:val="paragraph"/>
        <w:spacing w:before="0" w:beforeAutospacing="0" w:after="0" w:afterAutospacing="0" w:line="360" w:lineRule="auto"/>
        <w:textAlignment w:val="baseline"/>
        <w:rPr>
          <w:rStyle w:val="eop"/>
          <w:rFonts w:ascii="Arial" w:hAnsi="Arial" w:cs="Arial"/>
          <w:sz w:val="22"/>
          <w:szCs w:val="22"/>
        </w:rPr>
      </w:pPr>
    </w:p>
    <w:p w14:paraId="44E23B3F" w14:textId="7EB4D94A" w:rsidR="009B2DEC" w:rsidRPr="00126857" w:rsidRDefault="009B2DEC" w:rsidP="009B2DEC">
      <w:pPr>
        <w:pStyle w:val="paragraph"/>
        <w:spacing w:before="0" w:beforeAutospacing="0" w:after="0" w:afterAutospacing="0" w:line="360" w:lineRule="auto"/>
        <w:textAlignment w:val="baseline"/>
        <w:rPr>
          <w:rFonts w:ascii="Arial" w:hAnsi="Arial" w:cs="Arial"/>
        </w:rPr>
      </w:pPr>
      <w:r w:rsidRPr="00126857">
        <w:rPr>
          <w:rFonts w:ascii="Arial" w:hAnsi="Arial" w:cs="Arial"/>
        </w:rPr>
        <w:t xml:space="preserve">Reference List </w:t>
      </w:r>
    </w:p>
    <w:p w14:paraId="7E16A928" w14:textId="77777777" w:rsidR="00126857" w:rsidRPr="00126857" w:rsidRDefault="00126857" w:rsidP="00126857">
      <w:pPr>
        <w:pStyle w:val="paragraph"/>
        <w:spacing w:before="0" w:beforeAutospacing="0" w:after="0" w:afterAutospacing="0"/>
        <w:textAlignment w:val="baseline"/>
        <w:rPr>
          <w:rStyle w:val="eop"/>
          <w:rFonts w:ascii="Arial" w:hAnsi="Arial" w:cs="Arial"/>
        </w:rPr>
      </w:pPr>
    </w:p>
    <w:p w14:paraId="46645592" w14:textId="77777777" w:rsidR="00126857" w:rsidRDefault="00126857" w:rsidP="00126857">
      <w:pPr>
        <w:ind w:left="360"/>
        <w:rPr>
          <w:rFonts w:ascii="Arial" w:hAnsi="Arial" w:cs="Arial"/>
        </w:rPr>
      </w:pPr>
      <w:r w:rsidRPr="00126857">
        <w:rPr>
          <w:rFonts w:ascii="Arial" w:hAnsi="Arial" w:cs="Arial"/>
        </w:rPr>
        <w:t xml:space="preserve">Baker, C. (2011) </w:t>
      </w:r>
      <w:r w:rsidRPr="00126857">
        <w:rPr>
          <w:rFonts w:ascii="Arial" w:hAnsi="Arial" w:cs="Arial"/>
          <w:i/>
        </w:rPr>
        <w:t>Foundations of Bilingual Education and Bilingualism</w:t>
      </w:r>
      <w:r w:rsidRPr="00126857">
        <w:rPr>
          <w:rFonts w:ascii="Arial" w:hAnsi="Arial" w:cs="Arial"/>
        </w:rPr>
        <w:t>, 5</w:t>
      </w:r>
      <w:r w:rsidRPr="00126857">
        <w:rPr>
          <w:rFonts w:ascii="Arial" w:hAnsi="Arial" w:cs="Arial"/>
          <w:vertAlign w:val="superscript"/>
        </w:rPr>
        <w:t>th</w:t>
      </w:r>
      <w:r w:rsidRPr="00126857">
        <w:rPr>
          <w:rFonts w:ascii="Arial" w:hAnsi="Arial" w:cs="Arial"/>
        </w:rPr>
        <w:t xml:space="preserve"> Edition</w:t>
      </w:r>
      <w:r w:rsidRPr="00126857">
        <w:rPr>
          <w:rFonts w:ascii="Arial" w:hAnsi="Arial" w:cs="Arial"/>
          <w:i/>
        </w:rPr>
        <w:t xml:space="preserve">.  </w:t>
      </w:r>
      <w:r w:rsidRPr="00126857">
        <w:rPr>
          <w:rFonts w:ascii="Arial" w:hAnsi="Arial" w:cs="Arial"/>
        </w:rPr>
        <w:t>Clevedon: Multilingual Matters.</w:t>
      </w:r>
    </w:p>
    <w:p w14:paraId="0EBC322F" w14:textId="77777777" w:rsidR="00126857" w:rsidRPr="00126857" w:rsidRDefault="00126857" w:rsidP="00126857">
      <w:pPr>
        <w:ind w:left="360"/>
        <w:rPr>
          <w:rFonts w:ascii="Arial" w:hAnsi="Arial" w:cs="Arial"/>
        </w:rPr>
      </w:pPr>
    </w:p>
    <w:p w14:paraId="1233AD90" w14:textId="77777777" w:rsidR="00126857" w:rsidRDefault="00126857" w:rsidP="00126857">
      <w:pPr>
        <w:ind w:left="360"/>
        <w:rPr>
          <w:rFonts w:ascii="Arial" w:eastAsia="Times New Roman" w:hAnsi="Arial" w:cs="Arial"/>
          <w:color w:val="373A3C"/>
          <w:shd w:val="clear" w:color="auto" w:fill="FFFFFF"/>
        </w:rPr>
      </w:pPr>
      <w:r w:rsidRPr="00126857">
        <w:rPr>
          <w:rFonts w:ascii="Arial" w:eastAsia="Times New Roman" w:hAnsi="Arial" w:cs="Arial"/>
          <w:color w:val="373A3C"/>
          <w:shd w:val="clear" w:color="auto" w:fill="FFFFFF"/>
        </w:rPr>
        <w:t>Bernardo, A.B.I. &amp; Gaerlan, M.J.M. (2011) Non-Native English Students Learning in English: Reviewing and Re</w:t>
      </w:r>
      <w:r w:rsidRPr="00126857">
        <w:rPr>
          <w:rFonts w:ascii="Arial" w:eastAsia="Helvetica" w:hAnsi="Arial" w:cs="Arial"/>
          <w:color w:val="373A3C"/>
          <w:shd w:val="clear" w:color="auto" w:fill="FFFFFF"/>
        </w:rPr>
        <w:t>ﬂecting on the Research.  In Jaidey, R., Sadorra, M.L.C., Wong, J.O., Lee,</w:t>
      </w:r>
      <w:r w:rsidRPr="00126857">
        <w:rPr>
          <w:rFonts w:ascii="Arial" w:eastAsia="Times New Roman" w:hAnsi="Arial" w:cs="Arial"/>
          <w:color w:val="373A3C"/>
          <w:shd w:val="clear" w:color="auto" w:fill="FFFFFF"/>
        </w:rPr>
        <w:t xml:space="preserve"> M.C. &amp; Lorente, M.C. (eds.) </w:t>
      </w:r>
      <w:r w:rsidRPr="00126857">
        <w:rPr>
          <w:rFonts w:ascii="Arial" w:eastAsia="Times New Roman" w:hAnsi="Arial" w:cs="Arial"/>
          <w:i/>
          <w:iCs/>
          <w:color w:val="373A3C"/>
          <w:shd w:val="clear" w:color="auto" w:fill="FFFFFF"/>
        </w:rPr>
        <w:t>Global perspectives, local initiatives: Reflections and practices in ELT</w:t>
      </w:r>
      <w:r w:rsidRPr="00126857">
        <w:rPr>
          <w:rFonts w:ascii="Arial" w:eastAsia="Times New Roman" w:hAnsi="Arial" w:cs="Arial"/>
          <w:color w:val="373A3C"/>
          <w:shd w:val="clear" w:color="auto" w:fill="FFFFFF"/>
        </w:rPr>
        <w:t>.  National University of Singapore, CELC, pp.1-9.</w:t>
      </w:r>
    </w:p>
    <w:p w14:paraId="64DDF164" w14:textId="77777777" w:rsidR="00126857" w:rsidRPr="00126857" w:rsidRDefault="00126857" w:rsidP="00126857">
      <w:pPr>
        <w:ind w:left="360"/>
        <w:rPr>
          <w:rFonts w:ascii="Arial" w:eastAsia="Times New Roman" w:hAnsi="Arial" w:cs="Arial"/>
          <w:color w:val="373A3C"/>
          <w:shd w:val="clear" w:color="auto" w:fill="FFFFFF"/>
        </w:rPr>
      </w:pPr>
    </w:p>
    <w:p w14:paraId="639639E3" w14:textId="77777777" w:rsidR="00126857" w:rsidRPr="00126857" w:rsidRDefault="00126857" w:rsidP="00126857">
      <w:pPr>
        <w:widowControl w:val="0"/>
        <w:ind w:left="360"/>
        <w:jc w:val="both"/>
        <w:rPr>
          <w:rFonts w:ascii="Arial" w:hAnsi="Arial" w:cs="Arial"/>
          <w:snapToGrid w:val="0"/>
          <w:lang w:val="cy-GB"/>
        </w:rPr>
      </w:pPr>
      <w:r w:rsidRPr="00126857">
        <w:rPr>
          <w:rFonts w:ascii="Arial" w:hAnsi="Arial" w:cs="Arial"/>
          <w:snapToGrid w:val="0"/>
          <w:lang w:val="cy-GB"/>
        </w:rPr>
        <w:t xml:space="preserve">Brown, H.D. (2006) </w:t>
      </w:r>
      <w:r w:rsidRPr="00126857">
        <w:rPr>
          <w:rFonts w:ascii="Arial" w:hAnsi="Arial" w:cs="Arial"/>
          <w:i/>
          <w:snapToGrid w:val="0"/>
          <w:lang w:val="cy-GB"/>
        </w:rPr>
        <w:t>Principles of Language and Teaching</w:t>
      </w:r>
      <w:r w:rsidRPr="00126857">
        <w:rPr>
          <w:rFonts w:ascii="Arial" w:hAnsi="Arial" w:cs="Arial"/>
          <w:snapToGrid w:val="0"/>
          <w:lang w:val="cy-GB"/>
        </w:rPr>
        <w:t xml:space="preserve">, NY: Pearson Brown. </w:t>
      </w:r>
    </w:p>
    <w:p w14:paraId="1537ABBC"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Cook, V.J. (2008) Second Language Learning and Language Teaching, 4th Edition.  London: Hodder Education.</w:t>
      </w:r>
      <w:r w:rsidRPr="00126857">
        <w:rPr>
          <w:rStyle w:val="eop"/>
          <w:rFonts w:ascii="Arial" w:hAnsi="Arial" w:cs="Arial"/>
        </w:rPr>
        <w:t> </w:t>
      </w:r>
    </w:p>
    <w:p w14:paraId="31826BA3"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13C3FEDA" w14:textId="77777777" w:rsidR="00126857" w:rsidRDefault="00126857" w:rsidP="00126857">
      <w:pPr>
        <w:ind w:left="360"/>
        <w:rPr>
          <w:rFonts w:ascii="Arial" w:hAnsi="Arial" w:cs="Arial"/>
          <w:bCs/>
          <w:color w:val="000000" w:themeColor="text1"/>
        </w:rPr>
      </w:pPr>
      <w:r w:rsidRPr="00126857">
        <w:rPr>
          <w:rFonts w:ascii="Arial" w:hAnsi="Arial" w:cs="Arial"/>
          <w:bCs/>
          <w:color w:val="000000" w:themeColor="text1"/>
        </w:rPr>
        <w:t xml:space="preserve">Cook, V.J. (2008) </w:t>
      </w:r>
      <w:r w:rsidRPr="00126857">
        <w:rPr>
          <w:rFonts w:ascii="Arial" w:hAnsi="Arial" w:cs="Arial"/>
          <w:bCs/>
          <w:i/>
          <w:iCs/>
          <w:color w:val="000000" w:themeColor="text1"/>
        </w:rPr>
        <w:t xml:space="preserve">Second Language Learning and Language Teaching, </w:t>
      </w:r>
      <w:r w:rsidRPr="00126857">
        <w:rPr>
          <w:rFonts w:ascii="Arial" w:hAnsi="Arial" w:cs="Arial"/>
          <w:bCs/>
          <w:color w:val="000000" w:themeColor="text1"/>
        </w:rPr>
        <w:t>4</w:t>
      </w:r>
      <w:r w:rsidRPr="00126857">
        <w:rPr>
          <w:rFonts w:ascii="Arial" w:hAnsi="Arial" w:cs="Arial"/>
          <w:bCs/>
          <w:color w:val="000000" w:themeColor="text1"/>
          <w:vertAlign w:val="superscript"/>
        </w:rPr>
        <w:t>th</w:t>
      </w:r>
      <w:r w:rsidRPr="00126857">
        <w:rPr>
          <w:rFonts w:ascii="Arial" w:hAnsi="Arial" w:cs="Arial"/>
          <w:bCs/>
          <w:color w:val="000000" w:themeColor="text1"/>
        </w:rPr>
        <w:t xml:space="preserve"> Edition.  London: Hodder Education.</w:t>
      </w:r>
    </w:p>
    <w:p w14:paraId="73680BAD" w14:textId="77777777" w:rsidR="00126857" w:rsidRPr="00126857" w:rsidRDefault="00126857" w:rsidP="00126857">
      <w:pPr>
        <w:ind w:left="360"/>
        <w:rPr>
          <w:rFonts w:ascii="Arial" w:hAnsi="Arial" w:cs="Arial"/>
          <w:color w:val="000000" w:themeColor="text1"/>
        </w:rPr>
      </w:pPr>
    </w:p>
    <w:p w14:paraId="6114A378"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eop"/>
          <w:rFonts w:ascii="Arial" w:hAnsi="Arial" w:cs="Arial"/>
        </w:rPr>
        <w:t>Davies, S. (2013) Welsh Government, One language for all: Review of Welsh second language at key stages 3 and 4 report and recommendation Welsh Government.</w:t>
      </w:r>
    </w:p>
    <w:p w14:paraId="7994E647"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6FD02E39" w14:textId="77777777" w:rsidR="00126857" w:rsidRDefault="00126857" w:rsidP="00126857">
      <w:pPr>
        <w:ind w:left="360"/>
        <w:rPr>
          <w:rFonts w:ascii="Arial" w:eastAsia="Times New Roman" w:hAnsi="Arial" w:cs="Arial"/>
        </w:rPr>
      </w:pPr>
      <w:r w:rsidRPr="00126857">
        <w:rPr>
          <w:rFonts w:ascii="Arial" w:eastAsia="Times New Roman" w:hAnsi="Arial" w:cs="Arial"/>
        </w:rPr>
        <w:t xml:space="preserve">Donaldson, G (2015) Successful futures: Independent review of curriculum and assessment arrangements in Wales </w:t>
      </w:r>
    </w:p>
    <w:p w14:paraId="60532A80" w14:textId="77777777" w:rsidR="00126857" w:rsidRPr="00126857" w:rsidRDefault="00126857" w:rsidP="00126857">
      <w:pPr>
        <w:ind w:left="360"/>
        <w:rPr>
          <w:rFonts w:ascii="Arial" w:eastAsia="Times New Roman" w:hAnsi="Arial" w:cs="Arial"/>
        </w:rPr>
      </w:pPr>
    </w:p>
    <w:p w14:paraId="208A35AC" w14:textId="77777777" w:rsidR="00126857" w:rsidRDefault="00126857" w:rsidP="00126857">
      <w:pPr>
        <w:pStyle w:val="NormalWeb"/>
        <w:spacing w:before="0" w:beforeAutospacing="0" w:after="0" w:afterAutospacing="0"/>
        <w:ind w:left="360"/>
        <w:rPr>
          <w:rFonts w:ascii="Arial" w:hAnsi="Arial" w:cs="Arial"/>
          <w:color w:val="000000" w:themeColor="text1"/>
        </w:rPr>
      </w:pPr>
      <w:r w:rsidRPr="00126857">
        <w:rPr>
          <w:rFonts w:ascii="Arial" w:hAnsi="Arial" w:cs="Arial"/>
          <w:color w:val="000000" w:themeColor="text1"/>
        </w:rPr>
        <w:t xml:space="preserve">Estyn (2013) </w:t>
      </w:r>
      <w:r w:rsidRPr="00126857">
        <w:rPr>
          <w:rFonts w:ascii="Arial" w:hAnsi="Arial" w:cs="Arial"/>
          <w:i/>
          <w:color w:val="000000" w:themeColor="text1"/>
        </w:rPr>
        <w:t>Supplementary Guidance: Welsh</w:t>
      </w:r>
      <w:r w:rsidRPr="00126857">
        <w:rPr>
          <w:rFonts w:ascii="Arial" w:hAnsi="Arial" w:cs="Arial"/>
          <w:color w:val="000000" w:themeColor="text1"/>
        </w:rPr>
        <w:t xml:space="preserve">. Cardiff: Crown. </w:t>
      </w:r>
    </w:p>
    <w:p w14:paraId="71926250" w14:textId="77777777" w:rsidR="00126857" w:rsidRPr="00126857" w:rsidRDefault="00126857" w:rsidP="00126857">
      <w:pPr>
        <w:pStyle w:val="NormalWeb"/>
        <w:spacing w:before="0" w:beforeAutospacing="0" w:after="0" w:afterAutospacing="0"/>
        <w:ind w:left="360"/>
        <w:rPr>
          <w:rFonts w:ascii="Arial" w:hAnsi="Arial" w:cs="Arial"/>
          <w:color w:val="000000" w:themeColor="text1"/>
        </w:rPr>
      </w:pPr>
    </w:p>
    <w:p w14:paraId="7139CFCA" w14:textId="77777777" w:rsidR="00126857" w:rsidRDefault="00126857" w:rsidP="00126857">
      <w:pPr>
        <w:pStyle w:val="paragraph"/>
        <w:spacing w:before="0" w:beforeAutospacing="0" w:after="0" w:afterAutospacing="0"/>
        <w:ind w:left="360"/>
        <w:textAlignment w:val="baseline"/>
        <w:rPr>
          <w:rFonts w:ascii="Arial" w:hAnsi="Arial" w:cs="Arial"/>
          <w:color w:val="000000" w:themeColor="text1"/>
        </w:rPr>
      </w:pPr>
      <w:r w:rsidRPr="00126857">
        <w:rPr>
          <w:rFonts w:ascii="Arial" w:hAnsi="Arial" w:cs="Arial"/>
          <w:color w:val="000000" w:themeColor="text1"/>
        </w:rPr>
        <w:t>Estyn (2013)</w:t>
      </w:r>
      <w:r w:rsidRPr="00126857">
        <w:rPr>
          <w:rFonts w:ascii="Arial" w:hAnsi="Arial" w:cs="Arial"/>
          <w:color w:val="000000" w:themeColor="text1"/>
        </w:rPr>
        <w:t xml:space="preserve"> Welsh language development in the foundation phase</w:t>
      </w:r>
    </w:p>
    <w:p w14:paraId="17D293E5" w14:textId="77777777" w:rsidR="00126857" w:rsidRPr="00126857" w:rsidRDefault="00126857" w:rsidP="00126857">
      <w:pPr>
        <w:pStyle w:val="paragraph"/>
        <w:spacing w:before="0" w:beforeAutospacing="0" w:after="0" w:afterAutospacing="0"/>
        <w:ind w:left="360"/>
        <w:textAlignment w:val="baseline"/>
        <w:rPr>
          <w:rFonts w:ascii="Arial" w:hAnsi="Arial" w:cs="Arial"/>
          <w:color w:val="000000" w:themeColor="text1"/>
        </w:rPr>
      </w:pPr>
    </w:p>
    <w:p w14:paraId="51E55D16"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Estyn (2013) Welsh Language Development in the Foundation Phase. Estyn </w:t>
      </w:r>
      <w:r w:rsidRPr="00126857">
        <w:rPr>
          <w:rStyle w:val="eop"/>
          <w:rFonts w:ascii="Arial" w:hAnsi="Arial" w:cs="Arial"/>
        </w:rPr>
        <w:t> </w:t>
      </w:r>
    </w:p>
    <w:p w14:paraId="04808359" w14:textId="77777777" w:rsidR="00126857" w:rsidRPr="00126857" w:rsidRDefault="00126857" w:rsidP="00126857">
      <w:pPr>
        <w:pStyle w:val="paragraph"/>
        <w:spacing w:before="0" w:beforeAutospacing="0" w:after="0" w:afterAutospacing="0"/>
        <w:textAlignment w:val="baseline"/>
        <w:rPr>
          <w:rFonts w:ascii="Arial" w:hAnsi="Arial" w:cs="Arial"/>
        </w:rPr>
      </w:pPr>
    </w:p>
    <w:p w14:paraId="6730F3A0" w14:textId="77777777" w:rsidR="00126857" w:rsidRDefault="00126857" w:rsidP="00126857">
      <w:pPr>
        <w:ind w:left="360"/>
        <w:rPr>
          <w:rFonts w:ascii="Arial" w:hAnsi="Arial" w:cs="Arial"/>
          <w:color w:val="000000" w:themeColor="text1"/>
        </w:rPr>
      </w:pPr>
      <w:r w:rsidRPr="00126857">
        <w:rPr>
          <w:rFonts w:ascii="Arial" w:hAnsi="Arial" w:cs="Arial"/>
          <w:color w:val="000000" w:themeColor="text1"/>
        </w:rPr>
        <w:t xml:space="preserve">Estyn (2015) </w:t>
      </w:r>
      <w:r w:rsidRPr="00126857">
        <w:rPr>
          <w:rFonts w:ascii="Arial" w:hAnsi="Arial" w:cs="Arial"/>
          <w:i/>
          <w:color w:val="000000" w:themeColor="text1"/>
        </w:rPr>
        <w:t>Guidance for the inspection of primary schools</w:t>
      </w:r>
      <w:r w:rsidRPr="00126857">
        <w:rPr>
          <w:rFonts w:ascii="Arial" w:hAnsi="Arial" w:cs="Arial"/>
          <w:color w:val="000000" w:themeColor="text1"/>
        </w:rPr>
        <w:t>. Cardiff: Crown.</w:t>
      </w:r>
    </w:p>
    <w:p w14:paraId="513BA7ED" w14:textId="77777777" w:rsidR="00126857" w:rsidRPr="00126857" w:rsidRDefault="00126857" w:rsidP="00126857">
      <w:pPr>
        <w:ind w:left="360"/>
        <w:rPr>
          <w:rFonts w:ascii="Arial" w:hAnsi="Arial" w:cs="Arial"/>
          <w:color w:val="000000" w:themeColor="text1"/>
        </w:rPr>
      </w:pPr>
    </w:p>
    <w:p w14:paraId="5BFF2AC6" w14:textId="77777777" w:rsidR="00126857" w:rsidRDefault="00126857" w:rsidP="00126857">
      <w:pPr>
        <w:tabs>
          <w:tab w:val="left" w:pos="720"/>
          <w:tab w:val="left" w:pos="1440"/>
          <w:tab w:val="left" w:pos="2160"/>
          <w:tab w:val="left" w:pos="2880"/>
        </w:tabs>
        <w:overflowPunct w:val="0"/>
        <w:autoSpaceDE w:val="0"/>
        <w:autoSpaceDN w:val="0"/>
        <w:adjustRightInd w:val="0"/>
        <w:ind w:left="360"/>
        <w:textAlignment w:val="baseline"/>
        <w:rPr>
          <w:rFonts w:ascii="Arial" w:hAnsi="Arial" w:cs="Arial"/>
          <w:color w:val="000000" w:themeColor="text1"/>
          <w:lang w:val="cy-GB"/>
        </w:rPr>
      </w:pPr>
      <w:r w:rsidRPr="00126857">
        <w:rPr>
          <w:rFonts w:ascii="Arial" w:hAnsi="Arial" w:cs="Arial"/>
          <w:color w:val="000000" w:themeColor="text1"/>
          <w:lang w:val="cy-GB"/>
        </w:rPr>
        <w:t xml:space="preserve">Garcia, O. (2009) </w:t>
      </w:r>
      <w:r w:rsidRPr="00126857">
        <w:rPr>
          <w:rFonts w:ascii="Arial" w:hAnsi="Arial" w:cs="Arial"/>
          <w:i/>
          <w:color w:val="000000" w:themeColor="text1"/>
          <w:lang w:val="cy-GB"/>
        </w:rPr>
        <w:t xml:space="preserve">Bilingual Education in the 21st Century: A Global Perspective. </w:t>
      </w:r>
      <w:r w:rsidRPr="00126857">
        <w:rPr>
          <w:rFonts w:ascii="Arial" w:hAnsi="Arial" w:cs="Arial"/>
          <w:color w:val="000000" w:themeColor="text1"/>
          <w:lang w:val="cy-GB"/>
        </w:rPr>
        <w:t>Chichester, Wiley-Blackwell</w:t>
      </w:r>
    </w:p>
    <w:p w14:paraId="78A60A95" w14:textId="77777777" w:rsidR="00126857" w:rsidRPr="00126857" w:rsidRDefault="00126857" w:rsidP="00126857">
      <w:pPr>
        <w:tabs>
          <w:tab w:val="left" w:pos="720"/>
          <w:tab w:val="left" w:pos="1440"/>
          <w:tab w:val="left" w:pos="2160"/>
          <w:tab w:val="left" w:pos="2880"/>
        </w:tabs>
        <w:overflowPunct w:val="0"/>
        <w:autoSpaceDE w:val="0"/>
        <w:autoSpaceDN w:val="0"/>
        <w:adjustRightInd w:val="0"/>
        <w:ind w:left="360"/>
        <w:textAlignment w:val="baseline"/>
        <w:rPr>
          <w:rFonts w:ascii="Arial" w:hAnsi="Arial" w:cs="Arial"/>
          <w:color w:val="000000" w:themeColor="text1"/>
          <w:lang w:val="cy-GB"/>
        </w:rPr>
      </w:pPr>
    </w:p>
    <w:p w14:paraId="6718CC1D" w14:textId="77777777" w:rsidR="00126857" w:rsidRDefault="00126857" w:rsidP="00126857">
      <w:pPr>
        <w:ind w:left="360"/>
        <w:rPr>
          <w:rFonts w:ascii="Arial" w:eastAsia="Times New Roman" w:hAnsi="Arial" w:cs="Arial"/>
        </w:rPr>
      </w:pPr>
      <w:r w:rsidRPr="00126857">
        <w:rPr>
          <w:rFonts w:ascii="Arial" w:eastAsia="Times New Roman" w:hAnsi="Arial" w:cs="Arial"/>
        </w:rPr>
        <w:t xml:space="preserve">J. B. Carroll, "A Factor Analysis of Two Foreign Language Aptitude Batteries," The Journal of General Psychology, LIX (1958), pp. 3-19. </w:t>
      </w:r>
    </w:p>
    <w:p w14:paraId="14F0EE04" w14:textId="77777777" w:rsidR="00126857" w:rsidRPr="00126857" w:rsidRDefault="00126857" w:rsidP="00126857">
      <w:pPr>
        <w:ind w:left="360"/>
        <w:rPr>
          <w:rFonts w:ascii="Arial" w:eastAsia="Times New Roman" w:hAnsi="Arial" w:cs="Arial"/>
        </w:rPr>
      </w:pPr>
    </w:p>
    <w:p w14:paraId="3D5B5ABD" w14:textId="77777777" w:rsidR="00126857" w:rsidRDefault="00126857" w:rsidP="00126857">
      <w:pPr>
        <w:ind w:left="360"/>
        <w:rPr>
          <w:rFonts w:ascii="Arial" w:eastAsia="Helvetica" w:hAnsi="Arial" w:cs="Arial"/>
        </w:rPr>
      </w:pPr>
      <w:r w:rsidRPr="00126857">
        <w:rPr>
          <w:rFonts w:ascii="Arial" w:eastAsia="Times New Roman" w:hAnsi="Arial" w:cs="Arial"/>
        </w:rPr>
        <w:t>Lewis, W.G. (2010), Welsh Second Language in the National Curriculum - the case of teaching Welsh in English-medium schools, used as evidence by the National Assembly</w:t>
      </w:r>
      <w:r w:rsidRPr="00126857">
        <w:rPr>
          <w:rFonts w:ascii="Arial" w:eastAsia="Helvetica" w:hAnsi="Arial" w:cs="Arial"/>
        </w:rPr>
        <w:t>’s Enterprise and Learning Committee for their report ‘The teaching and acquisition of Welsh as a second l</w:t>
      </w:r>
      <w:r w:rsidRPr="00126857">
        <w:rPr>
          <w:rFonts w:ascii="Arial" w:eastAsia="Times New Roman" w:hAnsi="Arial" w:cs="Arial"/>
        </w:rPr>
        <w:t>anguage</w:t>
      </w:r>
      <w:r w:rsidRPr="00126857">
        <w:rPr>
          <w:rFonts w:ascii="Arial" w:eastAsia="Helvetica" w:hAnsi="Arial" w:cs="Arial"/>
        </w:rPr>
        <w:t xml:space="preserve">’. </w:t>
      </w:r>
    </w:p>
    <w:p w14:paraId="79E7DAE7" w14:textId="77777777" w:rsidR="00126857" w:rsidRPr="00126857" w:rsidRDefault="00126857" w:rsidP="00126857">
      <w:pPr>
        <w:ind w:left="360"/>
        <w:rPr>
          <w:rFonts w:ascii="Arial" w:eastAsia="Helvetica" w:hAnsi="Arial" w:cs="Arial"/>
        </w:rPr>
      </w:pPr>
    </w:p>
    <w:p w14:paraId="74B4D535" w14:textId="77777777" w:rsidR="00126857" w:rsidRDefault="00126857" w:rsidP="00126857">
      <w:pPr>
        <w:ind w:left="360"/>
        <w:rPr>
          <w:rFonts w:ascii="Arial" w:hAnsi="Arial" w:cs="Arial"/>
          <w:color w:val="000000" w:themeColor="text1"/>
        </w:rPr>
      </w:pPr>
      <w:r w:rsidRPr="00126857">
        <w:rPr>
          <w:rFonts w:ascii="Arial" w:hAnsi="Arial" w:cs="Arial"/>
          <w:color w:val="000000" w:themeColor="text1"/>
        </w:rPr>
        <w:t>Lightbown, P. &amp; Spada, N. (2006) </w:t>
      </w:r>
      <w:r w:rsidRPr="00126857">
        <w:rPr>
          <w:rFonts w:ascii="Arial" w:hAnsi="Arial" w:cs="Arial"/>
          <w:bCs/>
          <w:i/>
          <w:color w:val="000000" w:themeColor="text1"/>
        </w:rPr>
        <w:t>How languages are learned.</w:t>
      </w:r>
      <w:r w:rsidRPr="00126857">
        <w:rPr>
          <w:rFonts w:ascii="Arial" w:hAnsi="Arial" w:cs="Arial"/>
          <w:color w:val="000000" w:themeColor="text1"/>
        </w:rPr>
        <w:t xml:space="preserve"> Oxford: Oxford University Press.</w:t>
      </w:r>
    </w:p>
    <w:p w14:paraId="4EC5CCBF" w14:textId="77777777" w:rsidR="00126857" w:rsidRPr="00126857" w:rsidRDefault="00126857" w:rsidP="00126857">
      <w:pPr>
        <w:ind w:left="360"/>
        <w:rPr>
          <w:rFonts w:ascii="Arial" w:hAnsi="Arial" w:cs="Arial"/>
          <w:color w:val="000000" w:themeColor="text1"/>
        </w:rPr>
      </w:pPr>
    </w:p>
    <w:p w14:paraId="58643635" w14:textId="77777777" w:rsidR="00126857" w:rsidRPr="00126857" w:rsidRDefault="00126857" w:rsidP="00126857">
      <w:pPr>
        <w:widowControl w:val="0"/>
        <w:ind w:left="360"/>
        <w:rPr>
          <w:rFonts w:ascii="Arial" w:hAnsi="Arial" w:cs="Arial"/>
          <w:snapToGrid w:val="0"/>
          <w:color w:val="000000" w:themeColor="text1"/>
          <w:lang w:val="cy-GB"/>
        </w:rPr>
      </w:pPr>
      <w:r w:rsidRPr="00126857">
        <w:rPr>
          <w:rFonts w:ascii="Arial" w:hAnsi="Arial" w:cs="Arial"/>
          <w:snapToGrid w:val="0"/>
          <w:color w:val="000000" w:themeColor="text1"/>
          <w:lang w:val="cy-GB"/>
        </w:rPr>
        <w:t xml:space="preserve">Llywodraeth Cynulliad Cymru (2012) </w:t>
      </w:r>
      <w:r w:rsidRPr="00126857">
        <w:rPr>
          <w:rFonts w:ascii="Arial" w:hAnsi="Arial" w:cs="Arial"/>
          <w:i/>
          <w:snapToGrid w:val="0"/>
          <w:color w:val="000000" w:themeColor="text1"/>
          <w:lang w:val="cy-GB"/>
        </w:rPr>
        <w:t xml:space="preserve">Cymraeg ail iaith – Canllawiau ar gyfer Cyfnodau Allweddol 2 a 3, </w:t>
      </w:r>
      <w:r w:rsidRPr="00126857">
        <w:rPr>
          <w:rFonts w:ascii="Arial" w:hAnsi="Arial" w:cs="Arial"/>
          <w:snapToGrid w:val="0"/>
          <w:color w:val="000000" w:themeColor="text1"/>
          <w:lang w:val="cy-GB"/>
        </w:rPr>
        <w:t>Caerdydd</w:t>
      </w:r>
    </w:p>
    <w:p w14:paraId="17807516"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Mehrdad </w:t>
      </w:r>
      <w:r w:rsidRPr="00126857">
        <w:rPr>
          <w:rStyle w:val="spellingerror"/>
          <w:rFonts w:ascii="Arial" w:hAnsi="Arial" w:cs="Arial"/>
        </w:rPr>
        <w:t>Jalalian</w:t>
      </w:r>
      <w:r w:rsidRPr="00126857">
        <w:rPr>
          <w:rStyle w:val="normaltextrun"/>
          <w:rFonts w:ascii="Arial" w:hAnsi="Arial" w:cs="Arial"/>
        </w:rPr>
        <w:t>, Hassan Danial Aslam. Writing for academic journals: A general approach. Electronic Physician, 2012;4(2):474-476 available online at: </w:t>
      </w:r>
      <w:hyperlink r:id="rId8" w:tgtFrame="_blank" w:history="1">
        <w:r w:rsidRPr="00126857">
          <w:rPr>
            <w:rStyle w:val="normaltextrun"/>
            <w:rFonts w:ascii="Arial" w:hAnsi="Arial" w:cs="Arial"/>
            <w:color w:val="0563C1"/>
            <w:u w:val="single"/>
          </w:rPr>
          <w:t>http://www.ephysician.ir/2012/474-476.pdf</w:t>
        </w:r>
      </w:hyperlink>
      <w:r w:rsidRPr="00126857">
        <w:rPr>
          <w:rStyle w:val="normaltextrun"/>
          <w:rFonts w:ascii="Arial" w:hAnsi="Arial" w:cs="Arial"/>
        </w:rPr>
        <w:t> ]. (ISSN: 2008-5842). </w:t>
      </w:r>
      <w:hyperlink r:id="rId9" w:tgtFrame="_blank" w:history="1">
        <w:r w:rsidRPr="00126857">
          <w:rPr>
            <w:rStyle w:val="normaltextrun"/>
            <w:rFonts w:ascii="Arial" w:hAnsi="Arial" w:cs="Arial"/>
            <w:color w:val="0563C1"/>
            <w:u w:val="single"/>
          </w:rPr>
          <w:t>http://www.ephysician.ir</w:t>
        </w:r>
      </w:hyperlink>
      <w:r w:rsidRPr="00126857">
        <w:rPr>
          <w:rStyle w:val="eop"/>
          <w:rFonts w:ascii="Arial" w:hAnsi="Arial" w:cs="Arial"/>
        </w:rPr>
        <w:t> </w:t>
      </w:r>
    </w:p>
    <w:p w14:paraId="154CACE8" w14:textId="77777777" w:rsidR="00126857" w:rsidRPr="00126857" w:rsidRDefault="00126857" w:rsidP="00126857">
      <w:pPr>
        <w:pStyle w:val="paragraph"/>
        <w:spacing w:before="0" w:beforeAutospacing="0" w:after="0" w:afterAutospacing="0"/>
        <w:ind w:left="360"/>
        <w:textAlignment w:val="baseline"/>
        <w:rPr>
          <w:rFonts w:ascii="Arial" w:hAnsi="Arial" w:cs="Arial"/>
        </w:rPr>
      </w:pPr>
    </w:p>
    <w:p w14:paraId="36187AB3" w14:textId="77777777" w:rsidR="00126857" w:rsidRPr="00126857" w:rsidRDefault="00126857" w:rsidP="00126857">
      <w:pPr>
        <w:ind w:left="360"/>
        <w:rPr>
          <w:rFonts w:ascii="Arial" w:eastAsia="Times New Roman" w:hAnsi="Arial" w:cs="Arial"/>
        </w:rPr>
      </w:pPr>
      <w:r w:rsidRPr="00126857">
        <w:rPr>
          <w:rFonts w:ascii="Arial" w:eastAsia="Times New Roman" w:hAnsi="Arial" w:cs="Arial"/>
          <w:color w:val="333333"/>
          <w:shd w:val="clear" w:color="auto" w:fill="FFFFFF"/>
        </w:rPr>
        <w:t>Peal, E., &amp; Lambert, W. E. (1962). The relation of bilingualism to intelligence. </w:t>
      </w:r>
      <w:r w:rsidRPr="00126857">
        <w:rPr>
          <w:rStyle w:val="Emphasis"/>
          <w:rFonts w:ascii="Arial" w:eastAsia="Times New Roman" w:hAnsi="Arial" w:cs="Arial"/>
          <w:color w:val="333333"/>
          <w:shd w:val="clear" w:color="auto" w:fill="FFFFFF"/>
        </w:rPr>
        <w:t>Psychological Monographs: General and Applied, 76</w:t>
      </w:r>
      <w:r w:rsidRPr="00126857">
        <w:rPr>
          <w:rFonts w:ascii="Arial" w:eastAsia="Times New Roman" w:hAnsi="Arial" w:cs="Arial"/>
          <w:color w:val="333333"/>
          <w:shd w:val="clear" w:color="auto" w:fill="FFFFFF"/>
        </w:rPr>
        <w:t>(27), 1-23.</w:t>
      </w:r>
    </w:p>
    <w:p w14:paraId="6427F739"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Queens University </w:t>
      </w:r>
      <w:r w:rsidRPr="00126857">
        <w:rPr>
          <w:rStyle w:val="contextualspellingandgrammarerror"/>
          <w:rFonts w:ascii="Arial" w:hAnsi="Arial" w:cs="Arial"/>
        </w:rPr>
        <w:t>Belfast  (</w:t>
      </w:r>
      <w:r w:rsidRPr="00126857">
        <w:rPr>
          <w:rStyle w:val="normaltextrun"/>
          <w:rFonts w:ascii="Arial" w:hAnsi="Arial" w:cs="Arial"/>
        </w:rPr>
        <w:t>no date) Writing an </w:t>
      </w:r>
      <w:r w:rsidRPr="00126857">
        <w:rPr>
          <w:rStyle w:val="spellingerror"/>
          <w:rFonts w:ascii="Arial" w:hAnsi="Arial" w:cs="Arial"/>
        </w:rPr>
        <w:t>Abstact</w:t>
      </w:r>
      <w:r w:rsidRPr="00126857">
        <w:rPr>
          <w:rStyle w:val="normaltextrun"/>
          <w:rFonts w:ascii="Arial" w:hAnsi="Arial" w:cs="Arial"/>
        </w:rPr>
        <w:t>. Available at: </w:t>
      </w:r>
      <w:hyperlink r:id="rId10" w:tgtFrame="_blank" w:history="1">
        <w:r w:rsidRPr="00126857">
          <w:rPr>
            <w:rStyle w:val="normaltextrun"/>
            <w:rFonts w:ascii="Arial" w:hAnsi="Arial" w:cs="Arial"/>
            <w:color w:val="0563C1"/>
            <w:u w:val="single"/>
          </w:rPr>
          <w:t>www.qub.ac.uk/lds</w:t>
        </w:r>
      </w:hyperlink>
      <w:r w:rsidRPr="00126857">
        <w:rPr>
          <w:rStyle w:val="normaltextrun"/>
          <w:rFonts w:ascii="Arial" w:hAnsi="Arial" w:cs="Arial"/>
          <w:color w:val="0563C1"/>
          <w:u w:val="single"/>
        </w:rPr>
        <w:t>. (Accessed 03.02.19)</w:t>
      </w:r>
      <w:r w:rsidRPr="00126857">
        <w:rPr>
          <w:rStyle w:val="eop"/>
          <w:rFonts w:ascii="Arial" w:hAnsi="Arial" w:cs="Arial"/>
        </w:rPr>
        <w:t> </w:t>
      </w:r>
    </w:p>
    <w:p w14:paraId="3991FAE0"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6C442982"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Rossi, E. and Kroll J. (2018) Psycholinguistic Perspectives on Second Language Acquisition and Bilingualism DOI: 10.1093/OBO/9780199772810-0037 Oxford University Press Available at: </w:t>
      </w:r>
      <w:hyperlink r:id="rId11" w:tgtFrame="_blank" w:history="1">
        <w:r w:rsidRPr="00126857">
          <w:rPr>
            <w:rStyle w:val="normaltextrun"/>
            <w:rFonts w:ascii="Arial" w:hAnsi="Arial" w:cs="Arial"/>
            <w:color w:val="0563C1"/>
            <w:u w:val="single"/>
          </w:rPr>
          <w:t>http://www.oxfordbibliographies.com/view/document/obo-9780199772810/obo-9780199772810-0037.xml</w:t>
        </w:r>
      </w:hyperlink>
      <w:r w:rsidRPr="00126857">
        <w:rPr>
          <w:rStyle w:val="normaltextrun"/>
          <w:rFonts w:ascii="Arial" w:hAnsi="Arial" w:cs="Arial"/>
        </w:rPr>
        <w:t> (Accessed 03.02.19)</w:t>
      </w:r>
      <w:r w:rsidRPr="00126857">
        <w:rPr>
          <w:rStyle w:val="eop"/>
          <w:rFonts w:ascii="Arial" w:hAnsi="Arial" w:cs="Arial"/>
        </w:rPr>
        <w:t> </w:t>
      </w:r>
    </w:p>
    <w:p w14:paraId="30523EDD"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0DF95E56"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Salkind, N. J. (2010). </w:t>
      </w:r>
      <w:r w:rsidRPr="00126857">
        <w:rPr>
          <w:rStyle w:val="spellingerror"/>
          <w:rFonts w:ascii="Arial" w:hAnsi="Arial" w:cs="Arial"/>
        </w:rPr>
        <w:t>Encyclopedia</w:t>
      </w:r>
      <w:r w:rsidRPr="00126857">
        <w:rPr>
          <w:rStyle w:val="normaltextrun"/>
          <w:rFonts w:ascii="Arial" w:hAnsi="Arial" w:cs="Arial"/>
        </w:rPr>
        <w:t> of research design Thousand Oaks, CA: SAGE Publications, Inc. </w:t>
      </w:r>
      <w:r w:rsidRPr="00126857">
        <w:rPr>
          <w:rStyle w:val="spellingerror"/>
          <w:rFonts w:ascii="Arial" w:hAnsi="Arial" w:cs="Arial"/>
        </w:rPr>
        <w:t>doi</w:t>
      </w:r>
      <w:r w:rsidRPr="00126857">
        <w:rPr>
          <w:rStyle w:val="normaltextrun"/>
          <w:rFonts w:ascii="Arial" w:hAnsi="Arial" w:cs="Arial"/>
        </w:rPr>
        <w:t>: 10.4135/9781412961288 Available at: </w:t>
      </w:r>
      <w:hyperlink r:id="rId12" w:tgtFrame="_blank" w:history="1">
        <w:r w:rsidRPr="00126857">
          <w:rPr>
            <w:rStyle w:val="normaltextrun"/>
            <w:rFonts w:ascii="Arial" w:hAnsi="Arial" w:cs="Arial"/>
            <w:color w:val="0563C1"/>
            <w:u w:val="single"/>
          </w:rPr>
          <w:t>http://methods.sagepub.com/reference/encyc-of-research-design/n108.xml</w:t>
        </w:r>
      </w:hyperlink>
      <w:r w:rsidRPr="00126857">
        <w:rPr>
          <w:rStyle w:val="normaltextrun"/>
          <w:rFonts w:ascii="Arial" w:hAnsi="Arial" w:cs="Arial"/>
        </w:rPr>
        <w:t> (Accessed 03.02.19)</w:t>
      </w:r>
      <w:r w:rsidRPr="00126857">
        <w:rPr>
          <w:rStyle w:val="eop"/>
          <w:rFonts w:ascii="Arial" w:hAnsi="Arial" w:cs="Arial"/>
        </w:rPr>
        <w:t> </w:t>
      </w:r>
    </w:p>
    <w:p w14:paraId="5E4275CE"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32A4B154" w14:textId="77777777" w:rsidR="00126857" w:rsidRDefault="00126857" w:rsidP="00126857">
      <w:pPr>
        <w:ind w:left="360"/>
        <w:rPr>
          <w:rFonts w:ascii="Arial" w:eastAsia="Times New Roman" w:hAnsi="Arial" w:cs="Arial"/>
        </w:rPr>
      </w:pPr>
      <w:r w:rsidRPr="00126857">
        <w:rPr>
          <w:rFonts w:ascii="Arial" w:eastAsia="Times New Roman" w:hAnsi="Arial" w:cs="Arial"/>
        </w:rPr>
        <w:t>Saunders, G. (1988) Bilingual Children: From Birth to Teens. Clevedon: Multilingual Matters</w:t>
      </w:r>
    </w:p>
    <w:p w14:paraId="36AE51A7" w14:textId="77777777" w:rsidR="00126857" w:rsidRPr="00126857" w:rsidRDefault="00126857" w:rsidP="00126857">
      <w:pPr>
        <w:ind w:left="360"/>
        <w:rPr>
          <w:rFonts w:ascii="Arial" w:eastAsia="Times New Roman" w:hAnsi="Arial" w:cs="Arial"/>
        </w:rPr>
      </w:pPr>
    </w:p>
    <w:p w14:paraId="7333C42C" w14:textId="77777777" w:rsidR="00126857" w:rsidRDefault="00126857" w:rsidP="00126857">
      <w:pPr>
        <w:widowControl w:val="0"/>
        <w:ind w:left="360"/>
        <w:rPr>
          <w:rFonts w:ascii="Arial" w:hAnsi="Arial" w:cs="Arial"/>
          <w:snapToGrid w:val="0"/>
          <w:color w:val="000000" w:themeColor="text1"/>
          <w:lang w:val="cy-GB"/>
        </w:rPr>
      </w:pPr>
      <w:r w:rsidRPr="00126857">
        <w:rPr>
          <w:rFonts w:ascii="Arial" w:hAnsi="Arial" w:cs="Arial"/>
          <w:snapToGrid w:val="0"/>
          <w:color w:val="000000" w:themeColor="text1"/>
          <w:lang w:val="cy-GB"/>
        </w:rPr>
        <w:t xml:space="preserve">Talfryn, I. (2001) </w:t>
      </w:r>
      <w:r w:rsidRPr="00126857">
        <w:rPr>
          <w:rFonts w:ascii="Arial" w:hAnsi="Arial" w:cs="Arial"/>
          <w:i/>
          <w:snapToGrid w:val="0"/>
          <w:color w:val="000000" w:themeColor="text1"/>
          <w:lang w:val="cy-GB"/>
        </w:rPr>
        <w:t>Dulliau Dysgu Ail Iaith eu hanes a’u datblygiad,</w:t>
      </w:r>
      <w:r w:rsidRPr="00126857">
        <w:rPr>
          <w:rFonts w:ascii="Arial" w:hAnsi="Arial" w:cs="Arial"/>
          <w:snapToGrid w:val="0"/>
          <w:color w:val="000000" w:themeColor="text1"/>
          <w:lang w:val="cy-GB"/>
        </w:rPr>
        <w:t xml:space="preserve"> Yr Wyddgrug: Popeth Cymraeg </w:t>
      </w:r>
    </w:p>
    <w:p w14:paraId="587F4A22" w14:textId="77777777" w:rsidR="00126857" w:rsidRPr="00126857" w:rsidRDefault="00126857" w:rsidP="00126857">
      <w:pPr>
        <w:widowControl w:val="0"/>
        <w:ind w:left="360"/>
        <w:rPr>
          <w:rFonts w:ascii="Arial" w:hAnsi="Arial" w:cs="Arial"/>
          <w:snapToGrid w:val="0"/>
          <w:color w:val="000000" w:themeColor="text1"/>
          <w:lang w:val="cy-GB"/>
        </w:rPr>
      </w:pPr>
    </w:p>
    <w:p w14:paraId="23F9B1F7"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spellingerror"/>
          <w:rFonts w:ascii="Arial" w:hAnsi="Arial" w:cs="Arial"/>
        </w:rPr>
        <w:t>Trosset</w:t>
      </w:r>
      <w:r w:rsidRPr="00126857">
        <w:rPr>
          <w:rStyle w:val="normaltextrun"/>
          <w:rFonts w:ascii="Arial" w:hAnsi="Arial" w:cs="Arial"/>
        </w:rPr>
        <w:t> C., S. (1986) The Social Identity of Welsh Learners. Language in Society 15, no. 2 (1986): 165-91. Available at </w:t>
      </w:r>
      <w:hyperlink r:id="rId13" w:tgtFrame="_blank" w:history="1">
        <w:r w:rsidRPr="00126857">
          <w:rPr>
            <w:rStyle w:val="normaltextrun"/>
            <w:rFonts w:ascii="Arial" w:hAnsi="Arial" w:cs="Arial"/>
            <w:color w:val="0563C1"/>
            <w:u w:val="single"/>
          </w:rPr>
          <w:t>www.jstor.org/stable/4167746</w:t>
        </w:r>
      </w:hyperlink>
      <w:r w:rsidRPr="00126857">
        <w:rPr>
          <w:rStyle w:val="normaltextrun"/>
          <w:rFonts w:ascii="Arial" w:hAnsi="Arial" w:cs="Arial"/>
        </w:rPr>
        <w:t>. (Accessed 03.02.19).</w:t>
      </w:r>
      <w:r w:rsidRPr="00126857">
        <w:rPr>
          <w:rStyle w:val="eop"/>
          <w:rFonts w:ascii="Arial" w:hAnsi="Arial" w:cs="Arial"/>
        </w:rPr>
        <w:t> </w:t>
      </w:r>
    </w:p>
    <w:p w14:paraId="264BEBB8"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3D2D0C73" w14:textId="77777777" w:rsidR="00126857" w:rsidRDefault="00126857" w:rsidP="00126857">
      <w:pPr>
        <w:pStyle w:val="paragraph"/>
        <w:spacing w:before="0" w:beforeAutospacing="0" w:after="0" w:afterAutospacing="0"/>
        <w:ind w:left="360"/>
        <w:textAlignment w:val="baseline"/>
        <w:rPr>
          <w:rStyle w:val="eop"/>
          <w:rFonts w:ascii="Arial" w:hAnsi="Arial" w:cs="Arial"/>
        </w:rPr>
      </w:pPr>
      <w:r w:rsidRPr="00126857">
        <w:rPr>
          <w:rStyle w:val="normaltextrun"/>
          <w:rFonts w:ascii="Arial" w:hAnsi="Arial" w:cs="Arial"/>
        </w:rPr>
        <w:t>UNESCO (1953). The use of the vernacular languages in education. Monographs on Foundations of Education, No. 8. Paris: UNESCO.</w:t>
      </w:r>
      <w:r w:rsidRPr="00126857">
        <w:rPr>
          <w:rStyle w:val="eop"/>
          <w:rFonts w:ascii="Arial" w:hAnsi="Arial" w:cs="Arial"/>
        </w:rPr>
        <w:t> </w:t>
      </w:r>
    </w:p>
    <w:p w14:paraId="499EC4DD" w14:textId="77777777" w:rsidR="00126857" w:rsidRPr="00126857" w:rsidRDefault="00126857" w:rsidP="00126857">
      <w:pPr>
        <w:pStyle w:val="paragraph"/>
        <w:spacing w:before="0" w:beforeAutospacing="0" w:after="0" w:afterAutospacing="0"/>
        <w:ind w:left="360"/>
        <w:textAlignment w:val="baseline"/>
        <w:rPr>
          <w:rStyle w:val="eop"/>
          <w:rFonts w:ascii="Arial" w:hAnsi="Arial" w:cs="Arial"/>
        </w:rPr>
      </w:pPr>
    </w:p>
    <w:p w14:paraId="044368B4" w14:textId="77777777" w:rsidR="00126857" w:rsidRDefault="00126857" w:rsidP="00126857">
      <w:pPr>
        <w:widowControl w:val="0"/>
        <w:ind w:left="360"/>
        <w:jc w:val="both"/>
        <w:rPr>
          <w:rFonts w:ascii="Arial" w:hAnsi="Arial" w:cs="Arial"/>
          <w:color w:val="000000" w:themeColor="text1"/>
        </w:rPr>
      </w:pPr>
      <w:r w:rsidRPr="00126857">
        <w:rPr>
          <w:rFonts w:ascii="Arial" w:hAnsi="Arial" w:cs="Arial"/>
          <w:snapToGrid w:val="0"/>
          <w:color w:val="000000" w:themeColor="text1"/>
          <w:lang w:val="cy-GB"/>
        </w:rPr>
        <w:t xml:space="preserve">Welsh Assembly Government(2008) </w:t>
      </w:r>
      <w:r w:rsidRPr="00126857">
        <w:rPr>
          <w:rFonts w:ascii="Arial" w:hAnsi="Arial" w:cs="Arial"/>
          <w:i/>
          <w:snapToGrid w:val="0"/>
          <w:color w:val="000000" w:themeColor="text1"/>
          <w:lang w:val="cy-GB"/>
        </w:rPr>
        <w:t xml:space="preserve">Welsh Language Development in the Foundation Phase, </w:t>
      </w:r>
      <w:r w:rsidRPr="00126857">
        <w:rPr>
          <w:rFonts w:ascii="Arial" w:hAnsi="Arial" w:cs="Arial"/>
          <w:color w:val="000000" w:themeColor="text1"/>
        </w:rPr>
        <w:t>Cardiff: WG.</w:t>
      </w:r>
    </w:p>
    <w:p w14:paraId="6AF33603" w14:textId="77777777" w:rsidR="00126857" w:rsidRPr="00126857" w:rsidRDefault="00126857" w:rsidP="00126857">
      <w:pPr>
        <w:widowControl w:val="0"/>
        <w:ind w:left="360"/>
        <w:jc w:val="both"/>
        <w:rPr>
          <w:rFonts w:ascii="Arial" w:hAnsi="Arial" w:cs="Arial"/>
          <w:snapToGrid w:val="0"/>
          <w:color w:val="000000" w:themeColor="text1"/>
          <w:lang w:val="cy-GB"/>
        </w:rPr>
      </w:pPr>
    </w:p>
    <w:p w14:paraId="29147B76" w14:textId="77777777" w:rsidR="00126857" w:rsidRDefault="00126857" w:rsidP="00126857">
      <w:pPr>
        <w:ind w:left="360"/>
        <w:rPr>
          <w:rFonts w:ascii="Arial" w:eastAsia="Helvetica" w:hAnsi="Arial" w:cs="Arial"/>
        </w:rPr>
      </w:pPr>
      <w:r w:rsidRPr="00126857">
        <w:rPr>
          <w:rFonts w:ascii="Arial" w:eastAsia="Times New Roman" w:hAnsi="Arial" w:cs="Arial"/>
        </w:rPr>
        <w:t xml:space="preserve">Welsh Government (2012) A living language: a language for living </w:t>
      </w:r>
      <w:r w:rsidRPr="00126857">
        <w:rPr>
          <w:rFonts w:ascii="Arial" w:eastAsia="Helvetica" w:hAnsi="Arial" w:cs="Arial"/>
        </w:rPr>
        <w:t>– Welsh Language Strategy 2012–17 Welsh Government</w:t>
      </w:r>
    </w:p>
    <w:p w14:paraId="0F6C083B" w14:textId="77777777" w:rsidR="00126857" w:rsidRPr="00126857" w:rsidRDefault="00126857" w:rsidP="00126857">
      <w:pPr>
        <w:ind w:left="360"/>
        <w:rPr>
          <w:rFonts w:ascii="Arial" w:eastAsia="Times New Roman" w:hAnsi="Arial" w:cs="Arial"/>
        </w:rPr>
      </w:pPr>
    </w:p>
    <w:p w14:paraId="11D12EF1" w14:textId="77777777" w:rsidR="00126857" w:rsidRDefault="00126857" w:rsidP="00126857">
      <w:pPr>
        <w:ind w:left="360"/>
        <w:rPr>
          <w:rFonts w:ascii="Arial" w:eastAsia="Times New Roman" w:hAnsi="Arial" w:cs="Arial"/>
        </w:rPr>
      </w:pPr>
      <w:r w:rsidRPr="00126857">
        <w:rPr>
          <w:rFonts w:ascii="Arial" w:eastAsia="Times New Roman" w:hAnsi="Arial" w:cs="Arial"/>
        </w:rPr>
        <w:t xml:space="preserve">Welsh Government (2012), Welsh Second Language Action Plan, http://wales.gov.uk/topics/educationandskills/publications/guidance/welshactio nplan/?skip=1&amp;lang=en. </w:t>
      </w:r>
    </w:p>
    <w:p w14:paraId="3E846BB7" w14:textId="77777777" w:rsidR="00126857" w:rsidRPr="00126857" w:rsidRDefault="00126857" w:rsidP="00126857">
      <w:pPr>
        <w:ind w:left="360"/>
        <w:rPr>
          <w:rFonts w:ascii="Arial" w:eastAsia="Times New Roman" w:hAnsi="Arial" w:cs="Arial"/>
        </w:rPr>
      </w:pPr>
    </w:p>
    <w:p w14:paraId="21029B8F" w14:textId="77777777" w:rsidR="00126857" w:rsidRDefault="00126857" w:rsidP="00126857">
      <w:pPr>
        <w:ind w:left="360"/>
        <w:rPr>
          <w:rFonts w:ascii="Arial" w:hAnsi="Arial" w:cs="Arial"/>
          <w:color w:val="000000" w:themeColor="text1"/>
        </w:rPr>
      </w:pPr>
      <w:r w:rsidRPr="00126857">
        <w:rPr>
          <w:rFonts w:ascii="Arial" w:hAnsi="Arial" w:cs="Arial"/>
          <w:color w:val="000000" w:themeColor="text1"/>
        </w:rPr>
        <w:t xml:space="preserve">Welsh Government (2013) </w:t>
      </w:r>
      <w:r w:rsidRPr="00126857">
        <w:rPr>
          <w:rFonts w:ascii="Arial" w:hAnsi="Arial" w:cs="Arial"/>
          <w:i/>
          <w:color w:val="000000" w:themeColor="text1"/>
        </w:rPr>
        <w:t>One language for all - Review of Welsh second language at Key Stages 3 and 4</w:t>
      </w:r>
      <w:r w:rsidRPr="00126857">
        <w:rPr>
          <w:rFonts w:ascii="Arial" w:hAnsi="Arial" w:cs="Arial"/>
          <w:color w:val="000000" w:themeColor="text1"/>
        </w:rPr>
        <w:t>. Cardiff: WG.</w:t>
      </w:r>
    </w:p>
    <w:p w14:paraId="792532BA" w14:textId="77777777" w:rsidR="00126857" w:rsidRPr="00126857" w:rsidRDefault="00126857" w:rsidP="00126857">
      <w:pPr>
        <w:ind w:left="360"/>
        <w:rPr>
          <w:rFonts w:ascii="Arial" w:hAnsi="Arial" w:cs="Arial"/>
          <w:color w:val="000000" w:themeColor="text1"/>
        </w:rPr>
      </w:pPr>
    </w:p>
    <w:p w14:paraId="7C1685C7" w14:textId="77777777" w:rsidR="00126857" w:rsidRPr="00126857" w:rsidRDefault="00126857" w:rsidP="00126857">
      <w:pPr>
        <w:ind w:left="360"/>
        <w:rPr>
          <w:rFonts w:ascii="Arial" w:hAnsi="Arial" w:cs="Arial"/>
          <w:color w:val="000000" w:themeColor="text1"/>
        </w:rPr>
      </w:pPr>
      <w:r w:rsidRPr="00126857">
        <w:rPr>
          <w:rFonts w:ascii="Arial" w:hAnsi="Arial" w:cs="Arial"/>
          <w:color w:val="000000" w:themeColor="text1"/>
        </w:rPr>
        <w:t xml:space="preserve">Welsh Government (2014) </w:t>
      </w:r>
      <w:r w:rsidRPr="00126857">
        <w:rPr>
          <w:rFonts w:ascii="Arial" w:hAnsi="Arial" w:cs="Arial"/>
          <w:i/>
          <w:color w:val="000000" w:themeColor="text1"/>
        </w:rPr>
        <w:t>Evaluating the Foundation Phase: Key Findings on Welsh Language</w:t>
      </w:r>
      <w:r w:rsidRPr="00126857">
        <w:rPr>
          <w:rFonts w:ascii="Arial" w:hAnsi="Arial" w:cs="Arial"/>
          <w:color w:val="000000" w:themeColor="text1"/>
        </w:rPr>
        <w:t xml:space="preserve"> (WISERD). Cardiff: Crown.</w:t>
      </w:r>
    </w:p>
    <w:p w14:paraId="0717126A" w14:textId="77777777" w:rsidR="00126857" w:rsidRDefault="00126857" w:rsidP="00126857">
      <w:pPr>
        <w:ind w:left="360"/>
        <w:rPr>
          <w:rFonts w:ascii="Arial" w:eastAsia="Times New Roman" w:hAnsi="Arial" w:cs="Arial"/>
        </w:rPr>
      </w:pPr>
      <w:r w:rsidRPr="00126857">
        <w:rPr>
          <w:rFonts w:ascii="Arial" w:eastAsia="Times New Roman" w:hAnsi="Arial" w:cs="Arial"/>
        </w:rPr>
        <w:t>Welsh Government (2014) Qualified for life: An education improvement plan for 3 to 19-year-olds in Wales Welsh Government</w:t>
      </w:r>
    </w:p>
    <w:p w14:paraId="23181550" w14:textId="77777777" w:rsidR="00126857" w:rsidRPr="00126857" w:rsidRDefault="00126857" w:rsidP="00126857">
      <w:pPr>
        <w:ind w:left="360"/>
        <w:rPr>
          <w:rFonts w:ascii="Arial" w:eastAsia="Times New Roman" w:hAnsi="Arial" w:cs="Arial"/>
        </w:rPr>
      </w:pPr>
    </w:p>
    <w:p w14:paraId="1B2A2E5F" w14:textId="77777777" w:rsidR="00126857" w:rsidRDefault="00126857" w:rsidP="00126857">
      <w:pPr>
        <w:widowControl w:val="0"/>
        <w:ind w:left="360"/>
        <w:rPr>
          <w:rFonts w:ascii="Arial" w:hAnsi="Arial" w:cs="Arial"/>
          <w:i/>
          <w:snapToGrid w:val="0"/>
          <w:color w:val="000000" w:themeColor="text1"/>
          <w:lang w:val="cy-GB"/>
        </w:rPr>
      </w:pPr>
      <w:r w:rsidRPr="00126857">
        <w:rPr>
          <w:rFonts w:ascii="Arial" w:hAnsi="Arial" w:cs="Arial"/>
          <w:i/>
          <w:snapToGrid w:val="0"/>
          <w:color w:val="000000" w:themeColor="text1"/>
          <w:lang w:val="cy-GB"/>
        </w:rPr>
        <w:t>Welsh Government (2015) Programme of Study – Welsh Second Language, Key Stages 2-3.</w:t>
      </w:r>
    </w:p>
    <w:p w14:paraId="6DF66EC2" w14:textId="77777777" w:rsidR="00126857" w:rsidRPr="00126857" w:rsidRDefault="00126857" w:rsidP="00126857">
      <w:pPr>
        <w:widowControl w:val="0"/>
        <w:ind w:left="360"/>
        <w:rPr>
          <w:rFonts w:ascii="Arial" w:hAnsi="Arial" w:cs="Arial"/>
          <w:i/>
          <w:snapToGrid w:val="0"/>
          <w:color w:val="000000" w:themeColor="text1"/>
          <w:lang w:val="cy-GB"/>
        </w:rPr>
      </w:pPr>
    </w:p>
    <w:p w14:paraId="3C41BF64" w14:textId="77777777" w:rsidR="00126857" w:rsidRDefault="00126857" w:rsidP="00126857">
      <w:pPr>
        <w:widowControl w:val="0"/>
        <w:ind w:left="360"/>
        <w:rPr>
          <w:rFonts w:ascii="Arial" w:hAnsi="Arial" w:cs="Arial"/>
          <w:i/>
          <w:snapToGrid w:val="0"/>
          <w:color w:val="000000" w:themeColor="text1"/>
          <w:lang w:val="cy-GB"/>
        </w:rPr>
      </w:pPr>
      <w:r w:rsidRPr="00126857">
        <w:rPr>
          <w:rFonts w:ascii="Arial" w:hAnsi="Arial" w:cs="Arial"/>
          <w:i/>
          <w:snapToGrid w:val="0"/>
          <w:color w:val="000000" w:themeColor="text1"/>
          <w:lang w:val="cy-GB"/>
        </w:rPr>
        <w:t>Welsh Government (2015) Programme of Study – Welsh, Key Stages 2-3.</w:t>
      </w:r>
    </w:p>
    <w:p w14:paraId="2203FA5F" w14:textId="77777777" w:rsidR="00126857" w:rsidRPr="00126857" w:rsidRDefault="00126857" w:rsidP="00126857">
      <w:pPr>
        <w:widowControl w:val="0"/>
        <w:ind w:left="360"/>
        <w:rPr>
          <w:rFonts w:ascii="Arial" w:hAnsi="Arial" w:cs="Arial"/>
          <w:i/>
          <w:snapToGrid w:val="0"/>
          <w:color w:val="000000" w:themeColor="text1"/>
          <w:lang w:val="cy-GB"/>
        </w:rPr>
      </w:pPr>
    </w:p>
    <w:p w14:paraId="415820BE" w14:textId="77777777" w:rsidR="00126857" w:rsidRDefault="00126857" w:rsidP="00126857">
      <w:pPr>
        <w:ind w:left="360"/>
        <w:rPr>
          <w:rFonts w:ascii="Arial" w:hAnsi="Arial" w:cs="Arial"/>
          <w:color w:val="000000" w:themeColor="text1"/>
        </w:rPr>
      </w:pPr>
      <w:r w:rsidRPr="00126857">
        <w:rPr>
          <w:rFonts w:ascii="Arial" w:hAnsi="Arial" w:cs="Arial"/>
          <w:color w:val="000000" w:themeColor="text1"/>
        </w:rPr>
        <w:t xml:space="preserve">Welsh Government (2016) </w:t>
      </w:r>
      <w:r w:rsidRPr="00126857">
        <w:rPr>
          <w:rFonts w:ascii="Arial" w:hAnsi="Arial" w:cs="Arial"/>
          <w:i/>
          <w:color w:val="000000" w:themeColor="text1"/>
        </w:rPr>
        <w:t>Review of a project to encourage Welsh-medium teaching in English-medium primary schools</w:t>
      </w:r>
      <w:r w:rsidRPr="00126857">
        <w:rPr>
          <w:rFonts w:ascii="Arial" w:hAnsi="Arial" w:cs="Arial"/>
          <w:color w:val="000000" w:themeColor="text1"/>
        </w:rPr>
        <w:t>. Cardiff: Crown.</w:t>
      </w:r>
    </w:p>
    <w:p w14:paraId="0DA8C596" w14:textId="77777777" w:rsidR="00126857" w:rsidRPr="00126857" w:rsidRDefault="00126857" w:rsidP="00126857">
      <w:pPr>
        <w:ind w:left="360"/>
        <w:rPr>
          <w:rFonts w:ascii="Arial" w:hAnsi="Arial" w:cs="Arial"/>
          <w:color w:val="000000" w:themeColor="text1"/>
        </w:rPr>
      </w:pPr>
    </w:p>
    <w:p w14:paraId="6CECE273" w14:textId="77777777" w:rsidR="00126857" w:rsidRPr="00126857" w:rsidRDefault="00126857" w:rsidP="00126857">
      <w:pPr>
        <w:widowControl w:val="0"/>
        <w:ind w:left="360"/>
        <w:rPr>
          <w:rFonts w:ascii="Arial" w:hAnsi="Arial" w:cs="Arial"/>
          <w:color w:val="000000" w:themeColor="text1"/>
        </w:rPr>
      </w:pPr>
      <w:r w:rsidRPr="00126857">
        <w:rPr>
          <w:rFonts w:ascii="Arial" w:hAnsi="Arial" w:cs="Arial"/>
          <w:snapToGrid w:val="0"/>
          <w:color w:val="000000" w:themeColor="text1"/>
          <w:lang w:val="cy-GB"/>
        </w:rPr>
        <w:t xml:space="preserve">WJEC / CBAC (1998) </w:t>
      </w:r>
      <w:r w:rsidRPr="00126857">
        <w:rPr>
          <w:rFonts w:ascii="Arial" w:hAnsi="Arial" w:cs="Arial"/>
          <w:i/>
          <w:snapToGrid w:val="0"/>
          <w:color w:val="000000" w:themeColor="text1"/>
          <w:lang w:val="cy-GB"/>
        </w:rPr>
        <w:t>Datblygu Cymraeg Pob Dydd yn yr Ysgol Gynradd / Developing Everyday Welsh in the Primary School</w:t>
      </w:r>
      <w:r w:rsidRPr="00126857">
        <w:rPr>
          <w:rFonts w:ascii="Arial" w:hAnsi="Arial" w:cs="Arial"/>
          <w:snapToGrid w:val="0"/>
          <w:color w:val="000000" w:themeColor="text1"/>
          <w:lang w:val="cy-GB"/>
        </w:rPr>
        <w:t xml:space="preserve">, Caerdydd: CBAC. </w:t>
      </w:r>
      <w:hyperlink r:id="rId14" w:history="1">
        <w:r w:rsidRPr="00126857">
          <w:rPr>
            <w:rStyle w:val="Hyperlink"/>
            <w:rFonts w:ascii="Arial" w:hAnsi="Arial" w:cs="Arial"/>
            <w:snapToGrid w:val="0"/>
            <w:color w:val="000000" w:themeColor="text1"/>
            <w:lang w:val="cy-GB"/>
          </w:rPr>
          <w:t>http://www.cbac.co.uk/uploads/publications/2991.pdf</w:t>
        </w:r>
      </w:hyperlink>
    </w:p>
    <w:p w14:paraId="1F1628EE" w14:textId="77777777" w:rsidR="00126857" w:rsidRDefault="00126857" w:rsidP="009B2DEC">
      <w:pPr>
        <w:pStyle w:val="paragraph"/>
        <w:spacing w:before="0" w:beforeAutospacing="0" w:after="0" w:afterAutospacing="0"/>
        <w:textAlignment w:val="baseline"/>
        <w:rPr>
          <w:rStyle w:val="eop"/>
          <w:rFonts w:ascii="Arial" w:hAnsi="Arial" w:cs="Arial"/>
        </w:rPr>
      </w:pPr>
    </w:p>
    <w:p w14:paraId="0362D28E" w14:textId="77777777" w:rsidR="00301591" w:rsidRDefault="00301591" w:rsidP="009B2DEC">
      <w:pPr>
        <w:pStyle w:val="paragraph"/>
        <w:spacing w:before="0" w:beforeAutospacing="0" w:after="0" w:afterAutospacing="0"/>
        <w:textAlignment w:val="baseline"/>
        <w:rPr>
          <w:rStyle w:val="eop"/>
          <w:rFonts w:ascii="Arial" w:hAnsi="Arial" w:cs="Arial"/>
        </w:rPr>
      </w:pPr>
    </w:p>
    <w:p w14:paraId="01343A47" w14:textId="77777777" w:rsidR="00301591" w:rsidRPr="009B2DEC" w:rsidRDefault="00301591" w:rsidP="009B2DEC">
      <w:pPr>
        <w:pStyle w:val="paragraph"/>
        <w:spacing w:before="0" w:beforeAutospacing="0" w:after="0" w:afterAutospacing="0"/>
        <w:textAlignment w:val="baseline"/>
        <w:rPr>
          <w:rStyle w:val="eop"/>
          <w:rFonts w:ascii="Arial" w:hAnsi="Arial" w:cs="Arial"/>
        </w:rPr>
      </w:pPr>
    </w:p>
    <w:p w14:paraId="1CA02D78" w14:textId="77777777" w:rsidR="009B2DEC" w:rsidRDefault="009B2DEC" w:rsidP="009B2DEC">
      <w:pPr>
        <w:pStyle w:val="paragraph"/>
        <w:spacing w:before="0" w:beforeAutospacing="0" w:after="0" w:afterAutospacing="0"/>
        <w:textAlignment w:val="baseline"/>
        <w:rPr>
          <w:rStyle w:val="eop"/>
          <w:rFonts w:ascii="Calibri" w:hAnsi="Calibri" w:cs="Arial"/>
          <w:sz w:val="22"/>
          <w:szCs w:val="22"/>
        </w:rPr>
      </w:pPr>
    </w:p>
    <w:p w14:paraId="47FD2418" w14:textId="77777777" w:rsidR="009B2DEC" w:rsidRDefault="009B2DEC" w:rsidP="009B2DEC">
      <w:pPr>
        <w:pStyle w:val="paragraph"/>
        <w:spacing w:before="0" w:beforeAutospacing="0" w:after="0" w:afterAutospacing="0"/>
        <w:textAlignment w:val="baseline"/>
        <w:rPr>
          <w:rFonts w:ascii="Arial" w:hAnsi="Arial" w:cs="Arial"/>
          <w:sz w:val="18"/>
          <w:szCs w:val="18"/>
        </w:rPr>
      </w:pPr>
    </w:p>
    <w:p w14:paraId="67BD7678" w14:textId="77777777" w:rsidR="009B2DEC" w:rsidRDefault="009B2DEC" w:rsidP="009B2DEC">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6F50C402" w14:textId="77777777" w:rsidR="009B2DEC" w:rsidRDefault="009B2DEC" w:rsidP="009B2DEC">
      <w:pPr>
        <w:pStyle w:val="paragraph"/>
        <w:spacing w:before="0" w:beforeAutospacing="0" w:after="0" w:afterAutospacing="0" w:line="360" w:lineRule="auto"/>
        <w:textAlignment w:val="baseline"/>
        <w:rPr>
          <w:rFonts w:ascii="Arial" w:hAnsi="Arial" w:cs="Arial"/>
          <w:sz w:val="18"/>
          <w:szCs w:val="18"/>
        </w:rPr>
      </w:pPr>
    </w:p>
    <w:p w14:paraId="00F81631" w14:textId="77777777" w:rsidR="001962EA" w:rsidRDefault="00A6363B"/>
    <w:sectPr w:rsidR="001962EA" w:rsidSect="00AE19A5">
      <w:headerReference w:type="default" r:id="rId15"/>
      <w:footerReference w:type="even" r:id="rId16"/>
      <w:foot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C8F84B" w14:textId="77777777" w:rsidR="00A6363B" w:rsidRDefault="00A6363B" w:rsidP="00126857">
      <w:r>
        <w:separator/>
      </w:r>
    </w:p>
  </w:endnote>
  <w:endnote w:type="continuationSeparator" w:id="0">
    <w:p w14:paraId="36AD6CBB" w14:textId="77777777" w:rsidR="00A6363B" w:rsidRDefault="00A6363B" w:rsidP="00126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BCA52" w14:textId="77777777" w:rsidR="00126857" w:rsidRDefault="00126857" w:rsidP="0068277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05AF1D" w14:textId="77777777" w:rsidR="00126857" w:rsidRDefault="00126857" w:rsidP="0012685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B7C3DB" w14:textId="77777777" w:rsidR="00126857" w:rsidRDefault="00126857" w:rsidP="0068277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6363B">
      <w:rPr>
        <w:rStyle w:val="PageNumber"/>
        <w:noProof/>
      </w:rPr>
      <w:t>1</w:t>
    </w:r>
    <w:r>
      <w:rPr>
        <w:rStyle w:val="PageNumber"/>
      </w:rPr>
      <w:fldChar w:fldCharType="end"/>
    </w:r>
  </w:p>
  <w:p w14:paraId="4F21B208" w14:textId="77777777" w:rsidR="00126857" w:rsidRDefault="00126857" w:rsidP="0012685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B55905" w14:textId="77777777" w:rsidR="00A6363B" w:rsidRDefault="00A6363B" w:rsidP="00126857">
      <w:r>
        <w:separator/>
      </w:r>
    </w:p>
  </w:footnote>
  <w:footnote w:type="continuationSeparator" w:id="0">
    <w:p w14:paraId="1C4F26F1" w14:textId="77777777" w:rsidR="00A6363B" w:rsidRDefault="00A6363B" w:rsidP="0012685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1DC86A" w14:textId="338AB355" w:rsidR="00126857" w:rsidRDefault="00126857">
    <w:pPr>
      <w:pStyle w:val="Header"/>
    </w:pPr>
    <w:r>
      <w:t xml:space="preserve">ECAD6006C  Yr laith Ar Daith   Student Number 1601573 </w:t>
    </w:r>
  </w:p>
  <w:p w14:paraId="756E4189" w14:textId="77777777" w:rsidR="00126857" w:rsidRDefault="0012685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B7018D"/>
    <w:multiLevelType w:val="hybridMultilevel"/>
    <w:tmpl w:val="54104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1C4"/>
    <w:rsid w:val="00121E9B"/>
    <w:rsid w:val="00126857"/>
    <w:rsid w:val="00301591"/>
    <w:rsid w:val="00340CEC"/>
    <w:rsid w:val="00492F83"/>
    <w:rsid w:val="005C54E7"/>
    <w:rsid w:val="00754BFB"/>
    <w:rsid w:val="008841A6"/>
    <w:rsid w:val="00984C89"/>
    <w:rsid w:val="009B2DEC"/>
    <w:rsid w:val="00A6363B"/>
    <w:rsid w:val="00AE19A5"/>
    <w:rsid w:val="00B041C4"/>
    <w:rsid w:val="00D76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A7C2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591"/>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041C4"/>
    <w:pPr>
      <w:spacing w:before="100" w:beforeAutospacing="1" w:after="100" w:afterAutospacing="1"/>
    </w:pPr>
  </w:style>
  <w:style w:type="character" w:customStyle="1" w:styleId="normaltextrun">
    <w:name w:val="normaltextrun"/>
    <w:basedOn w:val="DefaultParagraphFont"/>
    <w:rsid w:val="00B041C4"/>
  </w:style>
  <w:style w:type="character" w:customStyle="1" w:styleId="eop">
    <w:name w:val="eop"/>
    <w:basedOn w:val="DefaultParagraphFont"/>
    <w:rsid w:val="00B041C4"/>
  </w:style>
  <w:style w:type="character" w:customStyle="1" w:styleId="spellingerror">
    <w:name w:val="spellingerror"/>
    <w:basedOn w:val="DefaultParagraphFont"/>
    <w:rsid w:val="00B041C4"/>
  </w:style>
  <w:style w:type="character" w:customStyle="1" w:styleId="contextualspellingandgrammarerror">
    <w:name w:val="contextualspellingandgrammarerror"/>
    <w:basedOn w:val="DefaultParagraphFont"/>
    <w:rsid w:val="00B041C4"/>
  </w:style>
  <w:style w:type="paragraph" w:styleId="NormalWeb">
    <w:name w:val="Normal (Web)"/>
    <w:basedOn w:val="Normal"/>
    <w:uiPriority w:val="99"/>
    <w:unhideWhenUsed/>
    <w:rsid w:val="008841A6"/>
    <w:pPr>
      <w:spacing w:before="100" w:beforeAutospacing="1" w:after="100" w:afterAutospacing="1"/>
    </w:pPr>
    <w:rPr>
      <w:rFonts w:eastAsia="Times New Roman"/>
    </w:rPr>
  </w:style>
  <w:style w:type="character" w:styleId="Hyperlink">
    <w:name w:val="Hyperlink"/>
    <w:rsid w:val="008841A6"/>
    <w:rPr>
      <w:color w:val="0000FF"/>
      <w:u w:val="single"/>
    </w:rPr>
  </w:style>
  <w:style w:type="character" w:styleId="Emphasis">
    <w:name w:val="Emphasis"/>
    <w:basedOn w:val="DefaultParagraphFont"/>
    <w:uiPriority w:val="20"/>
    <w:qFormat/>
    <w:rsid w:val="00340CEC"/>
    <w:rPr>
      <w:i/>
      <w:iCs/>
    </w:rPr>
  </w:style>
  <w:style w:type="paragraph" w:styleId="ListParagraph">
    <w:name w:val="List Paragraph"/>
    <w:basedOn w:val="Normal"/>
    <w:uiPriority w:val="34"/>
    <w:qFormat/>
    <w:rsid w:val="00126857"/>
    <w:pPr>
      <w:ind w:left="720"/>
      <w:contextualSpacing/>
    </w:pPr>
  </w:style>
  <w:style w:type="paragraph" w:styleId="Footer">
    <w:name w:val="footer"/>
    <w:basedOn w:val="Normal"/>
    <w:link w:val="FooterChar"/>
    <w:uiPriority w:val="99"/>
    <w:unhideWhenUsed/>
    <w:rsid w:val="00126857"/>
    <w:pPr>
      <w:tabs>
        <w:tab w:val="center" w:pos="4513"/>
        <w:tab w:val="right" w:pos="9026"/>
      </w:tabs>
    </w:pPr>
  </w:style>
  <w:style w:type="character" w:customStyle="1" w:styleId="FooterChar">
    <w:name w:val="Footer Char"/>
    <w:basedOn w:val="DefaultParagraphFont"/>
    <w:link w:val="Footer"/>
    <w:uiPriority w:val="99"/>
    <w:rsid w:val="00126857"/>
    <w:rPr>
      <w:rFonts w:ascii="Times New Roman" w:hAnsi="Times New Roman" w:cs="Times New Roman"/>
      <w:lang w:eastAsia="en-GB"/>
    </w:rPr>
  </w:style>
  <w:style w:type="character" w:styleId="PageNumber">
    <w:name w:val="page number"/>
    <w:basedOn w:val="DefaultParagraphFont"/>
    <w:uiPriority w:val="99"/>
    <w:semiHidden/>
    <w:unhideWhenUsed/>
    <w:rsid w:val="00126857"/>
  </w:style>
  <w:style w:type="paragraph" w:styleId="Header">
    <w:name w:val="header"/>
    <w:basedOn w:val="Normal"/>
    <w:link w:val="HeaderChar"/>
    <w:uiPriority w:val="99"/>
    <w:unhideWhenUsed/>
    <w:rsid w:val="00126857"/>
    <w:pPr>
      <w:tabs>
        <w:tab w:val="center" w:pos="4513"/>
        <w:tab w:val="right" w:pos="9026"/>
      </w:tabs>
    </w:pPr>
  </w:style>
  <w:style w:type="character" w:customStyle="1" w:styleId="HeaderChar">
    <w:name w:val="Header Char"/>
    <w:basedOn w:val="DefaultParagraphFont"/>
    <w:link w:val="Header"/>
    <w:uiPriority w:val="99"/>
    <w:rsid w:val="00126857"/>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88165">
      <w:bodyDiv w:val="1"/>
      <w:marLeft w:val="0"/>
      <w:marRight w:val="0"/>
      <w:marTop w:val="0"/>
      <w:marBottom w:val="0"/>
      <w:divBdr>
        <w:top w:val="none" w:sz="0" w:space="0" w:color="auto"/>
        <w:left w:val="none" w:sz="0" w:space="0" w:color="auto"/>
        <w:bottom w:val="none" w:sz="0" w:space="0" w:color="auto"/>
        <w:right w:val="none" w:sz="0" w:space="0" w:color="auto"/>
      </w:divBdr>
    </w:div>
    <w:div w:id="60443402">
      <w:bodyDiv w:val="1"/>
      <w:marLeft w:val="0"/>
      <w:marRight w:val="0"/>
      <w:marTop w:val="0"/>
      <w:marBottom w:val="0"/>
      <w:divBdr>
        <w:top w:val="none" w:sz="0" w:space="0" w:color="auto"/>
        <w:left w:val="none" w:sz="0" w:space="0" w:color="auto"/>
        <w:bottom w:val="none" w:sz="0" w:space="0" w:color="auto"/>
        <w:right w:val="none" w:sz="0" w:space="0" w:color="auto"/>
      </w:divBdr>
    </w:div>
    <w:div w:id="673915842">
      <w:bodyDiv w:val="1"/>
      <w:marLeft w:val="0"/>
      <w:marRight w:val="0"/>
      <w:marTop w:val="0"/>
      <w:marBottom w:val="0"/>
      <w:divBdr>
        <w:top w:val="none" w:sz="0" w:space="0" w:color="auto"/>
        <w:left w:val="none" w:sz="0" w:space="0" w:color="auto"/>
        <w:bottom w:val="none" w:sz="0" w:space="0" w:color="auto"/>
        <w:right w:val="none" w:sz="0" w:space="0" w:color="auto"/>
      </w:divBdr>
    </w:div>
    <w:div w:id="712659748">
      <w:bodyDiv w:val="1"/>
      <w:marLeft w:val="0"/>
      <w:marRight w:val="0"/>
      <w:marTop w:val="0"/>
      <w:marBottom w:val="0"/>
      <w:divBdr>
        <w:top w:val="none" w:sz="0" w:space="0" w:color="auto"/>
        <w:left w:val="none" w:sz="0" w:space="0" w:color="auto"/>
        <w:bottom w:val="none" w:sz="0" w:space="0" w:color="auto"/>
        <w:right w:val="none" w:sz="0" w:space="0" w:color="auto"/>
      </w:divBdr>
      <w:divsChild>
        <w:div w:id="1308048044">
          <w:marLeft w:val="0"/>
          <w:marRight w:val="0"/>
          <w:marTop w:val="0"/>
          <w:marBottom w:val="0"/>
          <w:divBdr>
            <w:top w:val="none" w:sz="0" w:space="0" w:color="auto"/>
            <w:left w:val="none" w:sz="0" w:space="0" w:color="auto"/>
            <w:bottom w:val="none" w:sz="0" w:space="0" w:color="auto"/>
            <w:right w:val="none" w:sz="0" w:space="0" w:color="auto"/>
          </w:divBdr>
        </w:div>
        <w:div w:id="1889341833">
          <w:marLeft w:val="0"/>
          <w:marRight w:val="0"/>
          <w:marTop w:val="0"/>
          <w:marBottom w:val="0"/>
          <w:divBdr>
            <w:top w:val="none" w:sz="0" w:space="0" w:color="auto"/>
            <w:left w:val="none" w:sz="0" w:space="0" w:color="auto"/>
            <w:bottom w:val="none" w:sz="0" w:space="0" w:color="auto"/>
            <w:right w:val="none" w:sz="0" w:space="0" w:color="auto"/>
          </w:divBdr>
        </w:div>
        <w:div w:id="1292663088">
          <w:marLeft w:val="0"/>
          <w:marRight w:val="0"/>
          <w:marTop w:val="0"/>
          <w:marBottom w:val="0"/>
          <w:divBdr>
            <w:top w:val="none" w:sz="0" w:space="0" w:color="auto"/>
            <w:left w:val="none" w:sz="0" w:space="0" w:color="auto"/>
            <w:bottom w:val="none" w:sz="0" w:space="0" w:color="auto"/>
            <w:right w:val="none" w:sz="0" w:space="0" w:color="auto"/>
          </w:divBdr>
        </w:div>
        <w:div w:id="1552225131">
          <w:marLeft w:val="0"/>
          <w:marRight w:val="0"/>
          <w:marTop w:val="0"/>
          <w:marBottom w:val="0"/>
          <w:divBdr>
            <w:top w:val="none" w:sz="0" w:space="0" w:color="auto"/>
            <w:left w:val="none" w:sz="0" w:space="0" w:color="auto"/>
            <w:bottom w:val="none" w:sz="0" w:space="0" w:color="auto"/>
            <w:right w:val="none" w:sz="0" w:space="0" w:color="auto"/>
          </w:divBdr>
        </w:div>
        <w:div w:id="101849172">
          <w:marLeft w:val="0"/>
          <w:marRight w:val="0"/>
          <w:marTop w:val="0"/>
          <w:marBottom w:val="0"/>
          <w:divBdr>
            <w:top w:val="none" w:sz="0" w:space="0" w:color="auto"/>
            <w:left w:val="none" w:sz="0" w:space="0" w:color="auto"/>
            <w:bottom w:val="none" w:sz="0" w:space="0" w:color="auto"/>
            <w:right w:val="none" w:sz="0" w:space="0" w:color="auto"/>
          </w:divBdr>
        </w:div>
        <w:div w:id="1533685054">
          <w:marLeft w:val="0"/>
          <w:marRight w:val="0"/>
          <w:marTop w:val="0"/>
          <w:marBottom w:val="0"/>
          <w:divBdr>
            <w:top w:val="none" w:sz="0" w:space="0" w:color="auto"/>
            <w:left w:val="none" w:sz="0" w:space="0" w:color="auto"/>
            <w:bottom w:val="none" w:sz="0" w:space="0" w:color="auto"/>
            <w:right w:val="none" w:sz="0" w:space="0" w:color="auto"/>
          </w:divBdr>
        </w:div>
        <w:div w:id="920066494">
          <w:marLeft w:val="0"/>
          <w:marRight w:val="0"/>
          <w:marTop w:val="0"/>
          <w:marBottom w:val="0"/>
          <w:divBdr>
            <w:top w:val="none" w:sz="0" w:space="0" w:color="auto"/>
            <w:left w:val="none" w:sz="0" w:space="0" w:color="auto"/>
            <w:bottom w:val="none" w:sz="0" w:space="0" w:color="auto"/>
            <w:right w:val="none" w:sz="0" w:space="0" w:color="auto"/>
          </w:divBdr>
        </w:div>
        <w:div w:id="291791996">
          <w:marLeft w:val="0"/>
          <w:marRight w:val="0"/>
          <w:marTop w:val="0"/>
          <w:marBottom w:val="0"/>
          <w:divBdr>
            <w:top w:val="none" w:sz="0" w:space="0" w:color="auto"/>
            <w:left w:val="none" w:sz="0" w:space="0" w:color="auto"/>
            <w:bottom w:val="none" w:sz="0" w:space="0" w:color="auto"/>
            <w:right w:val="none" w:sz="0" w:space="0" w:color="auto"/>
          </w:divBdr>
        </w:div>
        <w:div w:id="553346550">
          <w:marLeft w:val="0"/>
          <w:marRight w:val="0"/>
          <w:marTop w:val="0"/>
          <w:marBottom w:val="0"/>
          <w:divBdr>
            <w:top w:val="none" w:sz="0" w:space="0" w:color="auto"/>
            <w:left w:val="none" w:sz="0" w:space="0" w:color="auto"/>
            <w:bottom w:val="none" w:sz="0" w:space="0" w:color="auto"/>
            <w:right w:val="none" w:sz="0" w:space="0" w:color="auto"/>
          </w:divBdr>
        </w:div>
        <w:div w:id="1087966317">
          <w:marLeft w:val="0"/>
          <w:marRight w:val="0"/>
          <w:marTop w:val="0"/>
          <w:marBottom w:val="0"/>
          <w:divBdr>
            <w:top w:val="none" w:sz="0" w:space="0" w:color="auto"/>
            <w:left w:val="none" w:sz="0" w:space="0" w:color="auto"/>
            <w:bottom w:val="none" w:sz="0" w:space="0" w:color="auto"/>
            <w:right w:val="none" w:sz="0" w:space="0" w:color="auto"/>
          </w:divBdr>
        </w:div>
        <w:div w:id="940987068">
          <w:marLeft w:val="0"/>
          <w:marRight w:val="0"/>
          <w:marTop w:val="0"/>
          <w:marBottom w:val="0"/>
          <w:divBdr>
            <w:top w:val="none" w:sz="0" w:space="0" w:color="auto"/>
            <w:left w:val="none" w:sz="0" w:space="0" w:color="auto"/>
            <w:bottom w:val="none" w:sz="0" w:space="0" w:color="auto"/>
            <w:right w:val="none" w:sz="0" w:space="0" w:color="auto"/>
          </w:divBdr>
        </w:div>
        <w:div w:id="607129936">
          <w:marLeft w:val="0"/>
          <w:marRight w:val="0"/>
          <w:marTop w:val="0"/>
          <w:marBottom w:val="0"/>
          <w:divBdr>
            <w:top w:val="none" w:sz="0" w:space="0" w:color="auto"/>
            <w:left w:val="none" w:sz="0" w:space="0" w:color="auto"/>
            <w:bottom w:val="none" w:sz="0" w:space="0" w:color="auto"/>
            <w:right w:val="none" w:sz="0" w:space="0" w:color="auto"/>
          </w:divBdr>
        </w:div>
        <w:div w:id="1040976090">
          <w:marLeft w:val="0"/>
          <w:marRight w:val="0"/>
          <w:marTop w:val="0"/>
          <w:marBottom w:val="0"/>
          <w:divBdr>
            <w:top w:val="none" w:sz="0" w:space="0" w:color="auto"/>
            <w:left w:val="none" w:sz="0" w:space="0" w:color="auto"/>
            <w:bottom w:val="none" w:sz="0" w:space="0" w:color="auto"/>
            <w:right w:val="none" w:sz="0" w:space="0" w:color="auto"/>
          </w:divBdr>
        </w:div>
        <w:div w:id="343940366">
          <w:marLeft w:val="0"/>
          <w:marRight w:val="0"/>
          <w:marTop w:val="0"/>
          <w:marBottom w:val="0"/>
          <w:divBdr>
            <w:top w:val="none" w:sz="0" w:space="0" w:color="auto"/>
            <w:left w:val="none" w:sz="0" w:space="0" w:color="auto"/>
            <w:bottom w:val="none" w:sz="0" w:space="0" w:color="auto"/>
            <w:right w:val="none" w:sz="0" w:space="0" w:color="auto"/>
          </w:divBdr>
        </w:div>
        <w:div w:id="591624995">
          <w:marLeft w:val="0"/>
          <w:marRight w:val="0"/>
          <w:marTop w:val="0"/>
          <w:marBottom w:val="0"/>
          <w:divBdr>
            <w:top w:val="none" w:sz="0" w:space="0" w:color="auto"/>
            <w:left w:val="none" w:sz="0" w:space="0" w:color="auto"/>
            <w:bottom w:val="none" w:sz="0" w:space="0" w:color="auto"/>
            <w:right w:val="none" w:sz="0" w:space="0" w:color="auto"/>
          </w:divBdr>
        </w:div>
        <w:div w:id="370693726">
          <w:marLeft w:val="0"/>
          <w:marRight w:val="0"/>
          <w:marTop w:val="0"/>
          <w:marBottom w:val="0"/>
          <w:divBdr>
            <w:top w:val="none" w:sz="0" w:space="0" w:color="auto"/>
            <w:left w:val="none" w:sz="0" w:space="0" w:color="auto"/>
            <w:bottom w:val="none" w:sz="0" w:space="0" w:color="auto"/>
            <w:right w:val="none" w:sz="0" w:space="0" w:color="auto"/>
          </w:divBdr>
        </w:div>
        <w:div w:id="1701662661">
          <w:marLeft w:val="0"/>
          <w:marRight w:val="0"/>
          <w:marTop w:val="0"/>
          <w:marBottom w:val="0"/>
          <w:divBdr>
            <w:top w:val="none" w:sz="0" w:space="0" w:color="auto"/>
            <w:left w:val="none" w:sz="0" w:space="0" w:color="auto"/>
            <w:bottom w:val="none" w:sz="0" w:space="0" w:color="auto"/>
            <w:right w:val="none" w:sz="0" w:space="0" w:color="auto"/>
          </w:divBdr>
        </w:div>
        <w:div w:id="1790932429">
          <w:marLeft w:val="0"/>
          <w:marRight w:val="0"/>
          <w:marTop w:val="0"/>
          <w:marBottom w:val="0"/>
          <w:divBdr>
            <w:top w:val="none" w:sz="0" w:space="0" w:color="auto"/>
            <w:left w:val="none" w:sz="0" w:space="0" w:color="auto"/>
            <w:bottom w:val="none" w:sz="0" w:space="0" w:color="auto"/>
            <w:right w:val="none" w:sz="0" w:space="0" w:color="auto"/>
          </w:divBdr>
        </w:div>
        <w:div w:id="1925606125">
          <w:marLeft w:val="0"/>
          <w:marRight w:val="0"/>
          <w:marTop w:val="0"/>
          <w:marBottom w:val="0"/>
          <w:divBdr>
            <w:top w:val="none" w:sz="0" w:space="0" w:color="auto"/>
            <w:left w:val="none" w:sz="0" w:space="0" w:color="auto"/>
            <w:bottom w:val="none" w:sz="0" w:space="0" w:color="auto"/>
            <w:right w:val="none" w:sz="0" w:space="0" w:color="auto"/>
          </w:divBdr>
        </w:div>
        <w:div w:id="571357837">
          <w:marLeft w:val="0"/>
          <w:marRight w:val="0"/>
          <w:marTop w:val="0"/>
          <w:marBottom w:val="0"/>
          <w:divBdr>
            <w:top w:val="none" w:sz="0" w:space="0" w:color="auto"/>
            <w:left w:val="none" w:sz="0" w:space="0" w:color="auto"/>
            <w:bottom w:val="none" w:sz="0" w:space="0" w:color="auto"/>
            <w:right w:val="none" w:sz="0" w:space="0" w:color="auto"/>
          </w:divBdr>
        </w:div>
        <w:div w:id="1109853160">
          <w:marLeft w:val="0"/>
          <w:marRight w:val="0"/>
          <w:marTop w:val="0"/>
          <w:marBottom w:val="0"/>
          <w:divBdr>
            <w:top w:val="none" w:sz="0" w:space="0" w:color="auto"/>
            <w:left w:val="none" w:sz="0" w:space="0" w:color="auto"/>
            <w:bottom w:val="none" w:sz="0" w:space="0" w:color="auto"/>
            <w:right w:val="none" w:sz="0" w:space="0" w:color="auto"/>
          </w:divBdr>
        </w:div>
        <w:div w:id="1972712916">
          <w:marLeft w:val="0"/>
          <w:marRight w:val="0"/>
          <w:marTop w:val="0"/>
          <w:marBottom w:val="0"/>
          <w:divBdr>
            <w:top w:val="none" w:sz="0" w:space="0" w:color="auto"/>
            <w:left w:val="none" w:sz="0" w:space="0" w:color="auto"/>
            <w:bottom w:val="none" w:sz="0" w:space="0" w:color="auto"/>
            <w:right w:val="none" w:sz="0" w:space="0" w:color="auto"/>
          </w:divBdr>
        </w:div>
      </w:divsChild>
    </w:div>
    <w:div w:id="893932156">
      <w:bodyDiv w:val="1"/>
      <w:marLeft w:val="0"/>
      <w:marRight w:val="0"/>
      <w:marTop w:val="0"/>
      <w:marBottom w:val="0"/>
      <w:divBdr>
        <w:top w:val="none" w:sz="0" w:space="0" w:color="auto"/>
        <w:left w:val="none" w:sz="0" w:space="0" w:color="auto"/>
        <w:bottom w:val="none" w:sz="0" w:space="0" w:color="auto"/>
        <w:right w:val="none" w:sz="0" w:space="0" w:color="auto"/>
      </w:divBdr>
    </w:div>
    <w:div w:id="915169434">
      <w:bodyDiv w:val="1"/>
      <w:marLeft w:val="0"/>
      <w:marRight w:val="0"/>
      <w:marTop w:val="0"/>
      <w:marBottom w:val="0"/>
      <w:divBdr>
        <w:top w:val="none" w:sz="0" w:space="0" w:color="auto"/>
        <w:left w:val="none" w:sz="0" w:space="0" w:color="auto"/>
        <w:bottom w:val="none" w:sz="0" w:space="0" w:color="auto"/>
        <w:right w:val="none" w:sz="0" w:space="0" w:color="auto"/>
      </w:divBdr>
      <w:divsChild>
        <w:div w:id="1408529114">
          <w:marLeft w:val="0"/>
          <w:marRight w:val="0"/>
          <w:marTop w:val="0"/>
          <w:marBottom w:val="0"/>
          <w:divBdr>
            <w:top w:val="none" w:sz="0" w:space="0" w:color="auto"/>
            <w:left w:val="none" w:sz="0" w:space="0" w:color="auto"/>
            <w:bottom w:val="none" w:sz="0" w:space="0" w:color="auto"/>
            <w:right w:val="none" w:sz="0" w:space="0" w:color="auto"/>
          </w:divBdr>
        </w:div>
        <w:div w:id="907761475">
          <w:marLeft w:val="0"/>
          <w:marRight w:val="0"/>
          <w:marTop w:val="0"/>
          <w:marBottom w:val="0"/>
          <w:divBdr>
            <w:top w:val="none" w:sz="0" w:space="0" w:color="auto"/>
            <w:left w:val="none" w:sz="0" w:space="0" w:color="auto"/>
            <w:bottom w:val="none" w:sz="0" w:space="0" w:color="auto"/>
            <w:right w:val="none" w:sz="0" w:space="0" w:color="auto"/>
          </w:divBdr>
        </w:div>
        <w:div w:id="1509444592">
          <w:marLeft w:val="0"/>
          <w:marRight w:val="0"/>
          <w:marTop w:val="0"/>
          <w:marBottom w:val="0"/>
          <w:divBdr>
            <w:top w:val="none" w:sz="0" w:space="0" w:color="auto"/>
            <w:left w:val="none" w:sz="0" w:space="0" w:color="auto"/>
            <w:bottom w:val="none" w:sz="0" w:space="0" w:color="auto"/>
            <w:right w:val="none" w:sz="0" w:space="0" w:color="auto"/>
          </w:divBdr>
        </w:div>
        <w:div w:id="1478953345">
          <w:marLeft w:val="0"/>
          <w:marRight w:val="0"/>
          <w:marTop w:val="0"/>
          <w:marBottom w:val="0"/>
          <w:divBdr>
            <w:top w:val="none" w:sz="0" w:space="0" w:color="auto"/>
            <w:left w:val="none" w:sz="0" w:space="0" w:color="auto"/>
            <w:bottom w:val="none" w:sz="0" w:space="0" w:color="auto"/>
            <w:right w:val="none" w:sz="0" w:space="0" w:color="auto"/>
          </w:divBdr>
        </w:div>
        <w:div w:id="639043344">
          <w:marLeft w:val="0"/>
          <w:marRight w:val="0"/>
          <w:marTop w:val="0"/>
          <w:marBottom w:val="0"/>
          <w:divBdr>
            <w:top w:val="none" w:sz="0" w:space="0" w:color="auto"/>
            <w:left w:val="none" w:sz="0" w:space="0" w:color="auto"/>
            <w:bottom w:val="none" w:sz="0" w:space="0" w:color="auto"/>
            <w:right w:val="none" w:sz="0" w:space="0" w:color="auto"/>
          </w:divBdr>
        </w:div>
        <w:div w:id="151408761">
          <w:marLeft w:val="0"/>
          <w:marRight w:val="0"/>
          <w:marTop w:val="0"/>
          <w:marBottom w:val="0"/>
          <w:divBdr>
            <w:top w:val="none" w:sz="0" w:space="0" w:color="auto"/>
            <w:left w:val="none" w:sz="0" w:space="0" w:color="auto"/>
            <w:bottom w:val="none" w:sz="0" w:space="0" w:color="auto"/>
            <w:right w:val="none" w:sz="0" w:space="0" w:color="auto"/>
          </w:divBdr>
        </w:div>
        <w:div w:id="1179738219">
          <w:marLeft w:val="0"/>
          <w:marRight w:val="0"/>
          <w:marTop w:val="0"/>
          <w:marBottom w:val="0"/>
          <w:divBdr>
            <w:top w:val="none" w:sz="0" w:space="0" w:color="auto"/>
            <w:left w:val="none" w:sz="0" w:space="0" w:color="auto"/>
            <w:bottom w:val="none" w:sz="0" w:space="0" w:color="auto"/>
            <w:right w:val="none" w:sz="0" w:space="0" w:color="auto"/>
          </w:divBdr>
        </w:div>
        <w:div w:id="407463320">
          <w:marLeft w:val="0"/>
          <w:marRight w:val="0"/>
          <w:marTop w:val="0"/>
          <w:marBottom w:val="0"/>
          <w:divBdr>
            <w:top w:val="none" w:sz="0" w:space="0" w:color="auto"/>
            <w:left w:val="none" w:sz="0" w:space="0" w:color="auto"/>
            <w:bottom w:val="none" w:sz="0" w:space="0" w:color="auto"/>
            <w:right w:val="none" w:sz="0" w:space="0" w:color="auto"/>
          </w:divBdr>
        </w:div>
        <w:div w:id="222570937">
          <w:marLeft w:val="0"/>
          <w:marRight w:val="0"/>
          <w:marTop w:val="0"/>
          <w:marBottom w:val="0"/>
          <w:divBdr>
            <w:top w:val="none" w:sz="0" w:space="0" w:color="auto"/>
            <w:left w:val="none" w:sz="0" w:space="0" w:color="auto"/>
            <w:bottom w:val="none" w:sz="0" w:space="0" w:color="auto"/>
            <w:right w:val="none" w:sz="0" w:space="0" w:color="auto"/>
          </w:divBdr>
        </w:div>
      </w:divsChild>
    </w:div>
    <w:div w:id="966590684">
      <w:bodyDiv w:val="1"/>
      <w:marLeft w:val="0"/>
      <w:marRight w:val="0"/>
      <w:marTop w:val="0"/>
      <w:marBottom w:val="0"/>
      <w:divBdr>
        <w:top w:val="none" w:sz="0" w:space="0" w:color="auto"/>
        <w:left w:val="none" w:sz="0" w:space="0" w:color="auto"/>
        <w:bottom w:val="none" w:sz="0" w:space="0" w:color="auto"/>
        <w:right w:val="none" w:sz="0" w:space="0" w:color="auto"/>
      </w:divBdr>
    </w:div>
    <w:div w:id="1173643001">
      <w:bodyDiv w:val="1"/>
      <w:marLeft w:val="0"/>
      <w:marRight w:val="0"/>
      <w:marTop w:val="0"/>
      <w:marBottom w:val="0"/>
      <w:divBdr>
        <w:top w:val="none" w:sz="0" w:space="0" w:color="auto"/>
        <w:left w:val="none" w:sz="0" w:space="0" w:color="auto"/>
        <w:bottom w:val="none" w:sz="0" w:space="0" w:color="auto"/>
        <w:right w:val="none" w:sz="0" w:space="0" w:color="auto"/>
      </w:divBdr>
    </w:div>
    <w:div w:id="1616712464">
      <w:bodyDiv w:val="1"/>
      <w:marLeft w:val="0"/>
      <w:marRight w:val="0"/>
      <w:marTop w:val="0"/>
      <w:marBottom w:val="0"/>
      <w:divBdr>
        <w:top w:val="none" w:sz="0" w:space="0" w:color="auto"/>
        <w:left w:val="none" w:sz="0" w:space="0" w:color="auto"/>
        <w:bottom w:val="none" w:sz="0" w:space="0" w:color="auto"/>
        <w:right w:val="none" w:sz="0" w:space="0" w:color="auto"/>
      </w:divBdr>
    </w:div>
    <w:div w:id="18587354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oxfordbibliographies.com/view/document/obo-9780199772810/obo-9780199772810-0037.xml" TargetMode="External"/><Relationship Id="rId12" Type="http://schemas.openxmlformats.org/officeDocument/2006/relationships/hyperlink" Target="http://methods.sagepub.com/reference/encyc-of-research-design/n108.xml" TargetMode="External"/><Relationship Id="rId13" Type="http://schemas.openxmlformats.org/officeDocument/2006/relationships/hyperlink" Target="http://www.jstor.org/stable/4167746" TargetMode="External"/><Relationship Id="rId14" Type="http://schemas.openxmlformats.org/officeDocument/2006/relationships/hyperlink" Target="http://www.cbac.co.uk/uploads/publications/2991.pdf"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ephysician.ir/2012/474-476.pdf" TargetMode="External"/><Relationship Id="rId9" Type="http://schemas.openxmlformats.org/officeDocument/2006/relationships/hyperlink" Target="http://www.ephysician.ir/" TargetMode="External"/><Relationship Id="rId10" Type="http://schemas.openxmlformats.org/officeDocument/2006/relationships/hyperlink" Target="http://www.qub.ac.uk/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C56E7A-FAD7-7843-8CE2-831F3AC29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7</Pages>
  <Words>2556</Words>
  <Characters>14573</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2019-02-04T11:33:00Z</dcterms:created>
  <dcterms:modified xsi:type="dcterms:W3CDTF">2019-02-04T14:34:00Z</dcterms:modified>
</cp:coreProperties>
</file>