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D2511" w14:textId="31563E8D" w:rsidR="004120C9" w:rsidRPr="00442BA3" w:rsidRDefault="00442BA3" w:rsidP="00442BA3">
      <w:pPr>
        <w:spacing w:line="360" w:lineRule="auto"/>
        <w:jc w:val="center"/>
        <w:rPr>
          <w:rFonts w:ascii="Arial" w:hAnsi="Arial" w:cs="Arial"/>
          <w:b/>
          <w:bCs/>
          <w:sz w:val="56"/>
          <w:szCs w:val="56"/>
        </w:rPr>
      </w:pPr>
      <w:r w:rsidRPr="00442BA3">
        <w:rPr>
          <w:rFonts w:ascii="Arial" w:hAnsi="Arial" w:cs="Arial"/>
          <w:b/>
          <w:bCs/>
          <w:sz w:val="56"/>
          <w:szCs w:val="56"/>
        </w:rPr>
        <w:t>University of Wales</w:t>
      </w:r>
    </w:p>
    <w:p w14:paraId="6A465CD6" w14:textId="7589B00D" w:rsidR="00442BA3" w:rsidRPr="00442BA3" w:rsidRDefault="00442BA3" w:rsidP="00442BA3">
      <w:pPr>
        <w:spacing w:line="360" w:lineRule="auto"/>
        <w:jc w:val="center"/>
        <w:rPr>
          <w:rFonts w:ascii="Arial" w:hAnsi="Arial" w:cs="Arial"/>
          <w:b/>
          <w:bCs/>
          <w:sz w:val="56"/>
          <w:szCs w:val="56"/>
        </w:rPr>
      </w:pPr>
      <w:r w:rsidRPr="00442BA3">
        <w:rPr>
          <w:rFonts w:ascii="Arial" w:hAnsi="Arial" w:cs="Arial"/>
          <w:b/>
          <w:bCs/>
          <w:sz w:val="56"/>
          <w:szCs w:val="56"/>
        </w:rPr>
        <w:t>Trinity Saint David</w:t>
      </w:r>
    </w:p>
    <w:p w14:paraId="64A715A3" w14:textId="61593102" w:rsidR="00442BA3" w:rsidRDefault="00442BA3" w:rsidP="00442BA3">
      <w:pPr>
        <w:spacing w:line="360" w:lineRule="auto"/>
        <w:jc w:val="center"/>
        <w:rPr>
          <w:rFonts w:ascii="Arial" w:hAnsi="Arial" w:cs="Arial"/>
          <w:b/>
          <w:bCs/>
          <w:sz w:val="56"/>
          <w:szCs w:val="56"/>
        </w:rPr>
      </w:pPr>
      <w:r w:rsidRPr="00442BA3">
        <w:rPr>
          <w:rFonts w:ascii="Arial" w:hAnsi="Arial" w:cs="Arial"/>
          <w:b/>
          <w:bCs/>
          <w:sz w:val="56"/>
          <w:szCs w:val="56"/>
        </w:rPr>
        <w:t>Birmingham</w:t>
      </w:r>
    </w:p>
    <w:p w14:paraId="4B0043A9" w14:textId="77777777" w:rsidR="00442BA3" w:rsidRPr="00442BA3" w:rsidRDefault="00442BA3" w:rsidP="00442BA3">
      <w:pPr>
        <w:spacing w:line="360" w:lineRule="auto"/>
        <w:jc w:val="center"/>
        <w:rPr>
          <w:rFonts w:ascii="Arial" w:hAnsi="Arial" w:cs="Arial"/>
          <w:b/>
          <w:bCs/>
          <w:sz w:val="56"/>
          <w:szCs w:val="56"/>
        </w:rPr>
      </w:pPr>
    </w:p>
    <w:p w14:paraId="5FB781B9" w14:textId="0A2AB0FF" w:rsidR="00442BA3" w:rsidRPr="00442BA3" w:rsidRDefault="00442BA3" w:rsidP="00442BA3">
      <w:pPr>
        <w:spacing w:line="360" w:lineRule="auto"/>
        <w:jc w:val="center"/>
        <w:rPr>
          <w:rFonts w:ascii="Arial" w:hAnsi="Arial" w:cs="Arial"/>
          <w:b/>
          <w:bCs/>
          <w:sz w:val="52"/>
          <w:szCs w:val="52"/>
        </w:rPr>
      </w:pPr>
      <w:r w:rsidRPr="00442BA3">
        <w:rPr>
          <w:rFonts w:ascii="Arial" w:hAnsi="Arial" w:cs="Arial"/>
          <w:b/>
          <w:bCs/>
          <w:sz w:val="52"/>
          <w:szCs w:val="52"/>
        </w:rPr>
        <w:t>Institute of Inner -City Learning</w:t>
      </w:r>
    </w:p>
    <w:p w14:paraId="5AE2DAA7" w14:textId="5CDF191D" w:rsidR="00442BA3" w:rsidRPr="00442BA3" w:rsidRDefault="00442BA3" w:rsidP="00442BA3">
      <w:pPr>
        <w:spacing w:line="360" w:lineRule="auto"/>
        <w:jc w:val="center"/>
        <w:rPr>
          <w:rFonts w:ascii="Arial" w:hAnsi="Arial" w:cs="Arial"/>
          <w:b/>
          <w:bCs/>
          <w:sz w:val="52"/>
          <w:szCs w:val="52"/>
        </w:rPr>
      </w:pPr>
      <w:r w:rsidRPr="00442BA3">
        <w:rPr>
          <w:rFonts w:ascii="Arial" w:hAnsi="Arial" w:cs="Arial"/>
          <w:b/>
          <w:bCs/>
          <w:sz w:val="52"/>
          <w:szCs w:val="52"/>
        </w:rPr>
        <w:t>Birmingham Campus</w:t>
      </w:r>
    </w:p>
    <w:p w14:paraId="3EF1D799" w14:textId="77777777" w:rsidR="00442BA3" w:rsidRPr="00442BA3" w:rsidRDefault="00442BA3" w:rsidP="00442BA3">
      <w:pPr>
        <w:spacing w:line="360" w:lineRule="auto"/>
        <w:jc w:val="center"/>
        <w:rPr>
          <w:rFonts w:ascii="Arial" w:hAnsi="Arial" w:cs="Arial"/>
          <w:b/>
          <w:bCs/>
          <w:sz w:val="56"/>
          <w:szCs w:val="56"/>
        </w:rPr>
      </w:pPr>
    </w:p>
    <w:p w14:paraId="451E22C8" w14:textId="0E03D117" w:rsidR="00442BA3" w:rsidRPr="00442BA3" w:rsidRDefault="00442BA3" w:rsidP="00442BA3">
      <w:pPr>
        <w:spacing w:line="360" w:lineRule="auto"/>
        <w:jc w:val="center"/>
        <w:rPr>
          <w:rFonts w:ascii="Arial" w:hAnsi="Arial" w:cs="Arial"/>
          <w:b/>
          <w:bCs/>
          <w:sz w:val="48"/>
          <w:szCs w:val="48"/>
        </w:rPr>
      </w:pPr>
      <w:r w:rsidRPr="00442BA3">
        <w:rPr>
          <w:rFonts w:ascii="Arial" w:hAnsi="Arial" w:cs="Arial"/>
          <w:b/>
          <w:bCs/>
          <w:sz w:val="48"/>
          <w:szCs w:val="48"/>
        </w:rPr>
        <w:t>BSc (Hons) Health and Social Care</w:t>
      </w:r>
    </w:p>
    <w:p w14:paraId="0E574EB9" w14:textId="3F4490C3" w:rsidR="00442BA3" w:rsidRDefault="00442BA3" w:rsidP="00442BA3">
      <w:pPr>
        <w:spacing w:line="360" w:lineRule="auto"/>
        <w:jc w:val="center"/>
        <w:rPr>
          <w:rFonts w:ascii="Arial" w:hAnsi="Arial" w:cs="Arial"/>
          <w:b/>
          <w:bCs/>
          <w:sz w:val="48"/>
          <w:szCs w:val="48"/>
        </w:rPr>
      </w:pPr>
      <w:r w:rsidRPr="00442BA3">
        <w:rPr>
          <w:rFonts w:ascii="Arial" w:hAnsi="Arial" w:cs="Arial"/>
          <w:b/>
          <w:bCs/>
          <w:sz w:val="48"/>
          <w:szCs w:val="48"/>
        </w:rPr>
        <w:t xml:space="preserve">Dissertation </w:t>
      </w:r>
    </w:p>
    <w:p w14:paraId="3C06CDD7" w14:textId="77777777" w:rsidR="00442BA3" w:rsidRDefault="00442BA3" w:rsidP="00442BA3">
      <w:pPr>
        <w:spacing w:line="360" w:lineRule="auto"/>
        <w:jc w:val="center"/>
        <w:rPr>
          <w:rFonts w:ascii="Arial" w:hAnsi="Arial" w:cs="Arial"/>
          <w:b/>
          <w:bCs/>
          <w:sz w:val="48"/>
          <w:szCs w:val="48"/>
        </w:rPr>
      </w:pPr>
    </w:p>
    <w:p w14:paraId="46C020D3" w14:textId="77777777" w:rsidR="00442BA3" w:rsidRDefault="00442BA3" w:rsidP="00442BA3">
      <w:pPr>
        <w:spacing w:line="360" w:lineRule="auto"/>
        <w:jc w:val="center"/>
        <w:rPr>
          <w:rFonts w:ascii="Arial" w:hAnsi="Arial" w:cs="Arial"/>
          <w:b/>
          <w:bCs/>
          <w:sz w:val="48"/>
          <w:szCs w:val="48"/>
        </w:rPr>
      </w:pPr>
    </w:p>
    <w:p w14:paraId="590EE5C1" w14:textId="77777777" w:rsidR="00442BA3" w:rsidRDefault="00442BA3" w:rsidP="00442BA3">
      <w:pPr>
        <w:spacing w:line="360" w:lineRule="auto"/>
        <w:jc w:val="center"/>
        <w:rPr>
          <w:rFonts w:ascii="Arial" w:hAnsi="Arial" w:cs="Arial"/>
          <w:b/>
          <w:bCs/>
          <w:sz w:val="48"/>
          <w:szCs w:val="48"/>
        </w:rPr>
      </w:pPr>
    </w:p>
    <w:p w14:paraId="09A14D21" w14:textId="77777777" w:rsidR="0080251F" w:rsidRDefault="0080251F" w:rsidP="00442BA3">
      <w:pPr>
        <w:spacing w:line="360" w:lineRule="auto"/>
        <w:jc w:val="both"/>
        <w:rPr>
          <w:rFonts w:ascii="Arial" w:hAnsi="Arial" w:cs="Arial"/>
          <w:b/>
          <w:bCs/>
          <w:sz w:val="48"/>
          <w:szCs w:val="48"/>
        </w:rPr>
      </w:pPr>
    </w:p>
    <w:p w14:paraId="71AC78C4" w14:textId="6A1D85C2" w:rsidR="00FF7B5F" w:rsidRDefault="00FF7B5F" w:rsidP="00442BA3">
      <w:pPr>
        <w:spacing w:line="360" w:lineRule="auto"/>
        <w:jc w:val="both"/>
        <w:rPr>
          <w:rFonts w:ascii="Arial" w:hAnsi="Arial" w:cs="Arial"/>
          <w:b/>
          <w:bCs/>
          <w:sz w:val="28"/>
          <w:szCs w:val="28"/>
        </w:rPr>
      </w:pPr>
      <w:r>
        <w:rPr>
          <w:rFonts w:ascii="Arial" w:hAnsi="Arial" w:cs="Arial"/>
          <w:b/>
          <w:bCs/>
          <w:sz w:val="28"/>
          <w:szCs w:val="28"/>
        </w:rPr>
        <w:lastRenderedPageBreak/>
        <w:t>DECLARATION</w:t>
      </w:r>
    </w:p>
    <w:p w14:paraId="49913440" w14:textId="3B891B61" w:rsidR="00442BA3" w:rsidRPr="0080251F" w:rsidRDefault="00FF7B5F" w:rsidP="00A1403A">
      <w:pPr>
        <w:spacing w:line="360" w:lineRule="auto"/>
        <w:jc w:val="both"/>
        <w:rPr>
          <w:rFonts w:ascii="Arial" w:hAnsi="Arial" w:cs="Arial"/>
          <w:sz w:val="22"/>
          <w:szCs w:val="22"/>
        </w:rPr>
      </w:pPr>
      <w:r w:rsidRPr="0080251F">
        <w:rPr>
          <w:rFonts w:ascii="Arial" w:hAnsi="Arial" w:cs="Arial"/>
          <w:sz w:val="22"/>
          <w:szCs w:val="22"/>
        </w:rPr>
        <w:t>This work has not previously been accepted as in substance for any degree and is not being currently submitted in candidature for any degree</w:t>
      </w:r>
    </w:p>
    <w:p w14:paraId="39E9AED1" w14:textId="2B1990FB" w:rsidR="00FF7B5F" w:rsidRPr="0080251F" w:rsidRDefault="00FF7B5F" w:rsidP="00A1403A">
      <w:pPr>
        <w:spacing w:line="360" w:lineRule="auto"/>
        <w:jc w:val="both"/>
        <w:rPr>
          <w:rFonts w:ascii="Arial" w:hAnsi="Arial" w:cs="Arial"/>
          <w:sz w:val="22"/>
          <w:szCs w:val="22"/>
        </w:rPr>
      </w:pPr>
      <w:r w:rsidRPr="0080251F">
        <w:rPr>
          <w:rFonts w:ascii="Arial" w:hAnsi="Arial" w:cs="Arial"/>
          <w:sz w:val="22"/>
          <w:szCs w:val="22"/>
        </w:rPr>
        <w:t>Signed Ekos Adamu</w:t>
      </w:r>
    </w:p>
    <w:p w14:paraId="1E07DE88" w14:textId="35164F15" w:rsidR="00FF7B5F" w:rsidRPr="0080251F" w:rsidRDefault="00FF7B5F" w:rsidP="00A1403A">
      <w:pPr>
        <w:spacing w:line="360" w:lineRule="auto"/>
        <w:jc w:val="both"/>
        <w:rPr>
          <w:rFonts w:ascii="Arial" w:hAnsi="Arial" w:cs="Arial"/>
          <w:sz w:val="22"/>
          <w:szCs w:val="22"/>
        </w:rPr>
      </w:pPr>
      <w:r w:rsidRPr="0080251F">
        <w:rPr>
          <w:rFonts w:ascii="Arial" w:hAnsi="Arial" w:cs="Arial"/>
          <w:sz w:val="22"/>
          <w:szCs w:val="22"/>
        </w:rPr>
        <w:t>Date 27</w:t>
      </w:r>
      <w:r w:rsidRPr="0080251F">
        <w:rPr>
          <w:rFonts w:ascii="Arial" w:hAnsi="Arial" w:cs="Arial"/>
          <w:sz w:val="22"/>
          <w:szCs w:val="22"/>
          <w:vertAlign w:val="superscript"/>
        </w:rPr>
        <w:t>th</w:t>
      </w:r>
      <w:r w:rsidRPr="0080251F">
        <w:rPr>
          <w:rFonts w:ascii="Arial" w:hAnsi="Arial" w:cs="Arial"/>
          <w:sz w:val="22"/>
          <w:szCs w:val="22"/>
        </w:rPr>
        <w:t xml:space="preserve"> November 2025</w:t>
      </w:r>
    </w:p>
    <w:p w14:paraId="677FD8B0" w14:textId="5FDDAAA4" w:rsidR="00FF7B5F" w:rsidRPr="00FF7B5F" w:rsidRDefault="00FF7B5F" w:rsidP="00442BA3">
      <w:pPr>
        <w:spacing w:line="360" w:lineRule="auto"/>
        <w:jc w:val="both"/>
        <w:rPr>
          <w:rFonts w:ascii="Arial" w:hAnsi="Arial" w:cs="Arial"/>
          <w:sz w:val="28"/>
          <w:szCs w:val="28"/>
        </w:rPr>
      </w:pPr>
      <w:r w:rsidRPr="00FF7B5F">
        <w:rPr>
          <w:rFonts w:ascii="Arial" w:hAnsi="Arial" w:cs="Arial"/>
          <w:b/>
          <w:bCs/>
          <w:sz w:val="28"/>
          <w:szCs w:val="28"/>
        </w:rPr>
        <w:t>STATEMENT  1</w:t>
      </w:r>
    </w:p>
    <w:p w14:paraId="3190EAC2" w14:textId="4CFFCB72" w:rsidR="00FF7B5F" w:rsidRPr="0080251F" w:rsidRDefault="00A1403A" w:rsidP="00442BA3">
      <w:pPr>
        <w:spacing w:line="360" w:lineRule="auto"/>
        <w:jc w:val="both"/>
        <w:rPr>
          <w:rFonts w:ascii="Arial" w:hAnsi="Arial" w:cs="Arial"/>
          <w:sz w:val="22"/>
          <w:szCs w:val="22"/>
        </w:rPr>
      </w:pPr>
      <w:r w:rsidRPr="0080251F">
        <w:rPr>
          <w:rFonts w:ascii="Arial" w:hAnsi="Arial" w:cs="Arial"/>
          <w:sz w:val="22"/>
          <w:szCs w:val="22"/>
        </w:rPr>
        <w:t>This dissertation is being submitted in partial fulfilment of the requirement for the degree of BSc.</w:t>
      </w:r>
    </w:p>
    <w:p w14:paraId="4B76162D" w14:textId="0C3DA2C7" w:rsidR="00A1403A" w:rsidRPr="0080251F" w:rsidRDefault="00A1403A" w:rsidP="00442BA3">
      <w:pPr>
        <w:spacing w:line="360" w:lineRule="auto"/>
        <w:jc w:val="both"/>
        <w:rPr>
          <w:rFonts w:ascii="Arial" w:hAnsi="Arial" w:cs="Arial"/>
          <w:sz w:val="22"/>
          <w:szCs w:val="22"/>
        </w:rPr>
      </w:pPr>
      <w:r w:rsidRPr="0080251F">
        <w:rPr>
          <w:rFonts w:ascii="Arial" w:hAnsi="Arial" w:cs="Arial"/>
          <w:sz w:val="22"/>
          <w:szCs w:val="22"/>
        </w:rPr>
        <w:t>Signed Ekos Adamu</w:t>
      </w:r>
    </w:p>
    <w:p w14:paraId="201F59D1" w14:textId="165A5D94" w:rsidR="00A1403A" w:rsidRPr="0080251F" w:rsidRDefault="00A1403A" w:rsidP="00442BA3">
      <w:pPr>
        <w:spacing w:line="360" w:lineRule="auto"/>
        <w:jc w:val="both"/>
        <w:rPr>
          <w:rFonts w:ascii="Arial" w:hAnsi="Arial" w:cs="Arial"/>
          <w:sz w:val="22"/>
          <w:szCs w:val="22"/>
        </w:rPr>
      </w:pPr>
      <w:r w:rsidRPr="0080251F">
        <w:rPr>
          <w:rFonts w:ascii="Arial" w:hAnsi="Arial" w:cs="Arial"/>
          <w:sz w:val="22"/>
          <w:szCs w:val="22"/>
        </w:rPr>
        <w:t>Date 27</w:t>
      </w:r>
      <w:r w:rsidRPr="0080251F">
        <w:rPr>
          <w:rFonts w:ascii="Arial" w:hAnsi="Arial" w:cs="Arial"/>
          <w:sz w:val="22"/>
          <w:szCs w:val="22"/>
          <w:vertAlign w:val="superscript"/>
        </w:rPr>
        <w:t>th</w:t>
      </w:r>
      <w:r w:rsidRPr="0080251F">
        <w:rPr>
          <w:rFonts w:ascii="Arial" w:hAnsi="Arial" w:cs="Arial"/>
          <w:sz w:val="22"/>
          <w:szCs w:val="22"/>
        </w:rPr>
        <w:t xml:space="preserve"> November 2025</w:t>
      </w:r>
    </w:p>
    <w:p w14:paraId="1D9691E1" w14:textId="095BD090" w:rsidR="00A1403A" w:rsidRDefault="00A1403A" w:rsidP="00442BA3">
      <w:pPr>
        <w:spacing w:line="360" w:lineRule="auto"/>
        <w:jc w:val="both"/>
        <w:rPr>
          <w:rFonts w:ascii="Arial" w:hAnsi="Arial" w:cs="Arial"/>
          <w:b/>
          <w:bCs/>
          <w:sz w:val="28"/>
          <w:szCs w:val="28"/>
        </w:rPr>
      </w:pPr>
      <w:r w:rsidRPr="00A1403A">
        <w:rPr>
          <w:rFonts w:ascii="Arial" w:hAnsi="Arial" w:cs="Arial"/>
          <w:b/>
          <w:bCs/>
          <w:sz w:val="28"/>
          <w:szCs w:val="28"/>
        </w:rPr>
        <w:t>STATEMENT 2</w:t>
      </w:r>
    </w:p>
    <w:p w14:paraId="5E9275FE" w14:textId="675BB6B1" w:rsidR="00A1403A" w:rsidRPr="0080251F" w:rsidRDefault="00A1403A" w:rsidP="00442BA3">
      <w:pPr>
        <w:spacing w:line="360" w:lineRule="auto"/>
        <w:jc w:val="both"/>
        <w:rPr>
          <w:rFonts w:ascii="Arial" w:hAnsi="Arial" w:cs="Arial"/>
          <w:sz w:val="22"/>
          <w:szCs w:val="22"/>
        </w:rPr>
      </w:pPr>
      <w:r w:rsidRPr="0080251F">
        <w:rPr>
          <w:rFonts w:ascii="Arial" w:hAnsi="Arial" w:cs="Arial"/>
          <w:sz w:val="22"/>
          <w:szCs w:val="22"/>
        </w:rPr>
        <w:t xml:space="preserve">This dissertation is the result of my own independent work/investigation, except where otherwise stated. Other sources are acknowledged by footnotes giving explicit refrences. A bibliography is </w:t>
      </w:r>
      <w:r w:rsidR="0080251F" w:rsidRPr="0080251F">
        <w:rPr>
          <w:rFonts w:ascii="Arial" w:hAnsi="Arial" w:cs="Arial"/>
          <w:sz w:val="22"/>
          <w:szCs w:val="22"/>
        </w:rPr>
        <w:t>appended.</w:t>
      </w:r>
    </w:p>
    <w:p w14:paraId="7A94977B" w14:textId="7026CE2B" w:rsidR="0080251F" w:rsidRPr="0080251F" w:rsidRDefault="0080251F" w:rsidP="00442BA3">
      <w:pPr>
        <w:spacing w:line="360" w:lineRule="auto"/>
        <w:jc w:val="both"/>
        <w:rPr>
          <w:rFonts w:ascii="Arial" w:hAnsi="Arial" w:cs="Arial"/>
          <w:sz w:val="22"/>
          <w:szCs w:val="22"/>
        </w:rPr>
      </w:pPr>
      <w:r w:rsidRPr="0080251F">
        <w:rPr>
          <w:rFonts w:ascii="Arial" w:hAnsi="Arial" w:cs="Arial"/>
          <w:sz w:val="22"/>
          <w:szCs w:val="22"/>
        </w:rPr>
        <w:t>Signed Ekos Adamu</w:t>
      </w:r>
    </w:p>
    <w:p w14:paraId="37CA3B45" w14:textId="546CEAF9" w:rsidR="0080251F" w:rsidRPr="0080251F" w:rsidRDefault="0080251F" w:rsidP="00442BA3">
      <w:pPr>
        <w:spacing w:line="360" w:lineRule="auto"/>
        <w:jc w:val="both"/>
        <w:rPr>
          <w:rFonts w:ascii="Arial" w:hAnsi="Arial" w:cs="Arial"/>
          <w:sz w:val="22"/>
          <w:szCs w:val="22"/>
        </w:rPr>
      </w:pPr>
      <w:r w:rsidRPr="0080251F">
        <w:rPr>
          <w:rFonts w:ascii="Arial" w:hAnsi="Arial" w:cs="Arial"/>
          <w:sz w:val="22"/>
          <w:szCs w:val="22"/>
        </w:rPr>
        <w:t>Date 27</w:t>
      </w:r>
      <w:r w:rsidRPr="0080251F">
        <w:rPr>
          <w:rFonts w:ascii="Arial" w:hAnsi="Arial" w:cs="Arial"/>
          <w:sz w:val="22"/>
          <w:szCs w:val="22"/>
          <w:vertAlign w:val="superscript"/>
        </w:rPr>
        <w:t>th</w:t>
      </w:r>
      <w:r w:rsidRPr="0080251F">
        <w:rPr>
          <w:rFonts w:ascii="Arial" w:hAnsi="Arial" w:cs="Arial"/>
          <w:sz w:val="22"/>
          <w:szCs w:val="22"/>
        </w:rPr>
        <w:t xml:space="preserve"> November 2025</w:t>
      </w:r>
    </w:p>
    <w:p w14:paraId="28211290" w14:textId="654DEA1F" w:rsidR="0080251F" w:rsidRPr="0080251F" w:rsidRDefault="0080251F" w:rsidP="00442BA3">
      <w:pPr>
        <w:spacing w:line="360" w:lineRule="auto"/>
        <w:jc w:val="both"/>
        <w:rPr>
          <w:rFonts w:ascii="Arial" w:hAnsi="Arial" w:cs="Arial"/>
          <w:b/>
          <w:bCs/>
          <w:sz w:val="28"/>
          <w:szCs w:val="28"/>
        </w:rPr>
      </w:pPr>
      <w:r w:rsidRPr="0080251F">
        <w:rPr>
          <w:rFonts w:ascii="Arial" w:hAnsi="Arial" w:cs="Arial"/>
          <w:b/>
          <w:bCs/>
          <w:sz w:val="28"/>
          <w:szCs w:val="28"/>
        </w:rPr>
        <w:t>STATEMENT 3</w:t>
      </w:r>
    </w:p>
    <w:p w14:paraId="335F0423" w14:textId="353437D7" w:rsidR="0080251F" w:rsidRPr="0080251F" w:rsidRDefault="0080251F" w:rsidP="00442BA3">
      <w:pPr>
        <w:spacing w:line="360" w:lineRule="auto"/>
        <w:jc w:val="both"/>
        <w:rPr>
          <w:rFonts w:ascii="Arial" w:hAnsi="Arial" w:cs="Arial"/>
          <w:sz w:val="22"/>
          <w:szCs w:val="22"/>
        </w:rPr>
      </w:pPr>
      <w:r w:rsidRPr="0080251F">
        <w:rPr>
          <w:rFonts w:ascii="Arial" w:hAnsi="Arial" w:cs="Arial"/>
          <w:sz w:val="22"/>
          <w:szCs w:val="22"/>
        </w:rPr>
        <w:t>I hereby give consent for my dissertation, if accepted, to be available for photocopying and for interlibrary loan and for the title and summary to made available to outside organisations.</w:t>
      </w:r>
    </w:p>
    <w:p w14:paraId="0814E18E" w14:textId="5EB25530" w:rsidR="0080251F" w:rsidRPr="0080251F" w:rsidRDefault="0080251F" w:rsidP="00442BA3">
      <w:pPr>
        <w:spacing w:line="360" w:lineRule="auto"/>
        <w:jc w:val="both"/>
        <w:rPr>
          <w:rFonts w:ascii="Arial" w:hAnsi="Arial" w:cs="Arial"/>
          <w:sz w:val="22"/>
          <w:szCs w:val="22"/>
        </w:rPr>
      </w:pPr>
      <w:r w:rsidRPr="0080251F">
        <w:rPr>
          <w:rFonts w:ascii="Arial" w:hAnsi="Arial" w:cs="Arial"/>
          <w:sz w:val="22"/>
          <w:szCs w:val="22"/>
        </w:rPr>
        <w:t>Signed</w:t>
      </w:r>
      <w:r>
        <w:rPr>
          <w:rFonts w:ascii="Arial" w:hAnsi="Arial" w:cs="Arial"/>
          <w:sz w:val="22"/>
          <w:szCs w:val="22"/>
        </w:rPr>
        <w:t xml:space="preserve"> Ekos Adamu</w:t>
      </w:r>
    </w:p>
    <w:p w14:paraId="3BC461CB" w14:textId="72708BA4" w:rsidR="0080251F" w:rsidRDefault="0080251F" w:rsidP="00442BA3">
      <w:pPr>
        <w:spacing w:line="360" w:lineRule="auto"/>
        <w:jc w:val="both"/>
        <w:rPr>
          <w:rFonts w:ascii="Arial" w:hAnsi="Arial" w:cs="Arial"/>
          <w:sz w:val="22"/>
          <w:szCs w:val="22"/>
        </w:rPr>
      </w:pPr>
      <w:r w:rsidRPr="0080251F">
        <w:rPr>
          <w:rFonts w:ascii="Arial" w:hAnsi="Arial" w:cs="Arial"/>
          <w:sz w:val="22"/>
          <w:szCs w:val="22"/>
        </w:rPr>
        <w:t>Date</w:t>
      </w:r>
      <w:r>
        <w:rPr>
          <w:rFonts w:ascii="Arial" w:hAnsi="Arial" w:cs="Arial"/>
          <w:sz w:val="22"/>
          <w:szCs w:val="22"/>
        </w:rPr>
        <w:t xml:space="preserve"> 27</w:t>
      </w:r>
      <w:r w:rsidRPr="0080251F">
        <w:rPr>
          <w:rFonts w:ascii="Arial" w:hAnsi="Arial" w:cs="Arial"/>
          <w:sz w:val="22"/>
          <w:szCs w:val="22"/>
          <w:vertAlign w:val="superscript"/>
        </w:rPr>
        <w:t>th</w:t>
      </w:r>
      <w:r>
        <w:rPr>
          <w:rFonts w:ascii="Arial" w:hAnsi="Arial" w:cs="Arial"/>
          <w:sz w:val="22"/>
          <w:szCs w:val="22"/>
        </w:rPr>
        <w:t xml:space="preserve"> November 2025</w:t>
      </w:r>
    </w:p>
    <w:p w14:paraId="282AC567" w14:textId="0BB28F7B" w:rsidR="0080251F" w:rsidRPr="0080251F" w:rsidRDefault="0080251F" w:rsidP="00442BA3">
      <w:pPr>
        <w:spacing w:line="360" w:lineRule="auto"/>
        <w:jc w:val="both"/>
        <w:rPr>
          <w:rFonts w:ascii="Arial" w:hAnsi="Arial" w:cs="Arial"/>
          <w:b/>
          <w:bCs/>
          <w:sz w:val="28"/>
          <w:szCs w:val="28"/>
        </w:rPr>
      </w:pPr>
      <w:r w:rsidRPr="0080251F">
        <w:rPr>
          <w:rFonts w:ascii="Arial" w:hAnsi="Arial" w:cs="Arial"/>
          <w:b/>
          <w:bCs/>
          <w:sz w:val="28"/>
          <w:szCs w:val="28"/>
        </w:rPr>
        <w:t>S</w:t>
      </w:r>
      <w:r>
        <w:rPr>
          <w:rFonts w:ascii="Arial" w:hAnsi="Arial" w:cs="Arial"/>
          <w:b/>
          <w:bCs/>
          <w:sz w:val="28"/>
          <w:szCs w:val="28"/>
        </w:rPr>
        <w:t>TATEMENT</w:t>
      </w:r>
      <w:r w:rsidRPr="0080251F">
        <w:rPr>
          <w:rFonts w:ascii="Arial" w:hAnsi="Arial" w:cs="Arial"/>
          <w:b/>
          <w:bCs/>
          <w:sz w:val="28"/>
          <w:szCs w:val="28"/>
        </w:rPr>
        <w:t xml:space="preserve"> 4</w:t>
      </w:r>
    </w:p>
    <w:p w14:paraId="1241FC9A" w14:textId="62AA1613" w:rsidR="0080251F" w:rsidRDefault="0080251F" w:rsidP="00442BA3">
      <w:pPr>
        <w:spacing w:line="360" w:lineRule="auto"/>
        <w:jc w:val="both"/>
        <w:rPr>
          <w:rFonts w:ascii="Arial" w:hAnsi="Arial" w:cs="Arial"/>
          <w:sz w:val="22"/>
          <w:szCs w:val="22"/>
        </w:rPr>
      </w:pPr>
      <w:r>
        <w:rPr>
          <w:rFonts w:ascii="Arial" w:hAnsi="Arial" w:cs="Arial"/>
          <w:sz w:val="22"/>
          <w:szCs w:val="22"/>
        </w:rPr>
        <w:t>I hereby give consent for my dissertation, if accepted, to be available on the university’s IT system to those who have consent to use the system.</w:t>
      </w:r>
    </w:p>
    <w:p w14:paraId="3C9006F7" w14:textId="505BF421" w:rsidR="0080251F" w:rsidRDefault="0080251F" w:rsidP="00442BA3">
      <w:pPr>
        <w:spacing w:line="360" w:lineRule="auto"/>
        <w:jc w:val="both"/>
        <w:rPr>
          <w:rFonts w:ascii="Arial" w:hAnsi="Arial" w:cs="Arial"/>
          <w:sz w:val="22"/>
          <w:szCs w:val="22"/>
        </w:rPr>
      </w:pPr>
      <w:r>
        <w:rPr>
          <w:rFonts w:ascii="Arial" w:hAnsi="Arial" w:cs="Arial"/>
          <w:sz w:val="22"/>
          <w:szCs w:val="22"/>
        </w:rPr>
        <w:t>Signed Ekos Adamu</w:t>
      </w:r>
    </w:p>
    <w:p w14:paraId="1F2CA662" w14:textId="1CD15844" w:rsidR="0080251F" w:rsidRDefault="0080251F" w:rsidP="00442BA3">
      <w:pPr>
        <w:spacing w:line="360" w:lineRule="auto"/>
        <w:jc w:val="both"/>
        <w:rPr>
          <w:rFonts w:ascii="Arial" w:hAnsi="Arial" w:cs="Arial"/>
          <w:sz w:val="22"/>
          <w:szCs w:val="22"/>
        </w:rPr>
      </w:pPr>
      <w:r>
        <w:rPr>
          <w:rFonts w:ascii="Arial" w:hAnsi="Arial" w:cs="Arial"/>
          <w:sz w:val="22"/>
          <w:szCs w:val="22"/>
        </w:rPr>
        <w:t xml:space="preserve">Date </w:t>
      </w:r>
      <w:r w:rsidR="00204442">
        <w:rPr>
          <w:rFonts w:ascii="Arial" w:hAnsi="Arial" w:cs="Arial"/>
          <w:sz w:val="22"/>
          <w:szCs w:val="22"/>
        </w:rPr>
        <w:t>27</w:t>
      </w:r>
      <w:r w:rsidR="00204442" w:rsidRPr="00204442">
        <w:rPr>
          <w:rFonts w:ascii="Arial" w:hAnsi="Arial" w:cs="Arial"/>
          <w:sz w:val="22"/>
          <w:szCs w:val="22"/>
          <w:vertAlign w:val="superscript"/>
        </w:rPr>
        <w:t>th</w:t>
      </w:r>
      <w:r w:rsidR="00204442">
        <w:rPr>
          <w:rFonts w:ascii="Arial" w:hAnsi="Arial" w:cs="Arial"/>
          <w:sz w:val="22"/>
          <w:szCs w:val="22"/>
        </w:rPr>
        <w:t xml:space="preserve"> November 2025</w:t>
      </w:r>
    </w:p>
    <w:p w14:paraId="3194FFBA" w14:textId="77777777" w:rsidR="00204442" w:rsidRDefault="00204442" w:rsidP="00442BA3">
      <w:pPr>
        <w:spacing w:line="360" w:lineRule="auto"/>
        <w:jc w:val="both"/>
        <w:rPr>
          <w:rFonts w:ascii="Arial" w:hAnsi="Arial" w:cs="Arial"/>
          <w:sz w:val="22"/>
          <w:szCs w:val="22"/>
        </w:rPr>
      </w:pPr>
    </w:p>
    <w:p w14:paraId="75790558" w14:textId="77777777" w:rsidR="00204442" w:rsidRDefault="00204442" w:rsidP="00204442">
      <w:pPr>
        <w:spacing w:line="360" w:lineRule="auto"/>
        <w:jc w:val="center"/>
        <w:rPr>
          <w:rFonts w:ascii="Arial" w:hAnsi="Arial" w:cs="Arial"/>
          <w:b/>
          <w:bCs/>
          <w:sz w:val="48"/>
          <w:szCs w:val="48"/>
        </w:rPr>
      </w:pPr>
    </w:p>
    <w:p w14:paraId="242540E9" w14:textId="77777777" w:rsidR="00204442" w:rsidRDefault="00204442" w:rsidP="00204442">
      <w:pPr>
        <w:spacing w:line="360" w:lineRule="auto"/>
        <w:jc w:val="center"/>
        <w:rPr>
          <w:rFonts w:ascii="Arial" w:hAnsi="Arial" w:cs="Arial"/>
          <w:b/>
          <w:bCs/>
          <w:sz w:val="48"/>
          <w:szCs w:val="48"/>
        </w:rPr>
      </w:pPr>
    </w:p>
    <w:p w14:paraId="32E3084D" w14:textId="77777777" w:rsidR="00204442" w:rsidRDefault="00204442" w:rsidP="00D86A33">
      <w:pPr>
        <w:spacing w:line="360" w:lineRule="auto"/>
        <w:rPr>
          <w:rFonts w:ascii="Arial" w:hAnsi="Arial" w:cs="Arial"/>
          <w:b/>
          <w:bCs/>
          <w:sz w:val="48"/>
          <w:szCs w:val="48"/>
        </w:rPr>
      </w:pPr>
    </w:p>
    <w:p w14:paraId="2F026ED7" w14:textId="73096F21" w:rsidR="00204442" w:rsidRDefault="00204442" w:rsidP="00204442">
      <w:pPr>
        <w:spacing w:line="360" w:lineRule="auto"/>
        <w:jc w:val="center"/>
        <w:rPr>
          <w:rFonts w:ascii="Arial" w:hAnsi="Arial" w:cs="Arial"/>
          <w:b/>
          <w:bCs/>
          <w:sz w:val="40"/>
          <w:szCs w:val="40"/>
        </w:rPr>
      </w:pPr>
      <w:r w:rsidRPr="00204442">
        <w:rPr>
          <w:rFonts w:ascii="Arial" w:hAnsi="Arial" w:cs="Arial"/>
          <w:b/>
          <w:bCs/>
          <w:sz w:val="40"/>
          <w:szCs w:val="40"/>
        </w:rPr>
        <w:t xml:space="preserve">Barriers To Receiving Mental Health Services Among the Ethnic </w:t>
      </w:r>
      <w:r>
        <w:rPr>
          <w:rFonts w:ascii="Arial" w:hAnsi="Arial" w:cs="Arial"/>
          <w:b/>
          <w:bCs/>
          <w:sz w:val="40"/>
          <w:szCs w:val="40"/>
        </w:rPr>
        <w:t xml:space="preserve">minority </w:t>
      </w:r>
      <w:r w:rsidRPr="00204442">
        <w:rPr>
          <w:rFonts w:ascii="Arial" w:hAnsi="Arial" w:cs="Arial"/>
          <w:b/>
          <w:bCs/>
          <w:sz w:val="40"/>
          <w:szCs w:val="40"/>
        </w:rPr>
        <w:t>Group In UK</w:t>
      </w:r>
    </w:p>
    <w:p w14:paraId="720D7895" w14:textId="31937421" w:rsidR="00D76202" w:rsidRPr="00204442" w:rsidRDefault="00D76202" w:rsidP="00204442">
      <w:pPr>
        <w:spacing w:line="360" w:lineRule="auto"/>
        <w:jc w:val="center"/>
        <w:rPr>
          <w:rFonts w:ascii="Arial" w:hAnsi="Arial" w:cs="Arial"/>
          <w:b/>
          <w:bCs/>
          <w:sz w:val="40"/>
          <w:szCs w:val="40"/>
        </w:rPr>
      </w:pPr>
      <w:r>
        <w:rPr>
          <w:rFonts w:ascii="Arial" w:hAnsi="Arial" w:cs="Arial"/>
          <w:b/>
          <w:bCs/>
          <w:sz w:val="40"/>
          <w:szCs w:val="40"/>
        </w:rPr>
        <w:t>“Systemic literature review”</w:t>
      </w:r>
    </w:p>
    <w:p w14:paraId="027CEC75" w14:textId="77777777" w:rsidR="0080251F" w:rsidRDefault="0080251F" w:rsidP="00442BA3">
      <w:pPr>
        <w:spacing w:line="360" w:lineRule="auto"/>
        <w:jc w:val="both"/>
        <w:rPr>
          <w:rFonts w:ascii="Arial" w:hAnsi="Arial" w:cs="Arial"/>
          <w:sz w:val="40"/>
          <w:szCs w:val="40"/>
        </w:rPr>
      </w:pPr>
    </w:p>
    <w:p w14:paraId="77CA0A6C" w14:textId="77777777" w:rsidR="00204442" w:rsidRPr="00204442" w:rsidRDefault="00204442" w:rsidP="00442BA3">
      <w:pPr>
        <w:spacing w:line="360" w:lineRule="auto"/>
        <w:jc w:val="both"/>
        <w:rPr>
          <w:rFonts w:ascii="Arial" w:hAnsi="Arial" w:cs="Arial"/>
          <w:b/>
          <w:bCs/>
          <w:sz w:val="40"/>
          <w:szCs w:val="40"/>
        </w:rPr>
      </w:pPr>
      <w:r w:rsidRPr="00204442">
        <w:rPr>
          <w:rFonts w:ascii="Arial" w:hAnsi="Arial" w:cs="Arial"/>
          <w:b/>
          <w:bCs/>
          <w:sz w:val="40"/>
          <w:szCs w:val="40"/>
        </w:rPr>
        <w:t xml:space="preserve">                          Ekos Adamu</w:t>
      </w:r>
    </w:p>
    <w:p w14:paraId="6DB37298" w14:textId="577E973E" w:rsidR="00204442" w:rsidRDefault="00204442" w:rsidP="00442BA3">
      <w:pPr>
        <w:spacing w:line="360" w:lineRule="auto"/>
        <w:jc w:val="both"/>
        <w:rPr>
          <w:rFonts w:ascii="Arial" w:hAnsi="Arial" w:cs="Arial"/>
          <w:b/>
          <w:bCs/>
          <w:sz w:val="40"/>
          <w:szCs w:val="40"/>
        </w:rPr>
      </w:pPr>
      <w:r w:rsidRPr="00204442">
        <w:rPr>
          <w:rFonts w:ascii="Arial" w:hAnsi="Arial" w:cs="Arial"/>
          <w:b/>
          <w:bCs/>
          <w:sz w:val="40"/>
          <w:szCs w:val="40"/>
        </w:rPr>
        <w:t xml:space="preserve">           </w:t>
      </w:r>
      <w:r>
        <w:rPr>
          <w:rFonts w:ascii="Arial" w:hAnsi="Arial" w:cs="Arial"/>
          <w:b/>
          <w:bCs/>
          <w:sz w:val="40"/>
          <w:szCs w:val="40"/>
        </w:rPr>
        <w:t xml:space="preserve">     </w:t>
      </w:r>
      <w:r w:rsidRPr="00204442">
        <w:rPr>
          <w:rFonts w:ascii="Arial" w:hAnsi="Arial" w:cs="Arial"/>
          <w:b/>
          <w:bCs/>
          <w:sz w:val="40"/>
          <w:szCs w:val="40"/>
        </w:rPr>
        <w:t>Student Number 2016551</w:t>
      </w:r>
    </w:p>
    <w:p w14:paraId="33FD24B1" w14:textId="77777777" w:rsidR="00204442" w:rsidRDefault="00204442" w:rsidP="00442BA3">
      <w:pPr>
        <w:spacing w:line="360" w:lineRule="auto"/>
        <w:jc w:val="both"/>
        <w:rPr>
          <w:rFonts w:ascii="Arial" w:hAnsi="Arial" w:cs="Arial"/>
          <w:b/>
          <w:bCs/>
          <w:sz w:val="40"/>
          <w:szCs w:val="40"/>
        </w:rPr>
      </w:pPr>
    </w:p>
    <w:p w14:paraId="79F97D5C" w14:textId="77777777" w:rsidR="00F171F8" w:rsidRDefault="00F171F8" w:rsidP="00F171F8">
      <w:pPr>
        <w:spacing w:line="360" w:lineRule="auto"/>
        <w:jc w:val="center"/>
        <w:rPr>
          <w:rFonts w:ascii="Arial" w:hAnsi="Arial" w:cs="Arial"/>
          <w:sz w:val="32"/>
          <w:szCs w:val="32"/>
        </w:rPr>
      </w:pPr>
    </w:p>
    <w:p w14:paraId="23F69780" w14:textId="77777777" w:rsidR="00F171F8" w:rsidRDefault="00F171F8" w:rsidP="00F171F8">
      <w:pPr>
        <w:spacing w:line="360" w:lineRule="auto"/>
        <w:jc w:val="center"/>
        <w:rPr>
          <w:rFonts w:ascii="Arial" w:hAnsi="Arial" w:cs="Arial"/>
          <w:sz w:val="32"/>
          <w:szCs w:val="32"/>
        </w:rPr>
      </w:pPr>
    </w:p>
    <w:p w14:paraId="24DA0DC5" w14:textId="77777777" w:rsidR="00F171F8" w:rsidRDefault="00F171F8" w:rsidP="00F171F8">
      <w:pPr>
        <w:spacing w:line="360" w:lineRule="auto"/>
        <w:jc w:val="center"/>
        <w:rPr>
          <w:rFonts w:ascii="Arial" w:hAnsi="Arial" w:cs="Arial"/>
          <w:sz w:val="32"/>
          <w:szCs w:val="32"/>
        </w:rPr>
      </w:pPr>
    </w:p>
    <w:p w14:paraId="5EF01D89" w14:textId="461EC0DF" w:rsidR="00204442" w:rsidRDefault="00204442" w:rsidP="00F171F8">
      <w:pPr>
        <w:spacing w:line="360" w:lineRule="auto"/>
        <w:jc w:val="center"/>
        <w:rPr>
          <w:rFonts w:ascii="Arial" w:hAnsi="Arial" w:cs="Arial"/>
          <w:sz w:val="32"/>
          <w:szCs w:val="32"/>
        </w:rPr>
      </w:pPr>
      <w:r w:rsidRPr="00F171F8">
        <w:rPr>
          <w:rFonts w:ascii="Arial" w:hAnsi="Arial" w:cs="Arial"/>
          <w:sz w:val="32"/>
          <w:szCs w:val="32"/>
        </w:rPr>
        <w:t>Dissertation submitted as part of the requirements for the award BSc (Hons) Health and Social Care</w:t>
      </w:r>
    </w:p>
    <w:p w14:paraId="629E1B02" w14:textId="77777777" w:rsidR="00F171F8" w:rsidRDefault="00F171F8" w:rsidP="00F171F8">
      <w:pPr>
        <w:spacing w:line="360" w:lineRule="auto"/>
        <w:jc w:val="center"/>
        <w:rPr>
          <w:rFonts w:ascii="Arial" w:hAnsi="Arial" w:cs="Arial"/>
          <w:sz w:val="32"/>
          <w:szCs w:val="32"/>
        </w:rPr>
      </w:pPr>
    </w:p>
    <w:p w14:paraId="30CA7FE6" w14:textId="77777777" w:rsidR="00F171F8" w:rsidRDefault="00F171F8" w:rsidP="00F171F8">
      <w:pPr>
        <w:spacing w:line="360" w:lineRule="auto"/>
        <w:jc w:val="center"/>
        <w:rPr>
          <w:rFonts w:ascii="Arial" w:hAnsi="Arial" w:cs="Arial"/>
          <w:sz w:val="32"/>
          <w:szCs w:val="32"/>
        </w:rPr>
      </w:pPr>
    </w:p>
    <w:p w14:paraId="303065FF" w14:textId="77777777" w:rsidR="00F171F8" w:rsidRDefault="00F171F8" w:rsidP="00D76202">
      <w:pPr>
        <w:spacing w:line="360" w:lineRule="auto"/>
        <w:rPr>
          <w:rFonts w:ascii="Arial" w:hAnsi="Arial" w:cs="Arial"/>
          <w:sz w:val="32"/>
          <w:szCs w:val="32"/>
        </w:rPr>
      </w:pPr>
    </w:p>
    <w:p w14:paraId="79D07731" w14:textId="6E3067AC" w:rsidR="00F171F8" w:rsidRDefault="00F171F8" w:rsidP="00F171F8">
      <w:pPr>
        <w:spacing w:line="360" w:lineRule="auto"/>
        <w:jc w:val="center"/>
        <w:rPr>
          <w:rFonts w:ascii="Arial" w:hAnsi="Arial" w:cs="Arial"/>
          <w:b/>
          <w:bCs/>
          <w:sz w:val="28"/>
          <w:szCs w:val="28"/>
        </w:rPr>
      </w:pPr>
      <w:r w:rsidRPr="00F171F8">
        <w:rPr>
          <w:rFonts w:ascii="Arial" w:hAnsi="Arial" w:cs="Arial"/>
          <w:b/>
          <w:bCs/>
          <w:sz w:val="28"/>
          <w:szCs w:val="28"/>
        </w:rPr>
        <w:lastRenderedPageBreak/>
        <w:t xml:space="preserve">ACKNOWLEDGEMENTS </w:t>
      </w:r>
    </w:p>
    <w:p w14:paraId="44B8F3B3" w14:textId="77777777" w:rsidR="00B2686A" w:rsidRDefault="00B2686A" w:rsidP="00B2686A">
      <w:pPr>
        <w:spacing w:line="360" w:lineRule="auto"/>
        <w:jc w:val="both"/>
        <w:rPr>
          <w:rFonts w:ascii="Arial" w:hAnsi="Arial" w:cs="Arial"/>
        </w:rPr>
      </w:pPr>
    </w:p>
    <w:p w14:paraId="2C63BECD" w14:textId="77777777" w:rsidR="00B2686A" w:rsidRPr="00D76202" w:rsidRDefault="00B2686A" w:rsidP="00B2686A">
      <w:pPr>
        <w:spacing w:line="360" w:lineRule="auto"/>
        <w:jc w:val="both"/>
        <w:rPr>
          <w:rFonts w:ascii="Arial" w:hAnsi="Arial" w:cs="Arial"/>
          <w:sz w:val="22"/>
          <w:szCs w:val="22"/>
        </w:rPr>
      </w:pPr>
      <w:r w:rsidRPr="00D76202">
        <w:rPr>
          <w:rFonts w:ascii="Arial" w:hAnsi="Arial" w:cs="Arial"/>
          <w:sz w:val="22"/>
          <w:szCs w:val="22"/>
        </w:rPr>
        <w:t xml:space="preserve">I express my gratitude to my lecturers for their unwavering advice and support during my academic journey.  Your clarity in teaching, thoughtful feedback, and patience significantly influenced my approach to study and enhanced my confidence.  I value the time you dedicated to explaining difficult concepts, stimulating my intellect, and supporting my growth both academically and personally.  </w:t>
      </w:r>
    </w:p>
    <w:p w14:paraId="492C3DE8" w14:textId="73C75D60" w:rsidR="00B2686A" w:rsidRPr="00D76202" w:rsidRDefault="00B2686A" w:rsidP="00B2686A">
      <w:pPr>
        <w:spacing w:line="360" w:lineRule="auto"/>
        <w:jc w:val="both"/>
        <w:rPr>
          <w:rFonts w:ascii="Arial" w:hAnsi="Arial" w:cs="Arial"/>
          <w:sz w:val="22"/>
          <w:szCs w:val="22"/>
        </w:rPr>
      </w:pPr>
      <w:r w:rsidRPr="00D76202">
        <w:rPr>
          <w:rFonts w:ascii="Arial" w:hAnsi="Arial" w:cs="Arial"/>
          <w:sz w:val="22"/>
          <w:szCs w:val="22"/>
        </w:rPr>
        <w:t>Your dedication to our education fostered a supportive atmosphere that sustained my motivation, even within a demanding schedule.  I sincerely appreciate your commitment and the contributions each of you made in moulding my educational journey and fostering my development into a more resilient, independent learner.</w:t>
      </w:r>
    </w:p>
    <w:p w14:paraId="7C452B45" w14:textId="77777777" w:rsidR="00B2686A" w:rsidRDefault="00B2686A" w:rsidP="00B2686A">
      <w:pPr>
        <w:spacing w:line="360" w:lineRule="auto"/>
        <w:jc w:val="both"/>
        <w:rPr>
          <w:rFonts w:ascii="Arial" w:hAnsi="Arial" w:cs="Arial"/>
        </w:rPr>
      </w:pPr>
    </w:p>
    <w:p w14:paraId="234CD270" w14:textId="77777777" w:rsidR="00B2686A" w:rsidRDefault="00B2686A" w:rsidP="00B2686A">
      <w:pPr>
        <w:spacing w:line="360" w:lineRule="auto"/>
        <w:jc w:val="both"/>
        <w:rPr>
          <w:rFonts w:ascii="Arial" w:hAnsi="Arial" w:cs="Arial"/>
        </w:rPr>
      </w:pPr>
    </w:p>
    <w:p w14:paraId="724122C8" w14:textId="77777777" w:rsidR="00B2686A" w:rsidRDefault="00B2686A" w:rsidP="00B2686A">
      <w:pPr>
        <w:spacing w:line="360" w:lineRule="auto"/>
        <w:jc w:val="both"/>
        <w:rPr>
          <w:rFonts w:ascii="Arial" w:hAnsi="Arial" w:cs="Arial"/>
        </w:rPr>
      </w:pPr>
    </w:p>
    <w:p w14:paraId="7F5CA731" w14:textId="77777777" w:rsidR="00B2686A" w:rsidRDefault="00B2686A" w:rsidP="00B2686A">
      <w:pPr>
        <w:spacing w:line="360" w:lineRule="auto"/>
        <w:jc w:val="both"/>
        <w:rPr>
          <w:rFonts w:ascii="Arial" w:hAnsi="Arial" w:cs="Arial"/>
        </w:rPr>
      </w:pPr>
    </w:p>
    <w:p w14:paraId="75ADB924" w14:textId="77777777" w:rsidR="00B2686A" w:rsidRDefault="00B2686A" w:rsidP="00B2686A">
      <w:pPr>
        <w:spacing w:line="360" w:lineRule="auto"/>
        <w:jc w:val="both"/>
        <w:rPr>
          <w:rFonts w:ascii="Arial" w:hAnsi="Arial" w:cs="Arial"/>
        </w:rPr>
      </w:pPr>
    </w:p>
    <w:p w14:paraId="5794C6F0" w14:textId="77777777" w:rsidR="00B2686A" w:rsidRDefault="00B2686A" w:rsidP="00B2686A">
      <w:pPr>
        <w:spacing w:line="360" w:lineRule="auto"/>
        <w:jc w:val="both"/>
        <w:rPr>
          <w:rFonts w:ascii="Arial" w:hAnsi="Arial" w:cs="Arial"/>
        </w:rPr>
      </w:pPr>
    </w:p>
    <w:p w14:paraId="0F48DBA8" w14:textId="77777777" w:rsidR="00B2686A" w:rsidRDefault="00B2686A" w:rsidP="00B2686A">
      <w:pPr>
        <w:spacing w:line="360" w:lineRule="auto"/>
        <w:jc w:val="both"/>
        <w:rPr>
          <w:rFonts w:ascii="Arial" w:hAnsi="Arial" w:cs="Arial"/>
        </w:rPr>
      </w:pPr>
    </w:p>
    <w:p w14:paraId="4824F2F5" w14:textId="77777777" w:rsidR="00B2686A" w:rsidRDefault="00B2686A" w:rsidP="00B2686A">
      <w:pPr>
        <w:spacing w:line="360" w:lineRule="auto"/>
        <w:jc w:val="both"/>
        <w:rPr>
          <w:rFonts w:ascii="Arial" w:hAnsi="Arial" w:cs="Arial"/>
        </w:rPr>
      </w:pPr>
    </w:p>
    <w:p w14:paraId="51A1FD7C" w14:textId="77777777" w:rsidR="00B2686A" w:rsidRDefault="00B2686A" w:rsidP="00B2686A">
      <w:pPr>
        <w:spacing w:line="360" w:lineRule="auto"/>
        <w:jc w:val="both"/>
        <w:rPr>
          <w:rFonts w:ascii="Arial" w:hAnsi="Arial" w:cs="Arial"/>
        </w:rPr>
      </w:pPr>
    </w:p>
    <w:p w14:paraId="1398A91F" w14:textId="77777777" w:rsidR="00B2686A" w:rsidRDefault="00B2686A" w:rsidP="00B2686A">
      <w:pPr>
        <w:spacing w:line="360" w:lineRule="auto"/>
        <w:jc w:val="both"/>
        <w:rPr>
          <w:rFonts w:ascii="Arial" w:hAnsi="Arial" w:cs="Arial"/>
        </w:rPr>
      </w:pPr>
    </w:p>
    <w:p w14:paraId="340AB79B" w14:textId="77777777" w:rsidR="00B2686A" w:rsidRDefault="00B2686A" w:rsidP="00B2686A">
      <w:pPr>
        <w:spacing w:line="360" w:lineRule="auto"/>
        <w:jc w:val="both"/>
        <w:rPr>
          <w:rFonts w:ascii="Arial" w:hAnsi="Arial" w:cs="Arial"/>
        </w:rPr>
      </w:pPr>
    </w:p>
    <w:p w14:paraId="20543A5C" w14:textId="77777777" w:rsidR="00B2686A" w:rsidRDefault="00B2686A" w:rsidP="00B2686A">
      <w:pPr>
        <w:spacing w:line="360" w:lineRule="auto"/>
        <w:jc w:val="both"/>
        <w:rPr>
          <w:rFonts w:ascii="Arial" w:hAnsi="Arial" w:cs="Arial"/>
        </w:rPr>
      </w:pPr>
    </w:p>
    <w:p w14:paraId="3A605143" w14:textId="77777777" w:rsidR="00B2686A" w:rsidRDefault="00B2686A" w:rsidP="00B2686A">
      <w:pPr>
        <w:spacing w:line="360" w:lineRule="auto"/>
        <w:jc w:val="both"/>
        <w:rPr>
          <w:rFonts w:ascii="Arial" w:hAnsi="Arial" w:cs="Arial"/>
        </w:rPr>
      </w:pPr>
    </w:p>
    <w:p w14:paraId="35228BFE" w14:textId="77777777" w:rsidR="00B2686A" w:rsidRDefault="00B2686A" w:rsidP="00B2686A">
      <w:pPr>
        <w:spacing w:line="360" w:lineRule="auto"/>
        <w:jc w:val="both"/>
        <w:rPr>
          <w:rFonts w:ascii="Arial" w:hAnsi="Arial" w:cs="Arial"/>
        </w:rPr>
      </w:pPr>
    </w:p>
    <w:p w14:paraId="776C61D4" w14:textId="77777777" w:rsidR="00B2686A" w:rsidRDefault="00B2686A" w:rsidP="00B2686A">
      <w:pPr>
        <w:spacing w:line="360" w:lineRule="auto"/>
        <w:jc w:val="both"/>
        <w:rPr>
          <w:rFonts w:ascii="Arial" w:hAnsi="Arial" w:cs="Arial"/>
        </w:rPr>
      </w:pPr>
    </w:p>
    <w:p w14:paraId="703F67D6" w14:textId="77777777" w:rsidR="00D76202" w:rsidRDefault="00D76202" w:rsidP="00B2686A">
      <w:pPr>
        <w:spacing w:line="360" w:lineRule="auto"/>
        <w:jc w:val="both"/>
        <w:rPr>
          <w:rFonts w:ascii="Arial" w:hAnsi="Arial" w:cs="Arial"/>
          <w:b/>
          <w:bCs/>
        </w:rPr>
      </w:pPr>
    </w:p>
    <w:p w14:paraId="19325838" w14:textId="11366EA5" w:rsidR="00B2686A" w:rsidRDefault="00B2686A" w:rsidP="00B2686A">
      <w:pPr>
        <w:spacing w:line="360" w:lineRule="auto"/>
        <w:jc w:val="both"/>
        <w:rPr>
          <w:rFonts w:ascii="Arial" w:hAnsi="Arial" w:cs="Arial"/>
          <w:b/>
          <w:bCs/>
        </w:rPr>
      </w:pPr>
      <w:r w:rsidRPr="00B2686A">
        <w:rPr>
          <w:rFonts w:ascii="Arial" w:hAnsi="Arial" w:cs="Arial"/>
          <w:b/>
          <w:bCs/>
        </w:rPr>
        <w:lastRenderedPageBreak/>
        <w:t>ABSTRACT</w:t>
      </w:r>
    </w:p>
    <w:p w14:paraId="68534CF4" w14:textId="703C8919" w:rsidR="00282781" w:rsidRDefault="00282781" w:rsidP="00B2686A">
      <w:pPr>
        <w:spacing w:line="360" w:lineRule="auto"/>
        <w:jc w:val="both"/>
        <w:rPr>
          <w:rFonts w:ascii="Arial" w:hAnsi="Arial" w:cs="Arial"/>
          <w:sz w:val="22"/>
          <w:szCs w:val="22"/>
        </w:rPr>
      </w:pPr>
      <w:r w:rsidRPr="00282781">
        <w:rPr>
          <w:rFonts w:ascii="Arial" w:hAnsi="Arial" w:cs="Arial"/>
          <w:sz w:val="22"/>
          <w:szCs w:val="22"/>
        </w:rPr>
        <w:t>This dissertation examines the barriers to receiving mental health services among ethnic minority group in the United Kingdom, specifically addressing language barriers, cultural competence, stigma and trust.  Notwithstanding continuous governmental initiatives aimed at diminishing inequities, evidence continually indicates that ethnic minority populations endure inferior mental health outcomes and exhibit reduced involvement with accessible resources.  This project seeks to investigate the intersection of these barriers, their influence on help-seeking behaviours, and potential enhancements to services for increased equity and efficacy.</w:t>
      </w:r>
    </w:p>
    <w:p w14:paraId="0026B543" w14:textId="543859F3" w:rsidR="00282781" w:rsidRDefault="00282781" w:rsidP="00B2686A">
      <w:pPr>
        <w:spacing w:line="360" w:lineRule="auto"/>
        <w:jc w:val="both"/>
        <w:rPr>
          <w:rFonts w:ascii="Arial" w:hAnsi="Arial" w:cs="Arial"/>
          <w:sz w:val="22"/>
          <w:szCs w:val="22"/>
        </w:rPr>
      </w:pPr>
      <w:r w:rsidRPr="00282781">
        <w:rPr>
          <w:rFonts w:ascii="Arial" w:hAnsi="Arial" w:cs="Arial"/>
          <w:sz w:val="22"/>
          <w:szCs w:val="22"/>
        </w:rPr>
        <w:t>A comprehensive literature review process was employed, utilising peer-reviewed publications from the UK published post-2010.  Thematic analysis was performed with systematic coding, augmented by tools including spreadsheets, tables, and theme matrices to efficiently organise data and assure conceptual rigour. Three main themes were created: problems with language and communication; cultural competence, and stigma structural and socioeconomic constraints.</w:t>
      </w:r>
    </w:p>
    <w:p w14:paraId="6767856F" w14:textId="6765C66A" w:rsidR="00D76202" w:rsidRDefault="00D76202" w:rsidP="00B2686A">
      <w:pPr>
        <w:spacing w:line="360" w:lineRule="auto"/>
        <w:jc w:val="both"/>
        <w:rPr>
          <w:rFonts w:ascii="Arial" w:hAnsi="Arial" w:cs="Arial"/>
          <w:sz w:val="22"/>
          <w:szCs w:val="22"/>
        </w:rPr>
      </w:pPr>
      <w:r w:rsidRPr="00D76202">
        <w:rPr>
          <w:rFonts w:ascii="Arial" w:hAnsi="Arial" w:cs="Arial"/>
          <w:sz w:val="22"/>
          <w:szCs w:val="22"/>
        </w:rPr>
        <w:t>Research indicates that language barriers considerably hinder precise evaluation, therapeutic rapport, and continuity of care, whilst differences in culture between practitioners and clients frequently results in miscommunication and disengagement.  Stigma, both within communities and about perceived institutional bias, continues to be a major barrier to obtaining assistance.  Structural impediments, such as expenses, service accessibility, and long waiting periods, intensify disparities.  These elements collectively demonstrate a complex and systemic issue that necessitates coordinated, respectful answers.</w:t>
      </w:r>
    </w:p>
    <w:p w14:paraId="4799A6B3" w14:textId="4667D3BC" w:rsidR="00D76202" w:rsidRDefault="00D76202" w:rsidP="00B2686A">
      <w:pPr>
        <w:spacing w:line="360" w:lineRule="auto"/>
        <w:jc w:val="both"/>
        <w:rPr>
          <w:rFonts w:ascii="Arial" w:hAnsi="Arial" w:cs="Arial"/>
          <w:sz w:val="22"/>
          <w:szCs w:val="22"/>
        </w:rPr>
      </w:pPr>
      <w:r w:rsidRPr="00D76202">
        <w:rPr>
          <w:rFonts w:ascii="Arial" w:hAnsi="Arial" w:cs="Arial"/>
          <w:sz w:val="22"/>
          <w:szCs w:val="22"/>
        </w:rPr>
        <w:t>The dissertation ends with three suggestions: making culturally responsive training for professionals stronger, making it easier for people to get interpreters and multilingual resources, and creating community-based outreach models that create trust and lower stigma.  Despite certain drawbacks, such as dependence on secondary data and inconsistencies in study quality, the research provides significant insights on enduring disparities.  It emphasises the necessity for ongoing policy focus, specific interventions, and enhanced cooperation between providers and ethnic minority communities to realise significant mental health transformation in the UK.</w:t>
      </w:r>
    </w:p>
    <w:p w14:paraId="6C22FE22" w14:textId="77777777" w:rsidR="00D76202" w:rsidRDefault="00D76202" w:rsidP="00B2686A">
      <w:pPr>
        <w:spacing w:line="360" w:lineRule="auto"/>
        <w:jc w:val="both"/>
        <w:rPr>
          <w:rFonts w:ascii="Arial" w:hAnsi="Arial" w:cs="Arial"/>
          <w:sz w:val="22"/>
          <w:szCs w:val="22"/>
        </w:rPr>
      </w:pPr>
    </w:p>
    <w:p w14:paraId="5D3636EC" w14:textId="77777777" w:rsidR="00D76202" w:rsidRDefault="00D76202" w:rsidP="00B2686A">
      <w:pPr>
        <w:spacing w:line="360" w:lineRule="auto"/>
        <w:jc w:val="both"/>
        <w:rPr>
          <w:rFonts w:ascii="Arial" w:hAnsi="Arial" w:cs="Arial"/>
          <w:sz w:val="22"/>
          <w:szCs w:val="22"/>
        </w:rPr>
      </w:pPr>
    </w:p>
    <w:p w14:paraId="26F6AF45" w14:textId="77777777" w:rsidR="00D76202" w:rsidRDefault="00D76202" w:rsidP="00B2686A">
      <w:pPr>
        <w:spacing w:line="360" w:lineRule="auto"/>
        <w:jc w:val="both"/>
        <w:rPr>
          <w:rFonts w:ascii="Arial" w:hAnsi="Arial" w:cs="Arial"/>
          <w:sz w:val="22"/>
          <w:szCs w:val="22"/>
        </w:rPr>
      </w:pPr>
    </w:p>
    <w:p w14:paraId="2859F297" w14:textId="77777777" w:rsidR="00D76202" w:rsidRDefault="00D76202" w:rsidP="00B2686A">
      <w:pPr>
        <w:spacing w:line="360" w:lineRule="auto"/>
        <w:jc w:val="both"/>
        <w:rPr>
          <w:rFonts w:ascii="Arial" w:hAnsi="Arial" w:cs="Arial"/>
          <w:sz w:val="22"/>
          <w:szCs w:val="22"/>
        </w:rPr>
      </w:pPr>
    </w:p>
    <w:p w14:paraId="0360BB4F" w14:textId="46DE2DF5" w:rsidR="00A937BB" w:rsidRDefault="00A937BB" w:rsidP="0048554A">
      <w:pPr>
        <w:spacing w:line="360" w:lineRule="auto"/>
        <w:jc w:val="both"/>
        <w:rPr>
          <w:rFonts w:ascii="Arial" w:hAnsi="Arial" w:cs="Arial"/>
          <w:b/>
          <w:bCs/>
          <w:sz w:val="22"/>
          <w:szCs w:val="22"/>
        </w:rPr>
      </w:pPr>
      <w:r w:rsidRPr="00A937BB">
        <w:rPr>
          <w:rFonts w:ascii="Arial" w:hAnsi="Arial" w:cs="Arial"/>
          <w:b/>
          <w:bCs/>
          <w:sz w:val="22"/>
          <w:szCs w:val="22"/>
        </w:rPr>
        <w:lastRenderedPageBreak/>
        <w:t xml:space="preserve">Table of Contents          </w:t>
      </w:r>
      <w:r w:rsidR="00E77E00">
        <w:rPr>
          <w:rFonts w:ascii="Arial" w:hAnsi="Arial" w:cs="Arial"/>
          <w:b/>
          <w:bCs/>
          <w:sz w:val="22"/>
          <w:szCs w:val="22"/>
        </w:rPr>
        <w:t xml:space="preserve">    </w:t>
      </w:r>
      <w:r w:rsidRPr="00A937BB">
        <w:rPr>
          <w:rFonts w:ascii="Arial" w:hAnsi="Arial" w:cs="Arial"/>
          <w:b/>
          <w:bCs/>
          <w:sz w:val="22"/>
          <w:szCs w:val="22"/>
        </w:rPr>
        <w:t xml:space="preserve">                                                                                  Pages</w:t>
      </w:r>
    </w:p>
    <w:p w14:paraId="3D533DF9" w14:textId="3C16DA3D" w:rsidR="00D4002A" w:rsidRDefault="00D4002A" w:rsidP="0048554A">
      <w:pPr>
        <w:spacing w:line="360" w:lineRule="auto"/>
        <w:jc w:val="both"/>
        <w:rPr>
          <w:rFonts w:ascii="Arial" w:hAnsi="Arial" w:cs="Arial"/>
          <w:b/>
          <w:bCs/>
          <w:sz w:val="22"/>
          <w:szCs w:val="22"/>
        </w:rPr>
      </w:pPr>
      <w:r>
        <w:rPr>
          <w:rFonts w:ascii="Arial" w:hAnsi="Arial" w:cs="Arial"/>
          <w:b/>
          <w:bCs/>
          <w:sz w:val="22"/>
          <w:szCs w:val="22"/>
        </w:rPr>
        <w:t xml:space="preserve">Declaration </w:t>
      </w:r>
    </w:p>
    <w:p w14:paraId="6A11311E" w14:textId="14A0BF60" w:rsidR="00D4002A" w:rsidRDefault="00D4002A" w:rsidP="0048554A">
      <w:pPr>
        <w:spacing w:line="360" w:lineRule="auto"/>
        <w:jc w:val="both"/>
        <w:rPr>
          <w:rFonts w:ascii="Arial" w:hAnsi="Arial" w:cs="Arial"/>
          <w:b/>
          <w:bCs/>
          <w:sz w:val="22"/>
          <w:szCs w:val="22"/>
        </w:rPr>
      </w:pPr>
      <w:r>
        <w:rPr>
          <w:rFonts w:ascii="Arial" w:hAnsi="Arial" w:cs="Arial"/>
          <w:b/>
          <w:bCs/>
          <w:sz w:val="22"/>
          <w:szCs w:val="22"/>
        </w:rPr>
        <w:t>Title page</w:t>
      </w:r>
    </w:p>
    <w:p w14:paraId="5D736C12" w14:textId="355C702F" w:rsidR="00D4002A" w:rsidRDefault="00D4002A" w:rsidP="0048554A">
      <w:pPr>
        <w:spacing w:line="360" w:lineRule="auto"/>
        <w:jc w:val="both"/>
        <w:rPr>
          <w:rFonts w:ascii="Arial" w:hAnsi="Arial" w:cs="Arial"/>
          <w:b/>
          <w:bCs/>
          <w:sz w:val="22"/>
          <w:szCs w:val="22"/>
        </w:rPr>
      </w:pPr>
      <w:r>
        <w:rPr>
          <w:rFonts w:ascii="Arial" w:hAnsi="Arial" w:cs="Arial"/>
          <w:b/>
          <w:bCs/>
          <w:sz w:val="22"/>
          <w:szCs w:val="22"/>
        </w:rPr>
        <w:t>Acknowledgement</w:t>
      </w:r>
    </w:p>
    <w:p w14:paraId="5017A859" w14:textId="77777777" w:rsidR="00D4002A" w:rsidRDefault="00D4002A" w:rsidP="0048554A">
      <w:pPr>
        <w:spacing w:line="360" w:lineRule="auto"/>
        <w:jc w:val="both"/>
        <w:rPr>
          <w:rFonts w:ascii="Arial" w:hAnsi="Arial" w:cs="Arial"/>
          <w:b/>
          <w:bCs/>
          <w:sz w:val="22"/>
          <w:szCs w:val="22"/>
        </w:rPr>
      </w:pPr>
      <w:r>
        <w:rPr>
          <w:rFonts w:ascii="Arial" w:hAnsi="Arial" w:cs="Arial"/>
          <w:b/>
          <w:bCs/>
          <w:sz w:val="22"/>
          <w:szCs w:val="22"/>
        </w:rPr>
        <w:t>Abstract</w:t>
      </w:r>
    </w:p>
    <w:p w14:paraId="30FE8AEF" w14:textId="4947331A" w:rsidR="00A937BB" w:rsidRPr="00A937BB" w:rsidRDefault="00A937BB" w:rsidP="0048554A">
      <w:pPr>
        <w:spacing w:line="360" w:lineRule="auto"/>
        <w:jc w:val="both"/>
        <w:rPr>
          <w:rFonts w:ascii="Arial" w:hAnsi="Arial" w:cs="Arial"/>
          <w:b/>
          <w:bCs/>
          <w:sz w:val="22"/>
          <w:szCs w:val="22"/>
        </w:rPr>
      </w:pPr>
      <w:r w:rsidRPr="00A937BB">
        <w:rPr>
          <w:rFonts w:ascii="Arial" w:hAnsi="Arial" w:cs="Arial"/>
          <w:b/>
          <w:bCs/>
          <w:sz w:val="22"/>
          <w:szCs w:val="22"/>
        </w:rPr>
        <w:t>Chapter 1</w:t>
      </w:r>
      <w:r w:rsidR="00E77E00">
        <w:rPr>
          <w:rFonts w:ascii="Arial" w:hAnsi="Arial" w:cs="Arial"/>
          <w:b/>
          <w:bCs/>
          <w:sz w:val="22"/>
          <w:szCs w:val="22"/>
        </w:rPr>
        <w:t xml:space="preserve">                                                                                                       </w:t>
      </w:r>
      <w:r w:rsidR="00C81A73">
        <w:rPr>
          <w:rFonts w:ascii="Arial" w:hAnsi="Arial" w:cs="Arial"/>
          <w:b/>
          <w:bCs/>
          <w:sz w:val="22"/>
          <w:szCs w:val="22"/>
        </w:rPr>
        <w:t xml:space="preserve"> </w:t>
      </w:r>
      <w:r w:rsidR="00E77E00">
        <w:rPr>
          <w:rFonts w:ascii="Arial" w:hAnsi="Arial" w:cs="Arial"/>
          <w:b/>
          <w:bCs/>
          <w:sz w:val="22"/>
          <w:szCs w:val="22"/>
        </w:rPr>
        <w:t>1</w:t>
      </w:r>
      <w:r w:rsidR="00E77E00">
        <w:rPr>
          <w:rFonts w:ascii="Arial" w:hAnsi="Arial" w:cs="Arial"/>
          <w:b/>
          <w:bCs/>
          <w:sz w:val="22"/>
          <w:szCs w:val="22"/>
        </w:rPr>
        <w:tab/>
      </w:r>
    </w:p>
    <w:p w14:paraId="3024C65F" w14:textId="05D12797" w:rsidR="00A937BB" w:rsidRPr="00A937BB" w:rsidRDefault="00A937BB" w:rsidP="0048554A">
      <w:pPr>
        <w:numPr>
          <w:ilvl w:val="1"/>
          <w:numId w:val="1"/>
        </w:numPr>
        <w:spacing w:line="360" w:lineRule="auto"/>
        <w:jc w:val="both"/>
        <w:rPr>
          <w:rFonts w:ascii="Arial" w:hAnsi="Arial" w:cs="Arial"/>
          <w:b/>
          <w:bCs/>
          <w:sz w:val="22"/>
          <w:szCs w:val="22"/>
        </w:rPr>
      </w:pPr>
      <w:r w:rsidRPr="00A937BB">
        <w:rPr>
          <w:rFonts w:ascii="Arial" w:hAnsi="Arial" w:cs="Arial"/>
          <w:b/>
          <w:bCs/>
          <w:sz w:val="22"/>
          <w:szCs w:val="22"/>
        </w:rPr>
        <w:t xml:space="preserve">Introduction     </w:t>
      </w:r>
      <w:r w:rsidR="00E77E00">
        <w:rPr>
          <w:rFonts w:ascii="Arial" w:hAnsi="Arial" w:cs="Arial"/>
          <w:b/>
          <w:bCs/>
          <w:sz w:val="22"/>
          <w:szCs w:val="22"/>
        </w:rPr>
        <w:t xml:space="preserve">                                                                                         1                                                                                 </w:t>
      </w:r>
    </w:p>
    <w:p w14:paraId="0DDAF24C" w14:textId="4B8050EC" w:rsidR="00A937BB" w:rsidRPr="00A937BB" w:rsidRDefault="00A937BB" w:rsidP="0048554A">
      <w:pPr>
        <w:numPr>
          <w:ilvl w:val="0"/>
          <w:numId w:val="2"/>
        </w:numPr>
        <w:spacing w:line="360" w:lineRule="auto"/>
        <w:jc w:val="both"/>
        <w:rPr>
          <w:rFonts w:ascii="Arial" w:hAnsi="Arial" w:cs="Arial"/>
          <w:sz w:val="22"/>
          <w:szCs w:val="22"/>
        </w:rPr>
      </w:pPr>
      <w:r w:rsidRPr="00A937BB">
        <w:rPr>
          <w:rFonts w:ascii="Arial" w:hAnsi="Arial" w:cs="Arial"/>
          <w:sz w:val="22"/>
          <w:szCs w:val="22"/>
        </w:rPr>
        <w:t>Overview of the topic</w:t>
      </w:r>
      <w:r w:rsidR="00E77E00">
        <w:rPr>
          <w:rFonts w:ascii="Arial" w:hAnsi="Arial" w:cs="Arial"/>
          <w:sz w:val="22"/>
          <w:szCs w:val="22"/>
        </w:rPr>
        <w:t xml:space="preserve">                                                                   </w:t>
      </w:r>
      <w:r w:rsidR="00C81A73">
        <w:rPr>
          <w:rFonts w:ascii="Arial" w:hAnsi="Arial" w:cs="Arial"/>
          <w:sz w:val="22"/>
          <w:szCs w:val="22"/>
        </w:rPr>
        <w:t xml:space="preserve"> </w:t>
      </w:r>
      <w:r w:rsidR="00E77E00">
        <w:rPr>
          <w:rFonts w:ascii="Arial" w:hAnsi="Arial" w:cs="Arial"/>
          <w:sz w:val="22"/>
          <w:szCs w:val="22"/>
        </w:rPr>
        <w:t xml:space="preserve"> 1</w:t>
      </w:r>
    </w:p>
    <w:p w14:paraId="238E0189" w14:textId="14AD5DD4" w:rsidR="00A937BB" w:rsidRPr="00A937BB" w:rsidRDefault="00A937BB" w:rsidP="0048554A">
      <w:pPr>
        <w:numPr>
          <w:ilvl w:val="0"/>
          <w:numId w:val="2"/>
        </w:numPr>
        <w:spacing w:line="360" w:lineRule="auto"/>
        <w:jc w:val="both"/>
        <w:rPr>
          <w:rFonts w:ascii="Arial" w:hAnsi="Arial" w:cs="Arial"/>
          <w:sz w:val="22"/>
          <w:szCs w:val="22"/>
        </w:rPr>
      </w:pPr>
      <w:r w:rsidRPr="00A937BB">
        <w:rPr>
          <w:rFonts w:ascii="Arial" w:hAnsi="Arial" w:cs="Arial"/>
          <w:sz w:val="22"/>
          <w:szCs w:val="22"/>
        </w:rPr>
        <w:t xml:space="preserve">Aim of the dissertation                                                                   </w:t>
      </w:r>
      <w:r w:rsidR="00C81A73">
        <w:rPr>
          <w:rFonts w:ascii="Arial" w:hAnsi="Arial" w:cs="Arial"/>
          <w:sz w:val="22"/>
          <w:szCs w:val="22"/>
        </w:rPr>
        <w:t>1</w:t>
      </w:r>
      <w:r w:rsidRPr="00A937BB">
        <w:rPr>
          <w:rFonts w:ascii="Arial" w:hAnsi="Arial" w:cs="Arial"/>
          <w:sz w:val="22"/>
          <w:szCs w:val="22"/>
        </w:rPr>
        <w:t xml:space="preserve">                                                       </w:t>
      </w:r>
    </w:p>
    <w:p w14:paraId="19DDB9E4" w14:textId="3988518C" w:rsidR="00A937BB" w:rsidRPr="00A937BB" w:rsidRDefault="00A937BB" w:rsidP="0048554A">
      <w:pPr>
        <w:numPr>
          <w:ilvl w:val="1"/>
          <w:numId w:val="1"/>
        </w:numPr>
        <w:spacing w:line="360" w:lineRule="auto"/>
        <w:jc w:val="both"/>
        <w:rPr>
          <w:rFonts w:ascii="Arial" w:hAnsi="Arial" w:cs="Arial"/>
          <w:b/>
          <w:bCs/>
          <w:sz w:val="22"/>
          <w:szCs w:val="22"/>
        </w:rPr>
      </w:pPr>
      <w:r w:rsidRPr="00A937BB">
        <w:rPr>
          <w:rFonts w:ascii="Arial" w:hAnsi="Arial" w:cs="Arial"/>
          <w:b/>
          <w:bCs/>
          <w:sz w:val="22"/>
          <w:szCs w:val="22"/>
        </w:rPr>
        <w:t xml:space="preserve">Definition and Terminology </w:t>
      </w:r>
      <w:r w:rsidR="00C81A73">
        <w:rPr>
          <w:rFonts w:ascii="Arial" w:hAnsi="Arial" w:cs="Arial"/>
          <w:b/>
          <w:bCs/>
          <w:sz w:val="22"/>
          <w:szCs w:val="22"/>
        </w:rPr>
        <w:t xml:space="preserve">                                                                   </w:t>
      </w:r>
    </w:p>
    <w:p w14:paraId="6A31207D" w14:textId="4BC8A35B" w:rsidR="00A937BB" w:rsidRPr="00A937BB" w:rsidRDefault="00A937BB" w:rsidP="0048554A">
      <w:pPr>
        <w:numPr>
          <w:ilvl w:val="0"/>
          <w:numId w:val="3"/>
        </w:numPr>
        <w:spacing w:line="360" w:lineRule="auto"/>
        <w:jc w:val="both"/>
        <w:rPr>
          <w:rFonts w:ascii="Arial" w:hAnsi="Arial" w:cs="Arial"/>
          <w:sz w:val="22"/>
          <w:szCs w:val="22"/>
        </w:rPr>
      </w:pPr>
      <w:r w:rsidRPr="00A937BB">
        <w:rPr>
          <w:rFonts w:ascii="Arial" w:hAnsi="Arial" w:cs="Arial"/>
          <w:sz w:val="22"/>
          <w:szCs w:val="22"/>
        </w:rPr>
        <w:t>Key definition</w:t>
      </w:r>
      <w:r w:rsidR="004C011C">
        <w:rPr>
          <w:rFonts w:ascii="Arial" w:hAnsi="Arial" w:cs="Arial"/>
          <w:sz w:val="22"/>
          <w:szCs w:val="22"/>
        </w:rPr>
        <w:t xml:space="preserve">                                                                                 1 - 2</w:t>
      </w:r>
    </w:p>
    <w:p w14:paraId="79B8523E" w14:textId="7474D675" w:rsidR="00A937BB" w:rsidRPr="00A937BB" w:rsidRDefault="00A937BB" w:rsidP="0048554A">
      <w:pPr>
        <w:numPr>
          <w:ilvl w:val="0"/>
          <w:numId w:val="3"/>
        </w:numPr>
        <w:spacing w:line="360" w:lineRule="auto"/>
        <w:jc w:val="both"/>
        <w:rPr>
          <w:rFonts w:ascii="Arial" w:hAnsi="Arial" w:cs="Arial"/>
          <w:sz w:val="22"/>
          <w:szCs w:val="22"/>
        </w:rPr>
      </w:pPr>
      <w:r w:rsidRPr="00A937BB">
        <w:rPr>
          <w:rFonts w:ascii="Arial" w:hAnsi="Arial" w:cs="Arial"/>
          <w:sz w:val="22"/>
          <w:szCs w:val="22"/>
        </w:rPr>
        <w:t xml:space="preserve">Acronyms and abbreviations      </w:t>
      </w:r>
      <w:r w:rsidR="004C011C">
        <w:rPr>
          <w:rFonts w:ascii="Arial" w:hAnsi="Arial" w:cs="Arial"/>
          <w:sz w:val="22"/>
          <w:szCs w:val="22"/>
        </w:rPr>
        <w:t xml:space="preserve">                                                    2</w:t>
      </w:r>
      <w:r w:rsidRPr="00A937BB">
        <w:rPr>
          <w:rFonts w:ascii="Arial" w:hAnsi="Arial" w:cs="Arial"/>
          <w:sz w:val="22"/>
          <w:szCs w:val="22"/>
        </w:rPr>
        <w:t xml:space="preserve">                                                  </w:t>
      </w:r>
    </w:p>
    <w:p w14:paraId="2F3817E0" w14:textId="015DEAF3" w:rsidR="00A937BB" w:rsidRPr="00A937BB" w:rsidRDefault="00A937BB" w:rsidP="0048554A">
      <w:pPr>
        <w:numPr>
          <w:ilvl w:val="1"/>
          <w:numId w:val="1"/>
        </w:numPr>
        <w:spacing w:line="360" w:lineRule="auto"/>
        <w:jc w:val="both"/>
        <w:rPr>
          <w:rFonts w:ascii="Arial" w:hAnsi="Arial" w:cs="Arial"/>
          <w:b/>
          <w:bCs/>
          <w:sz w:val="22"/>
          <w:szCs w:val="22"/>
        </w:rPr>
      </w:pPr>
      <w:r w:rsidRPr="00A937BB">
        <w:rPr>
          <w:rFonts w:ascii="Arial" w:hAnsi="Arial" w:cs="Arial"/>
          <w:b/>
          <w:bCs/>
          <w:sz w:val="22"/>
          <w:szCs w:val="22"/>
        </w:rPr>
        <w:t>Rationale for Research</w:t>
      </w:r>
      <w:r w:rsidR="004C011C">
        <w:rPr>
          <w:rFonts w:ascii="Arial" w:hAnsi="Arial" w:cs="Arial"/>
          <w:b/>
          <w:bCs/>
          <w:sz w:val="22"/>
          <w:szCs w:val="22"/>
        </w:rPr>
        <w:t xml:space="preserve">              </w:t>
      </w:r>
    </w:p>
    <w:p w14:paraId="15F8AFE3" w14:textId="7C227708" w:rsidR="00A937BB" w:rsidRPr="00A937BB" w:rsidRDefault="00A937BB" w:rsidP="0048554A">
      <w:pPr>
        <w:numPr>
          <w:ilvl w:val="0"/>
          <w:numId w:val="4"/>
        </w:numPr>
        <w:spacing w:line="360" w:lineRule="auto"/>
        <w:jc w:val="both"/>
        <w:rPr>
          <w:rFonts w:ascii="Arial" w:hAnsi="Arial" w:cs="Arial"/>
          <w:sz w:val="22"/>
          <w:szCs w:val="22"/>
        </w:rPr>
      </w:pPr>
      <w:r w:rsidRPr="00A937BB">
        <w:rPr>
          <w:rFonts w:ascii="Arial" w:hAnsi="Arial" w:cs="Arial"/>
          <w:sz w:val="22"/>
          <w:szCs w:val="22"/>
        </w:rPr>
        <w:t>Purpose of the research</w:t>
      </w:r>
      <w:r w:rsidR="004C011C">
        <w:rPr>
          <w:rFonts w:ascii="Arial" w:hAnsi="Arial" w:cs="Arial"/>
          <w:sz w:val="22"/>
          <w:szCs w:val="22"/>
        </w:rPr>
        <w:t xml:space="preserve">                                                                 2 </w:t>
      </w:r>
    </w:p>
    <w:p w14:paraId="00806432" w14:textId="6685E1E1" w:rsidR="00A937BB" w:rsidRPr="00A937BB" w:rsidRDefault="00A937BB" w:rsidP="0048554A">
      <w:pPr>
        <w:numPr>
          <w:ilvl w:val="0"/>
          <w:numId w:val="4"/>
        </w:numPr>
        <w:spacing w:line="360" w:lineRule="auto"/>
        <w:jc w:val="both"/>
        <w:rPr>
          <w:rFonts w:ascii="Arial" w:hAnsi="Arial" w:cs="Arial"/>
          <w:sz w:val="22"/>
          <w:szCs w:val="22"/>
        </w:rPr>
      </w:pPr>
      <w:r w:rsidRPr="00A937BB">
        <w:rPr>
          <w:rFonts w:ascii="Arial" w:hAnsi="Arial" w:cs="Arial"/>
          <w:sz w:val="22"/>
          <w:szCs w:val="22"/>
        </w:rPr>
        <w:t xml:space="preserve">Identified problems and Research gaps     </w:t>
      </w:r>
      <w:r w:rsidR="004C011C">
        <w:rPr>
          <w:rFonts w:ascii="Arial" w:hAnsi="Arial" w:cs="Arial"/>
          <w:sz w:val="22"/>
          <w:szCs w:val="22"/>
        </w:rPr>
        <w:t xml:space="preserve">                                    2 - 3</w:t>
      </w:r>
      <w:r w:rsidRPr="00A937BB">
        <w:rPr>
          <w:rFonts w:ascii="Arial" w:hAnsi="Arial" w:cs="Arial"/>
          <w:sz w:val="22"/>
          <w:szCs w:val="22"/>
        </w:rPr>
        <w:t xml:space="preserve">                                           </w:t>
      </w:r>
    </w:p>
    <w:p w14:paraId="589085A3" w14:textId="77777777" w:rsidR="00A937BB" w:rsidRPr="00A937BB" w:rsidRDefault="00A937BB" w:rsidP="0048554A">
      <w:pPr>
        <w:numPr>
          <w:ilvl w:val="1"/>
          <w:numId w:val="1"/>
        </w:numPr>
        <w:spacing w:line="360" w:lineRule="auto"/>
        <w:jc w:val="both"/>
        <w:rPr>
          <w:rFonts w:ascii="Arial" w:hAnsi="Arial" w:cs="Arial"/>
          <w:b/>
          <w:bCs/>
          <w:sz w:val="22"/>
          <w:szCs w:val="22"/>
        </w:rPr>
      </w:pPr>
      <w:r w:rsidRPr="00A937BB">
        <w:rPr>
          <w:rFonts w:ascii="Arial" w:hAnsi="Arial" w:cs="Arial"/>
          <w:b/>
          <w:bCs/>
          <w:sz w:val="22"/>
          <w:szCs w:val="22"/>
        </w:rPr>
        <w:t>Aim and Objectives</w:t>
      </w:r>
    </w:p>
    <w:p w14:paraId="3B63B640" w14:textId="3E7B38D5" w:rsidR="00A937BB" w:rsidRPr="00A937BB" w:rsidRDefault="00A937BB" w:rsidP="0048554A">
      <w:pPr>
        <w:numPr>
          <w:ilvl w:val="0"/>
          <w:numId w:val="5"/>
        </w:numPr>
        <w:spacing w:line="360" w:lineRule="auto"/>
        <w:jc w:val="both"/>
        <w:rPr>
          <w:rFonts w:ascii="Arial" w:hAnsi="Arial" w:cs="Arial"/>
          <w:sz w:val="22"/>
          <w:szCs w:val="22"/>
        </w:rPr>
      </w:pPr>
      <w:r w:rsidRPr="00A937BB">
        <w:rPr>
          <w:rFonts w:ascii="Arial" w:hAnsi="Arial" w:cs="Arial"/>
          <w:sz w:val="22"/>
          <w:szCs w:val="22"/>
        </w:rPr>
        <w:t>Research Aim</w:t>
      </w:r>
      <w:r w:rsidR="004C011C">
        <w:rPr>
          <w:rFonts w:ascii="Arial" w:hAnsi="Arial" w:cs="Arial"/>
          <w:sz w:val="22"/>
          <w:szCs w:val="22"/>
        </w:rPr>
        <w:t xml:space="preserve">                                                                                  3</w:t>
      </w:r>
    </w:p>
    <w:p w14:paraId="7B539A1A" w14:textId="3653A287" w:rsidR="00A937BB" w:rsidRPr="00A937BB" w:rsidRDefault="00A937BB" w:rsidP="0048554A">
      <w:pPr>
        <w:numPr>
          <w:ilvl w:val="0"/>
          <w:numId w:val="5"/>
        </w:numPr>
        <w:spacing w:line="360" w:lineRule="auto"/>
        <w:jc w:val="both"/>
        <w:rPr>
          <w:rFonts w:ascii="Arial" w:hAnsi="Arial" w:cs="Arial"/>
          <w:sz w:val="22"/>
          <w:szCs w:val="22"/>
        </w:rPr>
      </w:pPr>
      <w:r w:rsidRPr="00A937BB">
        <w:rPr>
          <w:rFonts w:ascii="Arial" w:hAnsi="Arial" w:cs="Arial"/>
          <w:sz w:val="22"/>
          <w:szCs w:val="22"/>
        </w:rPr>
        <w:t xml:space="preserve">Research Objectives                                                          </w:t>
      </w:r>
      <w:r w:rsidR="004C011C">
        <w:rPr>
          <w:rFonts w:ascii="Arial" w:hAnsi="Arial" w:cs="Arial"/>
          <w:sz w:val="22"/>
          <w:szCs w:val="22"/>
        </w:rPr>
        <w:t xml:space="preserve">             3 </w:t>
      </w:r>
    </w:p>
    <w:p w14:paraId="62ABAEEF" w14:textId="2022048B" w:rsidR="00A937BB" w:rsidRPr="00A937BB" w:rsidRDefault="00A937BB" w:rsidP="0048554A">
      <w:pPr>
        <w:numPr>
          <w:ilvl w:val="1"/>
          <w:numId w:val="1"/>
        </w:numPr>
        <w:spacing w:line="360" w:lineRule="auto"/>
        <w:jc w:val="both"/>
        <w:rPr>
          <w:rFonts w:ascii="Arial" w:hAnsi="Arial" w:cs="Arial"/>
          <w:b/>
          <w:bCs/>
          <w:sz w:val="22"/>
          <w:szCs w:val="22"/>
        </w:rPr>
      </w:pPr>
      <w:r w:rsidRPr="00A937BB">
        <w:rPr>
          <w:rFonts w:ascii="Arial" w:hAnsi="Arial" w:cs="Arial"/>
          <w:b/>
          <w:bCs/>
          <w:sz w:val="22"/>
          <w:szCs w:val="22"/>
        </w:rPr>
        <w:t xml:space="preserve">Conclusion                                                                                                </w:t>
      </w:r>
      <w:r w:rsidR="004C011C">
        <w:rPr>
          <w:rFonts w:ascii="Arial" w:hAnsi="Arial" w:cs="Arial"/>
          <w:b/>
          <w:bCs/>
          <w:sz w:val="22"/>
          <w:szCs w:val="22"/>
        </w:rPr>
        <w:t>4</w:t>
      </w:r>
      <w:r w:rsidRPr="00A937BB">
        <w:rPr>
          <w:rFonts w:ascii="Arial" w:hAnsi="Arial" w:cs="Arial"/>
          <w:b/>
          <w:bCs/>
          <w:sz w:val="22"/>
          <w:szCs w:val="22"/>
        </w:rPr>
        <w:t xml:space="preserve">                   </w:t>
      </w:r>
    </w:p>
    <w:p w14:paraId="0464D2E9" w14:textId="77777777"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Chapter 2 – Background Information and Analysis</w:t>
      </w:r>
    </w:p>
    <w:p w14:paraId="2AFBEA72" w14:textId="66DDD0A5"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2.1 Introduction</w:t>
      </w:r>
      <w:r w:rsidR="00D16978">
        <w:rPr>
          <w:rFonts w:ascii="Arial" w:eastAsia="Aptos" w:hAnsi="Arial" w:cs="Arial"/>
          <w:b/>
          <w:bCs/>
          <w:sz w:val="22"/>
          <w:szCs w:val="22"/>
        </w:rPr>
        <w:t xml:space="preserve">                                                                                               5</w:t>
      </w:r>
    </w:p>
    <w:p w14:paraId="1D5DDAED" w14:textId="7320FF25" w:rsidR="00A937BB" w:rsidRPr="00A937BB" w:rsidRDefault="00A937BB" w:rsidP="0048554A">
      <w:pPr>
        <w:numPr>
          <w:ilvl w:val="0"/>
          <w:numId w:val="7"/>
        </w:numPr>
        <w:spacing w:line="360" w:lineRule="auto"/>
        <w:contextualSpacing/>
        <w:jc w:val="both"/>
        <w:rPr>
          <w:rFonts w:ascii="Arial" w:eastAsia="Aptos" w:hAnsi="Arial" w:cs="Arial"/>
          <w:sz w:val="22"/>
          <w:szCs w:val="22"/>
        </w:rPr>
      </w:pPr>
      <w:r w:rsidRPr="00A937BB">
        <w:rPr>
          <w:rFonts w:ascii="Arial" w:eastAsia="Aptos" w:hAnsi="Arial" w:cs="Arial"/>
          <w:sz w:val="22"/>
          <w:szCs w:val="22"/>
        </w:rPr>
        <w:t>Purpose of the chapter</w:t>
      </w:r>
      <w:r w:rsidR="00D16978">
        <w:rPr>
          <w:rFonts w:ascii="Arial" w:eastAsia="Aptos" w:hAnsi="Arial" w:cs="Arial"/>
          <w:sz w:val="22"/>
          <w:szCs w:val="22"/>
        </w:rPr>
        <w:t xml:space="preserve">                                                                          5</w:t>
      </w:r>
    </w:p>
    <w:p w14:paraId="34A482D3" w14:textId="77777777"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2.2 Historical Background</w:t>
      </w:r>
    </w:p>
    <w:p w14:paraId="263BB27E" w14:textId="6AACB426" w:rsidR="00A937BB" w:rsidRPr="00A937BB" w:rsidRDefault="00A937BB" w:rsidP="0048554A">
      <w:pPr>
        <w:numPr>
          <w:ilvl w:val="0"/>
          <w:numId w:val="7"/>
        </w:numPr>
        <w:spacing w:line="360" w:lineRule="auto"/>
        <w:contextualSpacing/>
        <w:jc w:val="both"/>
        <w:rPr>
          <w:rFonts w:ascii="Arial" w:eastAsia="Aptos" w:hAnsi="Arial" w:cs="Arial"/>
          <w:sz w:val="22"/>
          <w:szCs w:val="22"/>
        </w:rPr>
      </w:pPr>
      <w:r w:rsidRPr="00A937BB">
        <w:rPr>
          <w:rFonts w:ascii="Arial" w:eastAsia="Aptos" w:hAnsi="Arial" w:cs="Arial"/>
          <w:sz w:val="22"/>
          <w:szCs w:val="22"/>
        </w:rPr>
        <w:t>Development of the topic</w:t>
      </w:r>
      <w:r w:rsidR="00D16978">
        <w:rPr>
          <w:rFonts w:ascii="Arial" w:eastAsia="Aptos" w:hAnsi="Arial" w:cs="Arial"/>
          <w:sz w:val="22"/>
          <w:szCs w:val="22"/>
        </w:rPr>
        <w:t xml:space="preserve">                                                                       5 - 6</w:t>
      </w:r>
    </w:p>
    <w:p w14:paraId="5B3B5D72" w14:textId="6F766D42" w:rsidR="00A937BB" w:rsidRPr="00A937BB" w:rsidRDefault="00A937BB" w:rsidP="0048554A">
      <w:pPr>
        <w:numPr>
          <w:ilvl w:val="0"/>
          <w:numId w:val="7"/>
        </w:numPr>
        <w:spacing w:line="360" w:lineRule="auto"/>
        <w:contextualSpacing/>
        <w:jc w:val="both"/>
        <w:rPr>
          <w:rFonts w:ascii="Arial" w:eastAsia="Aptos" w:hAnsi="Arial" w:cs="Arial"/>
          <w:sz w:val="22"/>
          <w:szCs w:val="22"/>
        </w:rPr>
      </w:pPr>
      <w:r w:rsidRPr="00A937BB">
        <w:rPr>
          <w:rFonts w:ascii="Arial" w:eastAsia="Aptos" w:hAnsi="Arial" w:cs="Arial"/>
          <w:sz w:val="22"/>
          <w:szCs w:val="22"/>
        </w:rPr>
        <w:t>Significant Historical figures and contribution</w:t>
      </w:r>
      <w:r w:rsidR="00D16978">
        <w:rPr>
          <w:rFonts w:ascii="Arial" w:eastAsia="Aptos" w:hAnsi="Arial" w:cs="Arial"/>
          <w:sz w:val="22"/>
          <w:szCs w:val="22"/>
        </w:rPr>
        <w:t xml:space="preserve">                                        6</w:t>
      </w:r>
    </w:p>
    <w:p w14:paraId="0F7CB7CF" w14:textId="77777777"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2.3 Theoretical Background</w:t>
      </w:r>
    </w:p>
    <w:p w14:paraId="3EA42810" w14:textId="65F37A37" w:rsidR="00A937BB" w:rsidRPr="00A937BB" w:rsidRDefault="00A937BB" w:rsidP="0048554A">
      <w:pPr>
        <w:numPr>
          <w:ilvl w:val="0"/>
          <w:numId w:val="8"/>
        </w:numPr>
        <w:spacing w:line="360" w:lineRule="auto"/>
        <w:contextualSpacing/>
        <w:jc w:val="both"/>
        <w:rPr>
          <w:rFonts w:ascii="Arial" w:eastAsia="Aptos" w:hAnsi="Arial" w:cs="Arial"/>
          <w:sz w:val="22"/>
          <w:szCs w:val="22"/>
        </w:rPr>
      </w:pPr>
      <w:r w:rsidRPr="00A937BB">
        <w:rPr>
          <w:rFonts w:ascii="Arial" w:eastAsia="Aptos" w:hAnsi="Arial" w:cs="Arial"/>
          <w:sz w:val="22"/>
          <w:szCs w:val="22"/>
        </w:rPr>
        <w:lastRenderedPageBreak/>
        <w:t>Key theories and concepts</w:t>
      </w:r>
      <w:r w:rsidR="00D16978">
        <w:rPr>
          <w:rFonts w:ascii="Arial" w:eastAsia="Aptos" w:hAnsi="Arial" w:cs="Arial"/>
          <w:sz w:val="22"/>
          <w:szCs w:val="22"/>
        </w:rPr>
        <w:t xml:space="preserve">                                                                             6 - 7</w:t>
      </w:r>
    </w:p>
    <w:p w14:paraId="3AA1B991" w14:textId="7D1C242B" w:rsidR="00A937BB" w:rsidRPr="00A937BB" w:rsidRDefault="00A937BB" w:rsidP="0048554A">
      <w:pPr>
        <w:numPr>
          <w:ilvl w:val="0"/>
          <w:numId w:val="8"/>
        </w:numPr>
        <w:spacing w:line="360" w:lineRule="auto"/>
        <w:contextualSpacing/>
        <w:jc w:val="both"/>
        <w:rPr>
          <w:rFonts w:ascii="Arial" w:eastAsia="Aptos" w:hAnsi="Arial" w:cs="Arial"/>
          <w:sz w:val="22"/>
          <w:szCs w:val="22"/>
        </w:rPr>
      </w:pPr>
      <w:r w:rsidRPr="00A937BB">
        <w:rPr>
          <w:rFonts w:ascii="Arial" w:eastAsia="Aptos" w:hAnsi="Arial" w:cs="Arial"/>
          <w:sz w:val="22"/>
          <w:szCs w:val="22"/>
        </w:rPr>
        <w:t>Application of theories</w:t>
      </w:r>
      <w:r w:rsidR="00D16978">
        <w:rPr>
          <w:rFonts w:ascii="Arial" w:eastAsia="Aptos" w:hAnsi="Arial" w:cs="Arial"/>
          <w:sz w:val="22"/>
          <w:szCs w:val="22"/>
        </w:rPr>
        <w:t xml:space="preserve">                                                                                    7                                       </w:t>
      </w:r>
    </w:p>
    <w:p w14:paraId="6958BBA7" w14:textId="50886147" w:rsidR="00A937BB" w:rsidRPr="00A937BB" w:rsidRDefault="00A937BB" w:rsidP="0048554A">
      <w:pPr>
        <w:numPr>
          <w:ilvl w:val="0"/>
          <w:numId w:val="8"/>
        </w:numPr>
        <w:spacing w:line="360" w:lineRule="auto"/>
        <w:contextualSpacing/>
        <w:jc w:val="both"/>
        <w:rPr>
          <w:rFonts w:ascii="Arial" w:eastAsia="Aptos" w:hAnsi="Arial" w:cs="Arial"/>
          <w:sz w:val="22"/>
          <w:szCs w:val="22"/>
        </w:rPr>
      </w:pPr>
      <w:r w:rsidRPr="00A937BB">
        <w:rPr>
          <w:rFonts w:ascii="Arial" w:eastAsia="Aptos" w:hAnsi="Arial" w:cs="Arial"/>
          <w:sz w:val="22"/>
          <w:szCs w:val="22"/>
        </w:rPr>
        <w:t>Critical evaluation</w:t>
      </w:r>
      <w:r w:rsidR="00D16978">
        <w:rPr>
          <w:rFonts w:ascii="Arial" w:eastAsia="Aptos" w:hAnsi="Arial" w:cs="Arial"/>
          <w:sz w:val="22"/>
          <w:szCs w:val="22"/>
        </w:rPr>
        <w:t xml:space="preserve">                                                                                           7</w:t>
      </w:r>
    </w:p>
    <w:p w14:paraId="0C23D68E" w14:textId="77777777"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2.4 International Context</w:t>
      </w:r>
    </w:p>
    <w:p w14:paraId="55EAB3BE" w14:textId="2A52EFB2" w:rsidR="00A937BB" w:rsidRPr="00A937BB" w:rsidRDefault="00A937BB" w:rsidP="0048554A">
      <w:pPr>
        <w:numPr>
          <w:ilvl w:val="0"/>
          <w:numId w:val="9"/>
        </w:numPr>
        <w:spacing w:line="360" w:lineRule="auto"/>
        <w:contextualSpacing/>
        <w:jc w:val="both"/>
        <w:rPr>
          <w:rFonts w:ascii="Arial" w:eastAsia="Aptos" w:hAnsi="Arial" w:cs="Arial"/>
          <w:sz w:val="22"/>
          <w:szCs w:val="22"/>
        </w:rPr>
      </w:pPr>
      <w:r w:rsidRPr="00A937BB">
        <w:rPr>
          <w:rFonts w:ascii="Arial" w:eastAsia="Aptos" w:hAnsi="Arial" w:cs="Arial"/>
          <w:sz w:val="22"/>
          <w:szCs w:val="22"/>
        </w:rPr>
        <w:t>Global perspective</w:t>
      </w:r>
      <w:r w:rsidR="00D16978">
        <w:rPr>
          <w:rFonts w:ascii="Arial" w:eastAsia="Aptos" w:hAnsi="Arial" w:cs="Arial"/>
          <w:sz w:val="22"/>
          <w:szCs w:val="22"/>
        </w:rPr>
        <w:t xml:space="preserve">                                                                                          8</w:t>
      </w:r>
    </w:p>
    <w:p w14:paraId="27FE55AB" w14:textId="557045F1" w:rsidR="00A937BB" w:rsidRPr="00A937BB" w:rsidRDefault="00A937BB" w:rsidP="0048554A">
      <w:pPr>
        <w:numPr>
          <w:ilvl w:val="0"/>
          <w:numId w:val="9"/>
        </w:numPr>
        <w:spacing w:line="360" w:lineRule="auto"/>
        <w:contextualSpacing/>
        <w:jc w:val="both"/>
        <w:rPr>
          <w:rFonts w:ascii="Arial" w:eastAsia="Aptos" w:hAnsi="Arial" w:cs="Arial"/>
          <w:sz w:val="22"/>
          <w:szCs w:val="22"/>
        </w:rPr>
      </w:pPr>
      <w:r w:rsidRPr="00A937BB">
        <w:rPr>
          <w:rFonts w:ascii="Arial" w:eastAsia="Aptos" w:hAnsi="Arial" w:cs="Arial"/>
          <w:sz w:val="22"/>
          <w:szCs w:val="22"/>
        </w:rPr>
        <w:t>Comparative analysis</w:t>
      </w:r>
      <w:r w:rsidR="00D16978">
        <w:rPr>
          <w:rFonts w:ascii="Arial" w:eastAsia="Aptos" w:hAnsi="Arial" w:cs="Arial"/>
          <w:sz w:val="22"/>
          <w:szCs w:val="22"/>
        </w:rPr>
        <w:t xml:space="preserve">                                                                                     8</w:t>
      </w:r>
    </w:p>
    <w:p w14:paraId="63294C33" w14:textId="283BEA8F" w:rsidR="00A937BB" w:rsidRPr="00A937BB" w:rsidRDefault="00A937BB" w:rsidP="0048554A">
      <w:pPr>
        <w:numPr>
          <w:ilvl w:val="0"/>
          <w:numId w:val="9"/>
        </w:numPr>
        <w:spacing w:line="360" w:lineRule="auto"/>
        <w:contextualSpacing/>
        <w:jc w:val="both"/>
        <w:rPr>
          <w:rFonts w:ascii="Arial" w:eastAsia="Aptos" w:hAnsi="Arial" w:cs="Arial"/>
          <w:sz w:val="22"/>
          <w:szCs w:val="22"/>
        </w:rPr>
      </w:pPr>
      <w:r w:rsidRPr="00A937BB">
        <w:rPr>
          <w:rFonts w:ascii="Arial" w:eastAsia="Aptos" w:hAnsi="Arial" w:cs="Arial"/>
          <w:sz w:val="22"/>
          <w:szCs w:val="22"/>
        </w:rPr>
        <w:t>Case studies</w:t>
      </w:r>
      <w:r w:rsidR="00D16978">
        <w:rPr>
          <w:rFonts w:ascii="Arial" w:eastAsia="Aptos" w:hAnsi="Arial" w:cs="Arial"/>
          <w:sz w:val="22"/>
          <w:szCs w:val="22"/>
        </w:rPr>
        <w:t xml:space="preserve">                                                                                                  8 -9</w:t>
      </w:r>
    </w:p>
    <w:p w14:paraId="425D1A84" w14:textId="77777777"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2.5 National/Local UK Context</w:t>
      </w:r>
    </w:p>
    <w:p w14:paraId="08CF1991" w14:textId="3E2C5EA8" w:rsidR="00A937BB" w:rsidRPr="00A937BB" w:rsidRDefault="00A937BB" w:rsidP="0048554A">
      <w:pPr>
        <w:numPr>
          <w:ilvl w:val="0"/>
          <w:numId w:val="10"/>
        </w:numPr>
        <w:spacing w:line="360" w:lineRule="auto"/>
        <w:contextualSpacing/>
        <w:jc w:val="both"/>
        <w:rPr>
          <w:rFonts w:ascii="Arial" w:eastAsia="Aptos" w:hAnsi="Arial" w:cs="Arial"/>
          <w:sz w:val="22"/>
          <w:szCs w:val="22"/>
        </w:rPr>
      </w:pPr>
      <w:r w:rsidRPr="00A937BB">
        <w:rPr>
          <w:rFonts w:ascii="Arial" w:eastAsia="Aptos" w:hAnsi="Arial" w:cs="Arial"/>
          <w:sz w:val="22"/>
          <w:szCs w:val="22"/>
        </w:rPr>
        <w:t>UK perspective</w:t>
      </w:r>
      <w:r w:rsidR="00D16978">
        <w:rPr>
          <w:rFonts w:ascii="Arial" w:eastAsia="Aptos" w:hAnsi="Arial" w:cs="Arial"/>
          <w:sz w:val="22"/>
          <w:szCs w:val="22"/>
        </w:rPr>
        <w:t xml:space="preserve">                                                                                              9</w:t>
      </w:r>
    </w:p>
    <w:p w14:paraId="0C147A77" w14:textId="474A5D06" w:rsidR="00A937BB" w:rsidRPr="00A937BB" w:rsidRDefault="00A937BB" w:rsidP="0048554A">
      <w:pPr>
        <w:numPr>
          <w:ilvl w:val="0"/>
          <w:numId w:val="10"/>
        </w:numPr>
        <w:spacing w:line="360" w:lineRule="auto"/>
        <w:contextualSpacing/>
        <w:jc w:val="both"/>
        <w:rPr>
          <w:rFonts w:ascii="Arial" w:eastAsia="Aptos" w:hAnsi="Arial" w:cs="Arial"/>
          <w:sz w:val="22"/>
          <w:szCs w:val="22"/>
        </w:rPr>
      </w:pPr>
      <w:r w:rsidRPr="00A937BB">
        <w:rPr>
          <w:rFonts w:ascii="Arial" w:eastAsia="Aptos" w:hAnsi="Arial" w:cs="Arial"/>
          <w:sz w:val="22"/>
          <w:szCs w:val="22"/>
        </w:rPr>
        <w:t>Policy and regulations</w:t>
      </w:r>
      <w:r w:rsidR="00D16978">
        <w:rPr>
          <w:rFonts w:ascii="Arial" w:eastAsia="Aptos" w:hAnsi="Arial" w:cs="Arial"/>
          <w:sz w:val="22"/>
          <w:szCs w:val="22"/>
        </w:rPr>
        <w:t xml:space="preserve">                                                                                   9</w:t>
      </w:r>
    </w:p>
    <w:p w14:paraId="08AACFD8" w14:textId="4EB59C59" w:rsidR="00A937BB" w:rsidRPr="00A937BB" w:rsidRDefault="00A937BB" w:rsidP="0048554A">
      <w:pPr>
        <w:numPr>
          <w:ilvl w:val="0"/>
          <w:numId w:val="10"/>
        </w:numPr>
        <w:spacing w:line="360" w:lineRule="auto"/>
        <w:contextualSpacing/>
        <w:jc w:val="both"/>
        <w:rPr>
          <w:rFonts w:ascii="Arial" w:eastAsia="Aptos" w:hAnsi="Arial" w:cs="Arial"/>
          <w:sz w:val="22"/>
          <w:szCs w:val="22"/>
        </w:rPr>
      </w:pPr>
      <w:r w:rsidRPr="00A937BB">
        <w:rPr>
          <w:rFonts w:ascii="Arial" w:eastAsia="Aptos" w:hAnsi="Arial" w:cs="Arial"/>
          <w:sz w:val="22"/>
          <w:szCs w:val="22"/>
        </w:rPr>
        <w:t>Local context</w:t>
      </w:r>
      <w:r w:rsidR="00F814E5">
        <w:rPr>
          <w:rFonts w:ascii="Arial" w:eastAsia="Aptos" w:hAnsi="Arial" w:cs="Arial"/>
          <w:sz w:val="22"/>
          <w:szCs w:val="22"/>
        </w:rPr>
        <w:t xml:space="preserve">                                                                                                 9 -10</w:t>
      </w:r>
    </w:p>
    <w:p w14:paraId="1BF4562E" w14:textId="2325F3CE" w:rsidR="00A937BB" w:rsidRPr="00A937BB" w:rsidRDefault="00A937BB" w:rsidP="0048554A">
      <w:pPr>
        <w:spacing w:line="360" w:lineRule="auto"/>
        <w:jc w:val="both"/>
        <w:rPr>
          <w:rFonts w:ascii="Arial" w:eastAsia="Aptos" w:hAnsi="Arial" w:cs="Arial"/>
          <w:b/>
          <w:bCs/>
          <w:sz w:val="22"/>
          <w:szCs w:val="22"/>
        </w:rPr>
      </w:pPr>
      <w:r w:rsidRPr="00A937BB">
        <w:rPr>
          <w:rFonts w:ascii="Arial" w:eastAsia="Aptos" w:hAnsi="Arial" w:cs="Arial"/>
          <w:b/>
          <w:bCs/>
          <w:sz w:val="22"/>
          <w:szCs w:val="22"/>
        </w:rPr>
        <w:t>2.6 Conclusion</w:t>
      </w:r>
      <w:r w:rsidR="00F814E5">
        <w:rPr>
          <w:rFonts w:ascii="Arial" w:eastAsia="Aptos" w:hAnsi="Arial" w:cs="Arial"/>
          <w:b/>
          <w:bCs/>
          <w:sz w:val="22"/>
          <w:szCs w:val="22"/>
        </w:rPr>
        <w:t xml:space="preserve">                                                                                                        10</w:t>
      </w:r>
    </w:p>
    <w:p w14:paraId="078CA431" w14:textId="44DD855A" w:rsidR="00511B16" w:rsidRPr="002D5C27" w:rsidRDefault="00511B16" w:rsidP="0048554A">
      <w:pPr>
        <w:spacing w:line="360" w:lineRule="auto"/>
        <w:jc w:val="both"/>
        <w:rPr>
          <w:rFonts w:ascii="Arial" w:hAnsi="Arial" w:cs="Arial"/>
        </w:rPr>
      </w:pPr>
      <w:r w:rsidRPr="002D5C27">
        <w:rPr>
          <w:rFonts w:ascii="Arial" w:hAnsi="Arial" w:cs="Arial"/>
        </w:rPr>
        <w:t>Chapter 3</w:t>
      </w:r>
      <w:r>
        <w:rPr>
          <w:rFonts w:ascii="Arial" w:hAnsi="Arial" w:cs="Arial"/>
        </w:rPr>
        <w:t xml:space="preserve"> – Method and search strategy</w:t>
      </w:r>
    </w:p>
    <w:p w14:paraId="3983A173" w14:textId="77777777" w:rsidR="00511B16" w:rsidRPr="00342BC4" w:rsidRDefault="00511B16" w:rsidP="0048554A">
      <w:pPr>
        <w:spacing w:line="360" w:lineRule="auto"/>
        <w:jc w:val="both"/>
        <w:rPr>
          <w:rFonts w:ascii="Arial" w:hAnsi="Arial" w:cs="Arial"/>
          <w:b/>
          <w:bCs/>
          <w:sz w:val="22"/>
          <w:szCs w:val="22"/>
        </w:rPr>
      </w:pPr>
      <w:r w:rsidRPr="00342BC4">
        <w:rPr>
          <w:rFonts w:ascii="Arial" w:hAnsi="Arial" w:cs="Arial"/>
          <w:b/>
          <w:bCs/>
          <w:sz w:val="22"/>
          <w:szCs w:val="22"/>
        </w:rPr>
        <w:t xml:space="preserve">3.1 Introduction </w:t>
      </w:r>
    </w:p>
    <w:p w14:paraId="09D594B8" w14:textId="36610BD6" w:rsidR="00511B16" w:rsidRPr="0086689A" w:rsidRDefault="00511B16" w:rsidP="0048554A">
      <w:pPr>
        <w:pStyle w:val="ListParagraph"/>
        <w:numPr>
          <w:ilvl w:val="0"/>
          <w:numId w:val="11"/>
        </w:numPr>
        <w:spacing w:line="360" w:lineRule="auto"/>
        <w:jc w:val="both"/>
        <w:rPr>
          <w:rFonts w:ascii="Arial" w:hAnsi="Arial" w:cs="Arial"/>
          <w:sz w:val="22"/>
          <w:szCs w:val="22"/>
        </w:rPr>
      </w:pPr>
      <w:r w:rsidRPr="0086689A">
        <w:rPr>
          <w:rFonts w:ascii="Arial" w:hAnsi="Arial" w:cs="Arial"/>
          <w:sz w:val="22"/>
          <w:szCs w:val="22"/>
        </w:rPr>
        <w:t>Purpose of chapter</w:t>
      </w:r>
      <w:r w:rsidR="00F814E5">
        <w:rPr>
          <w:rFonts w:ascii="Arial" w:hAnsi="Arial" w:cs="Arial"/>
          <w:sz w:val="22"/>
          <w:szCs w:val="22"/>
        </w:rPr>
        <w:t xml:space="preserve">                                                                                        11</w:t>
      </w:r>
    </w:p>
    <w:p w14:paraId="61B70573" w14:textId="015B35A7" w:rsidR="00511B16" w:rsidRPr="0086689A" w:rsidRDefault="00511B16" w:rsidP="0048554A">
      <w:pPr>
        <w:pStyle w:val="ListParagraph"/>
        <w:numPr>
          <w:ilvl w:val="0"/>
          <w:numId w:val="11"/>
        </w:numPr>
        <w:spacing w:line="360" w:lineRule="auto"/>
        <w:jc w:val="both"/>
        <w:rPr>
          <w:rFonts w:ascii="Arial" w:hAnsi="Arial" w:cs="Arial"/>
          <w:sz w:val="22"/>
          <w:szCs w:val="22"/>
        </w:rPr>
      </w:pPr>
      <w:r w:rsidRPr="0086689A">
        <w:rPr>
          <w:rFonts w:ascii="Arial" w:hAnsi="Arial" w:cs="Arial"/>
          <w:sz w:val="22"/>
          <w:szCs w:val="22"/>
        </w:rPr>
        <w:t>Connection to the dissertation</w:t>
      </w:r>
      <w:r w:rsidR="00F814E5">
        <w:rPr>
          <w:rFonts w:ascii="Arial" w:hAnsi="Arial" w:cs="Arial"/>
          <w:sz w:val="22"/>
          <w:szCs w:val="22"/>
        </w:rPr>
        <w:t xml:space="preserve">                                                                       11</w:t>
      </w:r>
    </w:p>
    <w:p w14:paraId="4558E5DE" w14:textId="1377DF95" w:rsidR="00511B16" w:rsidRPr="00B607F3" w:rsidRDefault="00511B16" w:rsidP="0048554A">
      <w:pPr>
        <w:spacing w:line="360" w:lineRule="auto"/>
        <w:jc w:val="both"/>
        <w:rPr>
          <w:rFonts w:ascii="Arial" w:hAnsi="Arial" w:cs="Arial"/>
          <w:b/>
          <w:bCs/>
          <w:sz w:val="22"/>
          <w:szCs w:val="22"/>
        </w:rPr>
      </w:pPr>
      <w:r w:rsidRPr="00B607F3">
        <w:rPr>
          <w:rFonts w:ascii="Arial" w:hAnsi="Arial" w:cs="Arial"/>
          <w:b/>
          <w:bCs/>
          <w:sz w:val="22"/>
          <w:szCs w:val="22"/>
        </w:rPr>
        <w:t>3.2 Search strategy</w:t>
      </w:r>
      <w:r w:rsidR="00F814E5">
        <w:rPr>
          <w:rFonts w:ascii="Arial" w:hAnsi="Arial" w:cs="Arial"/>
          <w:b/>
          <w:bCs/>
          <w:sz w:val="22"/>
          <w:szCs w:val="22"/>
        </w:rPr>
        <w:t xml:space="preserve">                                                                                                  </w:t>
      </w:r>
    </w:p>
    <w:p w14:paraId="7E774E5C" w14:textId="577DCD42" w:rsidR="00511B16" w:rsidRPr="0086689A" w:rsidRDefault="00511B16" w:rsidP="0048554A">
      <w:pPr>
        <w:pStyle w:val="ListParagraph"/>
        <w:numPr>
          <w:ilvl w:val="0"/>
          <w:numId w:val="12"/>
        </w:numPr>
        <w:spacing w:line="360" w:lineRule="auto"/>
        <w:jc w:val="both"/>
        <w:rPr>
          <w:rFonts w:ascii="Arial" w:hAnsi="Arial" w:cs="Arial"/>
          <w:sz w:val="22"/>
          <w:szCs w:val="22"/>
        </w:rPr>
      </w:pPr>
      <w:r w:rsidRPr="0086689A">
        <w:rPr>
          <w:rFonts w:ascii="Arial" w:hAnsi="Arial" w:cs="Arial"/>
          <w:sz w:val="22"/>
          <w:szCs w:val="22"/>
        </w:rPr>
        <w:t xml:space="preserve">Developing keywords </w:t>
      </w:r>
      <w:r w:rsidR="00F814E5">
        <w:rPr>
          <w:rFonts w:ascii="Arial" w:hAnsi="Arial" w:cs="Arial"/>
          <w:sz w:val="22"/>
          <w:szCs w:val="22"/>
        </w:rPr>
        <w:t xml:space="preserve">                                                                                   11</w:t>
      </w:r>
    </w:p>
    <w:p w14:paraId="42062206" w14:textId="1DF64D3A" w:rsidR="00511B16" w:rsidRPr="0086689A" w:rsidRDefault="00511B16" w:rsidP="0048554A">
      <w:pPr>
        <w:pStyle w:val="ListParagraph"/>
        <w:numPr>
          <w:ilvl w:val="0"/>
          <w:numId w:val="12"/>
        </w:numPr>
        <w:spacing w:line="360" w:lineRule="auto"/>
        <w:jc w:val="both"/>
        <w:rPr>
          <w:rFonts w:ascii="Arial" w:hAnsi="Arial" w:cs="Arial"/>
          <w:sz w:val="22"/>
          <w:szCs w:val="22"/>
        </w:rPr>
      </w:pPr>
      <w:r w:rsidRPr="0086689A">
        <w:rPr>
          <w:rFonts w:ascii="Arial" w:hAnsi="Arial" w:cs="Arial"/>
          <w:sz w:val="22"/>
          <w:szCs w:val="22"/>
        </w:rPr>
        <w:t>Boolean Operator</w:t>
      </w:r>
      <w:r w:rsidR="00F814E5">
        <w:rPr>
          <w:rFonts w:ascii="Arial" w:hAnsi="Arial" w:cs="Arial"/>
          <w:sz w:val="22"/>
          <w:szCs w:val="22"/>
        </w:rPr>
        <w:t xml:space="preserve">                                                                                          11</w:t>
      </w:r>
    </w:p>
    <w:p w14:paraId="00540ABD" w14:textId="6FD4B877" w:rsidR="00511B16" w:rsidRPr="0086689A" w:rsidRDefault="00511B16" w:rsidP="0048554A">
      <w:pPr>
        <w:pStyle w:val="ListParagraph"/>
        <w:numPr>
          <w:ilvl w:val="0"/>
          <w:numId w:val="12"/>
        </w:numPr>
        <w:spacing w:line="360" w:lineRule="auto"/>
        <w:jc w:val="both"/>
        <w:rPr>
          <w:rFonts w:ascii="Arial" w:hAnsi="Arial" w:cs="Arial"/>
          <w:sz w:val="22"/>
          <w:szCs w:val="22"/>
        </w:rPr>
      </w:pPr>
      <w:r w:rsidRPr="0086689A">
        <w:rPr>
          <w:rFonts w:ascii="Arial" w:hAnsi="Arial" w:cs="Arial"/>
          <w:sz w:val="22"/>
          <w:szCs w:val="22"/>
        </w:rPr>
        <w:t>Structured Search plan</w:t>
      </w:r>
      <w:r w:rsidR="00F814E5">
        <w:rPr>
          <w:rFonts w:ascii="Arial" w:hAnsi="Arial" w:cs="Arial"/>
          <w:sz w:val="22"/>
          <w:szCs w:val="22"/>
        </w:rPr>
        <w:t xml:space="preserve">                                                                                 11 -12</w:t>
      </w:r>
    </w:p>
    <w:p w14:paraId="332C9DDF" w14:textId="77777777" w:rsidR="00511B16" w:rsidRPr="00B607F3" w:rsidRDefault="00511B16" w:rsidP="0048554A">
      <w:pPr>
        <w:spacing w:line="360" w:lineRule="auto"/>
        <w:jc w:val="both"/>
        <w:rPr>
          <w:rFonts w:ascii="Arial" w:hAnsi="Arial" w:cs="Arial"/>
          <w:b/>
          <w:bCs/>
          <w:sz w:val="22"/>
          <w:szCs w:val="22"/>
        </w:rPr>
      </w:pPr>
      <w:r w:rsidRPr="00B607F3">
        <w:rPr>
          <w:rFonts w:ascii="Arial" w:hAnsi="Arial" w:cs="Arial"/>
          <w:b/>
          <w:bCs/>
          <w:sz w:val="22"/>
          <w:szCs w:val="22"/>
        </w:rPr>
        <w:t>3.3 Searching for information</w:t>
      </w:r>
    </w:p>
    <w:p w14:paraId="51B14A1B" w14:textId="7730613E" w:rsidR="00511B16" w:rsidRPr="0086689A" w:rsidRDefault="00511B16" w:rsidP="0048554A">
      <w:pPr>
        <w:pStyle w:val="ListParagraph"/>
        <w:numPr>
          <w:ilvl w:val="0"/>
          <w:numId w:val="13"/>
        </w:numPr>
        <w:spacing w:line="360" w:lineRule="auto"/>
        <w:jc w:val="both"/>
        <w:rPr>
          <w:rFonts w:ascii="Arial" w:hAnsi="Arial" w:cs="Arial"/>
          <w:sz w:val="22"/>
          <w:szCs w:val="22"/>
        </w:rPr>
      </w:pPr>
      <w:r w:rsidRPr="0086689A">
        <w:rPr>
          <w:rFonts w:ascii="Arial" w:hAnsi="Arial" w:cs="Arial"/>
          <w:sz w:val="22"/>
          <w:szCs w:val="22"/>
        </w:rPr>
        <w:t>Databases and platforms</w:t>
      </w:r>
      <w:r w:rsidR="00F814E5">
        <w:rPr>
          <w:rFonts w:ascii="Arial" w:hAnsi="Arial" w:cs="Arial"/>
          <w:sz w:val="22"/>
          <w:szCs w:val="22"/>
        </w:rPr>
        <w:t xml:space="preserve">                                                                              12</w:t>
      </w:r>
    </w:p>
    <w:p w14:paraId="1974CAB9" w14:textId="1A096D95" w:rsidR="00511B16" w:rsidRPr="0086689A" w:rsidRDefault="00511B16" w:rsidP="0048554A">
      <w:pPr>
        <w:pStyle w:val="ListParagraph"/>
        <w:numPr>
          <w:ilvl w:val="0"/>
          <w:numId w:val="13"/>
        </w:numPr>
        <w:spacing w:line="360" w:lineRule="auto"/>
        <w:jc w:val="both"/>
        <w:rPr>
          <w:rFonts w:ascii="Arial" w:hAnsi="Arial" w:cs="Arial"/>
          <w:sz w:val="22"/>
          <w:szCs w:val="22"/>
        </w:rPr>
      </w:pPr>
      <w:r w:rsidRPr="0086689A">
        <w:rPr>
          <w:rFonts w:ascii="Arial" w:hAnsi="Arial" w:cs="Arial"/>
          <w:sz w:val="22"/>
          <w:szCs w:val="22"/>
        </w:rPr>
        <w:t>Using filters</w:t>
      </w:r>
      <w:r w:rsidR="00F814E5">
        <w:rPr>
          <w:rFonts w:ascii="Arial" w:hAnsi="Arial" w:cs="Arial"/>
          <w:sz w:val="22"/>
          <w:szCs w:val="22"/>
        </w:rPr>
        <w:t xml:space="preserve">                                                                                                   12</w:t>
      </w:r>
    </w:p>
    <w:p w14:paraId="3091D7AD" w14:textId="04A3D677" w:rsidR="00511B16" w:rsidRPr="0086689A" w:rsidRDefault="00511B16" w:rsidP="0048554A">
      <w:pPr>
        <w:pStyle w:val="ListParagraph"/>
        <w:numPr>
          <w:ilvl w:val="0"/>
          <w:numId w:val="13"/>
        </w:numPr>
        <w:spacing w:line="360" w:lineRule="auto"/>
        <w:jc w:val="both"/>
        <w:rPr>
          <w:rFonts w:ascii="Arial" w:hAnsi="Arial" w:cs="Arial"/>
          <w:sz w:val="22"/>
          <w:szCs w:val="22"/>
        </w:rPr>
      </w:pPr>
      <w:r w:rsidRPr="0086689A">
        <w:rPr>
          <w:rFonts w:ascii="Arial" w:hAnsi="Arial" w:cs="Arial"/>
          <w:sz w:val="22"/>
          <w:szCs w:val="22"/>
        </w:rPr>
        <w:t>Search process</w:t>
      </w:r>
      <w:r w:rsidR="00F814E5">
        <w:rPr>
          <w:rFonts w:ascii="Arial" w:hAnsi="Arial" w:cs="Arial"/>
          <w:sz w:val="22"/>
          <w:szCs w:val="22"/>
        </w:rPr>
        <w:t xml:space="preserve">                                                                                             12</w:t>
      </w:r>
    </w:p>
    <w:p w14:paraId="660BD1BA" w14:textId="77777777" w:rsidR="00511B16" w:rsidRPr="00B607F3" w:rsidRDefault="00511B16" w:rsidP="0048554A">
      <w:pPr>
        <w:spacing w:line="360" w:lineRule="auto"/>
        <w:jc w:val="both"/>
        <w:rPr>
          <w:rFonts w:ascii="Arial" w:hAnsi="Arial" w:cs="Arial"/>
          <w:b/>
          <w:bCs/>
          <w:sz w:val="22"/>
          <w:szCs w:val="22"/>
        </w:rPr>
      </w:pPr>
      <w:r w:rsidRPr="00B607F3">
        <w:rPr>
          <w:rFonts w:ascii="Arial" w:hAnsi="Arial" w:cs="Arial"/>
          <w:b/>
          <w:bCs/>
          <w:sz w:val="22"/>
          <w:szCs w:val="22"/>
        </w:rPr>
        <w:t xml:space="preserve">3.4 Research validations </w:t>
      </w:r>
    </w:p>
    <w:p w14:paraId="6E79AA27" w14:textId="6C2B9B50" w:rsidR="00511B16" w:rsidRPr="0086689A" w:rsidRDefault="00511B16" w:rsidP="0048554A">
      <w:pPr>
        <w:pStyle w:val="ListParagraph"/>
        <w:numPr>
          <w:ilvl w:val="0"/>
          <w:numId w:val="14"/>
        </w:numPr>
        <w:spacing w:line="360" w:lineRule="auto"/>
        <w:jc w:val="both"/>
        <w:rPr>
          <w:rFonts w:ascii="Arial" w:hAnsi="Arial" w:cs="Arial"/>
          <w:sz w:val="22"/>
          <w:szCs w:val="22"/>
        </w:rPr>
      </w:pPr>
      <w:r w:rsidRPr="0086689A">
        <w:rPr>
          <w:rFonts w:ascii="Arial" w:hAnsi="Arial" w:cs="Arial"/>
          <w:sz w:val="22"/>
          <w:szCs w:val="22"/>
        </w:rPr>
        <w:t>Skimming techniques</w:t>
      </w:r>
      <w:r w:rsidR="00F814E5">
        <w:rPr>
          <w:rFonts w:ascii="Arial" w:hAnsi="Arial" w:cs="Arial"/>
          <w:sz w:val="22"/>
          <w:szCs w:val="22"/>
        </w:rPr>
        <w:t xml:space="preserve">                                                                                   12-13</w:t>
      </w:r>
    </w:p>
    <w:p w14:paraId="4C81955A" w14:textId="37AA2C33" w:rsidR="00511B16" w:rsidRPr="0086689A" w:rsidRDefault="00511B16" w:rsidP="0048554A">
      <w:pPr>
        <w:pStyle w:val="ListParagraph"/>
        <w:numPr>
          <w:ilvl w:val="0"/>
          <w:numId w:val="14"/>
        </w:numPr>
        <w:spacing w:line="360" w:lineRule="auto"/>
        <w:jc w:val="both"/>
        <w:rPr>
          <w:rFonts w:ascii="Arial" w:hAnsi="Arial" w:cs="Arial"/>
          <w:sz w:val="22"/>
          <w:szCs w:val="22"/>
        </w:rPr>
      </w:pPr>
      <w:r w:rsidRPr="0086689A">
        <w:rPr>
          <w:rFonts w:ascii="Arial" w:hAnsi="Arial" w:cs="Arial"/>
          <w:sz w:val="22"/>
          <w:szCs w:val="22"/>
        </w:rPr>
        <w:t>CRAAP Test application</w:t>
      </w:r>
      <w:r w:rsidR="00F814E5">
        <w:rPr>
          <w:rFonts w:ascii="Arial" w:hAnsi="Arial" w:cs="Arial"/>
          <w:sz w:val="22"/>
          <w:szCs w:val="22"/>
        </w:rPr>
        <w:t xml:space="preserve">                                                                               </w:t>
      </w:r>
      <w:r w:rsidR="00734D71">
        <w:rPr>
          <w:rFonts w:ascii="Arial" w:hAnsi="Arial" w:cs="Arial"/>
          <w:sz w:val="22"/>
          <w:szCs w:val="22"/>
        </w:rPr>
        <w:t>13</w:t>
      </w:r>
    </w:p>
    <w:p w14:paraId="224B68DA" w14:textId="0E314B49" w:rsidR="00511B16" w:rsidRPr="0086689A" w:rsidRDefault="00511B16" w:rsidP="0048554A">
      <w:pPr>
        <w:pStyle w:val="ListParagraph"/>
        <w:numPr>
          <w:ilvl w:val="0"/>
          <w:numId w:val="14"/>
        </w:numPr>
        <w:spacing w:line="360" w:lineRule="auto"/>
        <w:jc w:val="both"/>
        <w:rPr>
          <w:rFonts w:ascii="Arial" w:hAnsi="Arial" w:cs="Arial"/>
          <w:sz w:val="22"/>
          <w:szCs w:val="22"/>
        </w:rPr>
      </w:pPr>
      <w:r w:rsidRPr="0086689A">
        <w:rPr>
          <w:rFonts w:ascii="Arial" w:hAnsi="Arial" w:cs="Arial"/>
          <w:sz w:val="22"/>
          <w:szCs w:val="22"/>
        </w:rPr>
        <w:t>Decision making</w:t>
      </w:r>
      <w:r w:rsidR="00734D71">
        <w:rPr>
          <w:rFonts w:ascii="Arial" w:hAnsi="Arial" w:cs="Arial"/>
          <w:sz w:val="22"/>
          <w:szCs w:val="22"/>
        </w:rPr>
        <w:t xml:space="preserve">                                                                                           14</w:t>
      </w:r>
    </w:p>
    <w:p w14:paraId="42022DCA" w14:textId="77777777" w:rsidR="00511B16" w:rsidRPr="00B607F3" w:rsidRDefault="00511B16" w:rsidP="0048554A">
      <w:pPr>
        <w:spacing w:line="360" w:lineRule="auto"/>
        <w:jc w:val="both"/>
        <w:rPr>
          <w:rFonts w:ascii="Arial" w:hAnsi="Arial" w:cs="Arial"/>
          <w:b/>
          <w:bCs/>
          <w:sz w:val="22"/>
          <w:szCs w:val="22"/>
        </w:rPr>
      </w:pPr>
      <w:r w:rsidRPr="00B607F3">
        <w:rPr>
          <w:rFonts w:ascii="Arial" w:hAnsi="Arial" w:cs="Arial"/>
          <w:b/>
          <w:bCs/>
          <w:sz w:val="22"/>
          <w:szCs w:val="22"/>
        </w:rPr>
        <w:t>3.5 inclusion and exclusion criteria</w:t>
      </w:r>
    </w:p>
    <w:p w14:paraId="68A379DE" w14:textId="676F6D9C" w:rsidR="00511B16" w:rsidRPr="0086689A" w:rsidRDefault="00511B16" w:rsidP="0048554A">
      <w:pPr>
        <w:pStyle w:val="ListParagraph"/>
        <w:numPr>
          <w:ilvl w:val="0"/>
          <w:numId w:val="15"/>
        </w:numPr>
        <w:spacing w:line="360" w:lineRule="auto"/>
        <w:jc w:val="both"/>
        <w:rPr>
          <w:rFonts w:ascii="Arial" w:hAnsi="Arial" w:cs="Arial"/>
          <w:sz w:val="22"/>
          <w:szCs w:val="22"/>
        </w:rPr>
      </w:pPr>
      <w:r w:rsidRPr="0086689A">
        <w:rPr>
          <w:rFonts w:ascii="Arial" w:hAnsi="Arial" w:cs="Arial"/>
          <w:sz w:val="22"/>
          <w:szCs w:val="22"/>
        </w:rPr>
        <w:t>Inclusion criteria</w:t>
      </w:r>
      <w:r w:rsidR="00734D71">
        <w:rPr>
          <w:rFonts w:ascii="Arial" w:hAnsi="Arial" w:cs="Arial"/>
          <w:sz w:val="22"/>
          <w:szCs w:val="22"/>
        </w:rPr>
        <w:t xml:space="preserve">                                                                                            13</w:t>
      </w:r>
    </w:p>
    <w:p w14:paraId="62873188" w14:textId="29AE7CF6" w:rsidR="00511B16" w:rsidRPr="0086689A" w:rsidRDefault="00511B16" w:rsidP="0048554A">
      <w:pPr>
        <w:pStyle w:val="ListParagraph"/>
        <w:numPr>
          <w:ilvl w:val="0"/>
          <w:numId w:val="15"/>
        </w:numPr>
        <w:spacing w:line="360" w:lineRule="auto"/>
        <w:jc w:val="both"/>
        <w:rPr>
          <w:rFonts w:ascii="Arial" w:hAnsi="Arial" w:cs="Arial"/>
          <w:sz w:val="22"/>
          <w:szCs w:val="22"/>
        </w:rPr>
      </w:pPr>
      <w:r w:rsidRPr="0086689A">
        <w:rPr>
          <w:rFonts w:ascii="Arial" w:hAnsi="Arial" w:cs="Arial"/>
          <w:sz w:val="22"/>
          <w:szCs w:val="22"/>
        </w:rPr>
        <w:lastRenderedPageBreak/>
        <w:t>Exclusion criteria</w:t>
      </w:r>
      <w:r w:rsidR="00734D71">
        <w:rPr>
          <w:rFonts w:ascii="Arial" w:hAnsi="Arial" w:cs="Arial"/>
          <w:sz w:val="22"/>
          <w:szCs w:val="22"/>
        </w:rPr>
        <w:t xml:space="preserve">                                                                                        13</w:t>
      </w:r>
    </w:p>
    <w:p w14:paraId="77842038" w14:textId="582196C9" w:rsidR="00511B16" w:rsidRPr="0086689A" w:rsidRDefault="00511B16" w:rsidP="0048554A">
      <w:pPr>
        <w:pStyle w:val="ListParagraph"/>
        <w:numPr>
          <w:ilvl w:val="0"/>
          <w:numId w:val="15"/>
        </w:numPr>
        <w:spacing w:line="360" w:lineRule="auto"/>
        <w:jc w:val="both"/>
        <w:rPr>
          <w:rFonts w:ascii="Arial" w:hAnsi="Arial" w:cs="Arial"/>
          <w:sz w:val="22"/>
          <w:szCs w:val="22"/>
        </w:rPr>
      </w:pPr>
      <w:r>
        <w:rPr>
          <w:rFonts w:ascii="Arial" w:hAnsi="Arial" w:cs="Arial"/>
          <w:sz w:val="22"/>
          <w:szCs w:val="22"/>
        </w:rPr>
        <w:t>J</w:t>
      </w:r>
      <w:r w:rsidRPr="0086689A">
        <w:rPr>
          <w:rFonts w:ascii="Arial" w:hAnsi="Arial" w:cs="Arial"/>
          <w:sz w:val="22"/>
          <w:szCs w:val="22"/>
        </w:rPr>
        <w:t>ustification</w:t>
      </w:r>
      <w:r w:rsidR="00734D71">
        <w:rPr>
          <w:rFonts w:ascii="Arial" w:hAnsi="Arial" w:cs="Arial"/>
          <w:sz w:val="22"/>
          <w:szCs w:val="22"/>
        </w:rPr>
        <w:t xml:space="preserve">                                                                                                14</w:t>
      </w:r>
    </w:p>
    <w:p w14:paraId="22D5012D" w14:textId="77777777" w:rsidR="00511B16" w:rsidRDefault="00511B16" w:rsidP="0048554A">
      <w:pPr>
        <w:spacing w:line="360" w:lineRule="auto"/>
        <w:jc w:val="both"/>
        <w:rPr>
          <w:rFonts w:ascii="Arial" w:hAnsi="Arial" w:cs="Arial"/>
          <w:b/>
          <w:bCs/>
          <w:sz w:val="22"/>
          <w:szCs w:val="22"/>
        </w:rPr>
      </w:pPr>
      <w:r w:rsidRPr="00B607F3">
        <w:rPr>
          <w:rFonts w:ascii="Arial" w:hAnsi="Arial" w:cs="Arial"/>
          <w:b/>
          <w:bCs/>
          <w:sz w:val="22"/>
          <w:szCs w:val="22"/>
        </w:rPr>
        <w:t xml:space="preserve">3.6 Analysing Research </w:t>
      </w:r>
    </w:p>
    <w:p w14:paraId="609AE680" w14:textId="556737E2" w:rsidR="00511B16" w:rsidRPr="0086689A" w:rsidRDefault="00511B16" w:rsidP="0048554A">
      <w:pPr>
        <w:pStyle w:val="ListParagraph"/>
        <w:numPr>
          <w:ilvl w:val="0"/>
          <w:numId w:val="16"/>
        </w:numPr>
        <w:spacing w:line="360" w:lineRule="auto"/>
        <w:jc w:val="both"/>
        <w:rPr>
          <w:rFonts w:ascii="Arial" w:hAnsi="Arial" w:cs="Arial"/>
          <w:sz w:val="22"/>
          <w:szCs w:val="22"/>
        </w:rPr>
      </w:pPr>
      <w:r w:rsidRPr="0086689A">
        <w:rPr>
          <w:rFonts w:ascii="Arial" w:hAnsi="Arial" w:cs="Arial"/>
          <w:sz w:val="22"/>
          <w:szCs w:val="22"/>
        </w:rPr>
        <w:t>Thematic coding Approach</w:t>
      </w:r>
      <w:r w:rsidR="00734D71">
        <w:rPr>
          <w:rFonts w:ascii="Arial" w:hAnsi="Arial" w:cs="Arial"/>
          <w:sz w:val="22"/>
          <w:szCs w:val="22"/>
        </w:rPr>
        <w:t xml:space="preserve">                                                                         14</w:t>
      </w:r>
    </w:p>
    <w:p w14:paraId="31899D75" w14:textId="1168C74E" w:rsidR="00511B16" w:rsidRPr="0086689A" w:rsidRDefault="00511B16" w:rsidP="0048554A">
      <w:pPr>
        <w:pStyle w:val="ListParagraph"/>
        <w:numPr>
          <w:ilvl w:val="0"/>
          <w:numId w:val="16"/>
        </w:numPr>
        <w:spacing w:line="360" w:lineRule="auto"/>
        <w:jc w:val="both"/>
        <w:rPr>
          <w:rFonts w:ascii="Arial" w:hAnsi="Arial" w:cs="Arial"/>
          <w:sz w:val="22"/>
          <w:szCs w:val="22"/>
        </w:rPr>
      </w:pPr>
      <w:r w:rsidRPr="0086689A">
        <w:rPr>
          <w:rFonts w:ascii="Arial" w:hAnsi="Arial" w:cs="Arial"/>
          <w:sz w:val="22"/>
          <w:szCs w:val="22"/>
        </w:rPr>
        <w:t>Development Themes</w:t>
      </w:r>
      <w:r w:rsidR="00734D71">
        <w:rPr>
          <w:rFonts w:ascii="Arial" w:hAnsi="Arial" w:cs="Arial"/>
          <w:sz w:val="22"/>
          <w:szCs w:val="22"/>
        </w:rPr>
        <w:t xml:space="preserve">                                                                                14</w:t>
      </w:r>
    </w:p>
    <w:p w14:paraId="076A6CFF" w14:textId="060DA335" w:rsidR="00511B16" w:rsidRPr="0086689A" w:rsidRDefault="00734D71" w:rsidP="0048554A">
      <w:pPr>
        <w:pStyle w:val="ListParagraph"/>
        <w:numPr>
          <w:ilvl w:val="0"/>
          <w:numId w:val="16"/>
        </w:numPr>
        <w:spacing w:line="360" w:lineRule="auto"/>
        <w:jc w:val="both"/>
        <w:rPr>
          <w:rFonts w:ascii="Arial" w:hAnsi="Arial" w:cs="Arial"/>
          <w:sz w:val="22"/>
          <w:szCs w:val="22"/>
        </w:rPr>
      </w:pPr>
      <w:r>
        <w:rPr>
          <w:rFonts w:ascii="Arial" w:hAnsi="Arial" w:cs="Arial"/>
          <w:sz w:val="22"/>
          <w:szCs w:val="22"/>
        </w:rPr>
        <w:t xml:space="preserve">Use of </w:t>
      </w:r>
      <w:r w:rsidR="00511B16" w:rsidRPr="0086689A">
        <w:rPr>
          <w:rFonts w:ascii="Arial" w:hAnsi="Arial" w:cs="Arial"/>
          <w:sz w:val="22"/>
          <w:szCs w:val="22"/>
        </w:rPr>
        <w:t>Organisation</w:t>
      </w:r>
      <w:r>
        <w:rPr>
          <w:rFonts w:ascii="Arial" w:hAnsi="Arial" w:cs="Arial"/>
          <w:sz w:val="22"/>
          <w:szCs w:val="22"/>
        </w:rPr>
        <w:t xml:space="preserve"> tools in Analysis                                                         14</w:t>
      </w:r>
    </w:p>
    <w:p w14:paraId="18E41DCC" w14:textId="77777777" w:rsidR="00511B16" w:rsidRDefault="00511B16" w:rsidP="0048554A">
      <w:pPr>
        <w:spacing w:line="360" w:lineRule="auto"/>
        <w:jc w:val="both"/>
        <w:rPr>
          <w:rFonts w:ascii="Arial" w:hAnsi="Arial" w:cs="Arial"/>
          <w:b/>
          <w:bCs/>
          <w:sz w:val="22"/>
          <w:szCs w:val="22"/>
        </w:rPr>
      </w:pPr>
      <w:r w:rsidRPr="00676B6E">
        <w:rPr>
          <w:rFonts w:ascii="Arial" w:hAnsi="Arial" w:cs="Arial"/>
          <w:b/>
          <w:bCs/>
          <w:sz w:val="22"/>
          <w:szCs w:val="22"/>
        </w:rPr>
        <w:t>3.7 Ethical considerations</w:t>
      </w:r>
    </w:p>
    <w:p w14:paraId="0257E691" w14:textId="63F6241E" w:rsidR="00511B16" w:rsidRPr="0086689A" w:rsidRDefault="00511B16" w:rsidP="0048554A">
      <w:pPr>
        <w:pStyle w:val="ListParagraph"/>
        <w:numPr>
          <w:ilvl w:val="0"/>
          <w:numId w:val="17"/>
        </w:numPr>
        <w:spacing w:line="360" w:lineRule="auto"/>
        <w:jc w:val="both"/>
        <w:rPr>
          <w:rFonts w:ascii="Arial" w:hAnsi="Arial" w:cs="Arial"/>
          <w:sz w:val="22"/>
          <w:szCs w:val="22"/>
        </w:rPr>
      </w:pPr>
      <w:r w:rsidRPr="0086689A">
        <w:rPr>
          <w:rFonts w:ascii="Arial" w:hAnsi="Arial" w:cs="Arial"/>
          <w:sz w:val="22"/>
          <w:szCs w:val="22"/>
        </w:rPr>
        <w:t>Secondary research ethics</w:t>
      </w:r>
      <w:r w:rsidR="00734D71">
        <w:rPr>
          <w:rFonts w:ascii="Arial" w:hAnsi="Arial" w:cs="Arial"/>
          <w:sz w:val="22"/>
          <w:szCs w:val="22"/>
        </w:rPr>
        <w:t xml:space="preserve">                                                                        14-15</w:t>
      </w:r>
    </w:p>
    <w:p w14:paraId="0134F8C9" w14:textId="0567A1CE" w:rsidR="00511B16" w:rsidRPr="0086689A" w:rsidRDefault="00511B16" w:rsidP="0048554A">
      <w:pPr>
        <w:pStyle w:val="ListParagraph"/>
        <w:numPr>
          <w:ilvl w:val="0"/>
          <w:numId w:val="17"/>
        </w:numPr>
        <w:spacing w:line="360" w:lineRule="auto"/>
        <w:jc w:val="both"/>
        <w:rPr>
          <w:rFonts w:ascii="Arial" w:hAnsi="Arial" w:cs="Arial"/>
          <w:sz w:val="22"/>
          <w:szCs w:val="22"/>
        </w:rPr>
      </w:pPr>
      <w:r w:rsidRPr="0086689A">
        <w:rPr>
          <w:rFonts w:ascii="Arial" w:hAnsi="Arial" w:cs="Arial"/>
          <w:sz w:val="22"/>
          <w:szCs w:val="22"/>
        </w:rPr>
        <w:t>Academic integrity</w:t>
      </w:r>
      <w:r w:rsidR="00734D71">
        <w:rPr>
          <w:rFonts w:ascii="Arial" w:hAnsi="Arial" w:cs="Arial"/>
          <w:sz w:val="22"/>
          <w:szCs w:val="22"/>
        </w:rPr>
        <w:t xml:space="preserve">                                                                                      15</w:t>
      </w:r>
    </w:p>
    <w:p w14:paraId="6838DBA9" w14:textId="4A403C6B" w:rsidR="00511B16" w:rsidRPr="0086689A" w:rsidRDefault="00511B16" w:rsidP="0048554A">
      <w:pPr>
        <w:pStyle w:val="ListParagraph"/>
        <w:numPr>
          <w:ilvl w:val="0"/>
          <w:numId w:val="17"/>
        </w:numPr>
        <w:spacing w:line="360" w:lineRule="auto"/>
        <w:jc w:val="both"/>
        <w:rPr>
          <w:rFonts w:ascii="Arial" w:hAnsi="Arial" w:cs="Arial"/>
          <w:sz w:val="22"/>
          <w:szCs w:val="22"/>
        </w:rPr>
      </w:pPr>
      <w:r w:rsidRPr="0086689A">
        <w:rPr>
          <w:rFonts w:ascii="Arial" w:hAnsi="Arial" w:cs="Arial"/>
          <w:sz w:val="22"/>
          <w:szCs w:val="22"/>
        </w:rPr>
        <w:t>Transparency and credibility</w:t>
      </w:r>
      <w:r w:rsidR="00734D71">
        <w:rPr>
          <w:rFonts w:ascii="Arial" w:hAnsi="Arial" w:cs="Arial"/>
          <w:sz w:val="22"/>
          <w:szCs w:val="22"/>
        </w:rPr>
        <w:t xml:space="preserve">                                                                      15</w:t>
      </w:r>
    </w:p>
    <w:p w14:paraId="684FCC69" w14:textId="0D252A8E" w:rsidR="00511B16" w:rsidRDefault="00511B16" w:rsidP="0048554A">
      <w:pPr>
        <w:spacing w:line="360" w:lineRule="auto"/>
        <w:jc w:val="both"/>
        <w:rPr>
          <w:rFonts w:ascii="Arial" w:hAnsi="Arial" w:cs="Arial"/>
          <w:b/>
          <w:bCs/>
          <w:sz w:val="22"/>
          <w:szCs w:val="22"/>
        </w:rPr>
      </w:pPr>
      <w:r w:rsidRPr="00290BA5">
        <w:rPr>
          <w:rFonts w:ascii="Arial" w:hAnsi="Arial" w:cs="Arial"/>
          <w:b/>
          <w:bCs/>
          <w:sz w:val="22"/>
          <w:szCs w:val="22"/>
        </w:rPr>
        <w:t>3.8 Chapter conclusion</w:t>
      </w:r>
      <w:r w:rsidR="00734D71">
        <w:rPr>
          <w:rFonts w:ascii="Arial" w:hAnsi="Arial" w:cs="Arial"/>
          <w:b/>
          <w:bCs/>
          <w:sz w:val="22"/>
          <w:szCs w:val="22"/>
        </w:rPr>
        <w:t xml:space="preserve">                                                                                       15</w:t>
      </w:r>
    </w:p>
    <w:p w14:paraId="5CFC7B4B" w14:textId="7E62B710"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Chapter 4 findings and discussion</w:t>
      </w:r>
    </w:p>
    <w:p w14:paraId="5D12D106" w14:textId="160F9E9E"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4.1 Introduction</w:t>
      </w:r>
      <w:r w:rsidR="00734D71">
        <w:rPr>
          <w:rFonts w:ascii="Arial" w:hAnsi="Arial" w:cs="Arial"/>
          <w:b/>
          <w:bCs/>
          <w:sz w:val="22"/>
          <w:szCs w:val="22"/>
        </w:rPr>
        <w:t xml:space="preserve">                                                                                                    16</w:t>
      </w:r>
    </w:p>
    <w:p w14:paraId="35E9B8C9" w14:textId="77777777"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4.2 Thematic Analysis</w:t>
      </w:r>
    </w:p>
    <w:p w14:paraId="6262B62F" w14:textId="30C3C7D4" w:rsidR="00A94E5B" w:rsidRPr="00307639" w:rsidRDefault="00A94E5B" w:rsidP="0048554A">
      <w:pPr>
        <w:pStyle w:val="ListParagraph"/>
        <w:numPr>
          <w:ilvl w:val="0"/>
          <w:numId w:val="20"/>
        </w:numPr>
        <w:spacing w:line="360" w:lineRule="auto"/>
        <w:jc w:val="both"/>
        <w:rPr>
          <w:rFonts w:ascii="Arial" w:hAnsi="Arial" w:cs="Arial"/>
          <w:sz w:val="22"/>
          <w:szCs w:val="22"/>
        </w:rPr>
      </w:pPr>
      <w:r w:rsidRPr="00307639">
        <w:rPr>
          <w:rFonts w:ascii="Arial" w:hAnsi="Arial" w:cs="Arial"/>
          <w:sz w:val="22"/>
          <w:szCs w:val="22"/>
        </w:rPr>
        <w:t>Definition of Thematic Analysis:</w:t>
      </w:r>
      <w:r w:rsidR="00734D71">
        <w:rPr>
          <w:rFonts w:ascii="Arial" w:hAnsi="Arial" w:cs="Arial"/>
          <w:sz w:val="22"/>
          <w:szCs w:val="22"/>
        </w:rPr>
        <w:t xml:space="preserve">                                                                  16</w:t>
      </w:r>
    </w:p>
    <w:p w14:paraId="7FF407A1" w14:textId="3493E766" w:rsidR="00A94E5B" w:rsidRPr="00307639" w:rsidRDefault="00A94E5B" w:rsidP="0048554A">
      <w:pPr>
        <w:pStyle w:val="ListParagraph"/>
        <w:numPr>
          <w:ilvl w:val="0"/>
          <w:numId w:val="20"/>
        </w:numPr>
        <w:spacing w:line="360" w:lineRule="auto"/>
        <w:jc w:val="both"/>
        <w:rPr>
          <w:rFonts w:ascii="Arial" w:hAnsi="Arial" w:cs="Arial"/>
          <w:sz w:val="22"/>
          <w:szCs w:val="22"/>
        </w:rPr>
      </w:pPr>
      <w:r w:rsidRPr="00307639">
        <w:rPr>
          <w:rFonts w:ascii="Arial" w:hAnsi="Arial" w:cs="Arial"/>
          <w:sz w:val="22"/>
          <w:szCs w:val="22"/>
        </w:rPr>
        <w:t>Link Result Table</w:t>
      </w:r>
      <w:r w:rsidR="00734D71">
        <w:rPr>
          <w:rFonts w:ascii="Arial" w:hAnsi="Arial" w:cs="Arial"/>
          <w:sz w:val="22"/>
          <w:szCs w:val="22"/>
        </w:rPr>
        <w:t xml:space="preserve">                                                                                        16-17</w:t>
      </w:r>
    </w:p>
    <w:p w14:paraId="4FD5B488" w14:textId="77777777"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4.3 Theme 1, Stigma</w:t>
      </w:r>
    </w:p>
    <w:p w14:paraId="547BA7C9" w14:textId="544673C1"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Definition</w:t>
      </w:r>
      <w:r w:rsidR="00734D71">
        <w:rPr>
          <w:rFonts w:ascii="Arial" w:hAnsi="Arial" w:cs="Arial"/>
          <w:sz w:val="22"/>
          <w:szCs w:val="22"/>
        </w:rPr>
        <w:t xml:space="preserve">                                                                                                     17</w:t>
      </w:r>
    </w:p>
    <w:p w14:paraId="26E0B6D1" w14:textId="4813C4BF"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Background information</w:t>
      </w:r>
      <w:r w:rsidR="00734D71">
        <w:rPr>
          <w:rFonts w:ascii="Arial" w:hAnsi="Arial" w:cs="Arial"/>
          <w:sz w:val="22"/>
          <w:szCs w:val="22"/>
        </w:rPr>
        <w:t xml:space="preserve">                                                                              17</w:t>
      </w:r>
    </w:p>
    <w:p w14:paraId="15D23FE1" w14:textId="7ACC5E07"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Impact on research question</w:t>
      </w:r>
      <w:r w:rsidR="00734D71">
        <w:rPr>
          <w:rFonts w:ascii="Arial" w:hAnsi="Arial" w:cs="Arial"/>
          <w:sz w:val="22"/>
          <w:szCs w:val="22"/>
        </w:rPr>
        <w:t xml:space="preserve">                                                                      17-18</w:t>
      </w:r>
    </w:p>
    <w:p w14:paraId="3DE946F2" w14:textId="2AE3274A"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Statistical information</w:t>
      </w:r>
      <w:r w:rsidR="009E06AB">
        <w:rPr>
          <w:rFonts w:ascii="Arial" w:hAnsi="Arial" w:cs="Arial"/>
          <w:sz w:val="22"/>
          <w:szCs w:val="22"/>
        </w:rPr>
        <w:t xml:space="preserve">                                                                                 18</w:t>
      </w:r>
    </w:p>
    <w:p w14:paraId="39539233" w14:textId="0D0AEB3E"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Theories, policies, and Legislation</w:t>
      </w:r>
      <w:r w:rsidR="009E06AB">
        <w:rPr>
          <w:rFonts w:ascii="Arial" w:hAnsi="Arial" w:cs="Arial"/>
          <w:sz w:val="22"/>
          <w:szCs w:val="22"/>
        </w:rPr>
        <w:t xml:space="preserve">                                                             18</w:t>
      </w:r>
    </w:p>
    <w:p w14:paraId="561C71A9" w14:textId="76EF5A00"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Implications</w:t>
      </w:r>
      <w:r w:rsidR="009E06AB">
        <w:rPr>
          <w:rFonts w:ascii="Arial" w:hAnsi="Arial" w:cs="Arial"/>
          <w:sz w:val="22"/>
          <w:szCs w:val="22"/>
        </w:rPr>
        <w:t xml:space="preserve">                                                                                                19</w:t>
      </w:r>
    </w:p>
    <w:p w14:paraId="2D8269AB" w14:textId="5D271AC6" w:rsidR="009E06AB"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Examples from your articles</w:t>
      </w:r>
      <w:r w:rsidR="009E06AB">
        <w:rPr>
          <w:rFonts w:ascii="Arial" w:hAnsi="Arial" w:cs="Arial"/>
          <w:sz w:val="22"/>
          <w:szCs w:val="22"/>
        </w:rPr>
        <w:t xml:space="preserve">                                                                       19</w:t>
      </w:r>
    </w:p>
    <w:p w14:paraId="1C415702" w14:textId="6E168F7E" w:rsidR="00A94E5B" w:rsidRPr="00307639" w:rsidRDefault="009E06AB" w:rsidP="0048554A">
      <w:pPr>
        <w:pStyle w:val="ListParagraph"/>
        <w:numPr>
          <w:ilvl w:val="0"/>
          <w:numId w:val="21"/>
        </w:numPr>
        <w:spacing w:line="360" w:lineRule="auto"/>
        <w:jc w:val="both"/>
        <w:rPr>
          <w:rFonts w:ascii="Arial" w:hAnsi="Arial" w:cs="Arial"/>
          <w:sz w:val="22"/>
          <w:szCs w:val="22"/>
        </w:rPr>
      </w:pPr>
      <w:r>
        <w:rPr>
          <w:rFonts w:ascii="Arial" w:hAnsi="Arial" w:cs="Arial"/>
          <w:sz w:val="22"/>
          <w:szCs w:val="22"/>
        </w:rPr>
        <w:t>Comparative analysis                                                                                 19</w:t>
      </w:r>
    </w:p>
    <w:p w14:paraId="11B3AFD0" w14:textId="1EEBC152"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 xml:space="preserve">Connection to other themes     </w:t>
      </w:r>
      <w:r w:rsidR="009E06AB">
        <w:rPr>
          <w:rFonts w:ascii="Arial" w:hAnsi="Arial" w:cs="Arial"/>
          <w:sz w:val="22"/>
          <w:szCs w:val="22"/>
        </w:rPr>
        <w:t xml:space="preserve">                                                                  19-20</w:t>
      </w:r>
    </w:p>
    <w:p w14:paraId="356C6800" w14:textId="77777777"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 xml:space="preserve"> 4.4 Theme 2, Language barrier</w:t>
      </w:r>
    </w:p>
    <w:p w14:paraId="1ADE8CA3" w14:textId="3F40AFC3"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Definition</w:t>
      </w:r>
      <w:r w:rsidR="009E06AB">
        <w:rPr>
          <w:rFonts w:ascii="Arial" w:hAnsi="Arial" w:cs="Arial"/>
          <w:sz w:val="22"/>
          <w:szCs w:val="22"/>
        </w:rPr>
        <w:t xml:space="preserve">                                                                                                    20</w:t>
      </w:r>
    </w:p>
    <w:p w14:paraId="66C60B60" w14:textId="4EAE9D7C"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Background information</w:t>
      </w:r>
      <w:r w:rsidR="009E06AB">
        <w:rPr>
          <w:rFonts w:ascii="Arial" w:hAnsi="Arial" w:cs="Arial"/>
          <w:sz w:val="22"/>
          <w:szCs w:val="22"/>
        </w:rPr>
        <w:t xml:space="preserve">                                                                             20-21</w:t>
      </w:r>
    </w:p>
    <w:p w14:paraId="56AF4AA0" w14:textId="1F449AA9"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Impact on research question</w:t>
      </w:r>
      <w:r w:rsidR="009E06AB">
        <w:rPr>
          <w:rFonts w:ascii="Arial" w:hAnsi="Arial" w:cs="Arial"/>
          <w:sz w:val="22"/>
          <w:szCs w:val="22"/>
        </w:rPr>
        <w:t xml:space="preserve">                                                                      21</w:t>
      </w:r>
    </w:p>
    <w:p w14:paraId="1DCEB36B" w14:textId="3EFFF5D8"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lastRenderedPageBreak/>
        <w:t>Statistical information</w:t>
      </w:r>
      <w:r w:rsidR="009E06AB">
        <w:rPr>
          <w:rFonts w:ascii="Arial" w:hAnsi="Arial" w:cs="Arial"/>
          <w:sz w:val="22"/>
          <w:szCs w:val="22"/>
        </w:rPr>
        <w:t xml:space="preserve">                                                                         </w:t>
      </w:r>
      <w:r w:rsidR="00A1555D">
        <w:rPr>
          <w:rFonts w:ascii="Arial" w:hAnsi="Arial" w:cs="Arial"/>
          <w:sz w:val="22"/>
          <w:szCs w:val="22"/>
        </w:rPr>
        <w:t xml:space="preserve"> </w:t>
      </w:r>
      <w:r w:rsidR="009E06AB">
        <w:rPr>
          <w:rFonts w:ascii="Arial" w:hAnsi="Arial" w:cs="Arial"/>
          <w:sz w:val="22"/>
          <w:szCs w:val="22"/>
        </w:rPr>
        <w:t xml:space="preserve"> 21</w:t>
      </w:r>
    </w:p>
    <w:p w14:paraId="1DC5DACD" w14:textId="7C87364F"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Theories, policies, and Legislation</w:t>
      </w:r>
      <w:r w:rsidR="009E06AB">
        <w:rPr>
          <w:rFonts w:ascii="Arial" w:hAnsi="Arial" w:cs="Arial"/>
          <w:sz w:val="22"/>
          <w:szCs w:val="22"/>
        </w:rPr>
        <w:t xml:space="preserve">                                                      </w:t>
      </w:r>
      <w:r w:rsidR="00A1555D">
        <w:rPr>
          <w:rFonts w:ascii="Arial" w:hAnsi="Arial" w:cs="Arial"/>
          <w:sz w:val="22"/>
          <w:szCs w:val="22"/>
        </w:rPr>
        <w:t xml:space="preserve"> 21-22</w:t>
      </w:r>
    </w:p>
    <w:p w14:paraId="4A67B686" w14:textId="1ECA3610"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Implications</w:t>
      </w:r>
      <w:r w:rsidR="00A1555D">
        <w:rPr>
          <w:rFonts w:ascii="Arial" w:hAnsi="Arial" w:cs="Arial"/>
          <w:sz w:val="22"/>
          <w:szCs w:val="22"/>
        </w:rPr>
        <w:t xml:space="preserve">                                                                                          22</w:t>
      </w:r>
    </w:p>
    <w:p w14:paraId="07D21A89" w14:textId="7484BCF1" w:rsidR="00A94E5B"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Examples from your articles</w:t>
      </w:r>
      <w:r w:rsidR="00A1555D">
        <w:rPr>
          <w:rFonts w:ascii="Arial" w:hAnsi="Arial" w:cs="Arial"/>
          <w:sz w:val="22"/>
          <w:szCs w:val="22"/>
        </w:rPr>
        <w:t xml:space="preserve">                                                                 22-23</w:t>
      </w:r>
    </w:p>
    <w:p w14:paraId="04FCA6BE" w14:textId="778BE67C" w:rsidR="00A1555D" w:rsidRPr="00307639" w:rsidRDefault="00A1555D" w:rsidP="0048554A">
      <w:pPr>
        <w:pStyle w:val="ListParagraph"/>
        <w:numPr>
          <w:ilvl w:val="0"/>
          <w:numId w:val="21"/>
        </w:numPr>
        <w:spacing w:line="360" w:lineRule="auto"/>
        <w:jc w:val="both"/>
        <w:rPr>
          <w:rFonts w:ascii="Arial" w:hAnsi="Arial" w:cs="Arial"/>
          <w:sz w:val="22"/>
          <w:szCs w:val="22"/>
        </w:rPr>
      </w:pPr>
      <w:r>
        <w:rPr>
          <w:rFonts w:ascii="Arial" w:hAnsi="Arial" w:cs="Arial"/>
          <w:sz w:val="22"/>
          <w:szCs w:val="22"/>
        </w:rPr>
        <w:t>Comparative Analysis                                                                           23</w:t>
      </w:r>
    </w:p>
    <w:p w14:paraId="2250A3CE" w14:textId="4318F1D1"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 xml:space="preserve">Connection to other themes     </w:t>
      </w:r>
      <w:r w:rsidR="00A1555D">
        <w:rPr>
          <w:rFonts w:ascii="Arial" w:hAnsi="Arial" w:cs="Arial"/>
          <w:sz w:val="22"/>
          <w:szCs w:val="22"/>
        </w:rPr>
        <w:t xml:space="preserve">                                                            23-24</w:t>
      </w:r>
    </w:p>
    <w:p w14:paraId="0AA8EBDB" w14:textId="77777777" w:rsidR="00A94E5B" w:rsidRPr="00C07094"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4.5 Theme 3, Cultural competency</w:t>
      </w:r>
    </w:p>
    <w:p w14:paraId="0D6CF81E" w14:textId="3D34E125"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Definition</w:t>
      </w:r>
      <w:r w:rsidR="00A1555D">
        <w:rPr>
          <w:rFonts w:ascii="Arial" w:hAnsi="Arial" w:cs="Arial"/>
          <w:sz w:val="22"/>
          <w:szCs w:val="22"/>
        </w:rPr>
        <w:t xml:space="preserve">                                                                                               24</w:t>
      </w:r>
    </w:p>
    <w:p w14:paraId="28775C49" w14:textId="5DFAF020"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Background information</w:t>
      </w:r>
      <w:r w:rsidR="00A1555D">
        <w:rPr>
          <w:rFonts w:ascii="Arial" w:hAnsi="Arial" w:cs="Arial"/>
          <w:sz w:val="22"/>
          <w:szCs w:val="22"/>
        </w:rPr>
        <w:t xml:space="preserve">                                                                        24</w:t>
      </w:r>
    </w:p>
    <w:p w14:paraId="061C17A4" w14:textId="3F2B64E0"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Impact on research question</w:t>
      </w:r>
      <w:r w:rsidR="00A1555D">
        <w:rPr>
          <w:rFonts w:ascii="Arial" w:hAnsi="Arial" w:cs="Arial"/>
          <w:sz w:val="22"/>
          <w:szCs w:val="22"/>
        </w:rPr>
        <w:t xml:space="preserve">                                                                24-25</w:t>
      </w:r>
    </w:p>
    <w:p w14:paraId="7EC3AE1D" w14:textId="77048B37"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Statistical information</w:t>
      </w:r>
      <w:r w:rsidR="00A1555D">
        <w:rPr>
          <w:rFonts w:ascii="Arial" w:hAnsi="Arial" w:cs="Arial"/>
          <w:sz w:val="22"/>
          <w:szCs w:val="22"/>
        </w:rPr>
        <w:t xml:space="preserve">                                                                           25</w:t>
      </w:r>
    </w:p>
    <w:p w14:paraId="33FB8FF0" w14:textId="382CEB75"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Theories, policies, and Legislation</w:t>
      </w:r>
      <w:r w:rsidR="00A1555D">
        <w:rPr>
          <w:rFonts w:ascii="Arial" w:hAnsi="Arial" w:cs="Arial"/>
          <w:sz w:val="22"/>
          <w:szCs w:val="22"/>
        </w:rPr>
        <w:t xml:space="preserve">                                                       25-26</w:t>
      </w:r>
    </w:p>
    <w:p w14:paraId="54CDB856" w14:textId="1C9955A7" w:rsidR="00A94E5B" w:rsidRPr="00307639"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Implications</w:t>
      </w:r>
      <w:r w:rsidR="00A1555D">
        <w:rPr>
          <w:rFonts w:ascii="Arial" w:hAnsi="Arial" w:cs="Arial"/>
          <w:sz w:val="22"/>
          <w:szCs w:val="22"/>
        </w:rPr>
        <w:t xml:space="preserve">                                                                                          26</w:t>
      </w:r>
    </w:p>
    <w:p w14:paraId="7325A663" w14:textId="1C56AF8D" w:rsidR="00A94E5B"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Examples from your articles</w:t>
      </w:r>
      <w:r w:rsidR="00A1555D">
        <w:rPr>
          <w:rFonts w:ascii="Arial" w:hAnsi="Arial" w:cs="Arial"/>
          <w:sz w:val="22"/>
          <w:szCs w:val="22"/>
        </w:rPr>
        <w:t xml:space="preserve">                                                                 26</w:t>
      </w:r>
    </w:p>
    <w:p w14:paraId="39C14668" w14:textId="65C5E2AA" w:rsidR="00CE4D67" w:rsidRPr="00307639" w:rsidRDefault="00CE4D67" w:rsidP="0048554A">
      <w:pPr>
        <w:pStyle w:val="ListParagraph"/>
        <w:numPr>
          <w:ilvl w:val="0"/>
          <w:numId w:val="21"/>
        </w:numPr>
        <w:spacing w:line="360" w:lineRule="auto"/>
        <w:jc w:val="both"/>
        <w:rPr>
          <w:rFonts w:ascii="Arial" w:hAnsi="Arial" w:cs="Arial"/>
          <w:sz w:val="22"/>
          <w:szCs w:val="22"/>
        </w:rPr>
      </w:pPr>
      <w:r>
        <w:rPr>
          <w:rFonts w:ascii="Arial" w:hAnsi="Arial" w:cs="Arial"/>
          <w:sz w:val="22"/>
          <w:szCs w:val="22"/>
        </w:rPr>
        <w:t>Comparative Analysis                                                                           26</w:t>
      </w:r>
    </w:p>
    <w:p w14:paraId="066D1A6E" w14:textId="1D7DEEE2" w:rsidR="00A94E5B" w:rsidRDefault="00A94E5B" w:rsidP="0048554A">
      <w:pPr>
        <w:pStyle w:val="ListParagraph"/>
        <w:numPr>
          <w:ilvl w:val="0"/>
          <w:numId w:val="21"/>
        </w:numPr>
        <w:spacing w:line="360" w:lineRule="auto"/>
        <w:jc w:val="both"/>
        <w:rPr>
          <w:rFonts w:ascii="Arial" w:hAnsi="Arial" w:cs="Arial"/>
          <w:sz w:val="22"/>
          <w:szCs w:val="22"/>
        </w:rPr>
      </w:pPr>
      <w:r w:rsidRPr="00307639">
        <w:rPr>
          <w:rFonts w:ascii="Arial" w:hAnsi="Arial" w:cs="Arial"/>
          <w:sz w:val="22"/>
          <w:szCs w:val="22"/>
        </w:rPr>
        <w:t xml:space="preserve">Connection to other themes     </w:t>
      </w:r>
      <w:r w:rsidR="00CE4D67">
        <w:rPr>
          <w:rFonts w:ascii="Arial" w:hAnsi="Arial" w:cs="Arial"/>
          <w:sz w:val="22"/>
          <w:szCs w:val="22"/>
        </w:rPr>
        <w:t xml:space="preserve">                                                            27</w:t>
      </w:r>
    </w:p>
    <w:p w14:paraId="7E62E489" w14:textId="671D8FD4" w:rsidR="00CE4D67" w:rsidRPr="00307639" w:rsidRDefault="00CE4D67" w:rsidP="0048554A">
      <w:pPr>
        <w:pStyle w:val="ListParagraph"/>
        <w:numPr>
          <w:ilvl w:val="0"/>
          <w:numId w:val="21"/>
        </w:numPr>
        <w:spacing w:line="360" w:lineRule="auto"/>
        <w:jc w:val="both"/>
        <w:rPr>
          <w:rFonts w:ascii="Arial" w:hAnsi="Arial" w:cs="Arial"/>
          <w:sz w:val="22"/>
          <w:szCs w:val="22"/>
        </w:rPr>
      </w:pPr>
      <w:r>
        <w:rPr>
          <w:rFonts w:ascii="Arial" w:hAnsi="Arial" w:cs="Arial"/>
          <w:sz w:val="22"/>
          <w:szCs w:val="22"/>
        </w:rPr>
        <w:t>Conclusion on themes                                                                          27</w:t>
      </w:r>
    </w:p>
    <w:p w14:paraId="229BA82F" w14:textId="5EE9C172" w:rsidR="00A94E5B" w:rsidRDefault="00A94E5B" w:rsidP="0048554A">
      <w:pPr>
        <w:spacing w:line="360" w:lineRule="auto"/>
        <w:jc w:val="both"/>
        <w:rPr>
          <w:rFonts w:ascii="Arial" w:hAnsi="Arial" w:cs="Arial"/>
          <w:b/>
          <w:bCs/>
          <w:sz w:val="22"/>
          <w:szCs w:val="22"/>
        </w:rPr>
      </w:pPr>
      <w:r w:rsidRPr="00C07094">
        <w:rPr>
          <w:rFonts w:ascii="Arial" w:hAnsi="Arial" w:cs="Arial"/>
          <w:b/>
          <w:bCs/>
          <w:sz w:val="22"/>
          <w:szCs w:val="22"/>
        </w:rPr>
        <w:t>Chapter 4.6 Chapter conclusion</w:t>
      </w:r>
      <w:r w:rsidR="00CE4D67">
        <w:rPr>
          <w:rFonts w:ascii="Arial" w:hAnsi="Arial" w:cs="Arial"/>
          <w:b/>
          <w:bCs/>
          <w:sz w:val="22"/>
          <w:szCs w:val="22"/>
        </w:rPr>
        <w:t xml:space="preserve">                                                                   27-28      </w:t>
      </w:r>
    </w:p>
    <w:p w14:paraId="5319F63D" w14:textId="77777777" w:rsidR="00531216" w:rsidRDefault="00531216" w:rsidP="0048554A">
      <w:pPr>
        <w:spacing w:line="360" w:lineRule="auto"/>
        <w:jc w:val="both"/>
        <w:rPr>
          <w:rFonts w:ascii="Arial" w:hAnsi="Arial" w:cs="Arial"/>
          <w:b/>
          <w:bCs/>
          <w:color w:val="000000" w:themeColor="text1"/>
        </w:rPr>
      </w:pPr>
      <w:r w:rsidRPr="00B4512F">
        <w:rPr>
          <w:rFonts w:ascii="Arial" w:hAnsi="Arial" w:cs="Arial"/>
          <w:b/>
          <w:bCs/>
          <w:color w:val="000000" w:themeColor="text1"/>
        </w:rPr>
        <w:t xml:space="preserve">Chapter 5  </w:t>
      </w:r>
    </w:p>
    <w:p w14:paraId="26085A47" w14:textId="1E0D981C" w:rsidR="00531216" w:rsidRPr="00B4512F" w:rsidRDefault="00531216" w:rsidP="0048554A">
      <w:pPr>
        <w:spacing w:line="360" w:lineRule="auto"/>
        <w:jc w:val="both"/>
        <w:rPr>
          <w:rFonts w:ascii="Arial" w:hAnsi="Arial" w:cs="Arial"/>
          <w:b/>
          <w:bCs/>
          <w:color w:val="000000" w:themeColor="text1"/>
        </w:rPr>
      </w:pPr>
      <w:r>
        <w:rPr>
          <w:rFonts w:ascii="Arial" w:hAnsi="Arial" w:cs="Arial"/>
          <w:b/>
          <w:bCs/>
          <w:color w:val="000000" w:themeColor="text1"/>
        </w:rPr>
        <w:t>I</w:t>
      </w:r>
      <w:r w:rsidRPr="00B4512F">
        <w:rPr>
          <w:rFonts w:ascii="Arial" w:hAnsi="Arial" w:cs="Arial"/>
          <w:b/>
          <w:bCs/>
          <w:color w:val="000000" w:themeColor="text1"/>
        </w:rPr>
        <w:t>ntroduction</w:t>
      </w:r>
      <w:r w:rsidR="00CE4D67">
        <w:rPr>
          <w:rFonts w:ascii="Arial" w:hAnsi="Arial" w:cs="Arial"/>
          <w:b/>
          <w:bCs/>
          <w:color w:val="000000" w:themeColor="text1"/>
        </w:rPr>
        <w:t xml:space="preserve">      </w:t>
      </w:r>
      <w:r w:rsidR="00D86A33">
        <w:rPr>
          <w:rFonts w:ascii="Arial" w:hAnsi="Arial" w:cs="Arial"/>
          <w:b/>
          <w:bCs/>
          <w:color w:val="000000" w:themeColor="text1"/>
        </w:rPr>
        <w:t xml:space="preserve">                                                                                    29</w:t>
      </w:r>
      <w:r w:rsidR="00CE4D67">
        <w:rPr>
          <w:rFonts w:ascii="Arial" w:hAnsi="Arial" w:cs="Arial"/>
          <w:b/>
          <w:bCs/>
          <w:color w:val="000000" w:themeColor="text1"/>
        </w:rPr>
        <w:t xml:space="preserve">                                                                                    </w:t>
      </w:r>
    </w:p>
    <w:p w14:paraId="297C20A6" w14:textId="505EE6D0" w:rsidR="00531216" w:rsidRPr="00B4512F" w:rsidRDefault="00531216" w:rsidP="0048554A">
      <w:pPr>
        <w:spacing w:line="360" w:lineRule="auto"/>
        <w:jc w:val="both"/>
        <w:rPr>
          <w:rFonts w:ascii="Arial" w:hAnsi="Arial" w:cs="Arial"/>
          <w:b/>
          <w:bCs/>
          <w:color w:val="000000" w:themeColor="text1"/>
        </w:rPr>
      </w:pPr>
      <w:r w:rsidRPr="00B4512F">
        <w:rPr>
          <w:rFonts w:ascii="Arial" w:hAnsi="Arial" w:cs="Arial"/>
          <w:b/>
          <w:bCs/>
          <w:color w:val="000000" w:themeColor="text1"/>
        </w:rPr>
        <w:t xml:space="preserve">5.1 Overall </w:t>
      </w:r>
      <w:r>
        <w:rPr>
          <w:rFonts w:ascii="Arial" w:hAnsi="Arial" w:cs="Arial"/>
          <w:b/>
          <w:bCs/>
          <w:color w:val="000000" w:themeColor="text1"/>
        </w:rPr>
        <w:t>C</w:t>
      </w:r>
      <w:r w:rsidRPr="00B4512F">
        <w:rPr>
          <w:rFonts w:ascii="Arial" w:hAnsi="Arial" w:cs="Arial"/>
          <w:b/>
          <w:bCs/>
          <w:color w:val="000000" w:themeColor="text1"/>
        </w:rPr>
        <w:t>onclusion</w:t>
      </w:r>
      <w:r w:rsidR="00CE4D67">
        <w:rPr>
          <w:rFonts w:ascii="Arial" w:hAnsi="Arial" w:cs="Arial"/>
          <w:b/>
          <w:bCs/>
          <w:color w:val="000000" w:themeColor="text1"/>
        </w:rPr>
        <w:t xml:space="preserve">                                                                       </w:t>
      </w:r>
      <w:r w:rsidR="00D86A33">
        <w:rPr>
          <w:rFonts w:ascii="Arial" w:hAnsi="Arial" w:cs="Arial"/>
          <w:b/>
          <w:bCs/>
          <w:color w:val="000000" w:themeColor="text1"/>
        </w:rPr>
        <w:t xml:space="preserve"> </w:t>
      </w:r>
      <w:r w:rsidR="00CE4D67">
        <w:rPr>
          <w:rFonts w:ascii="Arial" w:hAnsi="Arial" w:cs="Arial"/>
          <w:b/>
          <w:bCs/>
          <w:color w:val="000000" w:themeColor="text1"/>
        </w:rPr>
        <w:t>29</w:t>
      </w:r>
      <w:r w:rsidR="00D86A33">
        <w:rPr>
          <w:rFonts w:ascii="Arial" w:hAnsi="Arial" w:cs="Arial"/>
          <w:b/>
          <w:bCs/>
          <w:color w:val="000000" w:themeColor="text1"/>
        </w:rPr>
        <w:t>-30</w:t>
      </w:r>
    </w:p>
    <w:p w14:paraId="19FD4564" w14:textId="31F8BEB7" w:rsidR="00531216" w:rsidRDefault="00531216" w:rsidP="0048554A">
      <w:pPr>
        <w:spacing w:line="360" w:lineRule="auto"/>
        <w:jc w:val="both"/>
        <w:rPr>
          <w:rFonts w:ascii="Arial" w:hAnsi="Arial" w:cs="Arial"/>
          <w:b/>
          <w:bCs/>
          <w:color w:val="000000" w:themeColor="text1"/>
        </w:rPr>
      </w:pPr>
      <w:r w:rsidRPr="00B4512F">
        <w:rPr>
          <w:rFonts w:ascii="Arial" w:hAnsi="Arial" w:cs="Arial"/>
          <w:b/>
          <w:bCs/>
          <w:color w:val="000000" w:themeColor="text1"/>
        </w:rPr>
        <w:t xml:space="preserve">5.2 </w:t>
      </w:r>
      <w:r>
        <w:rPr>
          <w:rFonts w:ascii="Arial" w:hAnsi="Arial" w:cs="Arial"/>
          <w:b/>
          <w:bCs/>
          <w:color w:val="000000" w:themeColor="text1"/>
        </w:rPr>
        <w:t>Recommendations</w:t>
      </w:r>
      <w:r w:rsidR="00D86A33">
        <w:rPr>
          <w:rFonts w:ascii="Arial" w:hAnsi="Arial" w:cs="Arial"/>
          <w:b/>
          <w:bCs/>
          <w:color w:val="000000" w:themeColor="text1"/>
        </w:rPr>
        <w:t xml:space="preserve">                                                                         </w:t>
      </w:r>
    </w:p>
    <w:p w14:paraId="245BD2F0" w14:textId="631BE11B" w:rsidR="00531216" w:rsidRPr="00DE5685" w:rsidRDefault="00531216" w:rsidP="0048554A">
      <w:pPr>
        <w:pStyle w:val="ListParagraph"/>
        <w:numPr>
          <w:ilvl w:val="0"/>
          <w:numId w:val="22"/>
        </w:numPr>
        <w:spacing w:line="360" w:lineRule="auto"/>
        <w:jc w:val="both"/>
        <w:rPr>
          <w:rFonts w:ascii="Arial" w:hAnsi="Arial" w:cs="Arial"/>
          <w:color w:val="000000" w:themeColor="text1"/>
        </w:rPr>
      </w:pPr>
      <w:r w:rsidRPr="00DE5685">
        <w:rPr>
          <w:rFonts w:ascii="Arial" w:hAnsi="Arial" w:cs="Arial"/>
          <w:color w:val="000000" w:themeColor="text1"/>
        </w:rPr>
        <w:t>Recommendation 1</w:t>
      </w:r>
      <w:r w:rsidR="00D86A33">
        <w:rPr>
          <w:rFonts w:ascii="Arial" w:hAnsi="Arial" w:cs="Arial"/>
          <w:color w:val="000000" w:themeColor="text1"/>
        </w:rPr>
        <w:t xml:space="preserve">                                                                    30</w:t>
      </w:r>
    </w:p>
    <w:p w14:paraId="71B81135" w14:textId="72F4B387" w:rsidR="00531216" w:rsidRPr="00DE5685" w:rsidRDefault="00531216" w:rsidP="0048554A">
      <w:pPr>
        <w:pStyle w:val="ListParagraph"/>
        <w:numPr>
          <w:ilvl w:val="0"/>
          <w:numId w:val="22"/>
        </w:numPr>
        <w:spacing w:line="360" w:lineRule="auto"/>
        <w:jc w:val="both"/>
        <w:rPr>
          <w:rFonts w:ascii="Arial" w:hAnsi="Arial" w:cs="Arial"/>
          <w:color w:val="000000" w:themeColor="text1"/>
        </w:rPr>
      </w:pPr>
      <w:r w:rsidRPr="00DE5685">
        <w:rPr>
          <w:rFonts w:ascii="Arial" w:hAnsi="Arial" w:cs="Arial"/>
          <w:color w:val="000000" w:themeColor="text1"/>
        </w:rPr>
        <w:t>Recommendation 2</w:t>
      </w:r>
      <w:r w:rsidR="00D86A33">
        <w:rPr>
          <w:rFonts w:ascii="Arial" w:hAnsi="Arial" w:cs="Arial"/>
          <w:color w:val="000000" w:themeColor="text1"/>
        </w:rPr>
        <w:t xml:space="preserve">                                                                   30-31</w:t>
      </w:r>
    </w:p>
    <w:p w14:paraId="6A86C0C4" w14:textId="18EE9330" w:rsidR="00531216" w:rsidRPr="002B37B2" w:rsidRDefault="00531216" w:rsidP="0048554A">
      <w:pPr>
        <w:pStyle w:val="ListParagraph"/>
        <w:numPr>
          <w:ilvl w:val="0"/>
          <w:numId w:val="22"/>
        </w:numPr>
        <w:spacing w:line="360" w:lineRule="auto"/>
        <w:jc w:val="both"/>
        <w:rPr>
          <w:rFonts w:ascii="Arial" w:hAnsi="Arial" w:cs="Arial"/>
          <w:color w:val="000000" w:themeColor="text1"/>
        </w:rPr>
      </w:pPr>
      <w:r w:rsidRPr="00DE5685">
        <w:rPr>
          <w:rFonts w:ascii="Arial" w:hAnsi="Arial" w:cs="Arial"/>
          <w:color w:val="000000" w:themeColor="text1"/>
        </w:rPr>
        <w:t>Recommendation 3</w:t>
      </w:r>
      <w:r w:rsidR="00D86A33">
        <w:rPr>
          <w:rFonts w:ascii="Arial" w:hAnsi="Arial" w:cs="Arial"/>
          <w:color w:val="000000" w:themeColor="text1"/>
        </w:rPr>
        <w:t xml:space="preserve">                                                                   31-32</w:t>
      </w:r>
    </w:p>
    <w:p w14:paraId="129CCB61" w14:textId="0DDCDC45" w:rsidR="00952E42" w:rsidRDefault="00952E42" w:rsidP="0048554A">
      <w:pPr>
        <w:spacing w:line="360" w:lineRule="auto"/>
        <w:jc w:val="both"/>
        <w:rPr>
          <w:rFonts w:ascii="Arial" w:hAnsi="Arial" w:cs="Arial"/>
          <w:b/>
          <w:bCs/>
          <w:color w:val="000000" w:themeColor="text1"/>
        </w:rPr>
      </w:pPr>
      <w:r>
        <w:rPr>
          <w:rFonts w:ascii="Arial" w:hAnsi="Arial" w:cs="Arial"/>
          <w:b/>
          <w:bCs/>
          <w:color w:val="000000" w:themeColor="text1"/>
        </w:rPr>
        <w:t>Chapter 6</w:t>
      </w:r>
    </w:p>
    <w:p w14:paraId="75F30015" w14:textId="73278687" w:rsidR="00952E42" w:rsidRDefault="00952E42" w:rsidP="0048554A">
      <w:pPr>
        <w:spacing w:line="360" w:lineRule="auto"/>
        <w:jc w:val="both"/>
        <w:rPr>
          <w:rFonts w:ascii="Arial" w:hAnsi="Arial" w:cs="Arial"/>
          <w:b/>
          <w:bCs/>
          <w:color w:val="000000" w:themeColor="text1"/>
        </w:rPr>
      </w:pPr>
      <w:r>
        <w:rPr>
          <w:rFonts w:ascii="Arial" w:hAnsi="Arial" w:cs="Arial"/>
          <w:b/>
          <w:bCs/>
          <w:color w:val="000000" w:themeColor="text1"/>
        </w:rPr>
        <w:t xml:space="preserve">6.1 Refrences </w:t>
      </w:r>
      <w:r w:rsidR="002B37B2">
        <w:rPr>
          <w:rFonts w:ascii="Arial" w:hAnsi="Arial" w:cs="Arial"/>
          <w:b/>
          <w:bCs/>
          <w:color w:val="000000" w:themeColor="text1"/>
        </w:rPr>
        <w:t xml:space="preserve">                                                                                    33-46</w:t>
      </w:r>
    </w:p>
    <w:p w14:paraId="3BFB7687" w14:textId="01F3C3DD" w:rsidR="004D5E90" w:rsidRDefault="00952E42" w:rsidP="0048554A">
      <w:pPr>
        <w:spacing w:line="360" w:lineRule="auto"/>
        <w:jc w:val="both"/>
        <w:rPr>
          <w:rFonts w:ascii="Arial" w:hAnsi="Arial" w:cs="Arial"/>
          <w:b/>
          <w:bCs/>
          <w:sz w:val="32"/>
          <w:szCs w:val="32"/>
        </w:rPr>
        <w:sectPr w:rsidR="004D5E90" w:rsidSect="00BA0CEE">
          <w:footerReference w:type="default" r:id="rId7"/>
          <w:pgSz w:w="11906" w:h="16838"/>
          <w:pgMar w:top="1440" w:right="1440" w:bottom="1440" w:left="1440" w:header="708" w:footer="708" w:gutter="0"/>
          <w:pgNumType w:start="1"/>
          <w:cols w:space="708"/>
          <w:docGrid w:linePitch="360"/>
        </w:sectPr>
      </w:pPr>
      <w:r>
        <w:rPr>
          <w:rFonts w:ascii="Arial" w:hAnsi="Arial" w:cs="Arial"/>
          <w:b/>
          <w:bCs/>
          <w:color w:val="000000" w:themeColor="text1"/>
        </w:rPr>
        <w:t xml:space="preserve">6.2 </w:t>
      </w:r>
      <w:bookmarkStart w:id="0" w:name="_Hlk207931552"/>
      <w:r w:rsidR="00D86A33">
        <w:rPr>
          <w:rFonts w:ascii="Arial" w:hAnsi="Arial" w:cs="Arial"/>
          <w:b/>
          <w:bCs/>
          <w:color w:val="000000" w:themeColor="text1"/>
        </w:rPr>
        <w:t>Appendices</w:t>
      </w:r>
      <w:r w:rsidR="002B37B2">
        <w:rPr>
          <w:rFonts w:ascii="Arial" w:hAnsi="Arial" w:cs="Arial"/>
          <w:b/>
          <w:bCs/>
          <w:color w:val="000000" w:themeColor="text1"/>
        </w:rPr>
        <w:t xml:space="preserve">                                                                                  47-48        </w:t>
      </w:r>
    </w:p>
    <w:p w14:paraId="077A6CCC" w14:textId="2CEE7712" w:rsidR="00A937BB" w:rsidRPr="00A937BB" w:rsidRDefault="00A937BB" w:rsidP="0048554A">
      <w:pPr>
        <w:spacing w:line="360" w:lineRule="auto"/>
        <w:jc w:val="both"/>
        <w:rPr>
          <w:rFonts w:ascii="Arial" w:hAnsi="Arial" w:cs="Arial"/>
          <w:b/>
          <w:bCs/>
          <w:sz w:val="32"/>
          <w:szCs w:val="32"/>
        </w:rPr>
      </w:pPr>
      <w:r w:rsidRPr="00A937BB">
        <w:rPr>
          <w:rFonts w:ascii="Arial" w:hAnsi="Arial" w:cs="Arial"/>
          <w:b/>
          <w:bCs/>
          <w:sz w:val="32"/>
          <w:szCs w:val="32"/>
        </w:rPr>
        <w:lastRenderedPageBreak/>
        <w:t xml:space="preserve">Title: Barriers to receiving mental health services among the </w:t>
      </w:r>
      <w:r w:rsidR="00A61475">
        <w:rPr>
          <w:rFonts w:ascii="Arial" w:hAnsi="Arial" w:cs="Arial"/>
          <w:b/>
          <w:bCs/>
          <w:sz w:val="32"/>
          <w:szCs w:val="32"/>
        </w:rPr>
        <w:t>E</w:t>
      </w:r>
      <w:r w:rsidRPr="00A937BB">
        <w:rPr>
          <w:rFonts w:ascii="Arial" w:hAnsi="Arial" w:cs="Arial"/>
          <w:b/>
          <w:bCs/>
          <w:sz w:val="32"/>
          <w:szCs w:val="32"/>
        </w:rPr>
        <w:t>thnic minority group in the UK “</w:t>
      </w:r>
      <w:r w:rsidR="00A94E5B">
        <w:rPr>
          <w:rFonts w:ascii="Arial" w:hAnsi="Arial" w:cs="Arial"/>
          <w:b/>
          <w:bCs/>
          <w:sz w:val="32"/>
          <w:szCs w:val="32"/>
        </w:rPr>
        <w:t>A S</w:t>
      </w:r>
      <w:r w:rsidRPr="00A937BB">
        <w:rPr>
          <w:rFonts w:ascii="Arial" w:hAnsi="Arial" w:cs="Arial"/>
          <w:b/>
          <w:bCs/>
          <w:sz w:val="32"/>
          <w:szCs w:val="32"/>
        </w:rPr>
        <w:t>ystematic literature review”</w:t>
      </w:r>
    </w:p>
    <w:p w14:paraId="7EAC9297"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Chapter 1</w:t>
      </w:r>
    </w:p>
    <w:p w14:paraId="3D80ABCF" w14:textId="77777777" w:rsidR="00A937BB" w:rsidRPr="00A937BB" w:rsidRDefault="00A937BB" w:rsidP="0048554A">
      <w:pPr>
        <w:numPr>
          <w:ilvl w:val="1"/>
          <w:numId w:val="6"/>
        </w:numPr>
        <w:spacing w:line="360" w:lineRule="auto"/>
        <w:jc w:val="both"/>
        <w:rPr>
          <w:rFonts w:ascii="Arial" w:hAnsi="Arial" w:cs="Arial"/>
          <w:b/>
          <w:bCs/>
          <w:sz w:val="28"/>
          <w:szCs w:val="28"/>
        </w:rPr>
      </w:pPr>
      <w:r w:rsidRPr="00A937BB">
        <w:rPr>
          <w:rFonts w:ascii="Arial" w:hAnsi="Arial" w:cs="Arial"/>
          <w:b/>
          <w:bCs/>
          <w:sz w:val="28"/>
          <w:szCs w:val="28"/>
        </w:rPr>
        <w:t>Introduction</w:t>
      </w:r>
    </w:p>
    <w:p w14:paraId="0C4BEEE8"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Overview of the topic:</w:t>
      </w:r>
    </w:p>
    <w:bookmarkEnd w:id="0"/>
    <w:p w14:paraId="5818F16D"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 xml:space="preserve">Mental health is a crucial component of overall well-being, impacting individuals' thoughts, feelings, and behaviours. It also plays a significant role in how people manage stress, relate to </w:t>
      </w:r>
      <w:r w:rsidRPr="00A937BB">
        <w:rPr>
          <w:rFonts w:ascii="Arial" w:hAnsi="Arial" w:cs="Arial"/>
          <w:color w:val="000000" w:themeColor="text1"/>
          <w:sz w:val="22"/>
          <w:szCs w:val="22"/>
        </w:rPr>
        <w:t>others</w:t>
      </w:r>
      <w:r w:rsidRPr="00A937BB">
        <w:rPr>
          <w:rFonts w:ascii="Arial" w:hAnsi="Arial" w:cs="Arial"/>
          <w:sz w:val="22"/>
          <w:szCs w:val="22"/>
        </w:rPr>
        <w:t>, and make decisions. However, the availability of proper mental health care remains a major concern, especially for ethnic minority groups in the United Kingdom (UK). Despite having a publicly funded healthcare system like the National Health Service (NHS), there are still imbalances in the access to mental health services among different ethnic communities. This research aims to explore the challenges faced by ethnic minority groups in the UK in accessing mental health care service.</w:t>
      </w:r>
    </w:p>
    <w:p w14:paraId="4FF2D6D0"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 xml:space="preserve">Aim of the dissertation </w:t>
      </w:r>
    </w:p>
    <w:p w14:paraId="3227B8D6"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The principal objective of this research is to examine the key barriers hindering ethnic minority communities in the UK from utilising mental health care, through a thorough evaluation of the existing literature.  This dissertation aims to identify persistent obstacles, including stigma, language barriers, and inadequate cultural competency, while emphasising places where services inadequately address varied needs.  This study seeks to enhance understanding, guide policy formulation, and foster the establishment of equitable, culturally attuned mental health treatments that can mitigate enduring inequities and enhance outcomes for disadvantaged communities through the analysis of these barriers.</w:t>
      </w:r>
    </w:p>
    <w:p w14:paraId="38EACA53" w14:textId="77777777" w:rsidR="00A937BB" w:rsidRPr="00A937BB" w:rsidRDefault="00A937BB" w:rsidP="0048554A">
      <w:pPr>
        <w:numPr>
          <w:ilvl w:val="1"/>
          <w:numId w:val="6"/>
        </w:numPr>
        <w:spacing w:line="360" w:lineRule="auto"/>
        <w:jc w:val="both"/>
        <w:rPr>
          <w:rFonts w:ascii="Arial" w:hAnsi="Arial" w:cs="Arial"/>
          <w:b/>
          <w:bCs/>
          <w:sz w:val="28"/>
          <w:szCs w:val="28"/>
        </w:rPr>
      </w:pPr>
      <w:bookmarkStart w:id="1" w:name="_Hlk207931684"/>
      <w:r w:rsidRPr="00A937BB">
        <w:rPr>
          <w:rFonts w:ascii="Arial" w:hAnsi="Arial" w:cs="Arial"/>
          <w:b/>
          <w:bCs/>
          <w:sz w:val="28"/>
          <w:szCs w:val="28"/>
        </w:rPr>
        <w:t>Definition and Terminology</w:t>
      </w:r>
    </w:p>
    <w:p w14:paraId="2260B12A"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Key definitions:</w:t>
      </w:r>
    </w:p>
    <w:bookmarkEnd w:id="1"/>
    <w:p w14:paraId="72795805"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 xml:space="preserve">Ethnic minority in the UK, the term refers to individuals who do not identify as White British. This group includes, but is not limited to, people of Black, Asian, Mixed, and other non-White ethnic backgrounds (Office for National Statistics [ONS], 2022). Although "ethnic minority" is a term frequently used in health and policy literature, it can oversimplify the diverse cultural, </w:t>
      </w:r>
      <w:r w:rsidRPr="00A937BB">
        <w:rPr>
          <w:rFonts w:ascii="Arial" w:hAnsi="Arial" w:cs="Arial"/>
          <w:sz w:val="22"/>
          <w:szCs w:val="22"/>
        </w:rPr>
        <w:lastRenderedPageBreak/>
        <w:t>linguistic, and religious differences that exist within and between these communities (Fernando, 2017).</w:t>
      </w:r>
    </w:p>
    <w:p w14:paraId="3432A7C3"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Barriers are identified as, any elements whether personal, cultural, structural, or systemic that prevent or dissuade individuals from pursuing, obtaining, or maintaining mental health care services (Memon et al., 2016). These might consist of language barriers, societal stigma, a lack of confidence in health systems, cultural misinterpretations, or experiences of discrimination (Bhui et al., 2015; Public Health England, 2020).</w:t>
      </w:r>
    </w:p>
    <w:p w14:paraId="165AA5B4"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Acronyms and Abbreviations:</w:t>
      </w:r>
    </w:p>
    <w:p w14:paraId="2E93B745"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 xml:space="preserve">This section outlines key acronyms used throughout the dissertation to support clarity and easy reference. NHS refers to the National Health Service, the UK’s publicly funded healthcare system. CQC stands for the Care Quality Commission, the regulator of health and social care services. MH means Mental Health, used when discussing wellbeing or psychological conditions. BAME represents Black, Asian and Minority Ethnic groups. HSC refers to Health and Social Care, the field this dissertation focuses on. </w:t>
      </w:r>
      <w:bookmarkStart w:id="2" w:name="_Hlk207931780"/>
    </w:p>
    <w:p w14:paraId="73EA937A" w14:textId="77777777" w:rsidR="00A937BB" w:rsidRPr="00A937BB" w:rsidRDefault="00A937BB" w:rsidP="0048554A">
      <w:pPr>
        <w:numPr>
          <w:ilvl w:val="1"/>
          <w:numId w:val="6"/>
        </w:numPr>
        <w:spacing w:line="360" w:lineRule="auto"/>
        <w:jc w:val="both"/>
        <w:rPr>
          <w:rFonts w:ascii="Arial" w:hAnsi="Arial" w:cs="Arial"/>
          <w:b/>
          <w:bCs/>
          <w:sz w:val="28"/>
          <w:szCs w:val="28"/>
        </w:rPr>
      </w:pPr>
      <w:r w:rsidRPr="00A937BB">
        <w:rPr>
          <w:rFonts w:ascii="Arial" w:hAnsi="Arial" w:cs="Arial"/>
          <w:b/>
          <w:bCs/>
          <w:sz w:val="28"/>
          <w:szCs w:val="28"/>
        </w:rPr>
        <w:t>Rationale for Research</w:t>
      </w:r>
    </w:p>
    <w:p w14:paraId="09289F1E"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Purpose of the Research:</w:t>
      </w:r>
    </w:p>
    <w:bookmarkEnd w:id="2"/>
    <w:p w14:paraId="766CF5AC"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The purpose of this research is to know the barrier in receiving mental health services among ethnic minority group in UK. Researching the barrier that ethnic minorities face in accessing mental health services is crucial for improving health and social care practices. Practitioners must develop cultural competency and have a thorough understanding of the socio-political factors contributing to these challenges. Without this knowledge, well-meaning efforts may fail to effectively reach or assist vulnerable groups. By addressing these barriers, we can uphold the fundamental values of health and social care: fairness, inclusiveness, and social justice (Memon et al., 2016).</w:t>
      </w:r>
    </w:p>
    <w:p w14:paraId="4D19B507"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Mental health providers are increasingly expected to be culturally competent and anti-racist (Bhui et al., 2015). The NHS Long Term Plan emphasizes health equity and the need for inclusive mental health services. Addressing the underutilization of these services among ethnic minorities can improve access, engagement, and treatment outcomes.</w:t>
      </w:r>
    </w:p>
    <w:p w14:paraId="6E42BCF5"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t>Identified Problems and Research Gaps:</w:t>
      </w:r>
    </w:p>
    <w:p w14:paraId="11580708"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 xml:space="preserve">Numerous studies have explored personal factors affecting mental health, such as stigma, language barriers, and distrust in services. Additionally, other research has focused on systemic issues, including institutional racism, a lack of cultural competence in service </w:t>
      </w:r>
      <w:r w:rsidRPr="00A937BB">
        <w:rPr>
          <w:rFonts w:ascii="Arial" w:hAnsi="Arial" w:cs="Arial"/>
          <w:sz w:val="22"/>
          <w:szCs w:val="22"/>
        </w:rPr>
        <w:lastRenderedPageBreak/>
        <w:t>delivery, and insufficient representation of minority groups within the mental health workforce (Fernando, 2017; Memon et al., 2016). However, the literature remains fragmented across various fields and often targets specific ethnic groups, time periods, or geographic areas. Therefore, conducting literature research is essential to consolidate current knowledge, identify research gaps, and provide evidence-based recommendations for policymakers and service providers.</w:t>
      </w:r>
    </w:p>
    <w:p w14:paraId="7912737A"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This research aligns with the NHS Long Term Plan (2019), which emphasizes the need to reduce health disparities and develop individualized and inclusive care pathways. Furthermore, the COVID-19 pandemic has heightened the urgency of addressing these issues, as ethnic minorities have been disproportionately affected by both the virus and the resulting mental health challenges (Public Health England, 2020).</w:t>
      </w:r>
    </w:p>
    <w:p w14:paraId="53E50AA7"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The failure to recognize structural disparities, such as institutional racism, poverty, and past trauma, can result in poorer outcomes and an increase in mental health crises among ethnic minority groups (Public Health England, 2020). Practitioners can promote equality and justice, while also reducing long-term costs and the burden on the health and social care system, by addressing and resolving these barriers.</w:t>
      </w:r>
    </w:p>
    <w:p w14:paraId="14D681E9"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Therefore, the conclusion of this research is important both academically and practically. It can guide mental health care training, inform policy development, and enhance frontline service delivery to better meet the needs of diverse populations (Khan et al., 2022; NHS England, 2019).</w:t>
      </w:r>
    </w:p>
    <w:p w14:paraId="044287F0" w14:textId="77777777" w:rsidR="00A937BB" w:rsidRPr="00A937BB" w:rsidRDefault="00A937BB" w:rsidP="0048554A">
      <w:pPr>
        <w:spacing w:line="360" w:lineRule="auto"/>
        <w:jc w:val="both"/>
        <w:rPr>
          <w:rFonts w:ascii="Arial" w:hAnsi="Arial" w:cs="Arial"/>
          <w:b/>
          <w:bCs/>
          <w:sz w:val="28"/>
          <w:szCs w:val="28"/>
        </w:rPr>
      </w:pPr>
      <w:bookmarkStart w:id="3" w:name="_Hlk207931834"/>
      <w:r w:rsidRPr="00A937BB">
        <w:rPr>
          <w:rFonts w:ascii="Arial" w:hAnsi="Arial" w:cs="Arial"/>
          <w:b/>
          <w:bCs/>
          <w:sz w:val="28"/>
          <w:szCs w:val="28"/>
        </w:rPr>
        <w:t>1.4 Aim and Objectives</w:t>
      </w:r>
    </w:p>
    <w:bookmarkEnd w:id="3"/>
    <w:p w14:paraId="0765AFD3"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This systematic review aims the barrier to receiving mental health services among the ethnic minority group in the United Kingdom (UK).</w:t>
      </w:r>
    </w:p>
    <w:p w14:paraId="6316D684" w14:textId="77777777" w:rsidR="00A937BB" w:rsidRPr="00A937BB" w:rsidRDefault="00A937BB" w:rsidP="0048554A">
      <w:pPr>
        <w:spacing w:line="360" w:lineRule="auto"/>
        <w:jc w:val="both"/>
        <w:rPr>
          <w:rFonts w:ascii="Arial" w:hAnsi="Arial" w:cs="Arial"/>
          <w:b/>
          <w:bCs/>
          <w:sz w:val="28"/>
          <w:szCs w:val="28"/>
        </w:rPr>
      </w:pPr>
      <w:r w:rsidRPr="00A937BB">
        <w:rPr>
          <w:rFonts w:ascii="Arial" w:hAnsi="Arial" w:cs="Arial"/>
          <w:sz w:val="22"/>
          <w:szCs w:val="22"/>
        </w:rPr>
        <w:t xml:space="preserve">  </w:t>
      </w:r>
      <w:r w:rsidRPr="00A937BB">
        <w:rPr>
          <w:rFonts w:ascii="Arial" w:hAnsi="Arial" w:cs="Arial"/>
          <w:b/>
          <w:bCs/>
          <w:sz w:val="28"/>
          <w:szCs w:val="28"/>
        </w:rPr>
        <w:t>Objectives:</w:t>
      </w:r>
    </w:p>
    <w:p w14:paraId="7E306DE0"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w:t>
      </w:r>
      <w:r w:rsidRPr="00A937BB">
        <w:rPr>
          <w:rFonts w:ascii="Arial" w:hAnsi="Arial" w:cs="Arial"/>
          <w:sz w:val="22"/>
          <w:szCs w:val="22"/>
        </w:rPr>
        <w:tab/>
        <w:t xml:space="preserve">To identify common patterns and barriers, such as cultural stigma, language issues, and cultural shame. </w:t>
      </w:r>
    </w:p>
    <w:p w14:paraId="22F4281B"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w:t>
      </w:r>
      <w:r w:rsidRPr="00A937BB">
        <w:rPr>
          <w:rFonts w:ascii="Arial" w:hAnsi="Arial" w:cs="Arial"/>
          <w:sz w:val="22"/>
          <w:szCs w:val="22"/>
        </w:rPr>
        <w:tab/>
        <w:t>To assess how these obstacles differ among specific ethnic minority groups.</w:t>
      </w:r>
    </w:p>
    <w:p w14:paraId="0BB365DC"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w:t>
      </w:r>
      <w:r w:rsidRPr="00A937BB">
        <w:rPr>
          <w:rFonts w:ascii="Arial" w:hAnsi="Arial" w:cs="Arial"/>
          <w:sz w:val="22"/>
          <w:szCs w:val="22"/>
        </w:rPr>
        <w:tab/>
        <w:t>To make evidence-based recommendations for practice, policy, and future research.</w:t>
      </w:r>
    </w:p>
    <w:p w14:paraId="7C57586C" w14:textId="77777777" w:rsidR="00A937BB" w:rsidRPr="00A937BB" w:rsidRDefault="00A937BB" w:rsidP="0048554A">
      <w:pPr>
        <w:spacing w:line="360" w:lineRule="auto"/>
        <w:jc w:val="both"/>
        <w:rPr>
          <w:rFonts w:ascii="Arial" w:hAnsi="Arial" w:cs="Arial"/>
          <w:sz w:val="22"/>
          <w:szCs w:val="22"/>
        </w:rPr>
      </w:pPr>
      <w:r w:rsidRPr="00A937BB">
        <w:rPr>
          <w:rFonts w:ascii="Arial" w:hAnsi="Arial" w:cs="Arial"/>
          <w:sz w:val="22"/>
          <w:szCs w:val="22"/>
        </w:rPr>
        <w:t>•</w:t>
      </w:r>
      <w:r w:rsidRPr="00A937BB">
        <w:rPr>
          <w:rFonts w:ascii="Arial" w:hAnsi="Arial" w:cs="Arial"/>
          <w:sz w:val="22"/>
          <w:szCs w:val="22"/>
        </w:rPr>
        <w:tab/>
        <w:t>The objective is to conduct an evaluation of the cultural responsiveness and inclusivity of current mental health treatment practices.</w:t>
      </w:r>
    </w:p>
    <w:p w14:paraId="4D2B5682" w14:textId="77777777" w:rsidR="00CA315D" w:rsidRDefault="00CA315D" w:rsidP="0048554A">
      <w:pPr>
        <w:spacing w:line="360" w:lineRule="auto"/>
        <w:jc w:val="both"/>
        <w:rPr>
          <w:rFonts w:ascii="Arial" w:hAnsi="Arial" w:cs="Arial"/>
          <w:b/>
          <w:bCs/>
          <w:sz w:val="28"/>
          <w:szCs w:val="28"/>
        </w:rPr>
      </w:pPr>
    </w:p>
    <w:p w14:paraId="3DE82D95" w14:textId="2FB4FBC4" w:rsidR="00A937BB" w:rsidRPr="00A937BB" w:rsidRDefault="00A937BB" w:rsidP="0048554A">
      <w:pPr>
        <w:spacing w:line="360" w:lineRule="auto"/>
        <w:jc w:val="both"/>
        <w:rPr>
          <w:rFonts w:ascii="Arial" w:hAnsi="Arial" w:cs="Arial"/>
          <w:b/>
          <w:bCs/>
          <w:sz w:val="28"/>
          <w:szCs w:val="28"/>
        </w:rPr>
      </w:pPr>
      <w:r w:rsidRPr="00A937BB">
        <w:rPr>
          <w:rFonts w:ascii="Arial" w:hAnsi="Arial" w:cs="Arial"/>
          <w:b/>
          <w:bCs/>
          <w:sz w:val="28"/>
          <w:szCs w:val="28"/>
        </w:rPr>
        <w:lastRenderedPageBreak/>
        <w:t>Conclusion</w:t>
      </w:r>
    </w:p>
    <w:p w14:paraId="1A247DFA" w14:textId="2C6BBCCE" w:rsidR="00A937BB" w:rsidRDefault="009F3792" w:rsidP="0048554A">
      <w:pPr>
        <w:spacing w:line="360" w:lineRule="auto"/>
        <w:jc w:val="both"/>
        <w:rPr>
          <w:rFonts w:ascii="Arial" w:hAnsi="Arial" w:cs="Arial"/>
          <w:sz w:val="22"/>
          <w:szCs w:val="22"/>
        </w:rPr>
      </w:pPr>
      <w:r w:rsidRPr="009F3792">
        <w:rPr>
          <w:rFonts w:ascii="Arial" w:hAnsi="Arial" w:cs="Arial"/>
          <w:sz w:val="22"/>
          <w:szCs w:val="22"/>
        </w:rPr>
        <w:t>Chapter 1 outlines the background and significance of examining barriers to mental health service access among ethnic minority populations in the UK.  The core issues</w:t>
      </w:r>
      <w:r>
        <w:rPr>
          <w:rFonts w:ascii="Arial" w:hAnsi="Arial" w:cs="Arial"/>
          <w:sz w:val="22"/>
          <w:szCs w:val="22"/>
        </w:rPr>
        <w:t xml:space="preserve"> like, </w:t>
      </w:r>
      <w:r w:rsidRPr="009F3792">
        <w:rPr>
          <w:rFonts w:ascii="Arial" w:hAnsi="Arial" w:cs="Arial"/>
          <w:sz w:val="22"/>
          <w:szCs w:val="22"/>
        </w:rPr>
        <w:t>stigma, language barriers, and cultural competency</w:t>
      </w:r>
      <w:r>
        <w:rPr>
          <w:rFonts w:ascii="Arial" w:hAnsi="Arial" w:cs="Arial"/>
          <w:sz w:val="22"/>
          <w:szCs w:val="22"/>
        </w:rPr>
        <w:t xml:space="preserve"> </w:t>
      </w:r>
      <w:r w:rsidRPr="009F3792">
        <w:rPr>
          <w:rFonts w:ascii="Arial" w:hAnsi="Arial" w:cs="Arial"/>
          <w:sz w:val="22"/>
          <w:szCs w:val="22"/>
        </w:rPr>
        <w:t>are introduced as factors that influence inequalities in mental healthcare.  This chapter clarified the dissertation's purpose, outlined the research aim and objectives, and defined key terminology and acronyms to enhance clarity throughout the study.  The opening chapter highlights the significance and importance of the topic, laying the foundation for a structured and academically thorough look into the systemic, cultural, and interpersonal factors that influence mental health service engagement.</w:t>
      </w:r>
    </w:p>
    <w:p w14:paraId="22194C5C" w14:textId="6A6276E3" w:rsidR="009F3792" w:rsidRDefault="009F3792" w:rsidP="0048554A">
      <w:pPr>
        <w:spacing w:line="360" w:lineRule="auto"/>
        <w:jc w:val="both"/>
        <w:rPr>
          <w:rFonts w:ascii="Arial" w:hAnsi="Arial" w:cs="Arial"/>
          <w:sz w:val="22"/>
          <w:szCs w:val="22"/>
        </w:rPr>
      </w:pPr>
      <w:r w:rsidRPr="009F3792">
        <w:rPr>
          <w:rFonts w:ascii="Arial" w:hAnsi="Arial" w:cs="Arial"/>
          <w:sz w:val="22"/>
          <w:szCs w:val="22"/>
        </w:rPr>
        <w:t>Chapter 2 will now build on what we've learnt so far and give us the theoretical and conceptual framework that the whole dissertation is based on.  It will analyse significant ideas pertaining to culture, communication, and health behaviour, explaining how these frameworks enhance the comprehension of the barriers discussed subsequently in the study.  The chapter will also look at how these theories have been used in past research and compare how things are done in the UK and other countries. This will give the issue both breadth and depth.  This theoretical foundation is crucial, as it informs the analytical framework employed in the methodology (Chapter 3) and underpins the interpretation of results in Chapter 4, guaranteeing a cohesive and academically robust dissertation structure.</w:t>
      </w:r>
    </w:p>
    <w:p w14:paraId="2B09C09B" w14:textId="77777777" w:rsidR="00A937BB" w:rsidRDefault="00A937BB" w:rsidP="0048554A">
      <w:pPr>
        <w:spacing w:line="360" w:lineRule="auto"/>
        <w:jc w:val="both"/>
        <w:rPr>
          <w:rFonts w:ascii="Arial" w:hAnsi="Arial" w:cs="Arial"/>
          <w:sz w:val="22"/>
          <w:szCs w:val="22"/>
        </w:rPr>
      </w:pPr>
    </w:p>
    <w:p w14:paraId="0EA1D216" w14:textId="77777777" w:rsidR="00A937BB" w:rsidRDefault="00A937BB" w:rsidP="0048554A">
      <w:pPr>
        <w:spacing w:line="360" w:lineRule="auto"/>
        <w:jc w:val="both"/>
        <w:rPr>
          <w:rFonts w:ascii="Arial" w:hAnsi="Arial" w:cs="Arial"/>
          <w:sz w:val="22"/>
          <w:szCs w:val="22"/>
        </w:rPr>
      </w:pPr>
    </w:p>
    <w:p w14:paraId="71B55FB6" w14:textId="77777777" w:rsidR="00A937BB" w:rsidRDefault="00A937BB" w:rsidP="0048554A">
      <w:pPr>
        <w:spacing w:line="360" w:lineRule="auto"/>
        <w:jc w:val="both"/>
        <w:rPr>
          <w:rFonts w:ascii="Arial" w:hAnsi="Arial" w:cs="Arial"/>
          <w:sz w:val="22"/>
          <w:szCs w:val="22"/>
        </w:rPr>
      </w:pPr>
    </w:p>
    <w:p w14:paraId="039A95AD" w14:textId="77777777" w:rsidR="00A937BB" w:rsidRDefault="00A937BB" w:rsidP="0048554A">
      <w:pPr>
        <w:spacing w:line="360" w:lineRule="auto"/>
        <w:jc w:val="both"/>
        <w:rPr>
          <w:rFonts w:ascii="Arial" w:hAnsi="Arial" w:cs="Arial"/>
          <w:sz w:val="22"/>
          <w:szCs w:val="22"/>
        </w:rPr>
      </w:pPr>
    </w:p>
    <w:p w14:paraId="5418F520" w14:textId="77777777" w:rsidR="00A937BB" w:rsidRDefault="00A937BB" w:rsidP="0048554A">
      <w:pPr>
        <w:spacing w:line="360" w:lineRule="auto"/>
        <w:jc w:val="both"/>
        <w:rPr>
          <w:rFonts w:ascii="Arial" w:hAnsi="Arial" w:cs="Arial"/>
          <w:sz w:val="22"/>
          <w:szCs w:val="22"/>
        </w:rPr>
      </w:pPr>
    </w:p>
    <w:p w14:paraId="4E1A596E" w14:textId="77777777" w:rsidR="00A937BB" w:rsidRDefault="00A937BB" w:rsidP="0048554A">
      <w:pPr>
        <w:spacing w:line="360" w:lineRule="auto"/>
        <w:jc w:val="both"/>
        <w:rPr>
          <w:rFonts w:ascii="Arial" w:hAnsi="Arial" w:cs="Arial"/>
          <w:sz w:val="22"/>
          <w:szCs w:val="22"/>
        </w:rPr>
      </w:pPr>
    </w:p>
    <w:p w14:paraId="7B637CD3" w14:textId="77777777" w:rsidR="00A937BB" w:rsidRDefault="00A937BB" w:rsidP="0048554A">
      <w:pPr>
        <w:spacing w:line="360" w:lineRule="auto"/>
        <w:jc w:val="both"/>
        <w:rPr>
          <w:rFonts w:ascii="Arial" w:hAnsi="Arial" w:cs="Arial"/>
          <w:sz w:val="22"/>
          <w:szCs w:val="22"/>
        </w:rPr>
      </w:pPr>
    </w:p>
    <w:p w14:paraId="709C4F72" w14:textId="77777777" w:rsidR="00A937BB" w:rsidRDefault="00A937BB" w:rsidP="0048554A">
      <w:pPr>
        <w:spacing w:line="360" w:lineRule="auto"/>
        <w:jc w:val="both"/>
        <w:rPr>
          <w:rFonts w:ascii="Arial" w:hAnsi="Arial" w:cs="Arial"/>
          <w:sz w:val="22"/>
          <w:szCs w:val="22"/>
        </w:rPr>
      </w:pPr>
    </w:p>
    <w:p w14:paraId="2B37EA03" w14:textId="77777777" w:rsidR="00A937BB" w:rsidRDefault="00A937BB" w:rsidP="0048554A">
      <w:pPr>
        <w:spacing w:line="360" w:lineRule="auto"/>
        <w:jc w:val="both"/>
        <w:rPr>
          <w:rFonts w:ascii="Arial" w:hAnsi="Arial" w:cs="Arial"/>
          <w:sz w:val="22"/>
          <w:szCs w:val="22"/>
        </w:rPr>
      </w:pPr>
    </w:p>
    <w:p w14:paraId="30A323ED" w14:textId="77777777" w:rsidR="00A937BB" w:rsidRDefault="00A937BB" w:rsidP="0048554A">
      <w:pPr>
        <w:spacing w:line="360" w:lineRule="auto"/>
        <w:jc w:val="both"/>
        <w:rPr>
          <w:rFonts w:ascii="Arial" w:hAnsi="Arial" w:cs="Arial"/>
          <w:sz w:val="22"/>
          <w:szCs w:val="22"/>
        </w:rPr>
      </w:pPr>
    </w:p>
    <w:p w14:paraId="63BB182F" w14:textId="77777777" w:rsidR="00A937BB" w:rsidRDefault="00A937BB" w:rsidP="0048554A">
      <w:pPr>
        <w:spacing w:line="360" w:lineRule="auto"/>
        <w:jc w:val="both"/>
        <w:rPr>
          <w:rFonts w:ascii="Arial" w:hAnsi="Arial" w:cs="Arial"/>
          <w:sz w:val="22"/>
          <w:szCs w:val="22"/>
        </w:rPr>
      </w:pPr>
    </w:p>
    <w:p w14:paraId="3BBD103B" w14:textId="77777777" w:rsidR="00A937BB" w:rsidRDefault="00A937BB" w:rsidP="0048554A">
      <w:pPr>
        <w:spacing w:line="360" w:lineRule="auto"/>
        <w:jc w:val="both"/>
        <w:rPr>
          <w:rFonts w:ascii="Arial" w:hAnsi="Arial" w:cs="Arial"/>
          <w:sz w:val="22"/>
          <w:szCs w:val="22"/>
        </w:rPr>
      </w:pPr>
    </w:p>
    <w:p w14:paraId="68DA90B4" w14:textId="40DFAF44" w:rsidR="00CA315D" w:rsidRPr="00CA315D" w:rsidRDefault="00CA315D" w:rsidP="0048554A">
      <w:pPr>
        <w:spacing w:line="360" w:lineRule="auto"/>
        <w:jc w:val="both"/>
        <w:rPr>
          <w:rFonts w:ascii="Arial" w:eastAsia="Aptos" w:hAnsi="Arial" w:cs="Arial"/>
          <w:b/>
          <w:bCs/>
          <w:sz w:val="32"/>
          <w:szCs w:val="32"/>
        </w:rPr>
      </w:pPr>
      <w:r w:rsidRPr="00CA315D">
        <w:rPr>
          <w:rFonts w:ascii="Arial" w:eastAsia="Aptos" w:hAnsi="Arial" w:cs="Arial"/>
          <w:b/>
          <w:bCs/>
          <w:sz w:val="32"/>
          <w:szCs w:val="32"/>
        </w:rPr>
        <w:lastRenderedPageBreak/>
        <w:t>“What are the barriers to receiving mental health services among the ethnic minority group in the UK “</w:t>
      </w:r>
      <w:r w:rsidR="00307639">
        <w:rPr>
          <w:rFonts w:ascii="Arial" w:eastAsia="Aptos" w:hAnsi="Arial" w:cs="Arial"/>
          <w:b/>
          <w:bCs/>
          <w:sz w:val="32"/>
          <w:szCs w:val="32"/>
        </w:rPr>
        <w:t xml:space="preserve">A </w:t>
      </w:r>
      <w:r w:rsidRPr="00CA315D">
        <w:rPr>
          <w:rFonts w:ascii="Arial" w:eastAsia="Aptos" w:hAnsi="Arial" w:cs="Arial"/>
          <w:b/>
          <w:bCs/>
          <w:sz w:val="32"/>
          <w:szCs w:val="32"/>
        </w:rPr>
        <w:t xml:space="preserve">systematic </w:t>
      </w:r>
      <w:r w:rsidR="00307639">
        <w:rPr>
          <w:rFonts w:ascii="Arial" w:eastAsia="Aptos" w:hAnsi="Arial" w:cs="Arial"/>
          <w:b/>
          <w:bCs/>
          <w:sz w:val="32"/>
          <w:szCs w:val="32"/>
        </w:rPr>
        <w:t>L</w:t>
      </w:r>
      <w:r w:rsidRPr="00CA315D">
        <w:rPr>
          <w:rFonts w:ascii="Arial" w:eastAsia="Aptos" w:hAnsi="Arial" w:cs="Arial"/>
          <w:b/>
          <w:bCs/>
          <w:sz w:val="32"/>
          <w:szCs w:val="32"/>
        </w:rPr>
        <w:t>iterature review”</w:t>
      </w:r>
    </w:p>
    <w:p w14:paraId="23EE3524" w14:textId="77777777" w:rsidR="00CA315D" w:rsidRPr="00CA315D" w:rsidRDefault="00CA315D" w:rsidP="0048554A">
      <w:pPr>
        <w:spacing w:line="360" w:lineRule="auto"/>
        <w:jc w:val="both"/>
        <w:rPr>
          <w:rFonts w:ascii="Arial" w:eastAsia="Aptos" w:hAnsi="Arial" w:cs="Arial"/>
          <w:b/>
          <w:bCs/>
          <w:sz w:val="32"/>
          <w:szCs w:val="32"/>
        </w:rPr>
      </w:pPr>
      <w:r w:rsidRPr="00CA315D">
        <w:rPr>
          <w:rFonts w:ascii="Arial" w:eastAsia="Aptos" w:hAnsi="Arial" w:cs="Arial"/>
          <w:b/>
          <w:bCs/>
          <w:sz w:val="32"/>
          <w:szCs w:val="32"/>
        </w:rPr>
        <w:t>Chapter 2 – Background information and analysis</w:t>
      </w:r>
    </w:p>
    <w:p w14:paraId="04796133"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2.1 Introduction</w:t>
      </w:r>
    </w:p>
    <w:p w14:paraId="3F92A111"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Purpose of the chapter:</w:t>
      </w:r>
    </w:p>
    <w:p w14:paraId="7739E436"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Ethnic minority populations in the UK encounter persistent disparities in mental wellness outcomes and treatment. They frequently encounter elevated levels of discomfort or extreme mental disorders yet are less inclined to use conventional mental health care (Bansal et al., 2022; Stepanova et al., 2025). Studies indicate that individuals from Black, Asian, and other minority backgrounds frequently misuse free mental health services, while being disproportionately represented in crisis interventions, such as emergency department or imprisonment under the Mental Health act (Alam et el.,2024; NHS Digital, 2024). Ethnic minority patients frequently encounter diminished access and adverse experience in healthcare (Stepanova et al.,2025) NHS figures for 2023-2024 indicate that Black or Black British individuals in Uk were imprisoned for mental health issues at a rate over three times that of the white British individuals (NHS Digital, 2024).  Researchers explain these differences as a multifaceted amalgamation of social, cultural, and systemic influences, including stigma, communication barriers, and the absence of culturally suitable services (Alam et el., 2024; Bansal et el., 2022).</w:t>
      </w:r>
    </w:p>
    <w:p w14:paraId="02F4E00F"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2.2 Historical Background</w:t>
      </w:r>
    </w:p>
    <w:p w14:paraId="07445D6B"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Development of the topic:</w:t>
      </w:r>
    </w:p>
    <w:p w14:paraId="64C08DAA"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The United Kingdom's mental health system has developed in response to shifting demographics and equality legislation after the conclusion of Second World War establishment in 1948, there was a surge in post-colonial migration. By the 1960s and 1970s, substantial communities of South Asian, Caribbean, and African descent had formed in Britain. Nonetheless, acknowledgement of their requirements was delayed. The Race Relations Act 1976, reinforced in 2000, rendered racial discrimination unlawful in healthcare and other public services.</w:t>
      </w:r>
    </w:p>
    <w:p w14:paraId="4A07A1A4"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lastRenderedPageBreak/>
        <w:t>In reaction to evidence of disparate outcomes, the NHS implemented initiatives to enhance equity. The 1999 National Service Framework (NSF) for Mental Health clearly sought to eradicate prejudice and enhance access for ethnic minorities (Bansal et al., 2022). The Department of Health's 2005 plan reaffirmed that mental health treatments must be customised for various groups and highlighted the importance of equitable access (Bansal et al., 2022).</w:t>
      </w:r>
    </w:p>
    <w:p w14:paraId="21D0FAE7"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Significant historical figures and contributions:</w:t>
      </w:r>
    </w:p>
    <w:p w14:paraId="69364017"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A significant milestone was the Delivering Race Equality in Mental Health Care (DRE) action plan (2008), created in response to findings of widespread disparities affecting Black Caribbean and Black African patients. These policies required cultural competency training and more community engagement. By the 2010s, evaluations and studies revealed enduring disparities: ethnic minority groups continued to underutilise general services and frequently accessed care through coercive means (Bansal et al., 2022; Stepanova et al., 2025). Scholars observe that, notwithstanding formal equality frameworks, care models persist as “Eurocentric and medical,” inadequately addressing the cultural experiences of numerous patients (Bansal et al., 2022).</w:t>
      </w:r>
    </w:p>
    <w:p w14:paraId="614599D4"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Research from the 1980s and 1990s indicated that Black and South Asian patients were more frequently diagnosed with psychosis and less likely to receive psychotherapy (Nwokoroku et al., 2022). Over time, this concern transitioned to emphasising the enhancement of cultural awareness in services. In 2016, the Cultural Competency Standards were implemented, mandating NHS trusts to routinely assess the ethnic composition of its staff and patients. Critics contend that the changes have been cosmetic, as significant studies indicate that training has been inconsistent and that institutional racism in mental health care persists (Alam et al., 2024). In summary, while UK policy officially emphasises equality, numerous systemic barriers rooted in past care patterns have persistently obstructed ethnic minorities' access to adequate mental health help.</w:t>
      </w:r>
    </w:p>
    <w:p w14:paraId="462B544C"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2.3 Theoretical Background</w:t>
      </w:r>
    </w:p>
    <w:p w14:paraId="074DD23C"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Key theories and concepts:</w:t>
      </w:r>
    </w:p>
    <w:p w14:paraId="4F870D7B"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 xml:space="preserve">This chapter presents the key theories and concepts that form the foundation of this research, encompassing cultural competency, health disparities, and person-centred care. Cultural competency theory underscores practitioners' capacity to deliver effective, compassionate, and equitable care to individuals from varied origins (Bhui K et al., 2007).  It bolsters the comprehension that cultural knowledge, awareness, and abilities enhance communication and </w:t>
      </w:r>
      <w:r w:rsidRPr="00CA315D">
        <w:rPr>
          <w:rFonts w:ascii="Arial" w:eastAsia="Aptos" w:hAnsi="Arial" w:cs="Arial"/>
          <w:sz w:val="22"/>
          <w:szCs w:val="22"/>
        </w:rPr>
        <w:lastRenderedPageBreak/>
        <w:t>therapeutic results. The Marmot Theory of Health Inequalities elucidates the influence of structural disadvantage, socioeconomic status, and ethnicity on health experiences and service accessibility (Marmot, 2010). Moreover, person-centred care philosophy, which emphasises collaborative decision-making and individual identity, underscores the significance of culturally responsive practice in attaining favourable results (Epstein and Street, 2011). These ideas collectively establish the conceptual framework for examining cultural competency in mental health care.</w:t>
      </w:r>
    </w:p>
    <w:p w14:paraId="0B1CFEAE"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Application of theories:</w:t>
      </w:r>
    </w:p>
    <w:p w14:paraId="72630843"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Prior studies have utilised cultural competency theory to assess the impact of practitioner knowledge and cross-cultural skills on mental health outcomes.  Bhui et al. (2007) employed the framework to evaluate cultural competency models, discovering that interventions based on cultural knowledge enhanced participation and therapeutic partnerships.  Person-centred care theory has been extensively utilised in mental health research; for instance, Rimmer (2013) shown that shared decision-making fosters patient trust and autonomy, especially among marginalised populations.  The Marmot Theory of Health Inequalities has been utilised in public health investigations, including Marmot et al. (2020), which validated enduring ethnic disparities associated with structural adversity.  The research results collectively demonstrate how theories inform evidence on communication, access, and equity within mental health treatment.</w:t>
      </w:r>
    </w:p>
    <w:p w14:paraId="5C40F53D"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Critical evaluation:</w:t>
      </w:r>
    </w:p>
    <w:p w14:paraId="430D0B96"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People like cultural competency theory because it promotes inclusive behaviour and lowers disparities. However, some people say it can oversimplify culture and lead to stereotyping if it is used as a checklist (Kumas-Tan et al., 2007).  Its strengths are that it focusses on reflective practice and systemic responsiveness, but its weakness is that definitions and measurements vary from study to study (Truong, Paradies, and Priest, 2014).  Person-centred care theory is esteemed for its capacity to empower patients; nonetheless, discussions continue over its practicality in under-resourced facilities and the conflict between patient autonomy and professional expertise (Santana et al., 2020).  The Marmot inequality paradigm offers substantial structural insights; yet others contend that it diminishes the significance of individual behavioural aspects (Marmot and Bell, 2016).  These theories provide depth, but they are hard to put into practice.</w:t>
      </w:r>
    </w:p>
    <w:p w14:paraId="66825EF1" w14:textId="77777777" w:rsidR="00CA315D" w:rsidRPr="00CA315D" w:rsidRDefault="00CA315D" w:rsidP="0048554A">
      <w:pPr>
        <w:spacing w:line="360" w:lineRule="auto"/>
        <w:jc w:val="both"/>
        <w:rPr>
          <w:rFonts w:ascii="Arial" w:eastAsia="Aptos" w:hAnsi="Arial" w:cs="Arial"/>
          <w:b/>
          <w:bCs/>
          <w:sz w:val="28"/>
          <w:szCs w:val="28"/>
        </w:rPr>
      </w:pPr>
    </w:p>
    <w:p w14:paraId="32814182" w14:textId="77777777" w:rsidR="00CA315D" w:rsidRPr="00CA315D" w:rsidRDefault="00CA315D" w:rsidP="0048554A">
      <w:pPr>
        <w:spacing w:line="360" w:lineRule="auto"/>
        <w:jc w:val="both"/>
        <w:rPr>
          <w:rFonts w:ascii="Arial" w:eastAsia="Aptos" w:hAnsi="Arial" w:cs="Arial"/>
          <w:b/>
          <w:bCs/>
          <w:sz w:val="28"/>
          <w:szCs w:val="28"/>
        </w:rPr>
      </w:pPr>
    </w:p>
    <w:p w14:paraId="23BAD8AB"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lastRenderedPageBreak/>
        <w:t>2.4 International context</w:t>
      </w:r>
    </w:p>
    <w:p w14:paraId="5216D3B0"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Global perspective:</w:t>
      </w:r>
    </w:p>
    <w:p w14:paraId="50C3F049"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Different countries address ethnic disparities in mental health via distinct policies and practices.  The WHO (2013) advocates for national action plans, community-oriented care, and culturally tailored treatments.  The United States enforces National CLAS standards to require culturally and linguistically adequate services (Office of Minority Health, 2013).  Australia and Canada prioritise indigenous and migrant-specific initiatives, interpretation services, and community co-production to enhance engagement (OECD, 2015).  Global trends encompass expanding community outreach, including mental health into primary care, utilising digital and telehealth programs for underserved populations, and integrating cultural competency into job training.  Nonetheless, implementation gaps, resource constraints, and uneven evaluations endure, necessitating local adaptation and rigorous monitoring for the transferability of best practices (Who.int, 2025, Office of Minority Health, 2013; OECD, 2015).</w:t>
      </w:r>
    </w:p>
    <w:p w14:paraId="07E60933"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b/>
          <w:bCs/>
          <w:sz w:val="28"/>
          <w:szCs w:val="28"/>
        </w:rPr>
        <w:t>Comparative Analysis:</w:t>
      </w:r>
    </w:p>
    <w:p w14:paraId="1EFB937D"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Various nations implement divergent strategies to mitigate obstacles to mental health access for ethnic minorities.  The UK prioritises culturally competent treatment in the NHS, but the US implements mandatory CLAS standards to mitigate linguistic and cultural disparities (Office of Minority Health, 2013).  Canada and Australia emphasise community-driven and indigenous-focused mental health frameworks, facilitating enhanced integration of translators and cultural mediators (OECD, 2015).  Conversely, numerous European nations emphasise migrant mental health through specialised outreach yet lack cohesive national frameworks.  Internationally, programs like the WHO Mental Health Action Plan and the Global Mental Health Movement foster cross-national collaboration, enhance capacity, and implement culturally tailored interventions (Who.int, 2025). Although global frameworks promote collective learning, country execution differs according to resources, political commitment, and demographic requirements.</w:t>
      </w:r>
    </w:p>
    <w:p w14:paraId="3455F176"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b/>
          <w:bCs/>
          <w:sz w:val="28"/>
          <w:szCs w:val="28"/>
        </w:rPr>
        <w:t>Case studies:</w:t>
      </w:r>
    </w:p>
    <w:p w14:paraId="601D078B"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 xml:space="preserve">Global case studies demonstrate diverse effectiveness in overcoming mental health access obstacles faced by ethnic minorities.  The Beyond Blue effort in Australia enhanced help-seeking behaviour among migrant communities via multilingual outreach; nonetheless, difficulties remain in engaging newly arrived groups (Kokanovic and Manderson, 2007).  The Multilingual Mental Health Resource Centre in Canada improved culturally informed practices; nonetheless, Indigenous groups continue to face disadvantages owing to systemic distrust </w:t>
      </w:r>
      <w:r w:rsidRPr="00CA315D">
        <w:rPr>
          <w:rFonts w:ascii="Arial" w:eastAsia="Aptos" w:hAnsi="Arial" w:cs="Arial"/>
          <w:sz w:val="22"/>
          <w:szCs w:val="22"/>
        </w:rPr>
        <w:lastRenderedPageBreak/>
        <w:t>(Nelson &amp; Wilson, 2017).  The United States instituted CLAS guidelines, enhancing interpreter utilisation and culturally tailored care; yet inequities persist due to insurance issues and institutional racism (Office of Minority Health, 2013).  These examples illustrate that although culturally adapted initiatives can enhance accessibility, enduring success relies on continuous investment, community collaboration, and institutional reform.</w:t>
      </w:r>
    </w:p>
    <w:p w14:paraId="54B74ADE"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2.5 National/Local UK Context</w:t>
      </w:r>
    </w:p>
    <w:p w14:paraId="16C00BA8"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Uk Perspective:</w:t>
      </w:r>
    </w:p>
    <w:p w14:paraId="608BD9D0" w14:textId="77777777" w:rsidR="00CA315D" w:rsidRPr="00CA315D" w:rsidRDefault="00CA315D" w:rsidP="0048554A">
      <w:pPr>
        <w:spacing w:line="360" w:lineRule="auto"/>
        <w:jc w:val="both"/>
        <w:rPr>
          <w:rFonts w:ascii="Arial" w:eastAsia="Aptos" w:hAnsi="Arial" w:cs="Arial"/>
          <w:sz w:val="22"/>
          <w:szCs w:val="22"/>
        </w:rPr>
      </w:pPr>
      <w:r w:rsidRPr="00CA315D">
        <w:rPr>
          <w:rFonts w:ascii="Arial" w:eastAsia="Aptos" w:hAnsi="Arial" w:cs="Arial"/>
          <w:sz w:val="22"/>
          <w:szCs w:val="22"/>
        </w:rPr>
        <w:t>In the UK, barriers to receiving mental health services for ethnic minority communities are acknowledged as a chronic inequality.  National reports underscore the uneven rates of incarceration, diminished help-seeking behaviour, and insufficient culturally competent care (NHS England, 2020).  Policies like the NHS Long Term Plan prioritise the reduction of racial inequities and the enhancement of community-based, culturally competent services.  Initiatives such as the Patient and Carer Race Equality Framework (PCREF) seek to enhance trust, representation, and accountability within mental health environments (NHS England, 2023).  Notwithstanding advancements, obstacles persist owing to systemic racism, linguistic limitations, and insufficient funding for minority-led community organisations.</w:t>
      </w:r>
    </w:p>
    <w:p w14:paraId="702FD9B9"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Policy and regulation:</w:t>
      </w:r>
    </w:p>
    <w:p w14:paraId="76C09440"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sz w:val="22"/>
          <w:szCs w:val="22"/>
        </w:rPr>
        <w:t>Important UK laws and rules are an important component of how barriers to mental health treatment for ethnic minority populations are dealt with.  The Mental Health Act 1983 (Amended 2007) establishes the legal basis for mandatory treatment; nonetheless, research indicates disproportionate detentions within Black communities, underscoring systemic imbalances (GOV.UK 2010). The Equality Act 2010 says that services must not discriminate and must make reasonable changes to support equal access.  The NHS Long Term Plan puts a lot of emphasis on lowering racial differences and making care more respectful of cultural differences (NHS England, 2019).  The goal of all these rules is to make people more accountable, cut down on unfairness, and encourage mental health care that is open to everyone and focused on the individual.</w:t>
      </w:r>
    </w:p>
    <w:p w14:paraId="550459CE"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Local context:</w:t>
      </w:r>
    </w:p>
    <w:p w14:paraId="22F605BC"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sz w:val="22"/>
          <w:szCs w:val="22"/>
        </w:rPr>
        <w:t xml:space="preserve">Responses to obstacles in mental health access for ethnic minority groups differ around the UK, with regions executing efforts customised to community requirements. Thrive LDN in London advocates for culturally aware mental health initiatives that tackle racism and stigma (Thrive LDN, 2023).  The Shifting the Dial project in Greater Manchester aims to enhance the mental health outcomes of young Black men through community collaborations (Centre for </w:t>
      </w:r>
      <w:r w:rsidRPr="00CA315D">
        <w:rPr>
          <w:rFonts w:ascii="Arial" w:eastAsia="Aptos" w:hAnsi="Arial" w:cs="Arial"/>
          <w:sz w:val="22"/>
          <w:szCs w:val="22"/>
        </w:rPr>
        <w:lastRenderedPageBreak/>
        <w:t>Mental Health, 2025).  Local NHS trusts in Birmingham have enhanced interpretation services and culturally tailored psychological therapy (Birmingham and Solihull NHS, 2020).  These regional disparities illustrate how locally tailored approaches might more effectively meet distinct demographic requirements and promote fair access to mental health services.</w:t>
      </w:r>
    </w:p>
    <w:p w14:paraId="5346C53A" w14:textId="77777777" w:rsidR="00CA315D" w:rsidRPr="00CA315D" w:rsidRDefault="00CA315D" w:rsidP="0048554A">
      <w:pPr>
        <w:spacing w:line="360" w:lineRule="auto"/>
        <w:jc w:val="both"/>
        <w:rPr>
          <w:rFonts w:ascii="Arial" w:eastAsia="Aptos" w:hAnsi="Arial" w:cs="Arial"/>
          <w:b/>
          <w:bCs/>
          <w:sz w:val="28"/>
          <w:szCs w:val="28"/>
        </w:rPr>
      </w:pPr>
      <w:r w:rsidRPr="00CA315D">
        <w:rPr>
          <w:rFonts w:ascii="Arial" w:eastAsia="Aptos" w:hAnsi="Arial" w:cs="Arial"/>
          <w:b/>
          <w:bCs/>
          <w:sz w:val="28"/>
          <w:szCs w:val="28"/>
        </w:rPr>
        <w:t>2.6 Conclusion</w:t>
      </w:r>
    </w:p>
    <w:p w14:paraId="5081E4E5" w14:textId="3C2AC257" w:rsidR="003E07D0" w:rsidRDefault="009A3DB3" w:rsidP="0048554A">
      <w:pPr>
        <w:spacing w:line="360" w:lineRule="auto"/>
        <w:jc w:val="both"/>
        <w:rPr>
          <w:rFonts w:ascii="Arial" w:eastAsia="Aptos" w:hAnsi="Arial" w:cs="Arial"/>
          <w:sz w:val="22"/>
          <w:szCs w:val="22"/>
        </w:rPr>
      </w:pPr>
      <w:r w:rsidRPr="009A3DB3">
        <w:rPr>
          <w:rFonts w:ascii="Arial" w:eastAsia="Aptos" w:hAnsi="Arial" w:cs="Arial"/>
          <w:sz w:val="22"/>
          <w:szCs w:val="22"/>
        </w:rPr>
        <w:t xml:space="preserve">The background chapter has provided a thorough grasp of the historical, theoretical, worldwide, and UK-specific factors that contribute to barriers to mental health care access among ethnic minority </w:t>
      </w:r>
      <w:r>
        <w:rPr>
          <w:rFonts w:ascii="Arial" w:eastAsia="Aptos" w:hAnsi="Arial" w:cs="Arial"/>
          <w:sz w:val="22"/>
          <w:szCs w:val="22"/>
        </w:rPr>
        <w:t>group</w:t>
      </w:r>
      <w:r w:rsidRPr="009A3DB3">
        <w:rPr>
          <w:rFonts w:ascii="Arial" w:eastAsia="Aptos" w:hAnsi="Arial" w:cs="Arial"/>
          <w:sz w:val="22"/>
          <w:szCs w:val="22"/>
        </w:rPr>
        <w:t>. The chapter lays a strong framework for understanding why discrepancies continue and why more research is needed by looking at important ideas like stigma, language hurdles, and cultural competence, as well as pertinent policies and practices around the world.  These insights underscore the intricacy of the issue and validate the necessity for a clear, methodical, and transparent scientific framework.</w:t>
      </w:r>
    </w:p>
    <w:p w14:paraId="7657B8C7" w14:textId="1C3D6C16" w:rsidR="009A3DB3" w:rsidRDefault="009A3DB3" w:rsidP="0048554A">
      <w:pPr>
        <w:spacing w:line="360" w:lineRule="auto"/>
        <w:jc w:val="both"/>
        <w:rPr>
          <w:rFonts w:ascii="Arial" w:eastAsia="Aptos" w:hAnsi="Arial" w:cs="Arial"/>
          <w:sz w:val="22"/>
          <w:szCs w:val="22"/>
        </w:rPr>
      </w:pPr>
      <w:r w:rsidRPr="009A3DB3">
        <w:rPr>
          <w:rFonts w:ascii="Arial" w:eastAsia="Aptos" w:hAnsi="Arial" w:cs="Arial"/>
          <w:sz w:val="22"/>
          <w:szCs w:val="22"/>
        </w:rPr>
        <w:t>Chapter 3: Methodology will explain the research method employed for this dissertation, encompassing the justification for using a secondary qualitative methodology and thematic analysis to tackle the study topic.  The chapter will explain the processes of source selection, evaluation, and synthesis, assuring academic rigour and ethical integrity.  It will also talk about the actual tools used to organise and interpret the data, like coding spreadsheets, result summary tables, and colour-coding methods that helped organise and improve themes.  Chapter 3 will show how the analytical structure was made by examining each step of the research process. It will also show how this structure makes it possible to move from the literature to the findings in Chapter 4 in a structured way.</w:t>
      </w:r>
    </w:p>
    <w:p w14:paraId="4A60BE28" w14:textId="77777777" w:rsidR="009A3DB3" w:rsidRDefault="009A3DB3" w:rsidP="0048554A">
      <w:pPr>
        <w:spacing w:line="360" w:lineRule="auto"/>
        <w:jc w:val="both"/>
        <w:rPr>
          <w:rFonts w:ascii="Arial" w:eastAsia="Aptos" w:hAnsi="Arial" w:cs="Arial"/>
          <w:sz w:val="22"/>
          <w:szCs w:val="22"/>
        </w:rPr>
      </w:pPr>
    </w:p>
    <w:p w14:paraId="5244486A" w14:textId="77777777" w:rsidR="009A3DB3" w:rsidRDefault="009A3DB3" w:rsidP="0048554A">
      <w:pPr>
        <w:spacing w:line="360" w:lineRule="auto"/>
        <w:jc w:val="both"/>
        <w:rPr>
          <w:rFonts w:ascii="Arial" w:eastAsia="Aptos" w:hAnsi="Arial" w:cs="Arial"/>
          <w:sz w:val="22"/>
          <w:szCs w:val="22"/>
        </w:rPr>
      </w:pPr>
    </w:p>
    <w:p w14:paraId="72732DC6" w14:textId="77777777" w:rsidR="009A3DB3" w:rsidRDefault="009A3DB3" w:rsidP="0048554A">
      <w:pPr>
        <w:spacing w:line="360" w:lineRule="auto"/>
        <w:jc w:val="both"/>
        <w:rPr>
          <w:rFonts w:ascii="Arial" w:eastAsia="Aptos" w:hAnsi="Arial" w:cs="Arial"/>
          <w:sz w:val="22"/>
          <w:szCs w:val="22"/>
        </w:rPr>
      </w:pPr>
    </w:p>
    <w:p w14:paraId="47BEAFB8" w14:textId="77777777" w:rsidR="009A3DB3" w:rsidRDefault="009A3DB3" w:rsidP="0048554A">
      <w:pPr>
        <w:spacing w:line="360" w:lineRule="auto"/>
        <w:jc w:val="both"/>
        <w:rPr>
          <w:rFonts w:ascii="Arial" w:eastAsia="Aptos" w:hAnsi="Arial" w:cs="Arial"/>
          <w:sz w:val="22"/>
          <w:szCs w:val="22"/>
        </w:rPr>
      </w:pPr>
    </w:p>
    <w:p w14:paraId="2427E100" w14:textId="77777777" w:rsidR="009A3DB3" w:rsidRDefault="009A3DB3" w:rsidP="0048554A">
      <w:pPr>
        <w:spacing w:line="360" w:lineRule="auto"/>
        <w:jc w:val="both"/>
        <w:rPr>
          <w:rFonts w:ascii="Arial" w:eastAsia="Aptos" w:hAnsi="Arial" w:cs="Arial"/>
          <w:sz w:val="22"/>
          <w:szCs w:val="22"/>
        </w:rPr>
      </w:pPr>
    </w:p>
    <w:p w14:paraId="07FC647E" w14:textId="77777777" w:rsidR="009A3DB3" w:rsidRDefault="009A3DB3" w:rsidP="0048554A">
      <w:pPr>
        <w:spacing w:line="360" w:lineRule="auto"/>
        <w:jc w:val="both"/>
        <w:rPr>
          <w:rFonts w:ascii="Arial" w:eastAsia="Aptos" w:hAnsi="Arial" w:cs="Arial"/>
          <w:sz w:val="22"/>
          <w:szCs w:val="22"/>
        </w:rPr>
      </w:pPr>
    </w:p>
    <w:p w14:paraId="5BBA98C9" w14:textId="77777777" w:rsidR="009A3DB3" w:rsidRDefault="009A3DB3" w:rsidP="0048554A">
      <w:pPr>
        <w:spacing w:line="360" w:lineRule="auto"/>
        <w:jc w:val="both"/>
        <w:rPr>
          <w:rFonts w:ascii="Arial" w:eastAsia="Aptos" w:hAnsi="Arial" w:cs="Arial"/>
          <w:sz w:val="22"/>
          <w:szCs w:val="22"/>
        </w:rPr>
      </w:pPr>
    </w:p>
    <w:p w14:paraId="0A6A3890" w14:textId="77777777" w:rsidR="009A3DB3" w:rsidRDefault="009A3DB3" w:rsidP="0048554A">
      <w:pPr>
        <w:spacing w:line="360" w:lineRule="auto"/>
        <w:jc w:val="both"/>
        <w:rPr>
          <w:rFonts w:ascii="Arial" w:hAnsi="Arial" w:cs="Arial"/>
          <w:b/>
          <w:bCs/>
          <w:sz w:val="32"/>
          <w:szCs w:val="32"/>
        </w:rPr>
      </w:pPr>
    </w:p>
    <w:p w14:paraId="439752C7" w14:textId="7DCA35A0" w:rsidR="00511B16" w:rsidRDefault="00511B16" w:rsidP="0048554A">
      <w:pPr>
        <w:spacing w:line="360" w:lineRule="auto"/>
        <w:jc w:val="both"/>
        <w:rPr>
          <w:rFonts w:ascii="Arial" w:hAnsi="Arial" w:cs="Arial"/>
          <w:b/>
          <w:bCs/>
          <w:sz w:val="32"/>
          <w:szCs w:val="32"/>
        </w:rPr>
      </w:pPr>
      <w:r>
        <w:rPr>
          <w:rFonts w:ascii="Arial" w:hAnsi="Arial" w:cs="Arial"/>
          <w:b/>
          <w:bCs/>
          <w:sz w:val="32"/>
          <w:szCs w:val="32"/>
        </w:rPr>
        <w:lastRenderedPageBreak/>
        <w:t xml:space="preserve">“Barrier to Receiving Mental Health services among the ethnic minority group in UK.”   “A systematic </w:t>
      </w:r>
      <w:r w:rsidR="00307639">
        <w:rPr>
          <w:rFonts w:ascii="Arial" w:hAnsi="Arial" w:cs="Arial"/>
          <w:b/>
          <w:bCs/>
          <w:sz w:val="32"/>
          <w:szCs w:val="32"/>
        </w:rPr>
        <w:t>Literature r</w:t>
      </w:r>
      <w:r>
        <w:rPr>
          <w:rFonts w:ascii="Arial" w:hAnsi="Arial" w:cs="Arial"/>
          <w:b/>
          <w:bCs/>
          <w:sz w:val="32"/>
          <w:szCs w:val="32"/>
        </w:rPr>
        <w:t>eview”</w:t>
      </w:r>
    </w:p>
    <w:p w14:paraId="1F4F7CF4" w14:textId="77777777" w:rsidR="00511B16" w:rsidRPr="006B59D7" w:rsidRDefault="00511B16" w:rsidP="0048554A">
      <w:pPr>
        <w:spacing w:line="360" w:lineRule="auto"/>
        <w:jc w:val="both"/>
        <w:rPr>
          <w:rFonts w:ascii="Arial" w:hAnsi="Arial" w:cs="Arial"/>
          <w:b/>
          <w:bCs/>
          <w:sz w:val="32"/>
          <w:szCs w:val="32"/>
        </w:rPr>
      </w:pPr>
      <w:r w:rsidRPr="006B59D7">
        <w:rPr>
          <w:rFonts w:ascii="Arial" w:hAnsi="Arial" w:cs="Arial"/>
          <w:b/>
          <w:bCs/>
          <w:sz w:val="32"/>
          <w:szCs w:val="32"/>
        </w:rPr>
        <w:t>Chapter 3 – Method and search strategy</w:t>
      </w:r>
    </w:p>
    <w:p w14:paraId="47795C41" w14:textId="77777777" w:rsidR="00511B16" w:rsidRPr="006B59D7" w:rsidRDefault="00511B16" w:rsidP="0048554A">
      <w:pPr>
        <w:spacing w:line="360" w:lineRule="auto"/>
        <w:jc w:val="both"/>
        <w:rPr>
          <w:rFonts w:ascii="Arial" w:hAnsi="Arial" w:cs="Arial"/>
          <w:b/>
          <w:bCs/>
          <w:sz w:val="32"/>
          <w:szCs w:val="32"/>
        </w:rPr>
      </w:pPr>
      <w:r w:rsidRPr="006B59D7">
        <w:rPr>
          <w:rFonts w:ascii="Arial" w:hAnsi="Arial" w:cs="Arial"/>
          <w:b/>
          <w:bCs/>
          <w:sz w:val="32"/>
          <w:szCs w:val="32"/>
        </w:rPr>
        <w:t xml:space="preserve">3.1 Introduction </w:t>
      </w:r>
    </w:p>
    <w:p w14:paraId="15D50B9F" w14:textId="77777777" w:rsidR="00511B16" w:rsidRPr="006B59D7" w:rsidRDefault="00511B16" w:rsidP="0048554A">
      <w:pPr>
        <w:spacing w:line="360" w:lineRule="auto"/>
        <w:jc w:val="both"/>
        <w:rPr>
          <w:rFonts w:ascii="Arial" w:hAnsi="Arial" w:cs="Arial"/>
          <w:b/>
          <w:bCs/>
          <w:sz w:val="28"/>
          <w:szCs w:val="28"/>
        </w:rPr>
      </w:pPr>
      <w:r w:rsidRPr="006B59D7">
        <w:rPr>
          <w:rFonts w:ascii="Arial" w:hAnsi="Arial" w:cs="Arial"/>
          <w:b/>
          <w:bCs/>
          <w:sz w:val="28"/>
          <w:szCs w:val="28"/>
        </w:rPr>
        <w:t>Purpose of chapter</w:t>
      </w:r>
      <w:r>
        <w:rPr>
          <w:rFonts w:ascii="Arial" w:hAnsi="Arial" w:cs="Arial"/>
          <w:b/>
          <w:bCs/>
          <w:sz w:val="28"/>
          <w:szCs w:val="28"/>
        </w:rPr>
        <w:t>:</w:t>
      </w:r>
    </w:p>
    <w:p w14:paraId="292B9CB8" w14:textId="77777777" w:rsidR="00511B16" w:rsidRPr="006B59D7" w:rsidRDefault="00511B16" w:rsidP="0048554A">
      <w:pPr>
        <w:spacing w:line="360" w:lineRule="auto"/>
        <w:jc w:val="both"/>
        <w:rPr>
          <w:rFonts w:ascii="Arial" w:hAnsi="Arial" w:cs="Arial"/>
          <w:sz w:val="22"/>
          <w:szCs w:val="22"/>
        </w:rPr>
      </w:pPr>
      <w:r w:rsidRPr="006B59D7">
        <w:rPr>
          <w:rFonts w:ascii="Arial" w:hAnsi="Arial" w:cs="Arial"/>
          <w:sz w:val="22"/>
          <w:szCs w:val="22"/>
        </w:rPr>
        <w:t xml:space="preserve">This chapter describes the methodology that was employed for this systematic literature analysis, which examines barriers to ethnic minorities in the United Kingdom (UK) from obtaining mental health </w:t>
      </w:r>
      <w:r>
        <w:rPr>
          <w:rFonts w:ascii="Arial" w:hAnsi="Arial" w:cs="Arial"/>
          <w:sz w:val="22"/>
          <w:szCs w:val="22"/>
        </w:rPr>
        <w:t>services</w:t>
      </w:r>
      <w:r w:rsidRPr="006B59D7">
        <w:rPr>
          <w:rFonts w:ascii="Arial" w:hAnsi="Arial" w:cs="Arial"/>
          <w:sz w:val="22"/>
          <w:szCs w:val="22"/>
        </w:rPr>
        <w:t>. This chapter explains more and has an academic methodology victual poster, (</w:t>
      </w:r>
      <w:r>
        <w:rPr>
          <w:rFonts w:ascii="Arial" w:hAnsi="Arial" w:cs="Arial"/>
          <w:sz w:val="22"/>
          <w:szCs w:val="22"/>
        </w:rPr>
        <w:t>S</w:t>
      </w:r>
      <w:r w:rsidRPr="006B59D7">
        <w:rPr>
          <w:rFonts w:ascii="Arial" w:hAnsi="Arial" w:cs="Arial"/>
          <w:sz w:val="22"/>
          <w:szCs w:val="22"/>
        </w:rPr>
        <w:t xml:space="preserve">ee appendix </w:t>
      </w:r>
      <w:r>
        <w:rPr>
          <w:rFonts w:ascii="Arial" w:hAnsi="Arial" w:cs="Arial"/>
          <w:sz w:val="22"/>
          <w:szCs w:val="22"/>
        </w:rPr>
        <w:t>3</w:t>
      </w:r>
      <w:r w:rsidRPr="006B59D7">
        <w:rPr>
          <w:rFonts w:ascii="Arial" w:hAnsi="Arial" w:cs="Arial"/>
          <w:sz w:val="22"/>
          <w:szCs w:val="22"/>
        </w:rPr>
        <w:t xml:space="preserve">).  </w:t>
      </w:r>
    </w:p>
    <w:p w14:paraId="0927FD0A" w14:textId="77777777" w:rsidR="00511B16" w:rsidRDefault="00511B16" w:rsidP="0048554A">
      <w:pPr>
        <w:spacing w:line="360" w:lineRule="auto"/>
        <w:jc w:val="both"/>
        <w:rPr>
          <w:rFonts w:ascii="Arial" w:hAnsi="Arial" w:cs="Arial"/>
          <w:b/>
          <w:bCs/>
          <w:sz w:val="28"/>
          <w:szCs w:val="28"/>
        </w:rPr>
      </w:pPr>
      <w:r w:rsidRPr="006B59D7">
        <w:rPr>
          <w:rFonts w:ascii="Arial" w:hAnsi="Arial" w:cs="Arial"/>
          <w:b/>
          <w:bCs/>
          <w:sz w:val="28"/>
          <w:szCs w:val="28"/>
        </w:rPr>
        <w:t>Connection to the dissertation</w:t>
      </w:r>
      <w:r>
        <w:rPr>
          <w:rFonts w:ascii="Arial" w:hAnsi="Arial" w:cs="Arial"/>
          <w:b/>
          <w:bCs/>
          <w:sz w:val="28"/>
          <w:szCs w:val="28"/>
        </w:rPr>
        <w:t>:</w:t>
      </w:r>
    </w:p>
    <w:p w14:paraId="5E2312F7" w14:textId="77777777" w:rsidR="00511B16" w:rsidRDefault="00511B16" w:rsidP="0048554A">
      <w:pPr>
        <w:spacing w:line="360" w:lineRule="auto"/>
        <w:jc w:val="both"/>
        <w:rPr>
          <w:rFonts w:ascii="Arial" w:hAnsi="Arial" w:cs="Arial"/>
          <w:b/>
          <w:bCs/>
          <w:sz w:val="28"/>
          <w:szCs w:val="28"/>
        </w:rPr>
      </w:pPr>
      <w:r w:rsidRPr="00BA4776">
        <w:rPr>
          <w:rFonts w:ascii="Arial" w:hAnsi="Arial" w:cs="Arial"/>
          <w:sz w:val="22"/>
          <w:szCs w:val="22"/>
        </w:rPr>
        <w:t>This review employs systematic searching, thorough source evaluation, and thematic coding as research approaches, which are crucial for locating and assessing pertinent material (Kolaski, Logan &amp; Ioannidis,</w:t>
      </w:r>
      <w:r>
        <w:rPr>
          <w:rFonts w:ascii="Arial" w:hAnsi="Arial" w:cs="Arial"/>
          <w:sz w:val="22"/>
          <w:szCs w:val="22"/>
        </w:rPr>
        <w:t xml:space="preserve"> </w:t>
      </w:r>
      <w:r w:rsidRPr="00BA4776">
        <w:rPr>
          <w:rFonts w:ascii="Arial" w:hAnsi="Arial" w:cs="Arial"/>
          <w:sz w:val="22"/>
          <w:szCs w:val="22"/>
        </w:rPr>
        <w:t xml:space="preserve">2023). This guarantees that only trustworthy and methodologically rigorous studies support the thematic conclusions in Chapter 4, </w:t>
      </w:r>
      <w:r>
        <w:rPr>
          <w:rFonts w:ascii="Arial" w:hAnsi="Arial" w:cs="Arial"/>
          <w:sz w:val="22"/>
          <w:szCs w:val="22"/>
        </w:rPr>
        <w:t xml:space="preserve">thereby </w:t>
      </w:r>
      <w:r w:rsidRPr="00BA4776">
        <w:rPr>
          <w:rFonts w:ascii="Arial" w:hAnsi="Arial" w:cs="Arial"/>
          <w:sz w:val="22"/>
          <w:szCs w:val="22"/>
        </w:rPr>
        <w:t>boosting transparency, trustworthiness, and academic integrity.</w:t>
      </w:r>
    </w:p>
    <w:p w14:paraId="029B7FA0" w14:textId="77777777" w:rsidR="00511B16" w:rsidRDefault="00511B16" w:rsidP="0048554A">
      <w:pPr>
        <w:spacing w:line="360" w:lineRule="auto"/>
        <w:jc w:val="both"/>
        <w:rPr>
          <w:rFonts w:ascii="Arial" w:hAnsi="Arial" w:cs="Arial"/>
          <w:b/>
          <w:bCs/>
          <w:sz w:val="32"/>
          <w:szCs w:val="32"/>
        </w:rPr>
      </w:pPr>
      <w:r w:rsidRPr="006B59D7">
        <w:rPr>
          <w:rFonts w:ascii="Arial" w:hAnsi="Arial" w:cs="Arial"/>
          <w:b/>
          <w:bCs/>
          <w:sz w:val="32"/>
          <w:szCs w:val="32"/>
        </w:rPr>
        <w:t>3.2 Search strategy</w:t>
      </w:r>
    </w:p>
    <w:p w14:paraId="227BD433" w14:textId="77777777" w:rsidR="00511B16" w:rsidRPr="007F3790" w:rsidRDefault="00511B16" w:rsidP="0048554A">
      <w:pPr>
        <w:spacing w:line="360" w:lineRule="auto"/>
        <w:jc w:val="both"/>
        <w:rPr>
          <w:rFonts w:ascii="Arial" w:hAnsi="Arial" w:cs="Arial"/>
          <w:b/>
          <w:bCs/>
          <w:sz w:val="32"/>
          <w:szCs w:val="32"/>
        </w:rPr>
      </w:pPr>
      <w:r w:rsidRPr="006B59D7">
        <w:rPr>
          <w:rFonts w:ascii="Arial" w:hAnsi="Arial" w:cs="Arial"/>
          <w:b/>
          <w:bCs/>
          <w:sz w:val="28"/>
          <w:szCs w:val="28"/>
        </w:rPr>
        <w:t>Developing</w:t>
      </w:r>
      <w:r w:rsidRPr="009250C4">
        <w:rPr>
          <w:rFonts w:ascii="Arial" w:hAnsi="Arial" w:cs="Arial"/>
          <w:b/>
          <w:bCs/>
          <w:sz w:val="28"/>
          <w:szCs w:val="28"/>
        </w:rPr>
        <w:t xml:space="preserve"> keywords</w:t>
      </w:r>
      <w:r>
        <w:rPr>
          <w:rFonts w:ascii="Arial" w:hAnsi="Arial" w:cs="Arial"/>
          <w:b/>
          <w:bCs/>
          <w:sz w:val="28"/>
          <w:szCs w:val="28"/>
        </w:rPr>
        <w:t>:</w:t>
      </w:r>
    </w:p>
    <w:p w14:paraId="03886F6A" w14:textId="77777777" w:rsidR="00511B16" w:rsidRPr="0057382D" w:rsidRDefault="00511B16" w:rsidP="0048554A">
      <w:pPr>
        <w:spacing w:line="360" w:lineRule="auto"/>
        <w:jc w:val="both"/>
        <w:rPr>
          <w:rFonts w:ascii="Arial" w:hAnsi="Arial" w:cs="Arial"/>
          <w:sz w:val="22"/>
          <w:szCs w:val="22"/>
        </w:rPr>
      </w:pPr>
      <w:bookmarkStart w:id="4" w:name="_Hlk212245870"/>
      <w:r w:rsidRPr="0057382D">
        <w:rPr>
          <w:rFonts w:ascii="Arial" w:hAnsi="Arial" w:cs="Arial"/>
          <w:sz w:val="22"/>
          <w:szCs w:val="22"/>
        </w:rPr>
        <w:t>A search approach was employed to locate peer-reviewed articles published</w:t>
      </w:r>
      <w:r>
        <w:rPr>
          <w:rFonts w:ascii="Arial" w:hAnsi="Arial" w:cs="Arial"/>
          <w:sz w:val="22"/>
          <w:szCs w:val="22"/>
        </w:rPr>
        <w:t xml:space="preserve"> mostly</w:t>
      </w:r>
      <w:r w:rsidRPr="0057382D">
        <w:rPr>
          <w:rFonts w:ascii="Arial" w:hAnsi="Arial" w:cs="Arial"/>
          <w:sz w:val="22"/>
          <w:szCs w:val="22"/>
        </w:rPr>
        <w:t xml:space="preserve"> from 201</w:t>
      </w:r>
      <w:r>
        <w:rPr>
          <w:rFonts w:ascii="Arial" w:hAnsi="Arial" w:cs="Arial"/>
          <w:sz w:val="22"/>
          <w:szCs w:val="22"/>
        </w:rPr>
        <w:t>0</w:t>
      </w:r>
      <w:r w:rsidRPr="0057382D">
        <w:rPr>
          <w:rFonts w:ascii="Arial" w:hAnsi="Arial" w:cs="Arial"/>
          <w:sz w:val="22"/>
          <w:szCs w:val="22"/>
        </w:rPr>
        <w:t xml:space="preserve"> to 2025, guaranteeing both timeliness and pertinence. The electronic databases consulted comprised PubMed, PsycINFO, CINAHL, ScienceDirect, Google Scholar</w:t>
      </w:r>
      <w:bookmarkEnd w:id="4"/>
      <w:r>
        <w:rPr>
          <w:rFonts w:ascii="Arial" w:hAnsi="Arial" w:cs="Arial"/>
          <w:sz w:val="22"/>
          <w:szCs w:val="22"/>
        </w:rPr>
        <w:t xml:space="preserve"> and UWTSD library.</w:t>
      </w:r>
    </w:p>
    <w:p w14:paraId="2426F98B" w14:textId="77777777" w:rsidR="00511B16" w:rsidRDefault="00511B16" w:rsidP="0048554A">
      <w:pPr>
        <w:spacing w:line="360" w:lineRule="auto"/>
        <w:jc w:val="both"/>
        <w:rPr>
          <w:rFonts w:ascii="Arial" w:hAnsi="Arial" w:cs="Arial"/>
          <w:b/>
          <w:bCs/>
          <w:sz w:val="28"/>
          <w:szCs w:val="28"/>
        </w:rPr>
      </w:pPr>
      <w:r w:rsidRPr="009E3F4F">
        <w:rPr>
          <w:rFonts w:ascii="Arial" w:hAnsi="Arial" w:cs="Arial"/>
          <w:b/>
          <w:bCs/>
          <w:sz w:val="28"/>
          <w:szCs w:val="28"/>
        </w:rPr>
        <w:t>Boolean Operator</w:t>
      </w:r>
      <w:r>
        <w:rPr>
          <w:rFonts w:ascii="Arial" w:hAnsi="Arial" w:cs="Arial"/>
          <w:b/>
          <w:bCs/>
          <w:sz w:val="28"/>
          <w:szCs w:val="28"/>
        </w:rPr>
        <w:t>:</w:t>
      </w:r>
    </w:p>
    <w:p w14:paraId="064020A4" w14:textId="77777777" w:rsidR="00511B16" w:rsidRDefault="00511B16" w:rsidP="0048554A">
      <w:pPr>
        <w:spacing w:line="360" w:lineRule="auto"/>
        <w:jc w:val="both"/>
        <w:rPr>
          <w:rFonts w:ascii="Arial" w:hAnsi="Arial" w:cs="Arial"/>
          <w:sz w:val="22"/>
          <w:szCs w:val="22"/>
        </w:rPr>
      </w:pPr>
      <w:r w:rsidRPr="00BD0D39">
        <w:rPr>
          <w:rFonts w:ascii="Arial" w:hAnsi="Arial" w:cs="Arial"/>
          <w:sz w:val="22"/>
          <w:szCs w:val="22"/>
        </w:rPr>
        <w:t xml:space="preserve">Boolean operators (AND, OR) were employed to </w:t>
      </w:r>
      <w:r>
        <w:rPr>
          <w:rFonts w:ascii="Arial" w:hAnsi="Arial" w:cs="Arial"/>
          <w:sz w:val="22"/>
          <w:szCs w:val="22"/>
        </w:rPr>
        <w:t xml:space="preserve">combine </w:t>
      </w:r>
      <w:r w:rsidRPr="00BD0D39">
        <w:rPr>
          <w:rFonts w:ascii="Arial" w:hAnsi="Arial" w:cs="Arial"/>
          <w:sz w:val="22"/>
          <w:szCs w:val="22"/>
        </w:rPr>
        <w:t xml:space="preserve">search phrases such as </w:t>
      </w:r>
      <w:r w:rsidRPr="009250C4">
        <w:rPr>
          <w:rFonts w:ascii="Arial" w:hAnsi="Arial" w:cs="Arial"/>
          <w:sz w:val="22"/>
          <w:szCs w:val="22"/>
        </w:rPr>
        <w:t>("ethnic minorities" OR "BAME" OR "Black and Asian communities") AND ("mental health services" OR "psychological support") AND ("barriers" OR "access" OR "stigma" OR "cultural competence") AND ("United Kingdom" OR "UK").</w:t>
      </w:r>
    </w:p>
    <w:p w14:paraId="6530F091" w14:textId="77777777" w:rsidR="00511B16" w:rsidRDefault="00511B16" w:rsidP="0048554A">
      <w:pPr>
        <w:spacing w:line="360" w:lineRule="auto"/>
        <w:jc w:val="both"/>
        <w:rPr>
          <w:rFonts w:ascii="Arial" w:hAnsi="Arial" w:cs="Arial"/>
          <w:b/>
          <w:bCs/>
          <w:sz w:val="28"/>
          <w:szCs w:val="28"/>
        </w:rPr>
      </w:pPr>
      <w:r w:rsidRPr="009E3F4F">
        <w:rPr>
          <w:rFonts w:ascii="Arial" w:hAnsi="Arial" w:cs="Arial"/>
          <w:b/>
          <w:bCs/>
          <w:sz w:val="28"/>
          <w:szCs w:val="28"/>
        </w:rPr>
        <w:t>Structured Search plan</w:t>
      </w:r>
      <w:r>
        <w:rPr>
          <w:rFonts w:ascii="Arial" w:hAnsi="Arial" w:cs="Arial"/>
          <w:b/>
          <w:bCs/>
          <w:sz w:val="28"/>
          <w:szCs w:val="28"/>
        </w:rPr>
        <w:t>:</w:t>
      </w:r>
    </w:p>
    <w:p w14:paraId="2189E556" w14:textId="77777777" w:rsidR="00511B16" w:rsidRPr="009E7910" w:rsidRDefault="00511B16" w:rsidP="0048554A">
      <w:pPr>
        <w:spacing w:line="360" w:lineRule="auto"/>
        <w:jc w:val="both"/>
        <w:rPr>
          <w:rFonts w:ascii="Arial" w:hAnsi="Arial" w:cs="Arial"/>
          <w:sz w:val="22"/>
          <w:szCs w:val="22"/>
        </w:rPr>
      </w:pPr>
      <w:r w:rsidRPr="009E7910">
        <w:rPr>
          <w:rFonts w:ascii="Arial" w:hAnsi="Arial" w:cs="Arial"/>
          <w:sz w:val="22"/>
          <w:szCs w:val="22"/>
        </w:rPr>
        <w:lastRenderedPageBreak/>
        <w:t>The research issue was first divided into ethnic minority populations, mental health services, access/barriers, and the UK context. To enable thorough literature retrieval, keywords, synonyms and controlled vocabulary were identified for each subject (Moher et al., 2020).  </w:t>
      </w:r>
      <w:r>
        <w:rPr>
          <w:rFonts w:ascii="Arial" w:hAnsi="Arial" w:cs="Arial"/>
          <w:sz w:val="22"/>
          <w:szCs w:val="22"/>
        </w:rPr>
        <w:t>S</w:t>
      </w:r>
      <w:r w:rsidRPr="009E7910">
        <w:rPr>
          <w:rFonts w:ascii="Arial" w:hAnsi="Arial" w:cs="Arial"/>
          <w:sz w:val="22"/>
          <w:szCs w:val="22"/>
        </w:rPr>
        <w:t>earch phrases were combined using AND, OR to create effective search strings. The keywords</w:t>
      </w:r>
      <w:r>
        <w:rPr>
          <w:rFonts w:ascii="Arial" w:hAnsi="Arial" w:cs="Arial"/>
          <w:sz w:val="22"/>
          <w:szCs w:val="22"/>
        </w:rPr>
        <w:t xml:space="preserve"> </w:t>
      </w:r>
      <w:r w:rsidRPr="009E7910">
        <w:rPr>
          <w:rFonts w:ascii="Arial" w:hAnsi="Arial" w:cs="Arial"/>
          <w:sz w:val="22"/>
          <w:szCs w:val="22"/>
        </w:rPr>
        <w:t>search combinations, databases, search dates, and total results were recorded in a search log. This ensured transparency, replicability, and search refinement (Aveyard, 2019).</w:t>
      </w:r>
    </w:p>
    <w:p w14:paraId="422FD4FB" w14:textId="77777777" w:rsidR="00511B16" w:rsidRPr="00FC422F" w:rsidRDefault="00511B16" w:rsidP="0048554A">
      <w:pPr>
        <w:spacing w:line="360" w:lineRule="auto"/>
        <w:jc w:val="both"/>
        <w:rPr>
          <w:rFonts w:ascii="Arial" w:hAnsi="Arial" w:cs="Arial"/>
          <w:b/>
          <w:bCs/>
          <w:sz w:val="32"/>
          <w:szCs w:val="32"/>
        </w:rPr>
      </w:pPr>
      <w:r w:rsidRPr="00FC422F">
        <w:rPr>
          <w:rFonts w:ascii="Arial" w:hAnsi="Arial" w:cs="Arial"/>
          <w:b/>
          <w:bCs/>
          <w:sz w:val="32"/>
          <w:szCs w:val="32"/>
        </w:rPr>
        <w:t>3.3 Searching for information</w:t>
      </w:r>
    </w:p>
    <w:p w14:paraId="400A78A0" w14:textId="77777777" w:rsidR="00511B16" w:rsidRPr="006B59D7" w:rsidRDefault="00511B16" w:rsidP="0048554A">
      <w:pPr>
        <w:spacing w:line="360" w:lineRule="auto"/>
        <w:jc w:val="both"/>
        <w:rPr>
          <w:rFonts w:ascii="Arial" w:hAnsi="Arial" w:cs="Arial"/>
          <w:b/>
          <w:bCs/>
          <w:sz w:val="28"/>
          <w:szCs w:val="28"/>
        </w:rPr>
      </w:pPr>
      <w:r w:rsidRPr="006B59D7">
        <w:rPr>
          <w:rFonts w:ascii="Arial" w:hAnsi="Arial" w:cs="Arial"/>
          <w:b/>
          <w:bCs/>
          <w:sz w:val="28"/>
          <w:szCs w:val="28"/>
        </w:rPr>
        <w:t>Databases and platforms</w:t>
      </w:r>
      <w:r>
        <w:rPr>
          <w:rFonts w:ascii="Arial" w:hAnsi="Arial" w:cs="Arial"/>
          <w:b/>
          <w:bCs/>
          <w:sz w:val="28"/>
          <w:szCs w:val="28"/>
        </w:rPr>
        <w:t>:</w:t>
      </w:r>
    </w:p>
    <w:p w14:paraId="6CC26AFD" w14:textId="77777777" w:rsidR="00511B16" w:rsidRPr="002A5434" w:rsidRDefault="00511B16" w:rsidP="0048554A">
      <w:pPr>
        <w:spacing w:line="360" w:lineRule="auto"/>
        <w:jc w:val="both"/>
        <w:rPr>
          <w:rFonts w:ascii="Arial" w:eastAsia="Times New Roman" w:hAnsi="Arial" w:cs="Arial"/>
          <w:kern w:val="0"/>
          <w:sz w:val="22"/>
          <w:szCs w:val="22"/>
          <w:lang w:eastAsia="en-GB"/>
          <w14:ligatures w14:val="none"/>
        </w:rPr>
      </w:pPr>
      <w:r w:rsidRPr="002A5434">
        <w:rPr>
          <w:rFonts w:ascii="Arial" w:hAnsi="Arial" w:cs="Arial"/>
          <w:sz w:val="22"/>
          <w:szCs w:val="22"/>
        </w:rPr>
        <w:t>A search approach</w:t>
      </w:r>
      <w:r w:rsidRPr="002A5434">
        <w:rPr>
          <w:rFonts w:ascii="Arial" w:eastAsia="Times New Roman" w:hAnsi="Arial" w:cs="Arial"/>
          <w:kern w:val="0"/>
          <w:sz w:val="22"/>
          <w:szCs w:val="22"/>
          <w:lang w:eastAsia="en-GB"/>
          <w14:ligatures w14:val="none"/>
        </w:rPr>
        <w:t xml:space="preserve"> for peer-reviewed literature </w:t>
      </w:r>
      <w:r>
        <w:rPr>
          <w:rFonts w:ascii="Arial" w:eastAsia="Times New Roman" w:hAnsi="Arial" w:cs="Arial"/>
          <w:kern w:val="0"/>
          <w:sz w:val="22"/>
          <w:szCs w:val="22"/>
          <w:lang w:eastAsia="en-GB"/>
          <w14:ligatures w14:val="none"/>
        </w:rPr>
        <w:t xml:space="preserve">mostly </w:t>
      </w:r>
      <w:r w:rsidRPr="002A5434">
        <w:rPr>
          <w:rFonts w:ascii="Arial" w:eastAsia="Times New Roman" w:hAnsi="Arial" w:cs="Arial"/>
          <w:kern w:val="0"/>
          <w:sz w:val="22"/>
          <w:szCs w:val="22"/>
          <w:lang w:eastAsia="en-GB"/>
          <w14:ligatures w14:val="none"/>
        </w:rPr>
        <w:t>from 2010 to 2025</w:t>
      </w:r>
      <w:r>
        <w:rPr>
          <w:rFonts w:ascii="Arial" w:eastAsia="Times New Roman" w:hAnsi="Arial" w:cs="Arial"/>
          <w:kern w:val="0"/>
          <w:sz w:val="22"/>
          <w:szCs w:val="22"/>
          <w:lang w:eastAsia="en-GB"/>
          <w14:ligatures w14:val="none"/>
        </w:rPr>
        <w:t xml:space="preserve"> was applied,</w:t>
      </w:r>
      <w:r w:rsidRPr="002A5434">
        <w:rPr>
          <w:rFonts w:ascii="Arial" w:eastAsia="Times New Roman" w:hAnsi="Arial" w:cs="Arial"/>
          <w:kern w:val="0"/>
          <w:sz w:val="22"/>
          <w:szCs w:val="22"/>
          <w:lang w:eastAsia="en-GB"/>
          <w14:ligatures w14:val="none"/>
        </w:rPr>
        <w:t xml:space="preserve"> to ensure timeliness and relevance. </w:t>
      </w:r>
      <w:r>
        <w:rPr>
          <w:rFonts w:ascii="Arial" w:eastAsia="Times New Roman" w:hAnsi="Arial" w:cs="Arial"/>
          <w:kern w:val="0"/>
          <w:sz w:val="22"/>
          <w:szCs w:val="22"/>
          <w:lang w:eastAsia="en-GB"/>
          <w14:ligatures w14:val="none"/>
        </w:rPr>
        <w:t>Some</w:t>
      </w:r>
      <w:r w:rsidRPr="002A5434">
        <w:rPr>
          <w:rFonts w:ascii="Arial" w:eastAsia="Times New Roman" w:hAnsi="Arial" w:cs="Arial"/>
          <w:kern w:val="0"/>
          <w:sz w:val="22"/>
          <w:szCs w:val="22"/>
          <w:lang w:eastAsia="en-GB"/>
          <w14:ligatures w14:val="none"/>
        </w:rPr>
        <w:t xml:space="preserve"> databases used were PubMed, PsycINFO, CINAHL, ScienceDirect, UWTSD library, and Google Scholar. </w:t>
      </w:r>
    </w:p>
    <w:p w14:paraId="798F5615" w14:textId="77777777" w:rsidR="00511B16" w:rsidRDefault="00511B16" w:rsidP="0048554A">
      <w:pPr>
        <w:spacing w:line="360" w:lineRule="auto"/>
        <w:jc w:val="both"/>
        <w:rPr>
          <w:rFonts w:ascii="Times New Roman" w:eastAsia="Times New Roman" w:hAnsi="Times New Roman" w:cs="Times New Roman"/>
          <w:kern w:val="0"/>
          <w:lang w:eastAsia="en-GB"/>
          <w14:ligatures w14:val="none"/>
        </w:rPr>
      </w:pPr>
      <w:r w:rsidRPr="00D518D5">
        <w:rPr>
          <w:rFonts w:ascii="Arial" w:hAnsi="Arial" w:cs="Arial"/>
          <w:b/>
          <w:bCs/>
          <w:sz w:val="28"/>
          <w:szCs w:val="28"/>
        </w:rPr>
        <w:t>Using filters</w:t>
      </w:r>
      <w:r>
        <w:rPr>
          <w:rFonts w:ascii="Arial" w:hAnsi="Arial" w:cs="Arial"/>
          <w:b/>
          <w:bCs/>
          <w:sz w:val="28"/>
          <w:szCs w:val="28"/>
        </w:rPr>
        <w:t>:</w:t>
      </w:r>
      <w:r w:rsidRPr="00D946C7">
        <w:rPr>
          <w:rFonts w:ascii="Times New Roman" w:eastAsia="Times New Roman" w:hAnsi="Times New Roman" w:cs="Times New Roman"/>
          <w:kern w:val="0"/>
          <w:lang w:eastAsia="en-GB"/>
          <w14:ligatures w14:val="none"/>
        </w:rPr>
        <w:t xml:space="preserve"> </w:t>
      </w:r>
    </w:p>
    <w:p w14:paraId="0AE64C4F" w14:textId="77777777" w:rsidR="00511B16" w:rsidRDefault="00511B16" w:rsidP="0048554A">
      <w:pPr>
        <w:spacing w:line="360" w:lineRule="auto"/>
        <w:jc w:val="both"/>
        <w:rPr>
          <w:rFonts w:ascii="Arial" w:eastAsia="Times New Roman" w:hAnsi="Arial" w:cs="Arial"/>
          <w:kern w:val="0"/>
          <w:sz w:val="22"/>
          <w:szCs w:val="22"/>
          <w:lang w:eastAsia="en-GB"/>
          <w14:ligatures w14:val="none"/>
        </w:rPr>
      </w:pPr>
      <w:r w:rsidRPr="00D946C7">
        <w:rPr>
          <w:rFonts w:ascii="Arial" w:eastAsia="Times New Roman" w:hAnsi="Arial" w:cs="Arial"/>
          <w:kern w:val="0"/>
          <w:sz w:val="22"/>
          <w:szCs w:val="22"/>
          <w:lang w:eastAsia="en-GB"/>
          <w14:ligatures w14:val="none"/>
        </w:rPr>
        <w:t>This review includes studies</w:t>
      </w:r>
      <w:r>
        <w:rPr>
          <w:rFonts w:ascii="Arial" w:eastAsia="Times New Roman" w:hAnsi="Arial" w:cs="Arial"/>
          <w:kern w:val="0"/>
          <w:sz w:val="22"/>
          <w:szCs w:val="22"/>
          <w:lang w:eastAsia="en-GB"/>
          <w14:ligatures w14:val="none"/>
        </w:rPr>
        <w:t>, r</w:t>
      </w:r>
      <w:r w:rsidRPr="00D946C7">
        <w:rPr>
          <w:rFonts w:ascii="Arial" w:eastAsia="Times New Roman" w:hAnsi="Arial" w:cs="Arial"/>
          <w:kern w:val="0"/>
          <w:sz w:val="22"/>
          <w:szCs w:val="22"/>
          <w:lang w:eastAsia="en-GB"/>
          <w14:ligatures w14:val="none"/>
        </w:rPr>
        <w:t>ecent UK mental health polic</w:t>
      </w:r>
      <w:r>
        <w:rPr>
          <w:rFonts w:ascii="Arial" w:eastAsia="Times New Roman" w:hAnsi="Arial" w:cs="Arial"/>
          <w:kern w:val="0"/>
          <w:sz w:val="22"/>
          <w:szCs w:val="22"/>
          <w:lang w:eastAsia="en-GB"/>
          <w14:ligatures w14:val="none"/>
        </w:rPr>
        <w:t>ies</w:t>
      </w:r>
      <w:r w:rsidRPr="00D946C7">
        <w:rPr>
          <w:rFonts w:ascii="Arial" w:eastAsia="Times New Roman" w:hAnsi="Arial" w:cs="Arial"/>
          <w:kern w:val="0"/>
          <w:sz w:val="22"/>
          <w:szCs w:val="22"/>
          <w:lang w:eastAsia="en-GB"/>
          <w14:ligatures w14:val="none"/>
        </w:rPr>
        <w:t>, service deliver</w:t>
      </w:r>
      <w:r>
        <w:rPr>
          <w:rFonts w:ascii="Arial" w:eastAsia="Times New Roman" w:hAnsi="Arial" w:cs="Arial"/>
          <w:kern w:val="0"/>
          <w:sz w:val="22"/>
          <w:szCs w:val="22"/>
          <w:lang w:eastAsia="en-GB"/>
          <w14:ligatures w14:val="none"/>
        </w:rPr>
        <w:t>ies</w:t>
      </w:r>
      <w:r w:rsidRPr="00D946C7">
        <w:rPr>
          <w:rFonts w:ascii="Arial" w:eastAsia="Times New Roman" w:hAnsi="Arial" w:cs="Arial"/>
          <w:kern w:val="0"/>
          <w:sz w:val="22"/>
          <w:szCs w:val="22"/>
          <w:lang w:eastAsia="en-GB"/>
          <w14:ligatures w14:val="none"/>
        </w:rPr>
        <w:t xml:space="preserve">, and demographic changes </w:t>
      </w:r>
      <w:r>
        <w:rPr>
          <w:rFonts w:ascii="Arial" w:eastAsia="Times New Roman" w:hAnsi="Arial" w:cs="Arial"/>
          <w:kern w:val="0"/>
          <w:sz w:val="22"/>
          <w:szCs w:val="22"/>
          <w:lang w:eastAsia="en-GB"/>
          <w14:ligatures w14:val="none"/>
        </w:rPr>
        <w:t xml:space="preserve">which </w:t>
      </w:r>
      <w:r w:rsidRPr="00D946C7">
        <w:rPr>
          <w:rFonts w:ascii="Arial" w:eastAsia="Times New Roman" w:hAnsi="Arial" w:cs="Arial"/>
          <w:kern w:val="0"/>
          <w:sz w:val="22"/>
          <w:szCs w:val="22"/>
          <w:lang w:eastAsia="en-GB"/>
          <w14:ligatures w14:val="none"/>
        </w:rPr>
        <w:t xml:space="preserve">were shown </w:t>
      </w:r>
      <w:r>
        <w:rPr>
          <w:rFonts w:ascii="Arial" w:eastAsia="Times New Roman" w:hAnsi="Arial" w:cs="Arial"/>
          <w:kern w:val="0"/>
          <w:sz w:val="22"/>
          <w:szCs w:val="22"/>
          <w:lang w:eastAsia="en-GB"/>
          <w14:ligatures w14:val="none"/>
        </w:rPr>
        <w:t>from</w:t>
      </w:r>
      <w:r w:rsidRPr="00D946C7">
        <w:rPr>
          <w:rFonts w:ascii="Arial" w:eastAsia="Times New Roman" w:hAnsi="Arial" w:cs="Arial"/>
          <w:kern w:val="0"/>
          <w:sz w:val="22"/>
          <w:szCs w:val="22"/>
          <w:lang w:eastAsia="en-GB"/>
          <w14:ligatures w14:val="none"/>
        </w:rPr>
        <w:t xml:space="preserve"> 2010–2025 evidence (Aveyard, 2019). Blogs and opinions were excluded from peer-reviewed journals for academic legitimacy. </w:t>
      </w:r>
      <w:r w:rsidRPr="00D946C7">
        <w:rPr>
          <w:rFonts w:ascii="Arial" w:eastAsia="Times New Roman" w:hAnsi="Arial" w:cs="Arial"/>
          <w:kern w:val="0"/>
          <w:sz w:val="22"/>
          <w:szCs w:val="22"/>
          <w:lang w:eastAsia="en-GB"/>
          <w14:ligatures w14:val="none"/>
        </w:rPr>
        <w:br/>
        <w:t xml:space="preserve">Only UK research was searched to ensure relevance to UK health and social care systems. </w:t>
      </w:r>
    </w:p>
    <w:p w14:paraId="400A1CBC" w14:textId="77777777" w:rsidR="00511B16" w:rsidRPr="00D946C7" w:rsidRDefault="00511B16" w:rsidP="0048554A">
      <w:pPr>
        <w:spacing w:line="360" w:lineRule="auto"/>
        <w:jc w:val="both"/>
        <w:rPr>
          <w:rFonts w:ascii="Arial" w:eastAsia="Times New Roman" w:hAnsi="Arial" w:cs="Arial"/>
          <w:kern w:val="0"/>
          <w:sz w:val="22"/>
          <w:szCs w:val="22"/>
          <w:lang w:eastAsia="en-GB"/>
          <w14:ligatures w14:val="none"/>
        </w:rPr>
      </w:pPr>
      <w:r w:rsidRPr="00D946C7">
        <w:rPr>
          <w:rFonts w:ascii="Arial" w:eastAsia="Times New Roman" w:hAnsi="Arial" w:cs="Arial"/>
          <w:kern w:val="0"/>
          <w:sz w:val="22"/>
          <w:szCs w:val="22"/>
          <w:lang w:eastAsia="en-GB"/>
          <w14:ligatures w14:val="none"/>
        </w:rPr>
        <w:t>To assure findings accuracy, only English-language papers were considered. Many criteria were used to scan the database for the most relevant and reliable data interpretation and researcher language understanding. The search was reduced to contextually relevant, robust, and relevant UK research on ethnic minority mental health treatment access (Boland, Cherry, and Dickson, 2020). These filters cooperated.</w:t>
      </w:r>
    </w:p>
    <w:p w14:paraId="5EFD2E50" w14:textId="77777777" w:rsidR="00511B16" w:rsidRDefault="00511B16" w:rsidP="0048554A">
      <w:pPr>
        <w:spacing w:line="360" w:lineRule="auto"/>
        <w:jc w:val="both"/>
        <w:rPr>
          <w:rFonts w:ascii="Times New Roman" w:eastAsia="Times New Roman" w:hAnsi="Times New Roman" w:cs="Times New Roman"/>
          <w:kern w:val="0"/>
          <w:lang w:eastAsia="en-GB"/>
          <w14:ligatures w14:val="none"/>
        </w:rPr>
      </w:pPr>
      <w:r w:rsidRPr="00894B75">
        <w:rPr>
          <w:rFonts w:ascii="Arial" w:hAnsi="Arial" w:cs="Arial"/>
          <w:b/>
          <w:bCs/>
          <w:sz w:val="22"/>
          <w:szCs w:val="22"/>
        </w:rPr>
        <w:t xml:space="preserve"> </w:t>
      </w:r>
      <w:r w:rsidRPr="00894B75">
        <w:rPr>
          <w:rFonts w:ascii="Arial" w:hAnsi="Arial" w:cs="Arial"/>
          <w:b/>
          <w:bCs/>
          <w:sz w:val="28"/>
          <w:szCs w:val="28"/>
        </w:rPr>
        <w:t>Search process</w:t>
      </w:r>
      <w:r>
        <w:rPr>
          <w:rFonts w:ascii="Arial" w:hAnsi="Arial" w:cs="Arial"/>
          <w:b/>
          <w:bCs/>
          <w:sz w:val="28"/>
          <w:szCs w:val="28"/>
        </w:rPr>
        <w:t>:</w:t>
      </w:r>
      <w:r w:rsidRPr="00D946C7">
        <w:rPr>
          <w:rFonts w:ascii="Times New Roman" w:eastAsia="Times New Roman" w:hAnsi="Times New Roman" w:cs="Times New Roman"/>
          <w:kern w:val="0"/>
          <w:lang w:eastAsia="en-GB"/>
          <w14:ligatures w14:val="none"/>
        </w:rPr>
        <w:t xml:space="preserve"> </w:t>
      </w:r>
    </w:p>
    <w:p w14:paraId="31E6A0FC" w14:textId="77777777" w:rsidR="00511B16" w:rsidRPr="00D946C7" w:rsidRDefault="00511B16" w:rsidP="0048554A">
      <w:pPr>
        <w:spacing w:line="360" w:lineRule="auto"/>
        <w:jc w:val="both"/>
        <w:rPr>
          <w:rFonts w:ascii="Arial" w:eastAsia="Times New Roman" w:hAnsi="Arial" w:cs="Arial"/>
          <w:kern w:val="0"/>
          <w:sz w:val="22"/>
          <w:szCs w:val="22"/>
          <w:lang w:eastAsia="en-GB"/>
          <w14:ligatures w14:val="none"/>
        </w:rPr>
      </w:pPr>
      <w:r w:rsidRPr="00D946C7">
        <w:rPr>
          <w:rFonts w:ascii="Arial" w:eastAsia="Times New Roman" w:hAnsi="Arial" w:cs="Arial"/>
          <w:kern w:val="0"/>
          <w:sz w:val="22"/>
          <w:szCs w:val="22"/>
          <w:lang w:eastAsia="en-GB"/>
          <w14:ligatures w14:val="none"/>
        </w:rPr>
        <w:t xml:space="preserve">UK-specific keywords and ethnicity and access terms were added to the search criteria. To reduce superfluous results, filters and Boolean operators were adjusted. Additionally, reference lists were carefully searched to find pertinent studies missed by the original search. A source tracking table was utilised to record my sources </w:t>
      </w:r>
      <w:r>
        <w:rPr>
          <w:rFonts w:ascii="Arial" w:eastAsia="Times New Roman" w:hAnsi="Arial" w:cs="Arial"/>
          <w:kern w:val="0"/>
          <w:sz w:val="22"/>
          <w:szCs w:val="22"/>
          <w:lang w:eastAsia="en-GB"/>
          <w14:ligatures w14:val="none"/>
        </w:rPr>
        <w:t>during</w:t>
      </w:r>
      <w:r w:rsidRPr="00D946C7">
        <w:rPr>
          <w:rFonts w:ascii="Arial" w:eastAsia="Times New Roman" w:hAnsi="Arial" w:cs="Arial"/>
          <w:kern w:val="0"/>
          <w:sz w:val="22"/>
          <w:szCs w:val="22"/>
          <w:lang w:eastAsia="en-GB"/>
          <w14:ligatures w14:val="none"/>
        </w:rPr>
        <w:t xml:space="preserve"> the search.</w:t>
      </w:r>
    </w:p>
    <w:p w14:paraId="77BAA8ED" w14:textId="77777777" w:rsidR="00511B16" w:rsidRPr="00D946C7" w:rsidRDefault="00511B16" w:rsidP="0048554A">
      <w:pPr>
        <w:spacing w:line="360" w:lineRule="auto"/>
        <w:jc w:val="both"/>
        <w:rPr>
          <w:rFonts w:ascii="Arial" w:hAnsi="Arial" w:cs="Arial"/>
          <w:b/>
          <w:bCs/>
          <w:sz w:val="32"/>
          <w:szCs w:val="32"/>
        </w:rPr>
      </w:pPr>
      <w:r w:rsidRPr="00FC422F">
        <w:rPr>
          <w:rFonts w:ascii="Arial" w:hAnsi="Arial" w:cs="Arial"/>
          <w:b/>
          <w:bCs/>
          <w:sz w:val="32"/>
          <w:szCs w:val="32"/>
        </w:rPr>
        <w:t xml:space="preserve">3.4 Research validations </w:t>
      </w:r>
      <w:r w:rsidRPr="00B607F3">
        <w:rPr>
          <w:rFonts w:ascii="Arial" w:hAnsi="Arial" w:cs="Arial"/>
          <w:b/>
          <w:bCs/>
          <w:sz w:val="22"/>
          <w:szCs w:val="22"/>
        </w:rPr>
        <w:t xml:space="preserve"> </w:t>
      </w:r>
      <w:r>
        <w:rPr>
          <w:rFonts w:ascii="Arial" w:hAnsi="Arial" w:cs="Arial"/>
          <w:b/>
          <w:bCs/>
          <w:sz w:val="22"/>
          <w:szCs w:val="22"/>
        </w:rPr>
        <w:t xml:space="preserve"> </w:t>
      </w:r>
      <w:r w:rsidRPr="00B607F3">
        <w:rPr>
          <w:rFonts w:ascii="Arial" w:hAnsi="Arial" w:cs="Arial"/>
          <w:b/>
          <w:bCs/>
          <w:sz w:val="22"/>
          <w:szCs w:val="22"/>
        </w:rPr>
        <w:t xml:space="preserve"> </w:t>
      </w:r>
    </w:p>
    <w:p w14:paraId="4EEF93F1" w14:textId="77777777" w:rsidR="00511B16" w:rsidRDefault="00511B16" w:rsidP="0048554A">
      <w:pPr>
        <w:spacing w:line="360" w:lineRule="auto"/>
        <w:jc w:val="both"/>
        <w:rPr>
          <w:rFonts w:ascii="Arial" w:hAnsi="Arial" w:cs="Arial"/>
          <w:b/>
          <w:bCs/>
          <w:sz w:val="28"/>
          <w:szCs w:val="28"/>
        </w:rPr>
      </w:pPr>
      <w:r w:rsidRPr="00641CB8">
        <w:rPr>
          <w:rFonts w:ascii="Arial" w:hAnsi="Arial" w:cs="Arial"/>
          <w:b/>
          <w:bCs/>
          <w:sz w:val="28"/>
          <w:szCs w:val="28"/>
        </w:rPr>
        <w:t>Skimming techniques</w:t>
      </w:r>
      <w:r>
        <w:rPr>
          <w:rFonts w:ascii="Arial" w:hAnsi="Arial" w:cs="Arial"/>
          <w:b/>
          <w:bCs/>
          <w:sz w:val="28"/>
          <w:szCs w:val="28"/>
        </w:rPr>
        <w:t>:</w:t>
      </w:r>
    </w:p>
    <w:p w14:paraId="580B6A87" w14:textId="77777777" w:rsidR="00511B16" w:rsidRPr="00531B64" w:rsidRDefault="00511B16" w:rsidP="0048554A">
      <w:pPr>
        <w:spacing w:line="360" w:lineRule="auto"/>
        <w:jc w:val="both"/>
        <w:rPr>
          <w:rFonts w:ascii="Arial" w:hAnsi="Arial" w:cs="Arial"/>
          <w:b/>
          <w:bCs/>
          <w:sz w:val="28"/>
          <w:szCs w:val="28"/>
        </w:rPr>
      </w:pPr>
      <w:r w:rsidRPr="00531B64">
        <w:rPr>
          <w:rFonts w:ascii="Arial" w:eastAsia="Times New Roman" w:hAnsi="Arial" w:cs="Arial"/>
          <w:kern w:val="0"/>
          <w:sz w:val="22"/>
          <w:szCs w:val="22"/>
          <w:lang w:eastAsia="en-GB"/>
          <w14:ligatures w14:val="none"/>
        </w:rPr>
        <w:lastRenderedPageBreak/>
        <w:t xml:space="preserve">To assess </w:t>
      </w:r>
      <w:r>
        <w:rPr>
          <w:rFonts w:ascii="Arial" w:eastAsia="Times New Roman" w:hAnsi="Arial" w:cs="Arial"/>
          <w:kern w:val="0"/>
          <w:sz w:val="22"/>
          <w:szCs w:val="22"/>
          <w:lang w:eastAsia="en-GB"/>
          <w14:ligatures w14:val="none"/>
        </w:rPr>
        <w:t xml:space="preserve">the </w:t>
      </w:r>
      <w:r w:rsidRPr="00531B64">
        <w:rPr>
          <w:rFonts w:ascii="Arial" w:eastAsia="Times New Roman" w:hAnsi="Arial" w:cs="Arial"/>
          <w:kern w:val="0"/>
          <w:sz w:val="22"/>
          <w:szCs w:val="22"/>
          <w:lang w:eastAsia="en-GB"/>
          <w14:ligatures w14:val="none"/>
        </w:rPr>
        <w:t>article</w:t>
      </w:r>
      <w:r>
        <w:rPr>
          <w:rFonts w:ascii="Arial" w:eastAsia="Times New Roman" w:hAnsi="Arial" w:cs="Arial"/>
          <w:kern w:val="0"/>
          <w:sz w:val="22"/>
          <w:szCs w:val="22"/>
          <w:lang w:eastAsia="en-GB"/>
          <w14:ligatures w14:val="none"/>
        </w:rPr>
        <w:t>,</w:t>
      </w:r>
      <w:r w:rsidRPr="00531B64">
        <w:rPr>
          <w:rFonts w:ascii="Arial" w:eastAsia="Times New Roman" w:hAnsi="Arial" w:cs="Arial"/>
          <w:kern w:val="0"/>
          <w:sz w:val="22"/>
          <w:szCs w:val="22"/>
          <w:lang w:eastAsia="en-GB"/>
          <w14:ligatures w14:val="none"/>
        </w:rPr>
        <w:t xml:space="preserve"> the abstracts and titles were examined first. The introduction and conclusion were then checked for applicability to UK mental health care and ethnic minorities. Only papers that specifically addressed difficulties were screened in full.</w:t>
      </w:r>
    </w:p>
    <w:p w14:paraId="49029F0D" w14:textId="77777777" w:rsidR="00511B16" w:rsidRPr="00531B64" w:rsidRDefault="00511B16" w:rsidP="0048554A">
      <w:pPr>
        <w:spacing w:line="360" w:lineRule="auto"/>
        <w:jc w:val="both"/>
        <w:rPr>
          <w:rFonts w:ascii="Arial" w:hAnsi="Arial" w:cs="Arial"/>
          <w:b/>
          <w:bCs/>
          <w:sz w:val="22"/>
          <w:szCs w:val="22"/>
        </w:rPr>
      </w:pPr>
    </w:p>
    <w:p w14:paraId="049C7FAE" w14:textId="77777777" w:rsidR="00511B16" w:rsidRDefault="00511B16" w:rsidP="0048554A">
      <w:pPr>
        <w:spacing w:line="360" w:lineRule="auto"/>
        <w:jc w:val="both"/>
        <w:rPr>
          <w:rFonts w:ascii="Arial" w:hAnsi="Arial" w:cs="Arial"/>
          <w:b/>
          <w:bCs/>
          <w:sz w:val="28"/>
          <w:szCs w:val="28"/>
        </w:rPr>
      </w:pPr>
      <w:r w:rsidRPr="00641CB8">
        <w:rPr>
          <w:rFonts w:ascii="Arial" w:hAnsi="Arial" w:cs="Arial"/>
          <w:b/>
          <w:bCs/>
          <w:sz w:val="28"/>
          <w:szCs w:val="28"/>
        </w:rPr>
        <w:t>CRAAP Test application</w:t>
      </w:r>
      <w:r>
        <w:rPr>
          <w:rFonts w:ascii="Arial" w:hAnsi="Arial" w:cs="Arial"/>
          <w:b/>
          <w:bCs/>
          <w:sz w:val="28"/>
          <w:szCs w:val="28"/>
        </w:rPr>
        <w:t>:</w:t>
      </w:r>
    </w:p>
    <w:p w14:paraId="02DAF468" w14:textId="77777777" w:rsidR="00511B16" w:rsidRDefault="00511B16" w:rsidP="0048554A">
      <w:pPr>
        <w:spacing w:after="0" w:line="360" w:lineRule="auto"/>
        <w:jc w:val="both"/>
        <w:rPr>
          <w:rFonts w:ascii="Arial" w:eastAsia="Times New Roman" w:hAnsi="Arial" w:cs="Arial"/>
          <w:kern w:val="0"/>
          <w:sz w:val="22"/>
          <w:szCs w:val="22"/>
          <w:lang w:eastAsia="en-GB"/>
          <w14:ligatures w14:val="none"/>
        </w:rPr>
      </w:pPr>
      <w:r w:rsidRPr="00347818">
        <w:rPr>
          <w:rFonts w:ascii="Arial" w:eastAsia="Times New Roman" w:hAnsi="Arial" w:cs="Arial"/>
          <w:kern w:val="0"/>
          <w:sz w:val="22"/>
          <w:szCs w:val="22"/>
          <w:lang w:eastAsia="en-GB"/>
          <w14:ligatures w14:val="none"/>
        </w:rPr>
        <w:t>Each source's Currency, Relevance, Authority, Accuracy, and Purpose were tested using the CRAAP test to ensure credibility and trustworthiness</w:t>
      </w:r>
      <w:r>
        <w:rPr>
          <w:rFonts w:ascii="Arial" w:eastAsia="Times New Roman" w:hAnsi="Arial" w:cs="Arial"/>
          <w:kern w:val="0"/>
          <w:sz w:val="22"/>
          <w:szCs w:val="22"/>
          <w:lang w:eastAsia="en-GB"/>
          <w14:ligatures w14:val="none"/>
        </w:rPr>
        <w:t>,</w:t>
      </w:r>
      <w:r w:rsidRPr="00806FE3">
        <w:t xml:space="preserve"> </w:t>
      </w:r>
      <w:r>
        <w:t>(</w:t>
      </w:r>
      <w:r w:rsidRPr="00806FE3">
        <w:rPr>
          <w:rFonts w:ascii="Arial" w:eastAsia="Times New Roman" w:hAnsi="Arial" w:cs="Arial"/>
          <w:kern w:val="0"/>
          <w:sz w:val="22"/>
          <w:szCs w:val="22"/>
          <w:lang w:eastAsia="en-GB"/>
          <w14:ligatures w14:val="none"/>
        </w:rPr>
        <w:t xml:space="preserve">See appendix </w:t>
      </w:r>
      <w:r>
        <w:rPr>
          <w:rFonts w:ascii="Arial" w:eastAsia="Times New Roman" w:hAnsi="Arial" w:cs="Arial"/>
          <w:kern w:val="0"/>
          <w:sz w:val="22"/>
          <w:szCs w:val="22"/>
          <w:lang w:eastAsia="en-GB"/>
          <w14:ligatures w14:val="none"/>
        </w:rPr>
        <w:t>1 for source tracking table)</w:t>
      </w:r>
      <w:r w:rsidRPr="00347818">
        <w:rPr>
          <w:rFonts w:ascii="Arial" w:eastAsia="Times New Roman" w:hAnsi="Arial" w:cs="Arial"/>
          <w:kern w:val="0"/>
          <w:sz w:val="22"/>
          <w:szCs w:val="22"/>
          <w:lang w:eastAsia="en-GB"/>
          <w14:ligatures w14:val="none"/>
        </w:rPr>
        <w:t>. Only current, peer-reviewed, contextually relevant studies were selected. This thorough review improved research clarity and credibility</w:t>
      </w:r>
      <w:r>
        <w:rPr>
          <w:rFonts w:ascii="Arial" w:eastAsia="Times New Roman" w:hAnsi="Arial" w:cs="Arial"/>
          <w:kern w:val="0"/>
          <w:sz w:val="22"/>
          <w:szCs w:val="22"/>
          <w:lang w:eastAsia="en-GB"/>
          <w14:ligatures w14:val="none"/>
        </w:rPr>
        <w:t xml:space="preserve"> </w:t>
      </w:r>
      <w:bookmarkStart w:id="5" w:name="_Hlk212977138"/>
      <w:r>
        <w:rPr>
          <w:rFonts w:ascii="Arial" w:eastAsia="Times New Roman" w:hAnsi="Arial" w:cs="Arial"/>
          <w:kern w:val="0"/>
          <w:sz w:val="22"/>
          <w:szCs w:val="22"/>
          <w:lang w:eastAsia="en-GB"/>
          <w14:ligatures w14:val="none"/>
        </w:rPr>
        <w:t>(Avery, 2019).</w:t>
      </w:r>
      <w:r w:rsidRPr="00531B64">
        <w:rPr>
          <w:rFonts w:ascii="Arial" w:eastAsia="Times New Roman" w:hAnsi="Arial" w:cs="Arial"/>
          <w:kern w:val="0"/>
          <w:sz w:val="22"/>
          <w:szCs w:val="22"/>
          <w:lang w:eastAsia="en-GB"/>
          <w14:ligatures w14:val="none"/>
        </w:rPr>
        <w:t xml:space="preserve"> </w:t>
      </w:r>
      <w:bookmarkEnd w:id="5"/>
      <w:r w:rsidRPr="00B83B29">
        <w:rPr>
          <w:rFonts w:ascii="Arial" w:eastAsia="Times New Roman" w:hAnsi="Arial" w:cs="Arial"/>
          <w:kern w:val="0"/>
          <w:sz w:val="22"/>
          <w:szCs w:val="22"/>
          <w:lang w:eastAsia="en-GB"/>
          <w14:ligatures w14:val="none"/>
        </w:rPr>
        <w:t>Not all sources matched all five CRAAP criteria, but those with strong relevance, authority, and accuracy were prioritised for trustworthy and reliable evidence</w:t>
      </w:r>
      <w:r>
        <w:rPr>
          <w:rFonts w:ascii="Arial" w:eastAsia="Times New Roman" w:hAnsi="Arial" w:cs="Arial"/>
          <w:kern w:val="0"/>
          <w:sz w:val="22"/>
          <w:szCs w:val="22"/>
          <w:lang w:eastAsia="en-GB"/>
          <w14:ligatures w14:val="none"/>
        </w:rPr>
        <w:t xml:space="preserve"> </w:t>
      </w:r>
      <w:r w:rsidRPr="00B83B29">
        <w:rPr>
          <w:rFonts w:ascii="Arial" w:eastAsia="Times New Roman" w:hAnsi="Arial" w:cs="Arial"/>
          <w:kern w:val="0"/>
          <w:sz w:val="22"/>
          <w:szCs w:val="22"/>
          <w:lang w:eastAsia="en-GB"/>
          <w14:ligatures w14:val="none"/>
        </w:rPr>
        <w:t>(Avery, 2019).</w:t>
      </w:r>
    </w:p>
    <w:p w14:paraId="24DEE41E" w14:textId="77777777" w:rsidR="00511B16" w:rsidRDefault="00511B16" w:rsidP="0048554A">
      <w:pPr>
        <w:spacing w:after="0" w:line="360" w:lineRule="auto"/>
        <w:jc w:val="both"/>
        <w:rPr>
          <w:rFonts w:ascii="Arial" w:eastAsia="Times New Roman" w:hAnsi="Arial" w:cs="Arial"/>
          <w:kern w:val="0"/>
          <w:sz w:val="22"/>
          <w:szCs w:val="22"/>
          <w:lang w:eastAsia="en-GB"/>
          <w14:ligatures w14:val="none"/>
        </w:rPr>
      </w:pPr>
    </w:p>
    <w:p w14:paraId="15E21E6E" w14:textId="77777777" w:rsidR="00511B16" w:rsidRPr="007F3790" w:rsidRDefault="00511B16" w:rsidP="0048554A">
      <w:pPr>
        <w:spacing w:after="0" w:line="360" w:lineRule="auto"/>
        <w:jc w:val="both"/>
        <w:rPr>
          <w:rFonts w:ascii="Arial" w:eastAsia="Times New Roman" w:hAnsi="Arial" w:cs="Arial"/>
          <w:kern w:val="0"/>
          <w:sz w:val="22"/>
          <w:szCs w:val="22"/>
          <w:lang w:eastAsia="en-GB"/>
          <w14:ligatures w14:val="none"/>
        </w:rPr>
      </w:pPr>
      <w:r w:rsidRPr="00641CB8">
        <w:rPr>
          <w:rFonts w:ascii="Arial" w:hAnsi="Arial" w:cs="Arial"/>
          <w:b/>
          <w:bCs/>
          <w:sz w:val="28"/>
          <w:szCs w:val="28"/>
        </w:rPr>
        <w:t>Decision making</w:t>
      </w:r>
      <w:r>
        <w:rPr>
          <w:rFonts w:ascii="Arial" w:hAnsi="Arial" w:cs="Arial"/>
          <w:b/>
          <w:bCs/>
          <w:sz w:val="28"/>
          <w:szCs w:val="28"/>
        </w:rPr>
        <w:t>:</w:t>
      </w:r>
    </w:p>
    <w:p w14:paraId="1EB6300A" w14:textId="77777777" w:rsidR="00511B16" w:rsidRDefault="00511B16" w:rsidP="0048554A">
      <w:pPr>
        <w:spacing w:line="360" w:lineRule="auto"/>
        <w:jc w:val="both"/>
        <w:rPr>
          <w:rFonts w:ascii="Arial" w:hAnsi="Arial" w:cs="Arial"/>
          <w:sz w:val="22"/>
          <w:szCs w:val="22"/>
        </w:rPr>
      </w:pPr>
      <w:r>
        <w:rPr>
          <w:rFonts w:ascii="Arial" w:hAnsi="Arial" w:cs="Arial"/>
          <w:sz w:val="22"/>
          <w:szCs w:val="22"/>
        </w:rPr>
        <w:t xml:space="preserve">The </w:t>
      </w:r>
      <w:r w:rsidRPr="004854C0">
        <w:rPr>
          <w:rFonts w:ascii="Arial" w:hAnsi="Arial" w:cs="Arial"/>
          <w:sz w:val="22"/>
          <w:szCs w:val="22"/>
        </w:rPr>
        <w:t>source's dependability</w:t>
      </w:r>
      <w:r>
        <w:rPr>
          <w:rFonts w:ascii="Arial" w:hAnsi="Arial" w:cs="Arial"/>
          <w:sz w:val="22"/>
          <w:szCs w:val="22"/>
        </w:rPr>
        <w:t xml:space="preserve"> was assessed</w:t>
      </w:r>
      <w:r w:rsidRPr="004854C0">
        <w:rPr>
          <w:rFonts w:ascii="Arial" w:hAnsi="Arial" w:cs="Arial"/>
          <w:sz w:val="22"/>
          <w:szCs w:val="22"/>
        </w:rPr>
        <w:t xml:space="preserve"> by verifying its status as a peer-reviewed journal paper published within the time frame shown by Memon et al., (2016).  </w:t>
      </w:r>
      <w:r>
        <w:rPr>
          <w:rFonts w:ascii="Arial" w:hAnsi="Arial" w:cs="Arial"/>
          <w:sz w:val="22"/>
          <w:szCs w:val="22"/>
        </w:rPr>
        <w:t>T</w:t>
      </w:r>
      <w:r w:rsidRPr="004854C0">
        <w:rPr>
          <w:rFonts w:ascii="Arial" w:hAnsi="Arial" w:cs="Arial"/>
          <w:sz w:val="22"/>
          <w:szCs w:val="22"/>
        </w:rPr>
        <w:t xml:space="preserve">he author's qualifications, research methodologies, and pertinence to the UK context </w:t>
      </w:r>
      <w:r>
        <w:rPr>
          <w:rFonts w:ascii="Arial" w:hAnsi="Arial" w:cs="Arial"/>
          <w:sz w:val="22"/>
          <w:szCs w:val="22"/>
        </w:rPr>
        <w:t xml:space="preserve">was assessed </w:t>
      </w:r>
      <w:r w:rsidRPr="004854C0">
        <w:rPr>
          <w:rFonts w:ascii="Arial" w:hAnsi="Arial" w:cs="Arial"/>
          <w:sz w:val="22"/>
          <w:szCs w:val="22"/>
        </w:rPr>
        <w:t>to verify the evidence's credibility and appropriateness for inclusion.</w:t>
      </w:r>
    </w:p>
    <w:p w14:paraId="4E5DAD73" w14:textId="77777777" w:rsidR="00511B16" w:rsidRPr="006209B7" w:rsidRDefault="00511B16" w:rsidP="0048554A">
      <w:pPr>
        <w:spacing w:line="360" w:lineRule="auto"/>
        <w:jc w:val="both"/>
        <w:rPr>
          <w:rFonts w:ascii="Arial" w:hAnsi="Arial" w:cs="Arial"/>
          <w:b/>
          <w:bCs/>
          <w:sz w:val="32"/>
          <w:szCs w:val="32"/>
        </w:rPr>
      </w:pPr>
      <w:r w:rsidRPr="006209B7">
        <w:rPr>
          <w:rFonts w:ascii="Arial" w:hAnsi="Arial" w:cs="Arial"/>
          <w:b/>
          <w:bCs/>
          <w:sz w:val="32"/>
          <w:szCs w:val="32"/>
        </w:rPr>
        <w:t>3.5 inclusion and exclusion criteria</w:t>
      </w:r>
    </w:p>
    <w:p w14:paraId="7AD3E8FE" w14:textId="77777777" w:rsidR="00511B16" w:rsidRPr="006209B7" w:rsidRDefault="00511B16" w:rsidP="0048554A">
      <w:pPr>
        <w:spacing w:line="360" w:lineRule="auto"/>
        <w:jc w:val="both"/>
        <w:rPr>
          <w:rFonts w:ascii="Arial" w:eastAsia="Times New Roman" w:hAnsi="Arial" w:cs="Arial"/>
          <w:kern w:val="0"/>
          <w:lang w:eastAsia="en-GB"/>
          <w14:ligatures w14:val="none"/>
        </w:rPr>
      </w:pPr>
      <w:r w:rsidRPr="006209B7">
        <w:rPr>
          <w:rFonts w:ascii="Arial" w:hAnsi="Arial" w:cs="Arial"/>
          <w:b/>
          <w:bCs/>
          <w:sz w:val="28"/>
          <w:szCs w:val="28"/>
        </w:rPr>
        <w:t>Inclusion criteria</w:t>
      </w:r>
      <w:r w:rsidRPr="006209B7">
        <w:rPr>
          <w:rFonts w:ascii="Arial" w:eastAsia="Times New Roman" w:hAnsi="Arial" w:cs="Arial"/>
          <w:b/>
          <w:bCs/>
          <w:kern w:val="0"/>
          <w:lang w:eastAsia="en-GB"/>
          <w14:ligatures w14:val="none"/>
        </w:rPr>
        <w:t>:</w:t>
      </w:r>
    </w:p>
    <w:p w14:paraId="2E9E5EC5" w14:textId="77777777" w:rsidR="00511B16" w:rsidRPr="006209B7" w:rsidRDefault="00511B16" w:rsidP="0048554A">
      <w:pPr>
        <w:pStyle w:val="ListParagraph"/>
        <w:numPr>
          <w:ilvl w:val="0"/>
          <w:numId w:val="19"/>
        </w:numPr>
        <w:spacing w:line="360" w:lineRule="auto"/>
        <w:jc w:val="both"/>
        <w:rPr>
          <w:rFonts w:ascii="Arial" w:eastAsia="Times New Roman" w:hAnsi="Arial" w:cs="Arial"/>
          <w:kern w:val="0"/>
          <w:lang w:eastAsia="en-GB"/>
          <w14:ligatures w14:val="none"/>
        </w:rPr>
      </w:pPr>
      <w:r w:rsidRPr="006209B7">
        <w:rPr>
          <w:rFonts w:ascii="Arial" w:eastAsia="Times New Roman" w:hAnsi="Arial" w:cs="Arial"/>
          <w:kern w:val="0"/>
          <w:sz w:val="22"/>
          <w:szCs w:val="22"/>
          <w:lang w:eastAsia="en-GB"/>
          <w14:ligatures w14:val="none"/>
        </w:rPr>
        <w:t>Research published in English mostly from 2010 until 2025.</w:t>
      </w:r>
    </w:p>
    <w:p w14:paraId="0CA68735" w14:textId="77777777" w:rsidR="00511B16" w:rsidRPr="006209B7" w:rsidRDefault="00511B16" w:rsidP="0048554A">
      <w:pPr>
        <w:pStyle w:val="ListParagraph"/>
        <w:numPr>
          <w:ilvl w:val="0"/>
          <w:numId w:val="19"/>
        </w:numPr>
        <w:spacing w:line="360" w:lineRule="auto"/>
        <w:jc w:val="both"/>
        <w:rPr>
          <w:rFonts w:ascii="Arial" w:eastAsia="Times New Roman" w:hAnsi="Arial" w:cs="Arial"/>
          <w:kern w:val="0"/>
          <w:lang w:eastAsia="en-GB"/>
          <w14:ligatures w14:val="none"/>
        </w:rPr>
      </w:pPr>
      <w:r w:rsidRPr="006209B7">
        <w:rPr>
          <w:rFonts w:ascii="Arial" w:eastAsia="Times New Roman" w:hAnsi="Arial" w:cs="Arial"/>
          <w:kern w:val="0"/>
          <w:sz w:val="22"/>
          <w:szCs w:val="22"/>
          <w:lang w:eastAsia="en-GB"/>
          <w14:ligatures w14:val="none"/>
        </w:rPr>
        <w:t xml:space="preserve">Research undertaken within the UK context. </w:t>
      </w:r>
    </w:p>
    <w:p w14:paraId="6B9DB559" w14:textId="77777777" w:rsidR="00511B16" w:rsidRPr="006209B7" w:rsidRDefault="00511B16" w:rsidP="0048554A">
      <w:pPr>
        <w:pStyle w:val="ListParagraph"/>
        <w:numPr>
          <w:ilvl w:val="0"/>
          <w:numId w:val="19"/>
        </w:numPr>
        <w:spacing w:line="360" w:lineRule="auto"/>
        <w:jc w:val="both"/>
        <w:rPr>
          <w:rFonts w:ascii="Arial" w:eastAsia="Times New Roman" w:hAnsi="Arial" w:cs="Arial"/>
          <w:kern w:val="0"/>
          <w:lang w:eastAsia="en-GB"/>
          <w14:ligatures w14:val="none"/>
        </w:rPr>
      </w:pPr>
      <w:r w:rsidRPr="006209B7">
        <w:rPr>
          <w:rFonts w:ascii="Arial" w:eastAsia="Times New Roman" w:hAnsi="Arial" w:cs="Arial"/>
          <w:kern w:val="0"/>
          <w:sz w:val="22"/>
          <w:szCs w:val="22"/>
          <w:lang w:eastAsia="en-GB"/>
          <w14:ligatures w14:val="none"/>
        </w:rPr>
        <w:t xml:space="preserve">Research concentrated on ethnic minority groups, such as Black, Asian, and other minority ethnic populations. </w:t>
      </w:r>
    </w:p>
    <w:p w14:paraId="1C4300E9" w14:textId="77777777" w:rsidR="00511B16" w:rsidRPr="006209B7" w:rsidRDefault="00511B16" w:rsidP="0048554A">
      <w:pPr>
        <w:pStyle w:val="ListParagraph"/>
        <w:numPr>
          <w:ilvl w:val="0"/>
          <w:numId w:val="19"/>
        </w:numPr>
        <w:spacing w:line="360" w:lineRule="auto"/>
        <w:jc w:val="both"/>
        <w:rPr>
          <w:rFonts w:ascii="Arial" w:eastAsia="Times New Roman" w:hAnsi="Arial" w:cs="Arial"/>
          <w:kern w:val="0"/>
          <w:lang w:eastAsia="en-GB"/>
          <w14:ligatures w14:val="none"/>
        </w:rPr>
      </w:pPr>
      <w:r w:rsidRPr="006209B7">
        <w:rPr>
          <w:rFonts w:ascii="Arial" w:eastAsia="Times New Roman" w:hAnsi="Arial" w:cs="Arial"/>
          <w:kern w:val="0"/>
          <w:sz w:val="22"/>
          <w:szCs w:val="22"/>
          <w:lang w:eastAsia="en-GB"/>
          <w14:ligatures w14:val="none"/>
        </w:rPr>
        <w:t xml:space="preserve">Research examining obstacles to obtaining mental health services. </w:t>
      </w:r>
    </w:p>
    <w:p w14:paraId="51869B92" w14:textId="77777777" w:rsidR="00511B16" w:rsidRPr="006209B7" w:rsidRDefault="00511B16" w:rsidP="0048554A">
      <w:pPr>
        <w:pStyle w:val="ListParagraph"/>
        <w:numPr>
          <w:ilvl w:val="0"/>
          <w:numId w:val="19"/>
        </w:numPr>
        <w:spacing w:line="360" w:lineRule="auto"/>
        <w:jc w:val="both"/>
        <w:rPr>
          <w:rFonts w:ascii="Arial" w:eastAsia="Times New Roman" w:hAnsi="Arial" w:cs="Arial"/>
          <w:kern w:val="0"/>
          <w:lang w:eastAsia="en-GB"/>
          <w14:ligatures w14:val="none"/>
        </w:rPr>
      </w:pPr>
      <w:r w:rsidRPr="006209B7">
        <w:rPr>
          <w:rFonts w:ascii="Arial" w:eastAsia="Times New Roman" w:hAnsi="Arial" w:cs="Arial"/>
          <w:kern w:val="0"/>
          <w:sz w:val="22"/>
          <w:szCs w:val="22"/>
          <w:lang w:eastAsia="en-GB"/>
          <w14:ligatures w14:val="none"/>
        </w:rPr>
        <w:t>Articles from peer-reviewed journals, systematic reviews, and governmental reports.</w:t>
      </w:r>
    </w:p>
    <w:p w14:paraId="340B2155" w14:textId="77777777" w:rsidR="00511B16" w:rsidRPr="006209B7" w:rsidRDefault="00511B16" w:rsidP="0048554A">
      <w:pPr>
        <w:spacing w:line="360" w:lineRule="auto"/>
        <w:jc w:val="both"/>
        <w:rPr>
          <w:rFonts w:ascii="Arial" w:hAnsi="Arial" w:cs="Arial"/>
          <w:b/>
          <w:bCs/>
          <w:sz w:val="28"/>
          <w:szCs w:val="28"/>
        </w:rPr>
      </w:pPr>
      <w:r w:rsidRPr="006209B7">
        <w:rPr>
          <w:rFonts w:ascii="Arial" w:hAnsi="Arial" w:cs="Arial"/>
          <w:b/>
          <w:bCs/>
          <w:sz w:val="28"/>
          <w:szCs w:val="28"/>
        </w:rPr>
        <w:t xml:space="preserve"> Exclusion criteria:</w:t>
      </w:r>
    </w:p>
    <w:p w14:paraId="2A0A85EF" w14:textId="77777777" w:rsidR="00511B16" w:rsidRPr="006209B7" w:rsidRDefault="00511B16" w:rsidP="0048554A">
      <w:pPr>
        <w:pStyle w:val="ListParagraph"/>
        <w:numPr>
          <w:ilvl w:val="0"/>
          <w:numId w:val="18"/>
        </w:numPr>
        <w:spacing w:line="360" w:lineRule="auto"/>
        <w:jc w:val="both"/>
        <w:rPr>
          <w:rFonts w:ascii="Arial" w:hAnsi="Arial" w:cs="Arial"/>
          <w:sz w:val="22"/>
          <w:szCs w:val="22"/>
        </w:rPr>
      </w:pPr>
      <w:r w:rsidRPr="006209B7">
        <w:rPr>
          <w:rFonts w:ascii="Arial" w:hAnsi="Arial" w:cs="Arial"/>
          <w:sz w:val="22"/>
          <w:szCs w:val="22"/>
        </w:rPr>
        <w:t>Research on populations outside of the United Kingdom.</w:t>
      </w:r>
    </w:p>
    <w:p w14:paraId="70C0E34F" w14:textId="77777777" w:rsidR="00511B16" w:rsidRPr="006209B7" w:rsidRDefault="00511B16" w:rsidP="0048554A">
      <w:pPr>
        <w:pStyle w:val="ListParagraph"/>
        <w:numPr>
          <w:ilvl w:val="0"/>
          <w:numId w:val="18"/>
        </w:numPr>
        <w:spacing w:line="360" w:lineRule="auto"/>
        <w:jc w:val="both"/>
        <w:rPr>
          <w:rFonts w:ascii="Arial" w:hAnsi="Arial" w:cs="Arial"/>
          <w:sz w:val="22"/>
          <w:szCs w:val="22"/>
        </w:rPr>
      </w:pPr>
      <w:r w:rsidRPr="006209B7">
        <w:rPr>
          <w:rFonts w:ascii="Arial" w:hAnsi="Arial" w:cs="Arial"/>
          <w:sz w:val="22"/>
          <w:szCs w:val="22"/>
        </w:rPr>
        <w:t>Studies that focus more on physical health services than mental health.</w:t>
      </w:r>
    </w:p>
    <w:p w14:paraId="32DD4476" w14:textId="77777777" w:rsidR="00511B16" w:rsidRPr="006209B7" w:rsidRDefault="00511B16" w:rsidP="0048554A">
      <w:pPr>
        <w:pStyle w:val="ListParagraph"/>
        <w:numPr>
          <w:ilvl w:val="0"/>
          <w:numId w:val="18"/>
        </w:numPr>
        <w:spacing w:line="360" w:lineRule="auto"/>
        <w:jc w:val="both"/>
        <w:rPr>
          <w:rFonts w:ascii="Arial" w:hAnsi="Arial" w:cs="Arial"/>
          <w:sz w:val="22"/>
          <w:szCs w:val="22"/>
        </w:rPr>
      </w:pPr>
      <w:r w:rsidRPr="006209B7">
        <w:rPr>
          <w:rFonts w:ascii="Arial" w:hAnsi="Arial" w:cs="Arial"/>
          <w:sz w:val="22"/>
          <w:szCs w:val="22"/>
        </w:rPr>
        <w:t>Full-text articles are not available.</w:t>
      </w:r>
    </w:p>
    <w:p w14:paraId="6D9838F5" w14:textId="77777777" w:rsidR="00511B16" w:rsidRPr="006209B7" w:rsidRDefault="00511B16" w:rsidP="0048554A">
      <w:pPr>
        <w:pStyle w:val="ListParagraph"/>
        <w:numPr>
          <w:ilvl w:val="0"/>
          <w:numId w:val="18"/>
        </w:numPr>
        <w:spacing w:line="360" w:lineRule="auto"/>
        <w:jc w:val="both"/>
        <w:rPr>
          <w:rFonts w:ascii="Arial" w:hAnsi="Arial" w:cs="Arial"/>
          <w:sz w:val="22"/>
          <w:szCs w:val="22"/>
        </w:rPr>
      </w:pPr>
      <w:r w:rsidRPr="006209B7">
        <w:rPr>
          <w:rFonts w:ascii="Arial" w:hAnsi="Arial" w:cs="Arial"/>
          <w:sz w:val="22"/>
          <w:szCs w:val="22"/>
        </w:rPr>
        <w:t>Studies that lack enough information for analysis or have unclear methods.</w:t>
      </w:r>
    </w:p>
    <w:p w14:paraId="03CE03E5" w14:textId="77777777" w:rsidR="00511B16" w:rsidRPr="006209B7" w:rsidRDefault="00511B16" w:rsidP="0048554A">
      <w:pPr>
        <w:pStyle w:val="ListParagraph"/>
        <w:spacing w:line="360" w:lineRule="auto"/>
        <w:jc w:val="both"/>
        <w:rPr>
          <w:rFonts w:ascii="Arial" w:hAnsi="Arial" w:cs="Arial"/>
          <w:sz w:val="22"/>
          <w:szCs w:val="22"/>
        </w:rPr>
      </w:pPr>
    </w:p>
    <w:p w14:paraId="11782975" w14:textId="77777777" w:rsidR="00511B16" w:rsidRPr="006209B7" w:rsidRDefault="00511B16" w:rsidP="0048554A">
      <w:pPr>
        <w:spacing w:line="360" w:lineRule="auto"/>
        <w:jc w:val="both"/>
        <w:rPr>
          <w:rFonts w:ascii="Arial" w:hAnsi="Arial" w:cs="Arial"/>
          <w:b/>
          <w:bCs/>
          <w:sz w:val="28"/>
          <w:szCs w:val="28"/>
        </w:rPr>
      </w:pPr>
      <w:r w:rsidRPr="006209B7">
        <w:rPr>
          <w:rFonts w:ascii="Arial" w:hAnsi="Arial" w:cs="Arial"/>
          <w:b/>
          <w:bCs/>
          <w:sz w:val="28"/>
          <w:szCs w:val="28"/>
        </w:rPr>
        <w:lastRenderedPageBreak/>
        <w:t>Justification:</w:t>
      </w:r>
    </w:p>
    <w:p w14:paraId="49DB28FF" w14:textId="77777777" w:rsidR="00511B16" w:rsidRPr="006209B7" w:rsidRDefault="00511B16" w:rsidP="0048554A">
      <w:pPr>
        <w:spacing w:after="0" w:line="360" w:lineRule="auto"/>
        <w:jc w:val="both"/>
        <w:rPr>
          <w:rFonts w:ascii="Arial" w:eastAsia="Times New Roman" w:hAnsi="Arial" w:cs="Arial"/>
          <w:kern w:val="0"/>
          <w:sz w:val="22"/>
          <w:szCs w:val="22"/>
          <w:lang w:eastAsia="en-GB"/>
          <w14:ligatures w14:val="none"/>
        </w:rPr>
      </w:pPr>
      <w:r w:rsidRPr="006209B7">
        <w:rPr>
          <w:rFonts w:ascii="Arial" w:eastAsia="Times New Roman" w:hAnsi="Arial" w:cs="Arial"/>
          <w:kern w:val="0"/>
          <w:sz w:val="22"/>
          <w:szCs w:val="22"/>
          <w:lang w:eastAsia="en-GB"/>
          <w14:ligatures w14:val="none"/>
        </w:rPr>
        <w:t>By including only recent, reputable, and directly relevant studies, these criteria-maintained focus and quality. This eliminated the use of old or non-UK evidence and unreliable or biassed sources, reinforcing conclusions and ensuring the review met its study goals.</w:t>
      </w:r>
    </w:p>
    <w:p w14:paraId="77C0A104" w14:textId="77777777" w:rsidR="00511B16" w:rsidRPr="006209B7" w:rsidRDefault="00511B16" w:rsidP="0048554A">
      <w:pPr>
        <w:spacing w:after="0" w:line="360" w:lineRule="auto"/>
        <w:jc w:val="both"/>
        <w:rPr>
          <w:rFonts w:ascii="Arial" w:eastAsia="Times New Roman" w:hAnsi="Arial" w:cs="Arial"/>
          <w:kern w:val="0"/>
          <w:sz w:val="22"/>
          <w:szCs w:val="22"/>
          <w:lang w:eastAsia="en-GB"/>
          <w14:ligatures w14:val="none"/>
        </w:rPr>
      </w:pPr>
    </w:p>
    <w:p w14:paraId="33EE0340" w14:textId="77777777" w:rsidR="00511B16" w:rsidRDefault="00511B16" w:rsidP="0048554A">
      <w:pPr>
        <w:spacing w:line="360" w:lineRule="auto"/>
        <w:jc w:val="both"/>
        <w:rPr>
          <w:rFonts w:ascii="Arial" w:hAnsi="Arial" w:cs="Arial"/>
          <w:b/>
          <w:bCs/>
          <w:sz w:val="32"/>
          <w:szCs w:val="32"/>
        </w:rPr>
      </w:pPr>
      <w:r w:rsidRPr="006209B7">
        <w:rPr>
          <w:rFonts w:ascii="Arial" w:hAnsi="Arial" w:cs="Arial"/>
          <w:b/>
          <w:bCs/>
          <w:sz w:val="32"/>
          <w:szCs w:val="32"/>
        </w:rPr>
        <w:t xml:space="preserve">3.6 Analysing Research </w:t>
      </w:r>
    </w:p>
    <w:p w14:paraId="4CFF7E33" w14:textId="77777777" w:rsidR="00511B16" w:rsidRPr="006209B7" w:rsidRDefault="00511B16" w:rsidP="0048554A">
      <w:pPr>
        <w:spacing w:line="360" w:lineRule="auto"/>
        <w:jc w:val="both"/>
        <w:rPr>
          <w:rFonts w:ascii="Arial" w:hAnsi="Arial" w:cs="Arial"/>
          <w:b/>
          <w:bCs/>
          <w:sz w:val="32"/>
          <w:szCs w:val="32"/>
        </w:rPr>
      </w:pPr>
      <w:r w:rsidRPr="006209B7">
        <w:rPr>
          <w:rFonts w:ascii="Arial" w:hAnsi="Arial" w:cs="Arial"/>
          <w:b/>
          <w:bCs/>
          <w:sz w:val="28"/>
          <w:szCs w:val="28"/>
        </w:rPr>
        <w:t>Thematic coding Approach</w:t>
      </w:r>
    </w:p>
    <w:p w14:paraId="00993D1A" w14:textId="77777777" w:rsidR="00511B16" w:rsidRPr="006209B7" w:rsidRDefault="00511B16" w:rsidP="0048554A">
      <w:pPr>
        <w:spacing w:line="360" w:lineRule="auto"/>
        <w:jc w:val="both"/>
        <w:rPr>
          <w:rFonts w:ascii="Arial" w:hAnsi="Arial" w:cs="Arial"/>
          <w:sz w:val="22"/>
          <w:szCs w:val="22"/>
        </w:rPr>
      </w:pPr>
      <w:r w:rsidRPr="006209B7">
        <w:rPr>
          <w:rFonts w:ascii="Arial" w:hAnsi="Arial" w:cs="Arial"/>
          <w:sz w:val="22"/>
          <w:szCs w:val="22"/>
        </w:rPr>
        <w:t xml:space="preserve">Each article was carefully examined using a thematic approach to find </w:t>
      </w:r>
      <w:r>
        <w:rPr>
          <w:rFonts w:ascii="Arial" w:hAnsi="Arial" w:cs="Arial"/>
          <w:sz w:val="22"/>
          <w:szCs w:val="22"/>
        </w:rPr>
        <w:t xml:space="preserve">barrier </w:t>
      </w:r>
      <w:r w:rsidRPr="006209B7">
        <w:rPr>
          <w:rFonts w:ascii="Arial" w:hAnsi="Arial" w:cs="Arial"/>
          <w:sz w:val="22"/>
          <w:szCs w:val="22"/>
        </w:rPr>
        <w:t xml:space="preserve">related themes, subjects, and keywords. Initial classifications were based on recurring themes like stigma, cultural </w:t>
      </w:r>
      <w:r>
        <w:rPr>
          <w:rFonts w:ascii="Arial" w:hAnsi="Arial" w:cs="Arial"/>
          <w:sz w:val="22"/>
          <w:szCs w:val="22"/>
        </w:rPr>
        <w:t>competence</w:t>
      </w:r>
      <w:r w:rsidRPr="006209B7">
        <w:rPr>
          <w:rFonts w:ascii="Arial" w:hAnsi="Arial" w:cs="Arial"/>
          <w:sz w:val="22"/>
          <w:szCs w:val="22"/>
        </w:rPr>
        <w:t>, l</w:t>
      </w:r>
      <w:r>
        <w:rPr>
          <w:rFonts w:ascii="Arial" w:hAnsi="Arial" w:cs="Arial"/>
          <w:sz w:val="22"/>
          <w:szCs w:val="22"/>
        </w:rPr>
        <w:t>anguage</w:t>
      </w:r>
      <w:r w:rsidRPr="006209B7">
        <w:rPr>
          <w:rFonts w:ascii="Arial" w:hAnsi="Arial" w:cs="Arial"/>
          <w:sz w:val="22"/>
          <w:szCs w:val="22"/>
        </w:rPr>
        <w:t xml:space="preserve"> barriers, and restricted access to organise and categorise similar findings across the investigation (Aveyard, 2019).</w:t>
      </w:r>
      <w:r>
        <w:rPr>
          <w:rFonts w:ascii="Arial" w:hAnsi="Arial" w:cs="Arial"/>
          <w:sz w:val="22"/>
          <w:szCs w:val="22"/>
        </w:rPr>
        <w:t xml:space="preserve"> These all link to the research objectives in this research.</w:t>
      </w:r>
    </w:p>
    <w:p w14:paraId="11C9C85E" w14:textId="77777777" w:rsidR="00511B16" w:rsidRPr="006209B7" w:rsidRDefault="00511B16" w:rsidP="0048554A">
      <w:pPr>
        <w:spacing w:line="360" w:lineRule="auto"/>
        <w:jc w:val="both"/>
        <w:rPr>
          <w:rFonts w:ascii="Arial" w:hAnsi="Arial" w:cs="Arial"/>
          <w:b/>
          <w:bCs/>
          <w:sz w:val="28"/>
          <w:szCs w:val="28"/>
        </w:rPr>
      </w:pPr>
      <w:r w:rsidRPr="006209B7">
        <w:rPr>
          <w:rFonts w:ascii="Arial" w:hAnsi="Arial" w:cs="Arial"/>
          <w:b/>
          <w:bCs/>
          <w:sz w:val="28"/>
          <w:szCs w:val="28"/>
        </w:rPr>
        <w:t>Development Themes</w:t>
      </w:r>
      <w:r>
        <w:rPr>
          <w:rFonts w:ascii="Arial" w:hAnsi="Arial" w:cs="Arial"/>
          <w:b/>
          <w:bCs/>
          <w:sz w:val="28"/>
          <w:szCs w:val="28"/>
        </w:rPr>
        <w:t>:</w:t>
      </w:r>
    </w:p>
    <w:p w14:paraId="0518814A" w14:textId="74625F0D" w:rsidR="00511B16" w:rsidRPr="006209B7" w:rsidRDefault="00511B16" w:rsidP="0048554A">
      <w:pPr>
        <w:spacing w:line="360" w:lineRule="auto"/>
        <w:jc w:val="both"/>
        <w:rPr>
          <w:rFonts w:ascii="Arial" w:eastAsia="Times New Roman" w:hAnsi="Arial" w:cs="Arial"/>
          <w:kern w:val="0"/>
          <w:sz w:val="22"/>
          <w:szCs w:val="22"/>
          <w:lang w:eastAsia="en-GB"/>
          <w14:ligatures w14:val="none"/>
        </w:rPr>
      </w:pPr>
      <w:r w:rsidRPr="006209B7">
        <w:rPr>
          <w:rFonts w:ascii="Arial" w:eastAsia="Times New Roman" w:hAnsi="Arial" w:cs="Arial"/>
          <w:kern w:val="0"/>
          <w:sz w:val="22"/>
          <w:szCs w:val="22"/>
          <w:lang w:eastAsia="en-GB"/>
          <w14:ligatures w14:val="none"/>
        </w:rPr>
        <w:t>The research topic and goals guided the categorisation of comparable</w:t>
      </w:r>
      <w:r>
        <w:rPr>
          <w:rFonts w:ascii="Arial" w:eastAsia="Times New Roman" w:hAnsi="Arial" w:cs="Arial"/>
          <w:kern w:val="0"/>
          <w:sz w:val="22"/>
          <w:szCs w:val="22"/>
          <w:lang w:eastAsia="en-GB"/>
          <w14:ligatures w14:val="none"/>
        </w:rPr>
        <w:t xml:space="preserve"> title</w:t>
      </w:r>
      <w:r w:rsidR="003E07D0">
        <w:rPr>
          <w:rFonts w:ascii="Arial" w:eastAsia="Times New Roman" w:hAnsi="Arial" w:cs="Arial"/>
          <w:kern w:val="0"/>
          <w:sz w:val="22"/>
          <w:szCs w:val="22"/>
          <w:lang w:eastAsia="en-GB"/>
          <w14:ligatures w14:val="none"/>
        </w:rPr>
        <w:t>, like</w:t>
      </w:r>
      <w:r w:rsidRPr="006209B7">
        <w:rPr>
          <w:rFonts w:ascii="Arial" w:eastAsia="Times New Roman" w:hAnsi="Arial" w:cs="Arial"/>
          <w:kern w:val="0"/>
          <w:sz w:val="22"/>
          <w:szCs w:val="22"/>
          <w:lang w:eastAsia="en-GB"/>
          <w14:ligatures w14:val="none"/>
        </w:rPr>
        <w:t xml:space="preserve"> Cultural</w:t>
      </w:r>
      <w:r>
        <w:rPr>
          <w:rFonts w:ascii="Arial" w:eastAsia="Times New Roman" w:hAnsi="Arial" w:cs="Arial"/>
          <w:kern w:val="0"/>
          <w:sz w:val="22"/>
          <w:szCs w:val="22"/>
          <w:lang w:eastAsia="en-GB"/>
          <w14:ligatures w14:val="none"/>
        </w:rPr>
        <w:t xml:space="preserve"> competence</w:t>
      </w:r>
      <w:r w:rsidR="003E07D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and </w:t>
      </w:r>
      <w:r w:rsidRPr="006209B7">
        <w:rPr>
          <w:rFonts w:ascii="Arial" w:eastAsia="Times New Roman" w:hAnsi="Arial" w:cs="Arial"/>
          <w:kern w:val="0"/>
          <w:sz w:val="22"/>
          <w:szCs w:val="22"/>
          <w:lang w:eastAsia="en-GB"/>
          <w14:ligatures w14:val="none"/>
        </w:rPr>
        <w:t>language</w:t>
      </w:r>
      <w:r>
        <w:rPr>
          <w:rFonts w:ascii="Arial" w:eastAsia="Times New Roman" w:hAnsi="Arial" w:cs="Arial"/>
          <w:kern w:val="0"/>
          <w:sz w:val="22"/>
          <w:szCs w:val="22"/>
          <w:lang w:eastAsia="en-GB"/>
          <w14:ligatures w14:val="none"/>
        </w:rPr>
        <w:t xml:space="preserve"> barrier t</w:t>
      </w:r>
      <w:r w:rsidR="003E07D0">
        <w:rPr>
          <w:rFonts w:ascii="Arial" w:eastAsia="Times New Roman" w:hAnsi="Arial" w:cs="Arial"/>
          <w:kern w:val="0"/>
          <w:sz w:val="22"/>
          <w:szCs w:val="22"/>
          <w:lang w:eastAsia="en-GB"/>
          <w14:ligatures w14:val="none"/>
        </w:rPr>
        <w:t>heme</w:t>
      </w:r>
      <w:r>
        <w:rPr>
          <w:rFonts w:ascii="Arial" w:eastAsia="Times New Roman" w:hAnsi="Arial" w:cs="Arial"/>
          <w:kern w:val="0"/>
          <w:sz w:val="22"/>
          <w:szCs w:val="22"/>
          <w:lang w:eastAsia="en-GB"/>
          <w14:ligatures w14:val="none"/>
        </w:rPr>
        <w:t xml:space="preserve"> was </w:t>
      </w:r>
      <w:r w:rsidRPr="006209B7">
        <w:rPr>
          <w:rFonts w:ascii="Arial" w:eastAsia="Times New Roman" w:hAnsi="Arial" w:cs="Arial"/>
          <w:kern w:val="0"/>
          <w:sz w:val="22"/>
          <w:szCs w:val="22"/>
          <w:lang w:eastAsia="en-GB"/>
          <w14:ligatures w14:val="none"/>
        </w:rPr>
        <w:t xml:space="preserve">difficult, whereas stigma </w:t>
      </w:r>
      <w:r w:rsidR="003E07D0">
        <w:rPr>
          <w:rFonts w:ascii="Arial" w:eastAsia="Times New Roman" w:hAnsi="Arial" w:cs="Arial"/>
          <w:kern w:val="0"/>
          <w:sz w:val="22"/>
          <w:szCs w:val="22"/>
          <w:lang w:eastAsia="en-GB"/>
          <w14:ligatures w14:val="none"/>
        </w:rPr>
        <w:t xml:space="preserve">theme </w:t>
      </w:r>
      <w:r w:rsidRPr="006209B7">
        <w:rPr>
          <w:rFonts w:ascii="Arial" w:eastAsia="Times New Roman" w:hAnsi="Arial" w:cs="Arial"/>
          <w:kern w:val="0"/>
          <w:sz w:val="22"/>
          <w:szCs w:val="22"/>
          <w:lang w:eastAsia="en-GB"/>
          <w14:ligatures w14:val="none"/>
        </w:rPr>
        <w:t>w</w:t>
      </w:r>
      <w:r w:rsidR="003E07D0">
        <w:rPr>
          <w:rFonts w:ascii="Arial" w:eastAsia="Times New Roman" w:hAnsi="Arial" w:cs="Arial"/>
          <w:kern w:val="0"/>
          <w:sz w:val="22"/>
          <w:szCs w:val="22"/>
          <w:lang w:eastAsia="en-GB"/>
          <w14:ligatures w14:val="none"/>
        </w:rPr>
        <w:t>as</w:t>
      </w:r>
      <w:r w:rsidRPr="006209B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easier.</w:t>
      </w:r>
    </w:p>
    <w:p w14:paraId="1824A946" w14:textId="03A02D31" w:rsidR="00511B16" w:rsidRPr="006209B7" w:rsidRDefault="00DE7930" w:rsidP="0048554A">
      <w:pPr>
        <w:spacing w:line="360" w:lineRule="auto"/>
        <w:jc w:val="both"/>
        <w:rPr>
          <w:rFonts w:ascii="Arial" w:hAnsi="Arial" w:cs="Arial"/>
          <w:b/>
          <w:bCs/>
          <w:sz w:val="28"/>
          <w:szCs w:val="28"/>
        </w:rPr>
      </w:pPr>
      <w:r>
        <w:rPr>
          <w:rFonts w:ascii="Arial" w:hAnsi="Arial" w:cs="Arial"/>
          <w:b/>
          <w:bCs/>
          <w:sz w:val="28"/>
          <w:szCs w:val="28"/>
        </w:rPr>
        <w:t xml:space="preserve">Use of </w:t>
      </w:r>
      <w:r w:rsidR="00511B16" w:rsidRPr="006209B7">
        <w:rPr>
          <w:rFonts w:ascii="Arial" w:hAnsi="Arial" w:cs="Arial"/>
          <w:b/>
          <w:bCs/>
          <w:sz w:val="28"/>
          <w:szCs w:val="28"/>
        </w:rPr>
        <w:t>Organi</w:t>
      </w:r>
      <w:r>
        <w:rPr>
          <w:rFonts w:ascii="Arial" w:hAnsi="Arial" w:cs="Arial"/>
          <w:b/>
          <w:bCs/>
          <w:sz w:val="28"/>
          <w:szCs w:val="28"/>
        </w:rPr>
        <w:t>s</w:t>
      </w:r>
      <w:r w:rsidR="00511B16" w:rsidRPr="006209B7">
        <w:rPr>
          <w:rFonts w:ascii="Arial" w:hAnsi="Arial" w:cs="Arial"/>
          <w:b/>
          <w:bCs/>
          <w:sz w:val="28"/>
          <w:szCs w:val="28"/>
        </w:rPr>
        <w:t>ation</w:t>
      </w:r>
      <w:r>
        <w:rPr>
          <w:rFonts w:ascii="Arial" w:hAnsi="Arial" w:cs="Arial"/>
          <w:b/>
          <w:bCs/>
          <w:sz w:val="28"/>
          <w:szCs w:val="28"/>
        </w:rPr>
        <w:t>al</w:t>
      </w:r>
      <w:r w:rsidR="009E06AB">
        <w:rPr>
          <w:rFonts w:ascii="Arial" w:hAnsi="Arial" w:cs="Arial"/>
          <w:b/>
          <w:bCs/>
          <w:sz w:val="28"/>
          <w:szCs w:val="28"/>
        </w:rPr>
        <w:t xml:space="preserve"> </w:t>
      </w:r>
      <w:r>
        <w:rPr>
          <w:rFonts w:ascii="Arial" w:hAnsi="Arial" w:cs="Arial"/>
          <w:b/>
          <w:bCs/>
          <w:sz w:val="28"/>
          <w:szCs w:val="28"/>
        </w:rPr>
        <w:t>tools in the Analysis</w:t>
      </w:r>
      <w:r w:rsidR="00511B16">
        <w:rPr>
          <w:rFonts w:ascii="Arial" w:hAnsi="Arial" w:cs="Arial"/>
          <w:b/>
          <w:bCs/>
          <w:sz w:val="28"/>
          <w:szCs w:val="28"/>
        </w:rPr>
        <w:t>:</w:t>
      </w:r>
    </w:p>
    <w:p w14:paraId="7FD26C51" w14:textId="431C612C" w:rsidR="00511B16" w:rsidRPr="009541AC" w:rsidRDefault="00DE7930" w:rsidP="0048554A">
      <w:pPr>
        <w:spacing w:line="360" w:lineRule="auto"/>
        <w:jc w:val="both"/>
        <w:rPr>
          <w:rFonts w:ascii="Arial" w:hAnsi="Arial" w:cs="Arial"/>
          <w:sz w:val="22"/>
          <w:szCs w:val="22"/>
        </w:rPr>
      </w:pPr>
      <w:r w:rsidRPr="00DE7930">
        <w:rPr>
          <w:rFonts w:ascii="Arial" w:hAnsi="Arial" w:cs="Arial"/>
          <w:sz w:val="22"/>
          <w:szCs w:val="22"/>
        </w:rPr>
        <w:t xml:space="preserve">To improve the rigour and transparency of the theme analysis, </w:t>
      </w:r>
      <w:proofErr w:type="gramStart"/>
      <w:r w:rsidRPr="00DE7930">
        <w:rPr>
          <w:rFonts w:ascii="Arial" w:hAnsi="Arial" w:cs="Arial"/>
          <w:sz w:val="22"/>
          <w:szCs w:val="22"/>
        </w:rPr>
        <w:t>a number of</w:t>
      </w:r>
      <w:proofErr w:type="gramEnd"/>
      <w:r w:rsidRPr="00DE7930">
        <w:rPr>
          <w:rFonts w:ascii="Arial" w:hAnsi="Arial" w:cs="Arial"/>
          <w:sz w:val="22"/>
          <w:szCs w:val="22"/>
        </w:rPr>
        <w:t xml:space="preserve"> organisational tools were used in a methodical way.  A spreadsheet was used to keep, organise, and compare data from each study, which made it easier to keep track of codes, categories, and new patterns (Bree &amp; Gallagher, 2016).  Colour</w:t>
      </w:r>
      <w:r w:rsidR="004A54ED">
        <w:rPr>
          <w:rFonts w:ascii="Arial" w:hAnsi="Arial" w:cs="Arial"/>
          <w:sz w:val="22"/>
          <w:szCs w:val="22"/>
        </w:rPr>
        <w:t xml:space="preserve"> </w:t>
      </w:r>
      <w:r w:rsidRPr="00DE7930">
        <w:rPr>
          <w:rFonts w:ascii="Arial" w:hAnsi="Arial" w:cs="Arial"/>
          <w:sz w:val="22"/>
          <w:szCs w:val="22"/>
        </w:rPr>
        <w:t>coding methods were used to group comparable codes, which made it easier to find topics that came up in more than one study.  Summary tables were created to show important study details such the author, year, technique, sample size, and conclusions. This made it easier to compare and combine the studies (Nowell et al., 2017). A code</w:t>
      </w:r>
      <w:r>
        <w:rPr>
          <w:rFonts w:ascii="Arial" w:hAnsi="Arial" w:cs="Arial"/>
          <w:sz w:val="22"/>
          <w:szCs w:val="22"/>
        </w:rPr>
        <w:t xml:space="preserve"> </w:t>
      </w:r>
      <w:r w:rsidRPr="00DE7930">
        <w:rPr>
          <w:rFonts w:ascii="Arial" w:hAnsi="Arial" w:cs="Arial"/>
          <w:sz w:val="22"/>
          <w:szCs w:val="22"/>
        </w:rPr>
        <w:t>to</w:t>
      </w:r>
      <w:r>
        <w:rPr>
          <w:rFonts w:ascii="Arial" w:hAnsi="Arial" w:cs="Arial"/>
          <w:sz w:val="22"/>
          <w:szCs w:val="22"/>
        </w:rPr>
        <w:t xml:space="preserve"> </w:t>
      </w:r>
      <w:r w:rsidRPr="00DE7930">
        <w:rPr>
          <w:rFonts w:ascii="Arial" w:hAnsi="Arial" w:cs="Arial"/>
          <w:sz w:val="22"/>
          <w:szCs w:val="22"/>
        </w:rPr>
        <w:t>theme matrix was made to keep track of how the first codes were turned into bigger themes that fit with the research question.  All these technologies made the analysis process more reliable, organised, and easy to check</w:t>
      </w:r>
      <w:r>
        <w:rPr>
          <w:rFonts w:ascii="Arial" w:hAnsi="Arial" w:cs="Arial"/>
          <w:sz w:val="22"/>
          <w:szCs w:val="22"/>
        </w:rPr>
        <w:t xml:space="preserve"> </w:t>
      </w:r>
      <w:r w:rsidRPr="00DE7930">
        <w:rPr>
          <w:rFonts w:ascii="Arial" w:hAnsi="Arial" w:cs="Arial"/>
          <w:sz w:val="22"/>
          <w:szCs w:val="22"/>
        </w:rPr>
        <w:t>(Nowell et al., 2017).</w:t>
      </w:r>
      <w:r w:rsidR="00511B16">
        <w:rPr>
          <w:rFonts w:ascii="Arial" w:hAnsi="Arial" w:cs="Arial"/>
          <w:sz w:val="22"/>
          <w:szCs w:val="22"/>
        </w:rPr>
        <w:t xml:space="preserve"> (See appendix 1 and 2).</w:t>
      </w:r>
    </w:p>
    <w:p w14:paraId="46925D9B" w14:textId="77777777" w:rsidR="00511B16" w:rsidRDefault="00511B16" w:rsidP="0048554A">
      <w:pPr>
        <w:spacing w:line="360" w:lineRule="auto"/>
        <w:jc w:val="both"/>
        <w:rPr>
          <w:rFonts w:ascii="Arial" w:hAnsi="Arial" w:cs="Arial"/>
          <w:b/>
          <w:bCs/>
          <w:sz w:val="32"/>
          <w:szCs w:val="32"/>
        </w:rPr>
      </w:pPr>
      <w:r w:rsidRPr="006209B7">
        <w:rPr>
          <w:rFonts w:ascii="Arial" w:hAnsi="Arial" w:cs="Arial"/>
          <w:b/>
          <w:bCs/>
          <w:sz w:val="32"/>
          <w:szCs w:val="32"/>
        </w:rPr>
        <w:t>3.7 Ethical considerations</w:t>
      </w:r>
    </w:p>
    <w:p w14:paraId="781DD8A6" w14:textId="77777777" w:rsidR="00511B16" w:rsidRPr="006209B7" w:rsidRDefault="00511B16" w:rsidP="0048554A">
      <w:pPr>
        <w:spacing w:line="360" w:lineRule="auto"/>
        <w:jc w:val="both"/>
        <w:rPr>
          <w:rFonts w:ascii="Arial" w:hAnsi="Arial" w:cs="Arial"/>
          <w:b/>
          <w:bCs/>
          <w:sz w:val="32"/>
          <w:szCs w:val="32"/>
        </w:rPr>
      </w:pPr>
      <w:r w:rsidRPr="006209B7">
        <w:rPr>
          <w:rFonts w:ascii="Arial" w:hAnsi="Arial" w:cs="Arial"/>
          <w:b/>
          <w:bCs/>
          <w:sz w:val="28"/>
          <w:szCs w:val="28"/>
        </w:rPr>
        <w:t>Secondary research ethics</w:t>
      </w:r>
      <w:r>
        <w:rPr>
          <w:rFonts w:ascii="Arial" w:hAnsi="Arial" w:cs="Arial"/>
          <w:b/>
          <w:bCs/>
          <w:sz w:val="28"/>
          <w:szCs w:val="28"/>
        </w:rPr>
        <w:t>:</w:t>
      </w:r>
    </w:p>
    <w:p w14:paraId="2C0D543D" w14:textId="77777777" w:rsidR="00511B16" w:rsidRPr="006209B7" w:rsidRDefault="00511B16" w:rsidP="0048554A">
      <w:pPr>
        <w:spacing w:line="360" w:lineRule="auto"/>
        <w:jc w:val="both"/>
        <w:rPr>
          <w:rFonts w:ascii="Arial" w:hAnsi="Arial" w:cs="Arial"/>
          <w:b/>
          <w:bCs/>
          <w:sz w:val="22"/>
          <w:szCs w:val="22"/>
        </w:rPr>
      </w:pPr>
      <w:r w:rsidRPr="006209B7">
        <w:rPr>
          <w:rFonts w:ascii="Arial" w:hAnsi="Arial" w:cs="Arial"/>
          <w:sz w:val="22"/>
          <w:szCs w:val="22"/>
        </w:rPr>
        <w:lastRenderedPageBreak/>
        <w:t>This research exclusively utilised existing secondary sources, without any new data collecting undertaken. All results were derived from existing research to guide the analysis</w:t>
      </w:r>
      <w:r w:rsidRPr="006209B7">
        <w:rPr>
          <w:rFonts w:ascii="Arial" w:hAnsi="Arial" w:cs="Arial"/>
          <w:b/>
          <w:bCs/>
          <w:sz w:val="22"/>
          <w:szCs w:val="22"/>
        </w:rPr>
        <w:t>.</w:t>
      </w:r>
    </w:p>
    <w:p w14:paraId="16656C6C" w14:textId="77777777" w:rsidR="00511B16" w:rsidRPr="006209B7" w:rsidRDefault="00511B16" w:rsidP="0048554A">
      <w:pPr>
        <w:spacing w:line="360" w:lineRule="auto"/>
        <w:jc w:val="both"/>
        <w:rPr>
          <w:rFonts w:ascii="Arial" w:hAnsi="Arial" w:cs="Arial"/>
          <w:b/>
          <w:bCs/>
          <w:sz w:val="28"/>
          <w:szCs w:val="28"/>
        </w:rPr>
      </w:pPr>
      <w:r w:rsidRPr="006209B7">
        <w:rPr>
          <w:rFonts w:ascii="Arial" w:hAnsi="Arial" w:cs="Arial"/>
          <w:b/>
          <w:bCs/>
          <w:sz w:val="28"/>
          <w:szCs w:val="28"/>
        </w:rPr>
        <w:t xml:space="preserve"> Academic integrity</w:t>
      </w:r>
    </w:p>
    <w:p w14:paraId="4BFD30EB" w14:textId="77777777" w:rsidR="00511B16" w:rsidRPr="006209B7" w:rsidRDefault="00511B16" w:rsidP="0048554A">
      <w:pPr>
        <w:spacing w:line="360" w:lineRule="auto"/>
        <w:jc w:val="both"/>
        <w:rPr>
          <w:rFonts w:ascii="Arial" w:hAnsi="Arial" w:cs="Arial"/>
          <w:b/>
          <w:bCs/>
          <w:sz w:val="28"/>
          <w:szCs w:val="28"/>
        </w:rPr>
      </w:pPr>
      <w:r w:rsidRPr="006209B7">
        <w:rPr>
          <w:rFonts w:ascii="Arial" w:hAnsi="Arial" w:cs="Arial"/>
          <w:sz w:val="22"/>
          <w:szCs w:val="22"/>
        </w:rPr>
        <w:t>Harvard referencing</w:t>
      </w:r>
      <w:r>
        <w:rPr>
          <w:rFonts w:ascii="Arial" w:hAnsi="Arial" w:cs="Arial"/>
          <w:sz w:val="22"/>
          <w:szCs w:val="22"/>
        </w:rPr>
        <w:t xml:space="preserve"> was used </w:t>
      </w:r>
      <w:r w:rsidRPr="006209B7">
        <w:rPr>
          <w:rFonts w:ascii="Arial" w:hAnsi="Arial" w:cs="Arial"/>
          <w:sz w:val="22"/>
          <w:szCs w:val="22"/>
        </w:rPr>
        <w:t xml:space="preserve">throughout </w:t>
      </w:r>
      <w:r>
        <w:rPr>
          <w:rFonts w:ascii="Arial" w:hAnsi="Arial" w:cs="Arial"/>
          <w:sz w:val="22"/>
          <w:szCs w:val="22"/>
        </w:rPr>
        <w:t>this research</w:t>
      </w:r>
      <w:r w:rsidRPr="006209B7">
        <w:rPr>
          <w:rFonts w:ascii="Arial" w:hAnsi="Arial" w:cs="Arial"/>
          <w:sz w:val="22"/>
          <w:szCs w:val="22"/>
        </w:rPr>
        <w:t xml:space="preserve">, including in-text citation and a detailed reference list, to avoid plagiarism and </w:t>
      </w:r>
      <w:r>
        <w:rPr>
          <w:rFonts w:ascii="Arial" w:hAnsi="Arial" w:cs="Arial"/>
          <w:sz w:val="22"/>
          <w:szCs w:val="22"/>
        </w:rPr>
        <w:t xml:space="preserve">to </w:t>
      </w:r>
      <w:r w:rsidRPr="006209B7">
        <w:rPr>
          <w:rFonts w:ascii="Arial" w:hAnsi="Arial" w:cs="Arial"/>
          <w:sz w:val="22"/>
          <w:szCs w:val="22"/>
        </w:rPr>
        <w:t>credit the original writers. This strategy ensured academic integrity, dependability, and data verification.</w:t>
      </w:r>
    </w:p>
    <w:p w14:paraId="4B4A7E5D" w14:textId="77777777" w:rsidR="00511B16" w:rsidRPr="006209B7" w:rsidRDefault="00511B16" w:rsidP="0048554A">
      <w:pPr>
        <w:spacing w:line="360" w:lineRule="auto"/>
        <w:jc w:val="both"/>
        <w:rPr>
          <w:rFonts w:ascii="Arial" w:hAnsi="Arial" w:cs="Arial"/>
          <w:b/>
          <w:bCs/>
          <w:sz w:val="22"/>
          <w:szCs w:val="22"/>
        </w:rPr>
      </w:pPr>
    </w:p>
    <w:p w14:paraId="03DE8B35" w14:textId="4CD27036" w:rsidR="00511B16" w:rsidRPr="006209B7" w:rsidRDefault="00511B16" w:rsidP="0048554A">
      <w:pPr>
        <w:spacing w:line="360" w:lineRule="auto"/>
        <w:jc w:val="both"/>
        <w:rPr>
          <w:rFonts w:ascii="Arial" w:hAnsi="Arial" w:cs="Arial"/>
          <w:b/>
          <w:bCs/>
          <w:sz w:val="28"/>
          <w:szCs w:val="28"/>
        </w:rPr>
      </w:pPr>
      <w:r w:rsidRPr="006209B7">
        <w:rPr>
          <w:rFonts w:ascii="Arial" w:hAnsi="Arial" w:cs="Arial"/>
          <w:b/>
          <w:bCs/>
          <w:sz w:val="28"/>
          <w:szCs w:val="28"/>
        </w:rPr>
        <w:t>Transparency and credibility</w:t>
      </w:r>
    </w:p>
    <w:p w14:paraId="0B8F266E" w14:textId="77777777" w:rsidR="00511B16" w:rsidRPr="006209B7" w:rsidRDefault="00511B16" w:rsidP="0048554A">
      <w:pPr>
        <w:spacing w:line="360" w:lineRule="auto"/>
        <w:jc w:val="both"/>
        <w:rPr>
          <w:rFonts w:ascii="Arial" w:eastAsia="Times New Roman" w:hAnsi="Arial" w:cs="Arial"/>
          <w:kern w:val="0"/>
          <w:sz w:val="22"/>
          <w:szCs w:val="22"/>
          <w:lang w:eastAsia="en-GB"/>
          <w14:ligatures w14:val="none"/>
        </w:rPr>
      </w:pPr>
      <w:r w:rsidRPr="006209B7">
        <w:rPr>
          <w:rFonts w:ascii="Arial" w:eastAsia="Times New Roman" w:hAnsi="Arial" w:cs="Arial"/>
          <w:kern w:val="0"/>
          <w:sz w:val="22"/>
          <w:szCs w:val="22"/>
          <w:lang w:eastAsia="en-GB"/>
          <w14:ligatures w14:val="none"/>
        </w:rPr>
        <w:t xml:space="preserve">I chose and presented literature fairly by using authentic, peer-reviewed sources and representing multiple opinions. </w:t>
      </w:r>
      <w:r>
        <w:rPr>
          <w:rFonts w:ascii="Arial" w:eastAsia="Times New Roman" w:hAnsi="Arial" w:cs="Arial"/>
          <w:kern w:val="0"/>
          <w:sz w:val="22"/>
          <w:szCs w:val="22"/>
          <w:lang w:eastAsia="en-GB"/>
          <w14:ligatures w14:val="none"/>
        </w:rPr>
        <w:t xml:space="preserve">As a researcher reviewing and putting article was difficult and time consuming. </w:t>
      </w:r>
      <w:r w:rsidRPr="006209B7">
        <w:rPr>
          <w:rFonts w:ascii="Arial" w:eastAsia="Times New Roman" w:hAnsi="Arial" w:cs="Arial"/>
          <w:kern w:val="0"/>
          <w:sz w:val="22"/>
          <w:szCs w:val="22"/>
          <w:lang w:eastAsia="en-GB"/>
          <w14:ligatures w14:val="none"/>
        </w:rPr>
        <w:t>To ensure academic integrity and a respectable study, I presented findings honestly and avoided misinterpretation and selected evidence.</w:t>
      </w:r>
    </w:p>
    <w:p w14:paraId="0DC209F4" w14:textId="77777777" w:rsidR="00511B16" w:rsidRPr="006E7295" w:rsidRDefault="00511B16" w:rsidP="0048554A">
      <w:pPr>
        <w:spacing w:line="360" w:lineRule="auto"/>
        <w:jc w:val="both"/>
        <w:rPr>
          <w:rFonts w:ascii="Arial" w:hAnsi="Arial" w:cs="Arial"/>
          <w:b/>
          <w:bCs/>
          <w:sz w:val="32"/>
          <w:szCs w:val="32"/>
        </w:rPr>
      </w:pPr>
      <w:r w:rsidRPr="006E7295">
        <w:rPr>
          <w:rFonts w:ascii="Arial" w:hAnsi="Arial" w:cs="Arial"/>
          <w:b/>
          <w:bCs/>
          <w:sz w:val="32"/>
          <w:szCs w:val="32"/>
        </w:rPr>
        <w:t>3.8 Chapter conclusion</w:t>
      </w:r>
    </w:p>
    <w:p w14:paraId="68048DC3" w14:textId="084B5A4C" w:rsidR="00511B16" w:rsidRPr="006E7295" w:rsidRDefault="009F3792" w:rsidP="0048554A">
      <w:pPr>
        <w:spacing w:line="360" w:lineRule="auto"/>
        <w:jc w:val="both"/>
        <w:rPr>
          <w:rFonts w:ascii="Arial" w:hAnsi="Arial" w:cs="Arial"/>
          <w:b/>
          <w:bCs/>
          <w:sz w:val="28"/>
          <w:szCs w:val="28"/>
        </w:rPr>
      </w:pPr>
      <w:r>
        <w:rPr>
          <w:rFonts w:ascii="Arial" w:hAnsi="Arial" w:cs="Arial"/>
          <w:b/>
          <w:bCs/>
          <w:sz w:val="28"/>
          <w:szCs w:val="28"/>
        </w:rPr>
        <w:t>Conclusion</w:t>
      </w:r>
      <w:r w:rsidR="00511B16">
        <w:rPr>
          <w:rFonts w:ascii="Arial" w:hAnsi="Arial" w:cs="Arial"/>
          <w:b/>
          <w:bCs/>
          <w:sz w:val="28"/>
          <w:szCs w:val="28"/>
        </w:rPr>
        <w:t>:</w:t>
      </w:r>
    </w:p>
    <w:p w14:paraId="658D2E49" w14:textId="4A0D4188" w:rsidR="00474F8E" w:rsidRDefault="00474F8E" w:rsidP="0048554A">
      <w:pPr>
        <w:spacing w:line="360" w:lineRule="auto"/>
        <w:jc w:val="both"/>
        <w:rPr>
          <w:rFonts w:ascii="Arial" w:hAnsi="Arial" w:cs="Arial"/>
          <w:sz w:val="22"/>
          <w:szCs w:val="22"/>
        </w:rPr>
      </w:pPr>
      <w:r w:rsidRPr="00474F8E">
        <w:rPr>
          <w:rFonts w:ascii="Arial" w:hAnsi="Arial" w:cs="Arial"/>
          <w:sz w:val="22"/>
          <w:szCs w:val="22"/>
        </w:rPr>
        <w:t>Chapter 3 describes the methodological approach used to lead this research, emphasising the usefulness of a secondary qualitative design for investigating barriers to mental health treatment access among ethnic minority communities in the United Kingdom.  The chapter described the steps taken to locate, select, and evaluate relevant literature, such as systematic search methods, the use of standards for inclusion and exclusion, and careful assessment using the CRAAP framework.  It also described the thematic analysis method, including how codes were created, structured, and polished into significant themes.  Tables, spreadsheets, and colour-coded coding charts were employed to improve structure, transparency, and reliability throughout the investigation.</w:t>
      </w:r>
    </w:p>
    <w:p w14:paraId="42464CA4" w14:textId="77777777" w:rsidR="00474F8E" w:rsidRDefault="00474F8E" w:rsidP="0048554A">
      <w:pPr>
        <w:spacing w:line="360" w:lineRule="auto"/>
        <w:jc w:val="both"/>
        <w:rPr>
          <w:rFonts w:ascii="Arial" w:hAnsi="Arial" w:cs="Arial"/>
          <w:sz w:val="22"/>
          <w:szCs w:val="22"/>
        </w:rPr>
      </w:pPr>
      <w:r w:rsidRPr="00474F8E">
        <w:rPr>
          <w:rFonts w:ascii="Arial" w:hAnsi="Arial" w:cs="Arial"/>
          <w:sz w:val="22"/>
          <w:szCs w:val="22"/>
        </w:rPr>
        <w:t>Chapter 3 lays a strong framework for presenting and understanding the findings by setting up a clear, systematic, and ethically sound procedure.  Chapter 4 will now show the results of the thematic analysis. These results will be organised around the main topics that came up throughout the coding process, which are stigma, language difficulties, and cultural competency.  Each theme will be analysed, supported by literature, and discussed in connection with the research issue and broader context.  These findings will collectively provide a more profound understanding of the intricate aspects affecting mental health treatment accessibility among ethnic minority groups, creating essential discussion and useful suggestions in the concluding chapter.</w:t>
      </w:r>
    </w:p>
    <w:p w14:paraId="4A8F2BD2" w14:textId="3BA4F48B" w:rsidR="00307639" w:rsidRPr="00474F8E" w:rsidRDefault="00307639" w:rsidP="0048554A">
      <w:pPr>
        <w:spacing w:line="360" w:lineRule="auto"/>
        <w:jc w:val="both"/>
        <w:rPr>
          <w:rFonts w:ascii="Arial" w:hAnsi="Arial" w:cs="Arial"/>
          <w:sz w:val="22"/>
          <w:szCs w:val="22"/>
        </w:rPr>
      </w:pPr>
      <w:r>
        <w:rPr>
          <w:rFonts w:ascii="Arial" w:hAnsi="Arial" w:cs="Arial"/>
          <w:b/>
          <w:bCs/>
          <w:sz w:val="32"/>
          <w:szCs w:val="32"/>
        </w:rPr>
        <w:lastRenderedPageBreak/>
        <w:t>“Barrier to receiving mental health services among ethnic minority group in UK” “A Systematic Literature review”</w:t>
      </w:r>
    </w:p>
    <w:p w14:paraId="7190FB9E" w14:textId="77777777" w:rsidR="00307639" w:rsidRPr="00EC4A4B" w:rsidRDefault="00307639" w:rsidP="0048554A">
      <w:pPr>
        <w:spacing w:line="360" w:lineRule="auto"/>
        <w:jc w:val="both"/>
        <w:rPr>
          <w:rFonts w:ascii="Arial" w:hAnsi="Arial" w:cs="Arial"/>
          <w:b/>
          <w:bCs/>
          <w:sz w:val="32"/>
          <w:szCs w:val="32"/>
        </w:rPr>
      </w:pPr>
      <w:r w:rsidRPr="00EC4A4B">
        <w:rPr>
          <w:rFonts w:ascii="Arial" w:hAnsi="Arial" w:cs="Arial"/>
          <w:b/>
          <w:bCs/>
          <w:sz w:val="32"/>
          <w:szCs w:val="32"/>
        </w:rPr>
        <w:t>Chapter 4 findings and discussion</w:t>
      </w:r>
    </w:p>
    <w:p w14:paraId="6211BE8E" w14:textId="77777777" w:rsidR="00307639" w:rsidRPr="008F38CB" w:rsidRDefault="00307639" w:rsidP="0048554A">
      <w:pPr>
        <w:spacing w:line="360" w:lineRule="auto"/>
        <w:jc w:val="both"/>
        <w:rPr>
          <w:rFonts w:ascii="Arial" w:hAnsi="Arial" w:cs="Arial"/>
          <w:b/>
          <w:bCs/>
          <w:sz w:val="32"/>
          <w:szCs w:val="32"/>
        </w:rPr>
      </w:pPr>
      <w:r w:rsidRPr="008F38CB">
        <w:rPr>
          <w:rFonts w:ascii="Arial" w:hAnsi="Arial" w:cs="Arial"/>
          <w:b/>
          <w:bCs/>
          <w:sz w:val="32"/>
          <w:szCs w:val="32"/>
        </w:rPr>
        <w:t>4.1 Introduction</w:t>
      </w:r>
    </w:p>
    <w:p w14:paraId="5DC825A0"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r w:rsidRPr="008F38CB">
        <w:rPr>
          <w:rFonts w:ascii="Arial" w:eastAsia="Times New Roman" w:hAnsi="Arial" w:cs="Arial"/>
          <w:kern w:val="0"/>
          <w:sz w:val="22"/>
          <w:szCs w:val="22"/>
          <w:lang w:eastAsia="en-GB"/>
          <w14:ligatures w14:val="none"/>
        </w:rPr>
        <w:t>This chapter summarises and assesses the results of the literature review regarding the barriers encountered by ethnic minority groups in obtaining mental health treatment in the UK. The review examines persistent themes discerned using thematic coding, including stigma, language barriers, cultural competence, and adaptability. Each theme is carefully analysed in connection with the current literature and the research question, emphasising how these obstacles generate persistent inequalities in mental health care. This discussion further explores the connections between themes, offering understanding into the overall structural and cultural factors affecting mental health treatment utilisation within ethnic minority groups.</w:t>
      </w:r>
    </w:p>
    <w:p w14:paraId="6258555F"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p>
    <w:p w14:paraId="71D00D14" w14:textId="77777777" w:rsidR="00307639" w:rsidRPr="008C0A59" w:rsidRDefault="00307639" w:rsidP="0048554A">
      <w:pPr>
        <w:spacing w:after="0" w:line="360" w:lineRule="auto"/>
        <w:jc w:val="both"/>
        <w:rPr>
          <w:rFonts w:ascii="Arial" w:eastAsia="Times New Roman" w:hAnsi="Arial" w:cs="Arial"/>
          <w:kern w:val="0"/>
          <w:sz w:val="22"/>
          <w:szCs w:val="22"/>
          <w:lang w:eastAsia="en-GB"/>
          <w14:ligatures w14:val="none"/>
        </w:rPr>
      </w:pPr>
      <w:r w:rsidRPr="008F38CB">
        <w:rPr>
          <w:rFonts w:ascii="Arial" w:hAnsi="Arial" w:cs="Arial"/>
          <w:b/>
          <w:bCs/>
          <w:sz w:val="32"/>
          <w:szCs w:val="32"/>
        </w:rPr>
        <w:t>4.2 Thematic Analysis</w:t>
      </w:r>
    </w:p>
    <w:p w14:paraId="5592A3DD" w14:textId="77777777" w:rsidR="00307639" w:rsidRPr="004D2FF8" w:rsidRDefault="00307639" w:rsidP="0048554A">
      <w:pPr>
        <w:spacing w:line="360" w:lineRule="auto"/>
        <w:jc w:val="both"/>
        <w:rPr>
          <w:rFonts w:ascii="Arial" w:hAnsi="Arial" w:cs="Arial"/>
          <w:b/>
          <w:bCs/>
          <w:sz w:val="32"/>
          <w:szCs w:val="32"/>
        </w:rPr>
      </w:pPr>
      <w:r>
        <w:rPr>
          <w:rFonts w:ascii="Arial" w:hAnsi="Arial" w:cs="Arial"/>
          <w:b/>
          <w:bCs/>
          <w:sz w:val="22"/>
          <w:szCs w:val="22"/>
        </w:rPr>
        <w:t xml:space="preserve"> </w:t>
      </w:r>
      <w:r w:rsidRPr="003F4746">
        <w:rPr>
          <w:rFonts w:ascii="Arial" w:hAnsi="Arial" w:cs="Arial"/>
          <w:b/>
          <w:bCs/>
          <w:sz w:val="28"/>
          <w:szCs w:val="28"/>
        </w:rPr>
        <w:t>Definition of Thematic Analysis</w:t>
      </w:r>
    </w:p>
    <w:p w14:paraId="75A528D4"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r w:rsidRPr="003F4746">
        <w:rPr>
          <w:rFonts w:ascii="Arial" w:eastAsia="Times New Roman" w:hAnsi="Arial" w:cs="Arial"/>
          <w:kern w:val="0"/>
          <w:sz w:val="22"/>
          <w:szCs w:val="22"/>
          <w:lang w:eastAsia="en-GB"/>
          <w14:ligatures w14:val="none"/>
        </w:rPr>
        <w:t xml:space="preserve">Thematic analysis is a qualitative research methodology employed to find, examine, and interpret reoccurring patterns or themes within existing data or literature. </w:t>
      </w:r>
      <w:r w:rsidRPr="00F3278A">
        <w:rPr>
          <w:rFonts w:ascii="Arial" w:eastAsia="Times New Roman" w:hAnsi="Arial" w:cs="Arial"/>
          <w:kern w:val="0"/>
          <w:sz w:val="22"/>
          <w:szCs w:val="22"/>
          <w:lang w:eastAsia="en-GB"/>
          <w14:ligatures w14:val="none"/>
        </w:rPr>
        <w:t>This methodology allows researchers to gather existing evidence and get a more profound understanding of intricate subjects, such as barrier to receiving mental health services among the ethnic minority groups.</w:t>
      </w:r>
      <w:r>
        <w:rPr>
          <w:rFonts w:ascii="Arial" w:eastAsia="Times New Roman" w:hAnsi="Arial" w:cs="Arial"/>
          <w:kern w:val="0"/>
          <w:sz w:val="22"/>
          <w:szCs w:val="22"/>
          <w:lang w:eastAsia="en-GB"/>
          <w14:ligatures w14:val="none"/>
        </w:rPr>
        <w:t xml:space="preserve"> </w:t>
      </w:r>
    </w:p>
    <w:p w14:paraId="5C1C3B29"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p>
    <w:p w14:paraId="42166E55"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r w:rsidRPr="003F4746">
        <w:rPr>
          <w:rFonts w:ascii="Arial" w:eastAsia="Times New Roman" w:hAnsi="Arial" w:cs="Arial"/>
          <w:kern w:val="0"/>
          <w:sz w:val="22"/>
          <w:szCs w:val="22"/>
          <w:lang w:eastAsia="en-GB"/>
          <w14:ligatures w14:val="none"/>
        </w:rPr>
        <w:t>Braun and Clarke (2022) assert that it offers a flexible and systematic method for structuring findings, rendering it particularly advantageous in secondary research. Thematic analysis entails the review, grouping, and grouping of data from several reliable sources to identify principal issues relevant to the study question</w:t>
      </w:r>
      <w:r>
        <w:rPr>
          <w:rFonts w:ascii="Arial" w:eastAsia="Times New Roman" w:hAnsi="Arial" w:cs="Arial"/>
          <w:kern w:val="0"/>
          <w:sz w:val="22"/>
          <w:szCs w:val="22"/>
          <w:lang w:eastAsia="en-GB"/>
          <w14:ligatures w14:val="none"/>
        </w:rPr>
        <w:t xml:space="preserve"> which is how t</w:t>
      </w:r>
      <w:r w:rsidRPr="00F3278A">
        <w:rPr>
          <w:rFonts w:ascii="Arial" w:eastAsia="Times New Roman" w:hAnsi="Arial" w:cs="Arial"/>
          <w:kern w:val="0"/>
          <w:sz w:val="22"/>
          <w:szCs w:val="22"/>
          <w:lang w:eastAsia="en-GB"/>
          <w14:ligatures w14:val="none"/>
        </w:rPr>
        <w:t>he themes in this chapter w</w:t>
      </w:r>
      <w:r>
        <w:rPr>
          <w:rFonts w:ascii="Arial" w:eastAsia="Times New Roman" w:hAnsi="Arial" w:cs="Arial"/>
          <w:kern w:val="0"/>
          <w:sz w:val="22"/>
          <w:szCs w:val="22"/>
          <w:lang w:eastAsia="en-GB"/>
          <w14:ligatures w14:val="none"/>
        </w:rPr>
        <w:t xml:space="preserve">as </w:t>
      </w:r>
      <w:r w:rsidRPr="00F3278A">
        <w:rPr>
          <w:rFonts w:ascii="Arial" w:eastAsia="Times New Roman" w:hAnsi="Arial" w:cs="Arial"/>
          <w:kern w:val="0"/>
          <w:sz w:val="22"/>
          <w:szCs w:val="22"/>
          <w:lang w:eastAsia="en-GB"/>
          <w14:ligatures w14:val="none"/>
        </w:rPr>
        <w:t>developed by reviewing the findings from the studies included in chapter 3 and grouping similar ideas and pattern together.</w:t>
      </w:r>
    </w:p>
    <w:p w14:paraId="719395EE" w14:textId="77777777" w:rsidR="00307639" w:rsidRDefault="00307639" w:rsidP="0048554A">
      <w:pPr>
        <w:spacing w:after="0" w:line="360" w:lineRule="auto"/>
        <w:jc w:val="both"/>
        <w:rPr>
          <w:rFonts w:ascii="Arial" w:eastAsia="Times New Roman" w:hAnsi="Arial" w:cs="Arial"/>
          <w:kern w:val="0"/>
          <w:sz w:val="22"/>
          <w:szCs w:val="22"/>
          <w:lang w:eastAsia="en-GB"/>
          <w14:ligatures w14:val="none"/>
        </w:rPr>
      </w:pPr>
    </w:p>
    <w:p w14:paraId="45EBD09C" w14:textId="77777777" w:rsidR="00307639" w:rsidRDefault="00307639" w:rsidP="0048554A">
      <w:pPr>
        <w:spacing w:line="360" w:lineRule="auto"/>
        <w:jc w:val="both"/>
        <w:rPr>
          <w:rFonts w:ascii="Arial" w:hAnsi="Arial" w:cs="Arial"/>
          <w:b/>
          <w:bCs/>
          <w:sz w:val="28"/>
          <w:szCs w:val="28"/>
        </w:rPr>
      </w:pPr>
      <w:r>
        <w:rPr>
          <w:rFonts w:ascii="Arial" w:hAnsi="Arial" w:cs="Arial"/>
          <w:b/>
          <w:bCs/>
          <w:sz w:val="22"/>
          <w:szCs w:val="22"/>
        </w:rPr>
        <w:t xml:space="preserve"> </w:t>
      </w:r>
      <w:r w:rsidRPr="003F4746">
        <w:rPr>
          <w:rFonts w:ascii="Arial" w:hAnsi="Arial" w:cs="Arial"/>
          <w:b/>
          <w:bCs/>
          <w:sz w:val="28"/>
          <w:szCs w:val="28"/>
        </w:rPr>
        <w:t xml:space="preserve">Link </w:t>
      </w:r>
      <w:r>
        <w:rPr>
          <w:rFonts w:ascii="Arial" w:hAnsi="Arial" w:cs="Arial"/>
          <w:b/>
          <w:bCs/>
          <w:sz w:val="28"/>
          <w:szCs w:val="28"/>
        </w:rPr>
        <w:t>to c</w:t>
      </w:r>
      <w:r w:rsidRPr="003F4746">
        <w:rPr>
          <w:rFonts w:ascii="Arial" w:hAnsi="Arial" w:cs="Arial"/>
          <w:b/>
          <w:bCs/>
          <w:sz w:val="28"/>
          <w:szCs w:val="28"/>
        </w:rPr>
        <w:t>oding / Result Table</w:t>
      </w:r>
    </w:p>
    <w:p w14:paraId="02AEC1F9" w14:textId="3E1F339A" w:rsidR="00307639" w:rsidRDefault="00307639" w:rsidP="0048554A">
      <w:pPr>
        <w:spacing w:line="360" w:lineRule="auto"/>
        <w:jc w:val="both"/>
        <w:rPr>
          <w:rFonts w:ascii="Arial" w:hAnsi="Arial" w:cs="Arial"/>
          <w:sz w:val="22"/>
          <w:szCs w:val="22"/>
        </w:rPr>
      </w:pPr>
      <w:r w:rsidRPr="004D3B0D">
        <w:rPr>
          <w:rFonts w:ascii="Arial" w:hAnsi="Arial" w:cs="Arial"/>
          <w:sz w:val="22"/>
          <w:szCs w:val="22"/>
        </w:rPr>
        <w:t xml:space="preserve">Thematic analysis was conducted by classifying the findings from each included study, documenting </w:t>
      </w:r>
      <w:r>
        <w:rPr>
          <w:rFonts w:ascii="Arial" w:hAnsi="Arial" w:cs="Arial"/>
          <w:sz w:val="22"/>
          <w:szCs w:val="22"/>
        </w:rPr>
        <w:t xml:space="preserve">findings </w:t>
      </w:r>
      <w:r w:rsidRPr="004D3B0D">
        <w:rPr>
          <w:rFonts w:ascii="Arial" w:hAnsi="Arial" w:cs="Arial"/>
          <w:sz w:val="22"/>
          <w:szCs w:val="22"/>
        </w:rPr>
        <w:t xml:space="preserve">in the Chapter 3 and subsequently categorising </w:t>
      </w:r>
      <w:r>
        <w:rPr>
          <w:rFonts w:ascii="Arial" w:hAnsi="Arial" w:cs="Arial"/>
          <w:sz w:val="22"/>
          <w:szCs w:val="22"/>
        </w:rPr>
        <w:t xml:space="preserve">and </w:t>
      </w:r>
      <w:r w:rsidRPr="004D3B0D">
        <w:rPr>
          <w:rFonts w:ascii="Arial" w:hAnsi="Arial" w:cs="Arial"/>
          <w:sz w:val="22"/>
          <w:szCs w:val="22"/>
        </w:rPr>
        <w:t xml:space="preserve">comparable </w:t>
      </w:r>
      <w:r>
        <w:rPr>
          <w:rFonts w:ascii="Arial" w:hAnsi="Arial" w:cs="Arial"/>
          <w:sz w:val="22"/>
          <w:szCs w:val="22"/>
        </w:rPr>
        <w:lastRenderedPageBreak/>
        <w:t>findings.</w:t>
      </w:r>
      <w:r w:rsidRPr="004D3B0D">
        <w:rPr>
          <w:rFonts w:ascii="Arial" w:hAnsi="Arial" w:cs="Arial"/>
          <w:sz w:val="22"/>
          <w:szCs w:val="22"/>
        </w:rPr>
        <w:t xml:space="preserve">  Iterative review </w:t>
      </w:r>
      <w:r>
        <w:rPr>
          <w:rFonts w:ascii="Arial" w:hAnsi="Arial" w:cs="Arial"/>
          <w:sz w:val="22"/>
          <w:szCs w:val="22"/>
        </w:rPr>
        <w:t>findings</w:t>
      </w:r>
      <w:r w:rsidRPr="004D3B0D">
        <w:rPr>
          <w:rFonts w:ascii="Arial" w:hAnsi="Arial" w:cs="Arial"/>
          <w:sz w:val="22"/>
          <w:szCs w:val="22"/>
        </w:rPr>
        <w:t xml:space="preserve"> confirmed thematic consistency and reliability (Braun &amp; Clarke, 2022</w:t>
      </w:r>
      <w:r>
        <w:rPr>
          <w:rFonts w:ascii="Arial" w:hAnsi="Arial" w:cs="Arial"/>
          <w:sz w:val="22"/>
          <w:szCs w:val="22"/>
        </w:rPr>
        <w:t>). See append</w:t>
      </w:r>
      <w:r w:rsidR="00341FBF">
        <w:rPr>
          <w:rFonts w:ascii="Arial" w:hAnsi="Arial" w:cs="Arial"/>
          <w:sz w:val="22"/>
          <w:szCs w:val="22"/>
        </w:rPr>
        <w:t>ices</w:t>
      </w:r>
      <w:r>
        <w:rPr>
          <w:rFonts w:ascii="Arial" w:hAnsi="Arial" w:cs="Arial"/>
          <w:sz w:val="22"/>
          <w:szCs w:val="22"/>
        </w:rPr>
        <w:t xml:space="preserve"> for summary result and source tracking table.</w:t>
      </w:r>
    </w:p>
    <w:p w14:paraId="05542402" w14:textId="0BB276E9" w:rsidR="00307639" w:rsidRDefault="00307639" w:rsidP="0048554A">
      <w:pPr>
        <w:spacing w:line="360" w:lineRule="auto"/>
        <w:jc w:val="both"/>
        <w:rPr>
          <w:rFonts w:ascii="Arial" w:hAnsi="Arial" w:cs="Arial"/>
          <w:sz w:val="22"/>
          <w:szCs w:val="22"/>
        </w:rPr>
      </w:pPr>
      <w:r w:rsidRPr="00D81076">
        <w:rPr>
          <w:rFonts w:ascii="Arial" w:hAnsi="Arial" w:cs="Arial"/>
          <w:sz w:val="22"/>
          <w:szCs w:val="22"/>
        </w:rPr>
        <w:t>The study revealed four principal themes</w:t>
      </w:r>
      <w:r>
        <w:rPr>
          <w:rFonts w:ascii="Arial" w:hAnsi="Arial" w:cs="Arial"/>
          <w:sz w:val="22"/>
          <w:szCs w:val="22"/>
        </w:rPr>
        <w:t xml:space="preserve">, </w:t>
      </w:r>
      <w:r w:rsidRPr="00D81076">
        <w:rPr>
          <w:rFonts w:ascii="Arial" w:hAnsi="Arial" w:cs="Arial"/>
          <w:sz w:val="22"/>
          <w:szCs w:val="22"/>
        </w:rPr>
        <w:t xml:space="preserve">stigma, language </w:t>
      </w:r>
      <w:r>
        <w:rPr>
          <w:rFonts w:ascii="Arial" w:hAnsi="Arial" w:cs="Arial"/>
          <w:sz w:val="22"/>
          <w:szCs w:val="22"/>
        </w:rPr>
        <w:t>barrier</w:t>
      </w:r>
      <w:r w:rsidRPr="00D81076">
        <w:rPr>
          <w:rFonts w:ascii="Arial" w:hAnsi="Arial" w:cs="Arial"/>
          <w:sz w:val="22"/>
          <w:szCs w:val="22"/>
        </w:rPr>
        <w:t>, cultural competency, and accessibility</w:t>
      </w:r>
      <w:r w:rsidR="00341FBF">
        <w:rPr>
          <w:rFonts w:ascii="Arial" w:hAnsi="Arial" w:cs="Arial"/>
          <w:sz w:val="22"/>
          <w:szCs w:val="22"/>
        </w:rPr>
        <w:t xml:space="preserve"> are </w:t>
      </w:r>
      <w:r w:rsidRPr="00D81076">
        <w:rPr>
          <w:rFonts w:ascii="Arial" w:hAnsi="Arial" w:cs="Arial"/>
          <w:sz w:val="22"/>
          <w:szCs w:val="22"/>
        </w:rPr>
        <w:t>frequently emphasised in the examined literature</w:t>
      </w:r>
      <w:r>
        <w:rPr>
          <w:rFonts w:ascii="Arial" w:hAnsi="Arial" w:cs="Arial"/>
          <w:sz w:val="22"/>
          <w:szCs w:val="22"/>
        </w:rPr>
        <w:t>,</w:t>
      </w:r>
      <w:r w:rsidR="00341FBF">
        <w:rPr>
          <w:rFonts w:ascii="Arial" w:hAnsi="Arial" w:cs="Arial"/>
          <w:sz w:val="22"/>
          <w:szCs w:val="22"/>
        </w:rPr>
        <w:t xml:space="preserve"> </w:t>
      </w:r>
      <w:r w:rsidR="00341FBF" w:rsidRPr="00341FBF">
        <w:rPr>
          <w:rFonts w:ascii="Arial" w:hAnsi="Arial" w:cs="Arial"/>
          <w:sz w:val="22"/>
          <w:szCs w:val="22"/>
        </w:rPr>
        <w:t xml:space="preserve">(Bhui et al., 2012; Bansal et al., 2022). </w:t>
      </w:r>
      <w:r>
        <w:rPr>
          <w:rFonts w:ascii="Arial" w:hAnsi="Arial" w:cs="Arial"/>
          <w:sz w:val="22"/>
          <w:szCs w:val="22"/>
        </w:rPr>
        <w:t>The next part</w:t>
      </w:r>
      <w:r w:rsidRPr="00D81076">
        <w:rPr>
          <w:rFonts w:ascii="Arial" w:hAnsi="Arial" w:cs="Arial"/>
          <w:sz w:val="22"/>
          <w:szCs w:val="22"/>
        </w:rPr>
        <w:t xml:space="preserve"> will analyse th</w:t>
      </w:r>
      <w:r>
        <w:rPr>
          <w:rFonts w:ascii="Arial" w:hAnsi="Arial" w:cs="Arial"/>
          <w:sz w:val="22"/>
          <w:szCs w:val="22"/>
        </w:rPr>
        <w:t>ree</w:t>
      </w:r>
      <w:r w:rsidRPr="00D81076">
        <w:rPr>
          <w:rFonts w:ascii="Arial" w:hAnsi="Arial" w:cs="Arial"/>
          <w:sz w:val="22"/>
          <w:szCs w:val="22"/>
        </w:rPr>
        <w:t xml:space="preserve"> themes </w:t>
      </w:r>
      <w:r w:rsidR="00341FBF">
        <w:rPr>
          <w:rFonts w:ascii="Arial" w:hAnsi="Arial" w:cs="Arial"/>
          <w:sz w:val="22"/>
          <w:szCs w:val="22"/>
        </w:rPr>
        <w:t xml:space="preserve">and </w:t>
      </w:r>
      <w:r w:rsidRPr="00D81076">
        <w:rPr>
          <w:rFonts w:ascii="Arial" w:hAnsi="Arial" w:cs="Arial"/>
          <w:sz w:val="22"/>
          <w:szCs w:val="22"/>
        </w:rPr>
        <w:t>demonstrate their impact on mental health service utilisation among ethnic minority populations in the UK.</w:t>
      </w:r>
    </w:p>
    <w:p w14:paraId="07F61D33" w14:textId="77777777" w:rsidR="00307639" w:rsidRPr="008E3B92" w:rsidRDefault="00307639" w:rsidP="0048554A">
      <w:pPr>
        <w:spacing w:line="360" w:lineRule="auto"/>
        <w:jc w:val="both"/>
        <w:rPr>
          <w:rFonts w:ascii="Arial" w:hAnsi="Arial" w:cs="Arial"/>
          <w:b/>
          <w:bCs/>
          <w:sz w:val="28"/>
          <w:szCs w:val="28"/>
        </w:rPr>
      </w:pPr>
      <w:r w:rsidRPr="008E3B92">
        <w:rPr>
          <w:rFonts w:ascii="Arial" w:hAnsi="Arial" w:cs="Arial"/>
          <w:b/>
          <w:bCs/>
          <w:sz w:val="28"/>
          <w:szCs w:val="28"/>
        </w:rPr>
        <w:t>4.3 Theme 1, Stigma</w:t>
      </w:r>
    </w:p>
    <w:p w14:paraId="07CAE80A" w14:textId="77777777" w:rsidR="00307639" w:rsidRPr="008E3B92" w:rsidRDefault="00307639" w:rsidP="0048554A">
      <w:pPr>
        <w:spacing w:line="360" w:lineRule="auto"/>
        <w:jc w:val="both"/>
        <w:rPr>
          <w:rFonts w:ascii="Arial" w:hAnsi="Arial" w:cs="Arial"/>
          <w:b/>
          <w:bCs/>
          <w:sz w:val="28"/>
          <w:szCs w:val="28"/>
        </w:rPr>
      </w:pPr>
      <w:r w:rsidRPr="008E3B92">
        <w:rPr>
          <w:rFonts w:ascii="Arial" w:hAnsi="Arial" w:cs="Arial"/>
          <w:b/>
          <w:bCs/>
          <w:sz w:val="28"/>
          <w:szCs w:val="28"/>
        </w:rPr>
        <w:t>Definition</w:t>
      </w:r>
    </w:p>
    <w:p w14:paraId="0E348CE6" w14:textId="77777777" w:rsidR="00307639" w:rsidRDefault="00307639" w:rsidP="0048554A">
      <w:pPr>
        <w:spacing w:line="360" w:lineRule="auto"/>
        <w:jc w:val="both"/>
        <w:rPr>
          <w:rFonts w:ascii="Arial" w:hAnsi="Arial" w:cs="Arial"/>
          <w:b/>
          <w:bCs/>
          <w:sz w:val="22"/>
          <w:szCs w:val="22"/>
        </w:rPr>
      </w:pPr>
      <w:r w:rsidRPr="009A7846">
        <w:rPr>
          <w:rFonts w:ascii="Arial" w:hAnsi="Arial" w:cs="Arial"/>
          <w:sz w:val="22"/>
          <w:szCs w:val="22"/>
        </w:rPr>
        <w:t>Stigma refers to the unfavourable attitudes, prejudices and discriminatory behaviours directed against those facing mental health challenges.  It generally involves public stigma (societal prejudice), self-stigma (internalised shame), and cultural stigma, which is moulded by community ideas and traditions (Corrigan &amp; Watson, 2002).  Stigma may be increased within ethnic minority groups due to cultural norms regarding strength, reputation, and familial honour, rendering mental illness particularly sensitive or taboo. This may dissuade individuals from seeking assistance, postpone therapy, and exacerbate psychological anguish. To explain why ethnic minority communities in the UK still have in getting mental health services, it is important to understand how stigma works.</w:t>
      </w:r>
      <w:r>
        <w:rPr>
          <w:rFonts w:ascii="Arial" w:hAnsi="Arial" w:cs="Arial"/>
          <w:sz w:val="22"/>
          <w:szCs w:val="22"/>
        </w:rPr>
        <w:t xml:space="preserve"> Stigma discourages help seeking, directly limiting access to essential services which is linked to the objectives.</w:t>
      </w:r>
    </w:p>
    <w:p w14:paraId="110E0826" w14:textId="77777777" w:rsidR="00307639" w:rsidRDefault="00307639" w:rsidP="0048554A">
      <w:pPr>
        <w:spacing w:line="360" w:lineRule="auto"/>
        <w:jc w:val="both"/>
        <w:rPr>
          <w:rFonts w:ascii="Arial" w:hAnsi="Arial" w:cs="Arial"/>
          <w:b/>
          <w:bCs/>
          <w:sz w:val="28"/>
          <w:szCs w:val="28"/>
        </w:rPr>
      </w:pPr>
      <w:r w:rsidRPr="008E3B92">
        <w:rPr>
          <w:rFonts w:ascii="Arial" w:hAnsi="Arial" w:cs="Arial"/>
          <w:b/>
          <w:bCs/>
          <w:sz w:val="28"/>
          <w:szCs w:val="28"/>
        </w:rPr>
        <w:t>Background information</w:t>
      </w:r>
    </w:p>
    <w:p w14:paraId="625B51A9" w14:textId="77777777" w:rsidR="00307639" w:rsidRPr="008E3B92" w:rsidRDefault="00307639" w:rsidP="0048554A">
      <w:pPr>
        <w:spacing w:line="360" w:lineRule="auto"/>
        <w:jc w:val="both"/>
        <w:rPr>
          <w:rFonts w:ascii="Arial" w:hAnsi="Arial" w:cs="Arial"/>
          <w:sz w:val="28"/>
          <w:szCs w:val="28"/>
        </w:rPr>
      </w:pPr>
      <w:r>
        <w:rPr>
          <w:rFonts w:ascii="Arial" w:hAnsi="Arial" w:cs="Arial"/>
          <w:b/>
          <w:bCs/>
          <w:sz w:val="28"/>
          <w:szCs w:val="28"/>
        </w:rPr>
        <w:t>Historical/Contextual background:</w:t>
      </w:r>
    </w:p>
    <w:p w14:paraId="6458BD43" w14:textId="77777777" w:rsidR="00307639" w:rsidRPr="00F901DA" w:rsidRDefault="00307639" w:rsidP="0048554A">
      <w:pPr>
        <w:spacing w:line="360" w:lineRule="auto"/>
        <w:jc w:val="both"/>
        <w:rPr>
          <w:rFonts w:ascii="Arial" w:hAnsi="Arial" w:cs="Arial"/>
          <w:sz w:val="22"/>
          <w:szCs w:val="22"/>
        </w:rPr>
      </w:pPr>
      <w:r w:rsidRPr="00F901DA">
        <w:rPr>
          <w:rFonts w:ascii="Arial" w:hAnsi="Arial" w:cs="Arial"/>
          <w:sz w:val="22"/>
          <w:szCs w:val="22"/>
        </w:rPr>
        <w:t>The stigma related to mental health has profound historical origins, influenced by enduring cultural beliefs, misconceptions, and socioeconomic disparities. Historically, mental illness was linked to weakness, peril, or moral deficiency, perpetuating shame and secrecy across numerous groups (Hinshaw, 20</w:t>
      </w:r>
      <w:r>
        <w:rPr>
          <w:rFonts w:ascii="Arial" w:hAnsi="Arial" w:cs="Arial"/>
          <w:sz w:val="22"/>
          <w:szCs w:val="22"/>
        </w:rPr>
        <w:t>10</w:t>
      </w:r>
      <w:r w:rsidRPr="00F901DA">
        <w:rPr>
          <w:rFonts w:ascii="Arial" w:hAnsi="Arial" w:cs="Arial"/>
          <w:sz w:val="22"/>
          <w:szCs w:val="22"/>
        </w:rPr>
        <w:t>). For ethnic minority communities in the UK, these ideas were additionally shaped by migratory experiences, cultural norms, and scepticism towards statutory services. Stigma has been identified as a significant obstacle to early intervention, resulting in postponed help-seeking and deteriorated mental health outcomes. Recent studies indicate that stigma endures because of persistent misconceptions and inadequate culturally sensitive mental health education (Bhui et al., 201</w:t>
      </w:r>
      <w:r>
        <w:rPr>
          <w:rFonts w:ascii="Arial" w:hAnsi="Arial" w:cs="Arial"/>
          <w:sz w:val="22"/>
          <w:szCs w:val="22"/>
        </w:rPr>
        <w:t>2</w:t>
      </w:r>
      <w:r w:rsidRPr="00F901DA">
        <w:rPr>
          <w:rFonts w:ascii="Arial" w:hAnsi="Arial" w:cs="Arial"/>
          <w:sz w:val="22"/>
          <w:szCs w:val="22"/>
        </w:rPr>
        <w:t>).</w:t>
      </w:r>
    </w:p>
    <w:p w14:paraId="3B61950C" w14:textId="77777777" w:rsidR="00307639" w:rsidRDefault="00307639" w:rsidP="00307639">
      <w:pPr>
        <w:spacing w:line="360" w:lineRule="auto"/>
        <w:jc w:val="both"/>
        <w:rPr>
          <w:rFonts w:ascii="Arial" w:hAnsi="Arial" w:cs="Arial"/>
          <w:b/>
          <w:bCs/>
          <w:sz w:val="28"/>
          <w:szCs w:val="28"/>
        </w:rPr>
      </w:pPr>
      <w:r w:rsidRPr="00FE0DC8">
        <w:rPr>
          <w:rFonts w:ascii="Arial" w:hAnsi="Arial" w:cs="Arial"/>
          <w:b/>
          <w:bCs/>
          <w:sz w:val="28"/>
          <w:szCs w:val="28"/>
        </w:rPr>
        <w:t>Impact on research question</w:t>
      </w:r>
    </w:p>
    <w:p w14:paraId="299FC1CE" w14:textId="77777777" w:rsidR="00307639" w:rsidRDefault="00307639" w:rsidP="00307639">
      <w:pPr>
        <w:spacing w:line="360" w:lineRule="auto"/>
        <w:jc w:val="both"/>
        <w:rPr>
          <w:rFonts w:ascii="Arial" w:hAnsi="Arial" w:cs="Arial"/>
          <w:b/>
          <w:bCs/>
          <w:sz w:val="28"/>
          <w:szCs w:val="28"/>
        </w:rPr>
      </w:pPr>
      <w:r>
        <w:rPr>
          <w:rFonts w:ascii="Arial" w:hAnsi="Arial" w:cs="Arial"/>
          <w:b/>
          <w:bCs/>
          <w:sz w:val="28"/>
          <w:szCs w:val="28"/>
        </w:rPr>
        <w:t>Relevance to Title/Research Question:</w:t>
      </w:r>
    </w:p>
    <w:p w14:paraId="70DACA82" w14:textId="77777777" w:rsidR="00307639" w:rsidRDefault="00307639" w:rsidP="0048554A">
      <w:pPr>
        <w:spacing w:line="360" w:lineRule="auto"/>
        <w:jc w:val="both"/>
        <w:rPr>
          <w:rFonts w:ascii="Arial" w:hAnsi="Arial" w:cs="Arial"/>
          <w:sz w:val="22"/>
          <w:szCs w:val="22"/>
        </w:rPr>
      </w:pPr>
      <w:r w:rsidRPr="00A60959">
        <w:rPr>
          <w:rFonts w:ascii="Arial" w:hAnsi="Arial" w:cs="Arial"/>
          <w:sz w:val="22"/>
          <w:szCs w:val="22"/>
        </w:rPr>
        <w:lastRenderedPageBreak/>
        <w:t>Stigma profoundly impacts ethnic minority groups' access to mental health treatments in the UK by deterring help</w:t>
      </w:r>
      <w:r>
        <w:rPr>
          <w:rFonts w:ascii="Arial" w:hAnsi="Arial" w:cs="Arial"/>
          <w:sz w:val="22"/>
          <w:szCs w:val="22"/>
        </w:rPr>
        <w:t xml:space="preserve"> </w:t>
      </w:r>
      <w:r w:rsidRPr="00A60959">
        <w:rPr>
          <w:rFonts w:ascii="Arial" w:hAnsi="Arial" w:cs="Arial"/>
          <w:sz w:val="22"/>
          <w:szCs w:val="22"/>
        </w:rPr>
        <w:t>seeking, constraining disclosure, and exacerbating fears of judgement or social repercussions.</w:t>
      </w:r>
      <w:r>
        <w:rPr>
          <w:rFonts w:ascii="Arial" w:hAnsi="Arial" w:cs="Arial"/>
          <w:sz w:val="22"/>
          <w:szCs w:val="22"/>
        </w:rPr>
        <w:t xml:space="preserve"> </w:t>
      </w:r>
      <w:r w:rsidRPr="00A60959">
        <w:rPr>
          <w:rFonts w:ascii="Arial" w:hAnsi="Arial" w:cs="Arial"/>
          <w:sz w:val="22"/>
          <w:szCs w:val="22"/>
        </w:rPr>
        <w:t xml:space="preserve">Cultural stigma in certain groups perceives mental illness as a manifestation of weakness or familial disgrace, prompting individuals to conceal symptoms or depend exclusively on informal support (Mantovani et al., 2017).  Public and self-stigma diminish service involvement, leading to delayed intervention and adverse results </w:t>
      </w:r>
      <w:r w:rsidRPr="003C779A">
        <w:rPr>
          <w:rFonts w:ascii="Arial" w:hAnsi="Arial" w:cs="Arial"/>
          <w:sz w:val="22"/>
          <w:szCs w:val="22"/>
        </w:rPr>
        <w:t>(Corrigan et al., 2014</w:t>
      </w:r>
      <w:r w:rsidRPr="00A60959">
        <w:rPr>
          <w:rFonts w:ascii="Arial" w:hAnsi="Arial" w:cs="Arial"/>
          <w:sz w:val="22"/>
          <w:szCs w:val="22"/>
        </w:rPr>
        <w:t>).</w:t>
      </w:r>
      <w:r>
        <w:rPr>
          <w:rFonts w:ascii="Arial" w:hAnsi="Arial" w:cs="Arial"/>
          <w:sz w:val="22"/>
          <w:szCs w:val="22"/>
        </w:rPr>
        <w:t xml:space="preserve"> </w:t>
      </w:r>
      <w:r w:rsidRPr="00A60959">
        <w:rPr>
          <w:rFonts w:ascii="Arial" w:hAnsi="Arial" w:cs="Arial"/>
          <w:sz w:val="22"/>
          <w:szCs w:val="22"/>
        </w:rPr>
        <w:t>This subject is essential to the research question as stigma directly influences attitudes towards mental health, affecting treatment use and worsening disparities in health.</w:t>
      </w:r>
    </w:p>
    <w:p w14:paraId="1497D2CB"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Statistical information</w:t>
      </w:r>
    </w:p>
    <w:p w14:paraId="1F7E6913"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Data and statistics:</w:t>
      </w:r>
    </w:p>
    <w:p w14:paraId="4F91C1A3" w14:textId="77777777" w:rsidR="00307639" w:rsidRDefault="00307639" w:rsidP="0048554A">
      <w:pPr>
        <w:spacing w:line="360" w:lineRule="auto"/>
        <w:jc w:val="both"/>
        <w:rPr>
          <w:rFonts w:ascii="Arial" w:hAnsi="Arial" w:cs="Arial"/>
          <w:sz w:val="22"/>
          <w:szCs w:val="22"/>
        </w:rPr>
      </w:pPr>
      <w:r w:rsidRPr="006E0A6E">
        <w:rPr>
          <w:rFonts w:ascii="Arial" w:hAnsi="Arial" w:cs="Arial"/>
          <w:sz w:val="22"/>
          <w:szCs w:val="22"/>
        </w:rPr>
        <w:t>The impact of stigma is illustrated by harsh statistics from the UK: in 2022–23, Black individuals experienced 227.9 detentions per 100,000, which is more than 3.5 times the rate for White individuals (64.1 per 100,000) (NHS Digital, 2024; CQC, 2024). Data from the Mental Health Foundation indicate that Black individuals are around four times more likely to be jailed, and nearly 90% of individuals with mental illness feel that stigma adversely impacts their lives (Mental Health Foundation, 2024). Qualitative research associates this stigma with diminished help-seeking behaviours in African-descended communities, hence exacerbating delays in treatment and paths to crisis intervention (Mantovani et al., 2017). These statistics underscore the role of stigma in fostering inequitable and coercive pathways to care.</w:t>
      </w:r>
      <w:r>
        <w:rPr>
          <w:rFonts w:ascii="Arial" w:hAnsi="Arial" w:cs="Arial"/>
          <w:sz w:val="22"/>
          <w:szCs w:val="22"/>
        </w:rPr>
        <w:t xml:space="preserve"> </w:t>
      </w:r>
    </w:p>
    <w:p w14:paraId="25BE6BD9"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Theories, policies, and Legislation</w:t>
      </w:r>
    </w:p>
    <w:p w14:paraId="153C3150" w14:textId="77777777" w:rsidR="00307639" w:rsidRPr="0001178C" w:rsidRDefault="00307639" w:rsidP="0048554A">
      <w:pPr>
        <w:spacing w:line="360" w:lineRule="auto"/>
        <w:jc w:val="both"/>
        <w:rPr>
          <w:rFonts w:ascii="Arial" w:hAnsi="Arial" w:cs="Arial"/>
          <w:sz w:val="22"/>
          <w:szCs w:val="22"/>
        </w:rPr>
      </w:pPr>
      <w:r>
        <w:rPr>
          <w:rFonts w:ascii="Arial" w:hAnsi="Arial" w:cs="Arial"/>
          <w:b/>
          <w:bCs/>
          <w:sz w:val="28"/>
          <w:szCs w:val="28"/>
        </w:rPr>
        <w:t>Theoretical Framework:</w:t>
      </w:r>
    </w:p>
    <w:p w14:paraId="413C767F" w14:textId="77777777" w:rsidR="00307639" w:rsidRDefault="00307639" w:rsidP="0048554A">
      <w:pPr>
        <w:spacing w:line="360" w:lineRule="auto"/>
        <w:jc w:val="both"/>
        <w:rPr>
          <w:rFonts w:ascii="Arial" w:hAnsi="Arial" w:cs="Arial"/>
          <w:sz w:val="22"/>
          <w:szCs w:val="22"/>
        </w:rPr>
      </w:pPr>
      <w:r w:rsidRPr="0001178C">
        <w:rPr>
          <w:rFonts w:ascii="Arial" w:hAnsi="Arial" w:cs="Arial"/>
          <w:sz w:val="22"/>
          <w:szCs w:val="22"/>
        </w:rPr>
        <w:t>Stigma is explained by Goffman’s (1963) theory of social labelling, wherein individuals are deemed “deviant,” resulting in their marginalisation.  Corrigan’s (2004) model illustrates the transition from public stigma to self-stigma, which diminishes the likelihood of seeking assistance.  These theories elucidate the reasons ethnic minority groups may eschew mental health services due to feelings of guilt, fear, and threats to their identity.</w:t>
      </w:r>
    </w:p>
    <w:p w14:paraId="479AB4F6" w14:textId="77777777" w:rsidR="00307639" w:rsidRPr="006D38BC" w:rsidRDefault="00307639" w:rsidP="0048554A">
      <w:pPr>
        <w:spacing w:line="360" w:lineRule="auto"/>
        <w:jc w:val="both"/>
        <w:rPr>
          <w:rFonts w:ascii="Arial" w:hAnsi="Arial" w:cs="Arial"/>
          <w:b/>
          <w:bCs/>
          <w:sz w:val="28"/>
          <w:szCs w:val="28"/>
        </w:rPr>
      </w:pPr>
      <w:r w:rsidRPr="006D38BC">
        <w:rPr>
          <w:rFonts w:ascii="Arial" w:hAnsi="Arial" w:cs="Arial"/>
          <w:b/>
          <w:bCs/>
          <w:sz w:val="28"/>
          <w:szCs w:val="28"/>
        </w:rPr>
        <w:t>Policy and Legislation</w:t>
      </w:r>
      <w:r>
        <w:rPr>
          <w:rFonts w:ascii="Arial" w:hAnsi="Arial" w:cs="Arial"/>
          <w:b/>
          <w:bCs/>
          <w:sz w:val="28"/>
          <w:szCs w:val="28"/>
        </w:rPr>
        <w:t>:</w:t>
      </w:r>
    </w:p>
    <w:p w14:paraId="151D1E82" w14:textId="77777777" w:rsidR="00307639" w:rsidRDefault="00307639" w:rsidP="0048554A">
      <w:pPr>
        <w:spacing w:line="360" w:lineRule="auto"/>
        <w:jc w:val="both"/>
        <w:rPr>
          <w:rFonts w:ascii="Arial" w:hAnsi="Arial" w:cs="Arial"/>
          <w:sz w:val="22"/>
          <w:szCs w:val="22"/>
        </w:rPr>
      </w:pPr>
      <w:r w:rsidRPr="0075027C">
        <w:rPr>
          <w:rFonts w:ascii="Arial" w:hAnsi="Arial" w:cs="Arial"/>
          <w:sz w:val="22"/>
          <w:szCs w:val="22"/>
        </w:rPr>
        <w:t>The Equality Act 2010 and the NHS Long Term Plan are two policies that say services must deal with discrimination and make mental health care fairer.  Stigma, on the other hand, still exists because institutional impediments, cultural misconceptions, and poor service delivery continue to hurt ethnic minority populations.  These rules show how different the law's aim is from how people live (Government Equalities Office, 2010; NHS England, 2019).</w:t>
      </w:r>
    </w:p>
    <w:p w14:paraId="19280C3D"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lastRenderedPageBreak/>
        <w:t>Implications</w:t>
      </w:r>
      <w:r>
        <w:rPr>
          <w:rFonts w:ascii="Arial" w:hAnsi="Arial" w:cs="Arial"/>
          <w:b/>
          <w:bCs/>
          <w:sz w:val="28"/>
          <w:szCs w:val="28"/>
        </w:rPr>
        <w:t>:</w:t>
      </w:r>
    </w:p>
    <w:p w14:paraId="306A3DAD" w14:textId="77777777" w:rsidR="00307639" w:rsidRDefault="00307639" w:rsidP="0048554A">
      <w:pPr>
        <w:spacing w:line="360" w:lineRule="auto"/>
        <w:jc w:val="both"/>
        <w:rPr>
          <w:rFonts w:ascii="Arial" w:hAnsi="Arial" w:cs="Arial"/>
          <w:sz w:val="22"/>
          <w:szCs w:val="22"/>
        </w:rPr>
      </w:pPr>
      <w:r w:rsidRPr="008C0A59">
        <w:rPr>
          <w:rFonts w:ascii="Arial" w:hAnsi="Arial" w:cs="Arial"/>
          <w:sz w:val="22"/>
          <w:szCs w:val="22"/>
        </w:rPr>
        <w:t>Stigma significantly influences the research question by showing how fear, shame, and societal criticism diminish help-seeking behaviours among ethnic minority populations. This results in postponed treatment, crisis-oriented service use, and enduring disparities in access to mental healthcare (Corrigan, 2004; Mantovani et al., 2017). Comprehending stigma is crucial for tackling systemic barriers.</w:t>
      </w:r>
    </w:p>
    <w:p w14:paraId="76CCF48E" w14:textId="77777777" w:rsidR="00307639" w:rsidRPr="008C0A59" w:rsidRDefault="00307639" w:rsidP="0048554A">
      <w:pPr>
        <w:spacing w:line="360" w:lineRule="auto"/>
        <w:jc w:val="both"/>
        <w:rPr>
          <w:rFonts w:ascii="Arial" w:hAnsi="Arial" w:cs="Arial"/>
          <w:sz w:val="22"/>
          <w:szCs w:val="22"/>
        </w:rPr>
      </w:pPr>
      <w:r w:rsidRPr="00C9219B">
        <w:rPr>
          <w:rFonts w:ascii="Arial" w:hAnsi="Arial" w:cs="Arial"/>
          <w:sz w:val="22"/>
          <w:szCs w:val="22"/>
        </w:rPr>
        <w:t>Stigma adversely affects help</w:t>
      </w:r>
      <w:r>
        <w:rPr>
          <w:rFonts w:ascii="Arial" w:hAnsi="Arial" w:cs="Arial"/>
          <w:sz w:val="22"/>
          <w:szCs w:val="22"/>
        </w:rPr>
        <w:t xml:space="preserve"> </w:t>
      </w:r>
      <w:r w:rsidRPr="00C9219B">
        <w:rPr>
          <w:rFonts w:ascii="Arial" w:hAnsi="Arial" w:cs="Arial"/>
          <w:sz w:val="22"/>
          <w:szCs w:val="22"/>
        </w:rPr>
        <w:t>seeking behaviour, exacerbates misery, and intensifies disparities among ethnic minority groups (Corrigan, 2004). Nonetheless, awareness campaigns and community-driven programs have commenced efforts to confront stigma, enhance conversation, and provide early support in certain communities (Mental Health Foundation, 2024). The varied effects underscore the complexity of stigma in relation to mental health access.</w:t>
      </w:r>
    </w:p>
    <w:p w14:paraId="2FCEDC34"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Examples from your articles</w:t>
      </w:r>
      <w:r>
        <w:rPr>
          <w:rFonts w:ascii="Arial" w:hAnsi="Arial" w:cs="Arial"/>
          <w:b/>
          <w:bCs/>
          <w:sz w:val="28"/>
          <w:szCs w:val="28"/>
        </w:rPr>
        <w:t>:</w:t>
      </w:r>
    </w:p>
    <w:p w14:paraId="2DE29108" w14:textId="77777777" w:rsidR="00307639" w:rsidRPr="00922A36" w:rsidRDefault="00307639" w:rsidP="0048554A">
      <w:pPr>
        <w:spacing w:line="360" w:lineRule="auto"/>
        <w:jc w:val="both"/>
        <w:rPr>
          <w:rFonts w:ascii="Arial" w:hAnsi="Arial" w:cs="Arial"/>
          <w:sz w:val="22"/>
          <w:szCs w:val="22"/>
        </w:rPr>
      </w:pPr>
      <w:r w:rsidRPr="00922A36">
        <w:rPr>
          <w:rFonts w:ascii="Arial" w:hAnsi="Arial" w:cs="Arial"/>
          <w:sz w:val="22"/>
          <w:szCs w:val="22"/>
        </w:rPr>
        <w:t>Mantovani et al. (2017) found that cultural stigma within African-descended communities creates fear of judgement, leading individuals to hide symptoms and avoid formal mental health services. Similarly, Bhui, Ascoli and Nuamh (201</w:t>
      </w:r>
      <w:r>
        <w:rPr>
          <w:rFonts w:ascii="Arial" w:hAnsi="Arial" w:cs="Arial"/>
          <w:sz w:val="22"/>
          <w:szCs w:val="22"/>
        </w:rPr>
        <w:t>2</w:t>
      </w:r>
      <w:r w:rsidRPr="00922A36">
        <w:rPr>
          <w:rFonts w:ascii="Arial" w:hAnsi="Arial" w:cs="Arial"/>
          <w:sz w:val="22"/>
          <w:szCs w:val="22"/>
        </w:rPr>
        <w:t>) argued that stigma is reinforced by cultural expectations and experiences of discrimination, which reduce trust in mental health providers. Both articles agree that stigma is a major barrier for ethnic minority groups, though Bhui et al. place stronger emphasis on structural racism alongside cultural stigma. Together, these perspectives strengthen the research question by showing how stigma interacts with cultural and systemic factors to limit mental health service access.</w:t>
      </w:r>
    </w:p>
    <w:p w14:paraId="67E2A716" w14:textId="77777777" w:rsidR="00307639" w:rsidRDefault="00307639" w:rsidP="0048554A">
      <w:pPr>
        <w:spacing w:line="360" w:lineRule="auto"/>
        <w:jc w:val="both"/>
        <w:rPr>
          <w:rFonts w:ascii="Arial" w:hAnsi="Arial" w:cs="Arial"/>
          <w:b/>
          <w:bCs/>
          <w:sz w:val="22"/>
          <w:szCs w:val="22"/>
        </w:rPr>
      </w:pPr>
      <w:r>
        <w:rPr>
          <w:rFonts w:ascii="Arial" w:hAnsi="Arial" w:cs="Arial"/>
          <w:b/>
          <w:bCs/>
          <w:sz w:val="28"/>
          <w:szCs w:val="28"/>
        </w:rPr>
        <w:t>Comparative Analysis</w:t>
      </w:r>
      <w:r>
        <w:rPr>
          <w:rFonts w:ascii="Arial" w:hAnsi="Arial" w:cs="Arial"/>
          <w:b/>
          <w:bCs/>
          <w:sz w:val="22"/>
          <w:szCs w:val="22"/>
        </w:rPr>
        <w:t>:</w:t>
      </w:r>
    </w:p>
    <w:p w14:paraId="7D30E642" w14:textId="77777777" w:rsidR="00307639" w:rsidRPr="00E40C0D" w:rsidRDefault="00307639" w:rsidP="0048554A">
      <w:pPr>
        <w:spacing w:line="360" w:lineRule="auto"/>
        <w:jc w:val="both"/>
        <w:rPr>
          <w:rFonts w:ascii="Arial" w:hAnsi="Arial" w:cs="Arial"/>
          <w:sz w:val="22"/>
          <w:szCs w:val="22"/>
        </w:rPr>
      </w:pPr>
      <w:r>
        <w:rPr>
          <w:rFonts w:ascii="Arial" w:hAnsi="Arial" w:cs="Arial"/>
          <w:sz w:val="22"/>
          <w:szCs w:val="22"/>
        </w:rPr>
        <w:t>Clement et al., (2014)</w:t>
      </w:r>
      <w:r w:rsidRPr="00E40C0D">
        <w:rPr>
          <w:rFonts w:ascii="Arial" w:hAnsi="Arial" w:cs="Arial"/>
          <w:sz w:val="22"/>
          <w:szCs w:val="22"/>
        </w:rPr>
        <w:t xml:space="preserve"> emphasises community-level stigma as the principal barrier to help-seeking among ethnic minority groups</w:t>
      </w:r>
      <w:r>
        <w:rPr>
          <w:rFonts w:ascii="Arial" w:hAnsi="Arial" w:cs="Arial"/>
          <w:sz w:val="22"/>
          <w:szCs w:val="22"/>
        </w:rPr>
        <w:t>,</w:t>
      </w:r>
      <w:r w:rsidRPr="00E40C0D">
        <w:rPr>
          <w:rFonts w:ascii="Arial" w:hAnsi="Arial" w:cs="Arial"/>
          <w:sz w:val="22"/>
          <w:szCs w:val="22"/>
        </w:rPr>
        <w:t xml:space="preserve"> whereas </w:t>
      </w:r>
      <w:r>
        <w:rPr>
          <w:rFonts w:ascii="Arial" w:hAnsi="Arial" w:cs="Arial"/>
          <w:sz w:val="22"/>
          <w:szCs w:val="22"/>
        </w:rPr>
        <w:t>Nazroo et al., (2019)</w:t>
      </w:r>
      <w:r w:rsidRPr="00E40C0D">
        <w:rPr>
          <w:rFonts w:ascii="Arial" w:hAnsi="Arial" w:cs="Arial"/>
          <w:sz w:val="22"/>
          <w:szCs w:val="22"/>
        </w:rPr>
        <w:t xml:space="preserve"> contends that institutional stigma within mental health services exerts a more significant influence, as discriminatory experiences further dis</w:t>
      </w:r>
      <w:r>
        <w:rPr>
          <w:rFonts w:ascii="Arial" w:hAnsi="Arial" w:cs="Arial"/>
          <w:sz w:val="22"/>
          <w:szCs w:val="22"/>
        </w:rPr>
        <w:t>courage</w:t>
      </w:r>
      <w:r w:rsidRPr="00E40C0D">
        <w:rPr>
          <w:rFonts w:ascii="Arial" w:hAnsi="Arial" w:cs="Arial"/>
          <w:sz w:val="22"/>
          <w:szCs w:val="22"/>
        </w:rPr>
        <w:t xml:space="preserve"> engagement</w:t>
      </w:r>
      <w:r>
        <w:rPr>
          <w:rFonts w:ascii="Arial" w:hAnsi="Arial" w:cs="Arial"/>
          <w:sz w:val="22"/>
          <w:szCs w:val="22"/>
        </w:rPr>
        <w:t>.</w:t>
      </w:r>
    </w:p>
    <w:p w14:paraId="57FE6810" w14:textId="77777777" w:rsidR="00307639" w:rsidRDefault="00307639" w:rsidP="0048554A">
      <w:pPr>
        <w:spacing w:line="360" w:lineRule="auto"/>
        <w:jc w:val="both"/>
        <w:rPr>
          <w:rFonts w:ascii="Arial" w:hAnsi="Arial" w:cs="Arial"/>
          <w:sz w:val="22"/>
          <w:szCs w:val="22"/>
        </w:rPr>
      </w:pPr>
    </w:p>
    <w:p w14:paraId="55EB11D7" w14:textId="77777777" w:rsidR="00307639" w:rsidRDefault="00307639" w:rsidP="0048554A">
      <w:pPr>
        <w:spacing w:line="360" w:lineRule="auto"/>
        <w:jc w:val="both"/>
        <w:rPr>
          <w:rFonts w:ascii="Arial" w:hAnsi="Arial" w:cs="Arial"/>
          <w:b/>
          <w:bCs/>
          <w:sz w:val="28"/>
          <w:szCs w:val="28"/>
        </w:rPr>
      </w:pPr>
      <w:r w:rsidRPr="00A60959">
        <w:rPr>
          <w:rFonts w:ascii="Arial" w:hAnsi="Arial" w:cs="Arial"/>
          <w:b/>
          <w:bCs/>
          <w:sz w:val="28"/>
          <w:szCs w:val="28"/>
        </w:rPr>
        <w:t xml:space="preserve">Connection to other themes   </w:t>
      </w:r>
    </w:p>
    <w:p w14:paraId="361851C1"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Interconnections:</w:t>
      </w:r>
      <w:r w:rsidRPr="00A60959">
        <w:rPr>
          <w:rFonts w:ascii="Arial" w:hAnsi="Arial" w:cs="Arial"/>
          <w:b/>
          <w:bCs/>
          <w:sz w:val="28"/>
          <w:szCs w:val="28"/>
        </w:rPr>
        <w:t xml:space="preserve">  </w:t>
      </w:r>
    </w:p>
    <w:p w14:paraId="5E051B20" w14:textId="77777777" w:rsidR="00307639" w:rsidRDefault="00307639" w:rsidP="0048554A">
      <w:pPr>
        <w:spacing w:line="360" w:lineRule="auto"/>
        <w:jc w:val="both"/>
        <w:rPr>
          <w:rFonts w:ascii="Arial" w:hAnsi="Arial" w:cs="Arial"/>
          <w:sz w:val="22"/>
          <w:szCs w:val="22"/>
        </w:rPr>
      </w:pPr>
      <w:r w:rsidRPr="00B22C4F">
        <w:rPr>
          <w:rFonts w:ascii="Arial" w:hAnsi="Arial" w:cs="Arial"/>
          <w:sz w:val="22"/>
          <w:szCs w:val="22"/>
        </w:rPr>
        <w:t xml:space="preserve">Stigma is very closely related to cultural competence and accessibility.  Limited cultural understanding in services can increase stigma, making people feel like they are being </w:t>
      </w:r>
      <w:r w:rsidRPr="00B22C4F">
        <w:rPr>
          <w:rFonts w:ascii="Arial" w:hAnsi="Arial" w:cs="Arial"/>
          <w:sz w:val="22"/>
          <w:szCs w:val="22"/>
        </w:rPr>
        <w:lastRenderedPageBreak/>
        <w:t>criticised or misunderstood. Poor accessibility can also make people avoid getting help or delay getting it (Bhui et al., 201</w:t>
      </w:r>
      <w:r>
        <w:rPr>
          <w:rFonts w:ascii="Arial" w:hAnsi="Arial" w:cs="Arial"/>
          <w:sz w:val="22"/>
          <w:szCs w:val="22"/>
        </w:rPr>
        <w:t>2</w:t>
      </w:r>
      <w:r w:rsidRPr="00B22C4F">
        <w:rPr>
          <w:rFonts w:ascii="Arial" w:hAnsi="Arial" w:cs="Arial"/>
          <w:sz w:val="22"/>
          <w:szCs w:val="22"/>
        </w:rPr>
        <w:t>; Mantovani et al., 2017).  These overlapping issues make it harder for ethnic minority populations to get mental health help.</w:t>
      </w:r>
    </w:p>
    <w:p w14:paraId="04EE7571" w14:textId="77777777" w:rsidR="00307639" w:rsidRDefault="00307639" w:rsidP="0048554A">
      <w:pPr>
        <w:spacing w:line="360" w:lineRule="auto"/>
        <w:jc w:val="both"/>
        <w:rPr>
          <w:rFonts w:ascii="Arial" w:hAnsi="Arial" w:cs="Arial"/>
          <w:b/>
          <w:bCs/>
          <w:sz w:val="32"/>
          <w:szCs w:val="32"/>
        </w:rPr>
      </w:pPr>
      <w:r w:rsidRPr="00FE0DC8">
        <w:rPr>
          <w:rFonts w:ascii="Arial" w:hAnsi="Arial" w:cs="Arial"/>
          <w:b/>
          <w:bCs/>
          <w:sz w:val="32"/>
          <w:szCs w:val="32"/>
        </w:rPr>
        <w:t>4.4 Theme 2</w:t>
      </w:r>
      <w:r>
        <w:rPr>
          <w:rFonts w:ascii="Arial" w:hAnsi="Arial" w:cs="Arial"/>
          <w:b/>
          <w:bCs/>
          <w:sz w:val="32"/>
          <w:szCs w:val="32"/>
        </w:rPr>
        <w:t>, Language Barrier</w:t>
      </w:r>
    </w:p>
    <w:p w14:paraId="4B1C2939"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Definition</w:t>
      </w:r>
    </w:p>
    <w:p w14:paraId="126639E4" w14:textId="77777777" w:rsidR="00307639" w:rsidRDefault="00307639" w:rsidP="0048554A">
      <w:pPr>
        <w:spacing w:line="360" w:lineRule="auto"/>
        <w:jc w:val="both"/>
        <w:rPr>
          <w:rFonts w:ascii="Arial" w:hAnsi="Arial" w:cs="Arial"/>
          <w:sz w:val="22"/>
          <w:szCs w:val="22"/>
        </w:rPr>
      </w:pPr>
      <w:r w:rsidRPr="00E23C9D">
        <w:rPr>
          <w:rFonts w:ascii="Arial" w:hAnsi="Arial" w:cs="Arial"/>
          <w:b/>
          <w:bCs/>
          <w:sz w:val="22"/>
          <w:szCs w:val="22"/>
        </w:rPr>
        <w:t>The language barrier</w:t>
      </w:r>
      <w:r w:rsidRPr="00E23C9D">
        <w:rPr>
          <w:rFonts w:ascii="Arial" w:hAnsi="Arial" w:cs="Arial"/>
          <w:sz w:val="22"/>
          <w:szCs w:val="22"/>
        </w:rPr>
        <w:t xml:space="preserve"> s</w:t>
      </w:r>
      <w:r>
        <w:rPr>
          <w:rFonts w:ascii="Arial" w:hAnsi="Arial" w:cs="Arial"/>
          <w:sz w:val="22"/>
          <w:szCs w:val="22"/>
        </w:rPr>
        <w:t>ignifies</w:t>
      </w:r>
      <w:r w:rsidRPr="00E23C9D">
        <w:rPr>
          <w:rFonts w:ascii="Arial" w:hAnsi="Arial" w:cs="Arial"/>
          <w:sz w:val="22"/>
          <w:szCs w:val="22"/>
        </w:rPr>
        <w:t xml:space="preserve"> challenges in efficient communication between service users and providers due to insufficient shared language competency, inadequate health literacy, or absence of culturally appropriate interpretation (Flores, 2006).  In mental health situations, this encompasses both literal translation issues and profound conceptual non-equivalence, wherein diagnostic terminology (e.g., “depression,” “anxiety”) or idioms of suffering do not correspond accurately across languages or cultures (Bhui et al., 201</w:t>
      </w:r>
      <w:r>
        <w:rPr>
          <w:rFonts w:ascii="Arial" w:hAnsi="Arial" w:cs="Arial"/>
          <w:sz w:val="22"/>
          <w:szCs w:val="22"/>
        </w:rPr>
        <w:t>2</w:t>
      </w:r>
      <w:r w:rsidRPr="00E23C9D">
        <w:rPr>
          <w:rFonts w:ascii="Arial" w:hAnsi="Arial" w:cs="Arial"/>
          <w:sz w:val="22"/>
          <w:szCs w:val="22"/>
        </w:rPr>
        <w:t xml:space="preserve">). </w:t>
      </w:r>
    </w:p>
    <w:p w14:paraId="76C78C8F" w14:textId="77777777" w:rsidR="00307639" w:rsidRDefault="00307639" w:rsidP="0048554A">
      <w:pPr>
        <w:spacing w:line="360" w:lineRule="auto"/>
        <w:jc w:val="both"/>
        <w:rPr>
          <w:rFonts w:ascii="Arial" w:hAnsi="Arial" w:cs="Arial"/>
          <w:sz w:val="22"/>
          <w:szCs w:val="22"/>
        </w:rPr>
      </w:pPr>
      <w:r w:rsidRPr="00E23C9D">
        <w:rPr>
          <w:rFonts w:ascii="Arial" w:hAnsi="Arial" w:cs="Arial"/>
          <w:b/>
          <w:bCs/>
          <w:sz w:val="22"/>
          <w:szCs w:val="22"/>
        </w:rPr>
        <w:t>Essential terminology:</w:t>
      </w:r>
      <w:r w:rsidRPr="00E23C9D">
        <w:rPr>
          <w:rFonts w:ascii="Arial" w:hAnsi="Arial" w:cs="Arial"/>
          <w:sz w:val="22"/>
          <w:szCs w:val="22"/>
        </w:rPr>
        <w:t xml:space="preserve"> interpretation (oral conversion between languages), translation (written conversion), linguistic competence (the service's capacity to communicate across languages), health literacy (the patient's capability to comprehend health information), and cultural broking (mediators who connect language and cultural significance).  Language problems may lead to misdiagnosis, inadequate therapeutic partnership, medication non-adherence, breaches of confidentiality when use ad hoc translators, and complete avoidance of services.  Resolving these issues necessitates skilled interpreters, multilingual healthcare professionals, and a focus on conceptual equivalence rather than mere literal translation (Flores, 2006; Bhui et al., 201</w:t>
      </w:r>
      <w:r>
        <w:rPr>
          <w:rFonts w:ascii="Arial" w:hAnsi="Arial" w:cs="Arial"/>
          <w:sz w:val="22"/>
          <w:szCs w:val="22"/>
        </w:rPr>
        <w:t>2</w:t>
      </w:r>
      <w:r w:rsidRPr="00E23C9D">
        <w:rPr>
          <w:rFonts w:ascii="Arial" w:hAnsi="Arial" w:cs="Arial"/>
          <w:sz w:val="22"/>
          <w:szCs w:val="22"/>
        </w:rPr>
        <w:t>).</w:t>
      </w:r>
      <w:r>
        <w:rPr>
          <w:rFonts w:ascii="Arial" w:hAnsi="Arial" w:cs="Arial"/>
          <w:sz w:val="22"/>
          <w:szCs w:val="22"/>
        </w:rPr>
        <w:t xml:space="preserve"> Language challenges highlight why culturally competent communication is urgently required hereby liking to the objectives.</w:t>
      </w:r>
    </w:p>
    <w:p w14:paraId="606834A5" w14:textId="77777777" w:rsidR="00307639" w:rsidRPr="00767852" w:rsidRDefault="00307639" w:rsidP="0048554A">
      <w:pPr>
        <w:spacing w:line="360" w:lineRule="auto"/>
        <w:jc w:val="both"/>
        <w:rPr>
          <w:rFonts w:ascii="Arial" w:hAnsi="Arial" w:cs="Arial"/>
          <w:sz w:val="22"/>
          <w:szCs w:val="22"/>
        </w:rPr>
      </w:pPr>
    </w:p>
    <w:p w14:paraId="18B890F6"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Background information</w:t>
      </w:r>
    </w:p>
    <w:p w14:paraId="7B9DD9DF"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Historical/Contextual Background:</w:t>
      </w:r>
    </w:p>
    <w:p w14:paraId="71BC3C2A" w14:textId="77777777" w:rsidR="00307639" w:rsidRDefault="00307639" w:rsidP="0048554A">
      <w:pPr>
        <w:spacing w:line="360" w:lineRule="auto"/>
        <w:jc w:val="both"/>
        <w:rPr>
          <w:rFonts w:ascii="Arial" w:hAnsi="Arial" w:cs="Arial"/>
          <w:sz w:val="22"/>
          <w:szCs w:val="22"/>
        </w:rPr>
      </w:pPr>
      <w:r w:rsidRPr="00004C7D">
        <w:rPr>
          <w:rFonts w:ascii="Arial" w:hAnsi="Arial" w:cs="Arial"/>
          <w:sz w:val="22"/>
          <w:szCs w:val="22"/>
        </w:rPr>
        <w:t xml:space="preserve">Language difficulties have been acknowledged as a substantial obstacle in health and social care, especially for migrant and ethnic minority groups whose primary language is not English.  Since the 1950s, migration waves have established multilingual communities in the UK; nonetheless, mental health services have predominantly evolved within English-speaking, Western diagnostic paradigms (Bhatia &amp; Wallace, 2007).  Insufficient investment in interpreting services and culturally competent communication exacerbated disparities.  Research has demonstrated that insufficient linguistic support leads to misinterpretation, misdiagnosis, and </w:t>
      </w:r>
      <w:r w:rsidRPr="00004C7D">
        <w:rPr>
          <w:rFonts w:ascii="Arial" w:hAnsi="Arial" w:cs="Arial"/>
          <w:sz w:val="22"/>
          <w:szCs w:val="22"/>
        </w:rPr>
        <w:lastRenderedPageBreak/>
        <w:t>diminished trust in mental health practitioners (Flores, 2006).  These historical deficiencies persist in influencing contemporary differences in access to and quality of care.</w:t>
      </w:r>
    </w:p>
    <w:p w14:paraId="5D5D16B6"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Impact on research question</w:t>
      </w:r>
    </w:p>
    <w:p w14:paraId="573D1CE8"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Relevance to Title/Research Question:</w:t>
      </w:r>
    </w:p>
    <w:p w14:paraId="5E8AD37C" w14:textId="77777777" w:rsidR="00307639" w:rsidRPr="00113C55" w:rsidRDefault="00307639" w:rsidP="0048554A">
      <w:pPr>
        <w:spacing w:line="360" w:lineRule="auto"/>
        <w:jc w:val="both"/>
        <w:rPr>
          <w:rFonts w:ascii="Arial" w:hAnsi="Arial" w:cs="Arial"/>
          <w:sz w:val="22"/>
          <w:szCs w:val="22"/>
        </w:rPr>
      </w:pPr>
      <w:r w:rsidRPr="00113C55">
        <w:rPr>
          <w:rFonts w:ascii="Arial" w:hAnsi="Arial" w:cs="Arial"/>
          <w:sz w:val="22"/>
          <w:szCs w:val="22"/>
        </w:rPr>
        <w:t>Language limitations profoundly affect this study question by limiting ethnic minority individuals' capacity to articulate symptoms, comprehend treatment alternatives, and interact with mental health care.  Insufficient English ability frequently results in misdiagnosis, postponed assistance, and diminished trust in professionals, hence exacerbating disparities in healthcare</w:t>
      </w:r>
      <w:r w:rsidRPr="00A24EF1">
        <w:t xml:space="preserve"> </w:t>
      </w:r>
      <w:r w:rsidRPr="00A24EF1">
        <w:rPr>
          <w:rFonts w:ascii="Arial" w:hAnsi="Arial" w:cs="Arial"/>
          <w:sz w:val="22"/>
          <w:szCs w:val="22"/>
        </w:rPr>
        <w:t>(Stepanova et al., 2025)</w:t>
      </w:r>
      <w:r>
        <w:rPr>
          <w:rFonts w:ascii="Arial" w:hAnsi="Arial" w:cs="Arial"/>
          <w:sz w:val="22"/>
          <w:szCs w:val="22"/>
        </w:rPr>
        <w:t xml:space="preserve">. </w:t>
      </w:r>
      <w:r w:rsidRPr="00113C55">
        <w:rPr>
          <w:rFonts w:ascii="Arial" w:hAnsi="Arial" w:cs="Arial"/>
          <w:sz w:val="22"/>
          <w:szCs w:val="22"/>
        </w:rPr>
        <w:t xml:space="preserve"> Language obstacles, coupled with stigma and cultural differences, exacerbate the difficulties encountered by ethnic minority communities in accessing services.  Mitigating these obstacles is crucial for enhancing service accessibility, patient involvement, and equitable mental health outcomes among varied populations.</w:t>
      </w:r>
    </w:p>
    <w:p w14:paraId="0EE028C5"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Statistical information</w:t>
      </w:r>
    </w:p>
    <w:p w14:paraId="4888D68C"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Data and statistics:</w:t>
      </w:r>
    </w:p>
    <w:p w14:paraId="449B8F8D" w14:textId="77777777" w:rsidR="00307639" w:rsidRPr="008774CA" w:rsidRDefault="00307639" w:rsidP="0048554A">
      <w:pPr>
        <w:spacing w:line="360" w:lineRule="auto"/>
        <w:jc w:val="both"/>
        <w:rPr>
          <w:rFonts w:ascii="Arial" w:hAnsi="Arial" w:cs="Arial"/>
          <w:sz w:val="22"/>
          <w:szCs w:val="22"/>
        </w:rPr>
      </w:pPr>
      <w:r w:rsidRPr="00E71F1C">
        <w:rPr>
          <w:rFonts w:ascii="Arial" w:hAnsi="Arial" w:cs="Arial"/>
          <w:sz w:val="22"/>
          <w:szCs w:val="22"/>
        </w:rPr>
        <w:t xml:space="preserve">Recent studies indicate that language obstacles substantially impede access to mental health services.  For instance, persons with restricted proficiency in the host language are 45% less like to utilise mental health help compared to competent speakers A </w:t>
      </w:r>
      <w:r w:rsidRPr="00556B7C">
        <w:rPr>
          <w:rFonts w:ascii="Arial" w:hAnsi="Arial" w:cs="Arial"/>
          <w:sz w:val="22"/>
          <w:szCs w:val="22"/>
        </w:rPr>
        <w:t>(Bauer, Chen and Alegría, 2010)</w:t>
      </w:r>
      <w:r>
        <w:rPr>
          <w:rFonts w:ascii="Arial" w:hAnsi="Arial" w:cs="Arial"/>
          <w:sz w:val="22"/>
          <w:szCs w:val="22"/>
        </w:rPr>
        <w:t>. S</w:t>
      </w:r>
      <w:r w:rsidRPr="00E71F1C">
        <w:rPr>
          <w:rFonts w:ascii="Arial" w:hAnsi="Arial" w:cs="Arial"/>
          <w:sz w:val="22"/>
          <w:szCs w:val="22"/>
        </w:rPr>
        <w:t>eparate study revealed that the utilisation of interpreters enhances diagnostic accuracy by as much as 70%; nevertheless, numerous patients forgo interpreter services due to stigma or mistrust</w:t>
      </w:r>
      <w:r>
        <w:rPr>
          <w:rFonts w:ascii="Arial" w:hAnsi="Arial" w:cs="Arial"/>
          <w:sz w:val="22"/>
          <w:szCs w:val="22"/>
        </w:rPr>
        <w:t xml:space="preserve"> </w:t>
      </w:r>
      <w:r w:rsidRPr="008D1CE2">
        <w:rPr>
          <w:rFonts w:ascii="Arial" w:hAnsi="Arial" w:cs="Arial"/>
          <w:sz w:val="22"/>
          <w:szCs w:val="22"/>
        </w:rPr>
        <w:t>(Ali and Watson, 2017)</w:t>
      </w:r>
      <w:r w:rsidRPr="00E71F1C">
        <w:rPr>
          <w:rFonts w:ascii="Arial" w:hAnsi="Arial" w:cs="Arial"/>
          <w:sz w:val="22"/>
          <w:szCs w:val="22"/>
        </w:rPr>
        <w:t>).  A contentious discovery is that, despite significant need, many migrant populations indicate under-utilization rates of 50%, prompting worries regarding structural inequity</w:t>
      </w:r>
      <w:r>
        <w:rPr>
          <w:rFonts w:ascii="Arial" w:hAnsi="Arial" w:cs="Arial"/>
          <w:sz w:val="22"/>
          <w:szCs w:val="22"/>
        </w:rPr>
        <w:t xml:space="preserve"> </w:t>
      </w:r>
      <w:r w:rsidRPr="008D1CE2">
        <w:rPr>
          <w:rFonts w:ascii="Arial" w:hAnsi="Arial" w:cs="Arial"/>
          <w:sz w:val="22"/>
          <w:szCs w:val="22"/>
        </w:rPr>
        <w:t>(Priebe et al., 2012)</w:t>
      </w:r>
      <w:r>
        <w:rPr>
          <w:rFonts w:ascii="Arial" w:hAnsi="Arial" w:cs="Arial"/>
          <w:sz w:val="22"/>
          <w:szCs w:val="22"/>
        </w:rPr>
        <w:t xml:space="preserve">. </w:t>
      </w:r>
      <w:r w:rsidRPr="00E71F1C">
        <w:rPr>
          <w:rFonts w:ascii="Arial" w:hAnsi="Arial" w:cs="Arial"/>
          <w:sz w:val="22"/>
          <w:szCs w:val="22"/>
        </w:rPr>
        <w:t>These numbers underscore significant consequences for prompt and efficient care.</w:t>
      </w:r>
    </w:p>
    <w:p w14:paraId="1EDEF422"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Theories, policies, and Legislation</w:t>
      </w:r>
    </w:p>
    <w:p w14:paraId="6A488302" w14:textId="77777777" w:rsidR="00307639" w:rsidRPr="00FE0DC8" w:rsidRDefault="00307639" w:rsidP="0048554A">
      <w:pPr>
        <w:spacing w:line="360" w:lineRule="auto"/>
        <w:jc w:val="both"/>
        <w:rPr>
          <w:rFonts w:ascii="Arial" w:hAnsi="Arial" w:cs="Arial"/>
          <w:b/>
          <w:bCs/>
          <w:sz w:val="28"/>
          <w:szCs w:val="28"/>
        </w:rPr>
      </w:pPr>
      <w:r>
        <w:rPr>
          <w:rFonts w:ascii="Arial" w:hAnsi="Arial" w:cs="Arial"/>
          <w:b/>
          <w:bCs/>
          <w:sz w:val="28"/>
          <w:szCs w:val="28"/>
        </w:rPr>
        <w:t>Theoretical Framework:</w:t>
      </w:r>
    </w:p>
    <w:p w14:paraId="7AD6C894" w14:textId="77777777" w:rsidR="00307639" w:rsidRDefault="00307639" w:rsidP="0048554A">
      <w:pPr>
        <w:spacing w:line="360" w:lineRule="auto"/>
        <w:jc w:val="both"/>
      </w:pPr>
      <w:r w:rsidRPr="00777159">
        <w:rPr>
          <w:rFonts w:ascii="Arial" w:hAnsi="Arial" w:cs="Arial"/>
          <w:sz w:val="22"/>
          <w:szCs w:val="22"/>
        </w:rPr>
        <w:t xml:space="preserve">Numerous UK-based theories and frameworks elucidate the influence of language barriers on service accessibility.  The Health Literacy Framework employed by Public Health England indicates that poor English proficiency diminishes the capacity to comprehend information, interact with professionals, and make informed decisions (Public Health England, 2015).  The Institutional Communication Barriers Model underscores how systemic communication practices disadvantage those with inadequate English proficiency, resulting in inequitable </w:t>
      </w:r>
      <w:r w:rsidRPr="00777159">
        <w:rPr>
          <w:rFonts w:ascii="Arial" w:hAnsi="Arial" w:cs="Arial"/>
          <w:sz w:val="22"/>
          <w:szCs w:val="22"/>
        </w:rPr>
        <w:lastRenderedPageBreak/>
        <w:t>outcomes</w:t>
      </w:r>
      <w:r>
        <w:rPr>
          <w:rFonts w:ascii="Arial" w:hAnsi="Arial" w:cs="Arial"/>
          <w:sz w:val="22"/>
          <w:szCs w:val="22"/>
        </w:rPr>
        <w:t xml:space="preserve"> </w:t>
      </w:r>
      <w:r w:rsidRPr="007A55D6">
        <w:rPr>
          <w:rFonts w:ascii="Arial" w:hAnsi="Arial" w:cs="Arial"/>
          <w:sz w:val="22"/>
          <w:szCs w:val="22"/>
        </w:rPr>
        <w:t>(Kapadia et al., 2022)</w:t>
      </w:r>
      <w:r>
        <w:rPr>
          <w:rFonts w:ascii="Arial" w:hAnsi="Arial" w:cs="Arial"/>
          <w:sz w:val="22"/>
          <w:szCs w:val="22"/>
        </w:rPr>
        <w:t xml:space="preserve">. </w:t>
      </w:r>
      <w:r w:rsidRPr="00777159">
        <w:rPr>
          <w:rFonts w:ascii="Arial" w:hAnsi="Arial" w:cs="Arial"/>
          <w:sz w:val="22"/>
          <w:szCs w:val="22"/>
        </w:rPr>
        <w:t xml:space="preserve"> The NHS Accessible Information Standard emphasises that unaddressed communication needs impede service participation (NHS England, 20</w:t>
      </w:r>
      <w:r>
        <w:rPr>
          <w:rFonts w:ascii="Arial" w:hAnsi="Arial" w:cs="Arial"/>
          <w:sz w:val="22"/>
          <w:szCs w:val="22"/>
        </w:rPr>
        <w:t>25</w:t>
      </w:r>
      <w:r w:rsidRPr="00777159">
        <w:rPr>
          <w:rFonts w:ascii="Arial" w:hAnsi="Arial" w:cs="Arial"/>
          <w:sz w:val="22"/>
          <w:szCs w:val="22"/>
        </w:rPr>
        <w:t>).  Collectively, these models illustrate how linguistic barriers impede access and exacerbate inequities.</w:t>
      </w:r>
      <w:r w:rsidRPr="000010D5">
        <w:t xml:space="preserve"> </w:t>
      </w:r>
    </w:p>
    <w:p w14:paraId="1CD9C257" w14:textId="77777777" w:rsidR="00307639" w:rsidRPr="008D6A5A" w:rsidRDefault="00307639" w:rsidP="0048554A">
      <w:pPr>
        <w:spacing w:line="360" w:lineRule="auto"/>
        <w:jc w:val="both"/>
        <w:rPr>
          <w:rFonts w:ascii="Arial" w:hAnsi="Arial" w:cs="Arial"/>
          <w:b/>
          <w:bCs/>
          <w:sz w:val="28"/>
          <w:szCs w:val="28"/>
        </w:rPr>
      </w:pPr>
      <w:r w:rsidRPr="008D6A5A">
        <w:rPr>
          <w:rFonts w:ascii="Arial" w:hAnsi="Arial" w:cs="Arial"/>
          <w:b/>
          <w:bCs/>
          <w:sz w:val="28"/>
          <w:szCs w:val="28"/>
        </w:rPr>
        <w:t>Policy and Legislation</w:t>
      </w:r>
    </w:p>
    <w:p w14:paraId="69013EB9" w14:textId="77777777" w:rsidR="00307639" w:rsidRDefault="00307639" w:rsidP="0048554A">
      <w:pPr>
        <w:spacing w:line="360" w:lineRule="auto"/>
        <w:jc w:val="both"/>
        <w:rPr>
          <w:rFonts w:ascii="Arial" w:hAnsi="Arial" w:cs="Arial"/>
          <w:sz w:val="22"/>
          <w:szCs w:val="22"/>
        </w:rPr>
      </w:pPr>
      <w:r w:rsidRPr="000010D5">
        <w:rPr>
          <w:rFonts w:ascii="Arial" w:hAnsi="Arial" w:cs="Arial"/>
          <w:sz w:val="22"/>
          <w:szCs w:val="22"/>
        </w:rPr>
        <w:t>There are several UK rules that deal with language obstacles in healthcare. The most significant of these is the NHS Accessible Information Standard (AIS), which says that services must find out, document, and accommodate patients' communication needs, including linguistic support (NHS England, 20</w:t>
      </w:r>
      <w:r>
        <w:rPr>
          <w:rFonts w:ascii="Arial" w:hAnsi="Arial" w:cs="Arial"/>
          <w:sz w:val="22"/>
          <w:szCs w:val="22"/>
        </w:rPr>
        <w:t>25</w:t>
      </w:r>
      <w:r w:rsidRPr="000010D5">
        <w:rPr>
          <w:rFonts w:ascii="Arial" w:hAnsi="Arial" w:cs="Arial"/>
          <w:sz w:val="22"/>
          <w:szCs w:val="22"/>
        </w:rPr>
        <w:t>). The Equality Act 2010 also protects people from being treated unfairly because of their race, ethnicity, or national origin. This means that services must give everyone equal access</w:t>
      </w:r>
      <w:r>
        <w:rPr>
          <w:rFonts w:ascii="Arial" w:hAnsi="Arial" w:cs="Arial"/>
          <w:sz w:val="22"/>
          <w:szCs w:val="22"/>
        </w:rPr>
        <w:t xml:space="preserve"> </w:t>
      </w:r>
      <w:r w:rsidRPr="000010D5">
        <w:rPr>
          <w:rFonts w:ascii="Arial" w:hAnsi="Arial" w:cs="Arial"/>
          <w:sz w:val="22"/>
          <w:szCs w:val="22"/>
        </w:rPr>
        <w:t>(GOV.UK, 2010)</w:t>
      </w:r>
      <w:r>
        <w:rPr>
          <w:rFonts w:ascii="Arial" w:hAnsi="Arial" w:cs="Arial"/>
          <w:sz w:val="22"/>
          <w:szCs w:val="22"/>
        </w:rPr>
        <w:t xml:space="preserve">. </w:t>
      </w:r>
      <w:r w:rsidRPr="000010D5">
        <w:rPr>
          <w:rFonts w:ascii="Arial" w:hAnsi="Arial" w:cs="Arial"/>
          <w:sz w:val="22"/>
          <w:szCs w:val="22"/>
        </w:rPr>
        <w:t>These policies do make it easier for interpreters to do their jobs and promote fairness, but research suggests that they are not always followed, which means that ethnic minority groups still face unfair</w:t>
      </w:r>
      <w:r>
        <w:rPr>
          <w:rFonts w:ascii="Arial" w:hAnsi="Arial" w:cs="Arial"/>
          <w:sz w:val="22"/>
          <w:szCs w:val="22"/>
        </w:rPr>
        <w:t xml:space="preserve"> </w:t>
      </w:r>
      <w:r w:rsidRPr="00646970">
        <w:rPr>
          <w:rFonts w:ascii="Arial" w:hAnsi="Arial" w:cs="Arial"/>
          <w:sz w:val="22"/>
          <w:szCs w:val="22"/>
        </w:rPr>
        <w:t>(Hayanga, Stafford and Bécares, 2021)</w:t>
      </w:r>
      <w:r w:rsidRPr="000010D5">
        <w:rPr>
          <w:rFonts w:ascii="Arial" w:hAnsi="Arial" w:cs="Arial"/>
          <w:sz w:val="22"/>
          <w:szCs w:val="22"/>
        </w:rPr>
        <w:t>. These discrepancies show that we need better enforcement and communication support that is more in line with different cultures.</w:t>
      </w:r>
    </w:p>
    <w:p w14:paraId="6FD0251B"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Implications</w:t>
      </w:r>
    </w:p>
    <w:p w14:paraId="1F2C7E36" w14:textId="77777777" w:rsidR="00307639" w:rsidRDefault="00307639" w:rsidP="0048554A">
      <w:pPr>
        <w:spacing w:line="360" w:lineRule="auto"/>
        <w:jc w:val="both"/>
        <w:rPr>
          <w:rFonts w:ascii="Arial" w:hAnsi="Arial" w:cs="Arial"/>
          <w:sz w:val="22"/>
          <w:szCs w:val="22"/>
        </w:rPr>
      </w:pPr>
      <w:r w:rsidRPr="00646970">
        <w:rPr>
          <w:rFonts w:ascii="Arial" w:hAnsi="Arial" w:cs="Arial"/>
          <w:sz w:val="22"/>
          <w:szCs w:val="22"/>
        </w:rPr>
        <w:t>Language barriers profoundly affect this research, as they directly influence ethnic minorities' access to mental health care in the UK.  A significant adverse effect is diminished help</w:t>
      </w:r>
      <w:r>
        <w:rPr>
          <w:rFonts w:ascii="Arial" w:hAnsi="Arial" w:cs="Arial"/>
          <w:sz w:val="22"/>
          <w:szCs w:val="22"/>
        </w:rPr>
        <w:t xml:space="preserve"> </w:t>
      </w:r>
      <w:r w:rsidRPr="00646970">
        <w:rPr>
          <w:rFonts w:ascii="Arial" w:hAnsi="Arial" w:cs="Arial"/>
          <w:sz w:val="22"/>
          <w:szCs w:val="22"/>
        </w:rPr>
        <w:t>seeking behaviour, misunderstanding, and misdiagnosis, which heightens the likelihood of delayed or unsuitable therapy</w:t>
      </w:r>
      <w:r w:rsidRPr="000B526B">
        <w:rPr>
          <w:rFonts w:ascii="Arial" w:hAnsi="Arial" w:cs="Arial"/>
          <w:sz w:val="22"/>
          <w:szCs w:val="22"/>
        </w:rPr>
        <w:t xml:space="preserve"> (Salway et al., 2020)</w:t>
      </w:r>
      <w:r>
        <w:rPr>
          <w:rFonts w:ascii="Arial" w:hAnsi="Arial" w:cs="Arial"/>
          <w:sz w:val="22"/>
          <w:szCs w:val="22"/>
        </w:rPr>
        <w:t>.</w:t>
      </w:r>
      <w:r w:rsidRPr="00646970">
        <w:rPr>
          <w:rFonts w:ascii="Arial" w:hAnsi="Arial" w:cs="Arial"/>
          <w:sz w:val="22"/>
          <w:szCs w:val="22"/>
        </w:rPr>
        <w:t xml:space="preserve">  Insufficient English competence exacerbates patient anxiety and diminishes trust in healthcare providers</w:t>
      </w:r>
      <w:r>
        <w:rPr>
          <w:rFonts w:ascii="Arial" w:hAnsi="Arial" w:cs="Arial"/>
          <w:sz w:val="22"/>
          <w:szCs w:val="22"/>
        </w:rPr>
        <w:t xml:space="preserve"> </w:t>
      </w:r>
      <w:r w:rsidRPr="00B022EE">
        <w:rPr>
          <w:rFonts w:ascii="Arial" w:hAnsi="Arial" w:cs="Arial"/>
          <w:sz w:val="22"/>
          <w:szCs w:val="22"/>
        </w:rPr>
        <w:t>(Richly, 2025)</w:t>
      </w:r>
      <w:r w:rsidRPr="00646970">
        <w:rPr>
          <w:rFonts w:ascii="Arial" w:hAnsi="Arial" w:cs="Arial"/>
          <w:sz w:val="22"/>
          <w:szCs w:val="22"/>
        </w:rPr>
        <w:t>.  Nonetheless, a beneficial effect arises when interpreting services and multilingual materials are successfully delivered, enhancing engagement and fostering culturally appropriate care (NHS England, 20</w:t>
      </w:r>
      <w:r>
        <w:rPr>
          <w:rFonts w:ascii="Arial" w:hAnsi="Arial" w:cs="Arial"/>
          <w:sz w:val="22"/>
          <w:szCs w:val="22"/>
        </w:rPr>
        <w:t>25</w:t>
      </w:r>
      <w:r w:rsidRPr="00646970">
        <w:rPr>
          <w:rFonts w:ascii="Arial" w:hAnsi="Arial" w:cs="Arial"/>
          <w:sz w:val="22"/>
          <w:szCs w:val="22"/>
        </w:rPr>
        <w:t xml:space="preserve">).  Language </w:t>
      </w:r>
      <w:r>
        <w:rPr>
          <w:rFonts w:ascii="Arial" w:hAnsi="Arial" w:cs="Arial"/>
          <w:sz w:val="22"/>
          <w:szCs w:val="22"/>
        </w:rPr>
        <w:t>barrier</w:t>
      </w:r>
      <w:r w:rsidRPr="00646970">
        <w:rPr>
          <w:rFonts w:ascii="Arial" w:hAnsi="Arial" w:cs="Arial"/>
          <w:sz w:val="22"/>
          <w:szCs w:val="22"/>
        </w:rPr>
        <w:t xml:space="preserve"> underscore systemic deficiencies and expose opportunities for focused service enhancement.</w:t>
      </w:r>
    </w:p>
    <w:p w14:paraId="08F2ABC5" w14:textId="77777777" w:rsidR="00307639" w:rsidRPr="008774CA" w:rsidRDefault="00307639" w:rsidP="0048554A">
      <w:pPr>
        <w:spacing w:line="360" w:lineRule="auto"/>
        <w:jc w:val="both"/>
        <w:rPr>
          <w:rFonts w:ascii="Arial" w:hAnsi="Arial" w:cs="Arial"/>
          <w:sz w:val="22"/>
          <w:szCs w:val="22"/>
        </w:rPr>
      </w:pPr>
      <w:r w:rsidRPr="00FE0DC8">
        <w:rPr>
          <w:rFonts w:ascii="Arial" w:hAnsi="Arial" w:cs="Arial"/>
          <w:b/>
          <w:bCs/>
          <w:sz w:val="28"/>
          <w:szCs w:val="28"/>
        </w:rPr>
        <w:t>Examples from your articles</w:t>
      </w:r>
    </w:p>
    <w:p w14:paraId="60B46959" w14:textId="77777777" w:rsidR="00307639" w:rsidRDefault="00307639" w:rsidP="0048554A">
      <w:pPr>
        <w:spacing w:line="360" w:lineRule="auto"/>
        <w:jc w:val="both"/>
        <w:rPr>
          <w:rFonts w:ascii="Arial" w:hAnsi="Arial" w:cs="Arial"/>
          <w:sz w:val="22"/>
          <w:szCs w:val="22"/>
        </w:rPr>
      </w:pPr>
      <w:r w:rsidRPr="00752EB5">
        <w:rPr>
          <w:rFonts w:ascii="Arial" w:hAnsi="Arial" w:cs="Arial"/>
          <w:sz w:val="22"/>
          <w:szCs w:val="22"/>
        </w:rPr>
        <w:t xml:space="preserve">Numerous UK research offers significant insights into the impact of language barriers on ethnic minorities' access to mental health treatment.  Salway et al. (2016) contend that inadequate English proficiency substantially hinders communication between service users and clinicians, resulting in misconceptions, diminished trust, and inferior treatment outcomes.  Their analysis underscores that language limitations represent not merely an individual obstacle but also a systemic problem, as numerous NHS facilities provide interpreter services inconsistently.  This </w:t>
      </w:r>
      <w:r w:rsidRPr="00752EB5">
        <w:rPr>
          <w:rFonts w:ascii="Arial" w:hAnsi="Arial" w:cs="Arial"/>
          <w:sz w:val="22"/>
          <w:szCs w:val="22"/>
        </w:rPr>
        <w:lastRenderedPageBreak/>
        <w:t>directly relates to the research issue by emphasising how communication barriers hinder help-seeking and exacerbate disparities in access.</w:t>
      </w:r>
    </w:p>
    <w:p w14:paraId="043A71CC" w14:textId="63B1F454" w:rsidR="00307639" w:rsidRDefault="00307639" w:rsidP="0048554A">
      <w:pPr>
        <w:spacing w:line="360" w:lineRule="auto"/>
        <w:jc w:val="both"/>
        <w:rPr>
          <w:rFonts w:ascii="Arial" w:hAnsi="Arial" w:cs="Arial"/>
          <w:sz w:val="22"/>
          <w:szCs w:val="22"/>
        </w:rPr>
      </w:pPr>
      <w:r w:rsidRPr="00752EB5">
        <w:rPr>
          <w:rFonts w:ascii="Arial" w:hAnsi="Arial" w:cs="Arial"/>
          <w:sz w:val="22"/>
          <w:szCs w:val="22"/>
        </w:rPr>
        <w:t xml:space="preserve">The research by similarly Memon et al. (2016) discovered that ethnic minority groups often face language-related barriers in accessing psychological support.  Their research demonstrates that the deficiency of qualified interpreters and culturally appropriate communication tactics frequently leads to dissatisfaction, disengagement from services, and diminished satisfaction with care. Both </w:t>
      </w:r>
      <w:r w:rsidR="007F3932" w:rsidRPr="00752EB5">
        <w:rPr>
          <w:rFonts w:ascii="Arial" w:hAnsi="Arial" w:cs="Arial"/>
          <w:sz w:val="22"/>
          <w:szCs w:val="22"/>
        </w:rPr>
        <w:t>research</w:t>
      </w:r>
      <w:r w:rsidRPr="00752EB5">
        <w:rPr>
          <w:rFonts w:ascii="Arial" w:hAnsi="Arial" w:cs="Arial"/>
          <w:sz w:val="22"/>
          <w:szCs w:val="22"/>
        </w:rPr>
        <w:t> concur that language obstacles exacerbate inequality; however, Salway et al. concentrate on systemic constraints, whereas Memon et al. highlight patient experiences.</w:t>
      </w:r>
    </w:p>
    <w:p w14:paraId="512C5941" w14:textId="77777777" w:rsidR="00307639" w:rsidRDefault="00307639" w:rsidP="0048554A">
      <w:pPr>
        <w:spacing w:line="360" w:lineRule="auto"/>
        <w:jc w:val="both"/>
      </w:pPr>
      <w:r w:rsidRPr="007B6159">
        <w:rPr>
          <w:rFonts w:ascii="Arial" w:hAnsi="Arial" w:cs="Arial"/>
          <w:sz w:val="22"/>
          <w:szCs w:val="22"/>
        </w:rPr>
        <w:t>Pandey et al., 2021</w:t>
      </w:r>
      <w:r>
        <w:rPr>
          <w:rFonts w:ascii="Arial" w:hAnsi="Arial" w:cs="Arial"/>
          <w:sz w:val="22"/>
          <w:szCs w:val="22"/>
        </w:rPr>
        <w:t xml:space="preserve"> </w:t>
      </w:r>
      <w:r w:rsidRPr="00752EB5">
        <w:rPr>
          <w:rFonts w:ascii="Arial" w:hAnsi="Arial" w:cs="Arial"/>
          <w:sz w:val="22"/>
          <w:szCs w:val="22"/>
        </w:rPr>
        <w:t>present an alternative viewpoint, contending that linguistic challenges frequently intersect with wider cultural and institutional obstacles, indicating that language alone cannot account for differences.  Collectively, these perspectives elucidate the research topic by illustrating how language barriers influence access patterns, interact with additional obstacles, and perpetuate mental health disparities.</w:t>
      </w:r>
      <w:r w:rsidRPr="00983447">
        <w:t xml:space="preserve"> </w:t>
      </w:r>
    </w:p>
    <w:p w14:paraId="2D68EAA8" w14:textId="77777777" w:rsidR="00307639" w:rsidRPr="00983447" w:rsidRDefault="00307639" w:rsidP="0048554A">
      <w:pPr>
        <w:spacing w:line="360" w:lineRule="auto"/>
        <w:jc w:val="both"/>
        <w:rPr>
          <w:rFonts w:ascii="Arial" w:hAnsi="Arial" w:cs="Arial"/>
          <w:b/>
          <w:bCs/>
          <w:sz w:val="28"/>
          <w:szCs w:val="28"/>
        </w:rPr>
      </w:pPr>
      <w:r w:rsidRPr="00983447">
        <w:rPr>
          <w:rFonts w:ascii="Arial" w:hAnsi="Arial" w:cs="Arial"/>
          <w:b/>
          <w:bCs/>
          <w:sz w:val="28"/>
          <w:szCs w:val="28"/>
        </w:rPr>
        <w:t xml:space="preserve">Comparative </w:t>
      </w:r>
      <w:r>
        <w:rPr>
          <w:rFonts w:ascii="Arial" w:hAnsi="Arial" w:cs="Arial"/>
          <w:b/>
          <w:bCs/>
          <w:sz w:val="28"/>
          <w:szCs w:val="28"/>
        </w:rPr>
        <w:t>Analysis</w:t>
      </w:r>
      <w:r w:rsidRPr="00983447">
        <w:rPr>
          <w:rFonts w:ascii="Arial" w:hAnsi="Arial" w:cs="Arial"/>
          <w:b/>
          <w:bCs/>
          <w:sz w:val="28"/>
          <w:szCs w:val="28"/>
        </w:rPr>
        <w:t>:</w:t>
      </w:r>
    </w:p>
    <w:p w14:paraId="2CFEF2EB" w14:textId="77777777" w:rsidR="00307639" w:rsidRPr="00341FBF" w:rsidRDefault="00307639" w:rsidP="0048554A">
      <w:pPr>
        <w:spacing w:line="360" w:lineRule="auto"/>
        <w:jc w:val="both"/>
        <w:rPr>
          <w:rFonts w:ascii="Arial" w:hAnsi="Arial" w:cs="Arial"/>
          <w:color w:val="000000" w:themeColor="text1"/>
          <w:sz w:val="22"/>
          <w:szCs w:val="22"/>
        </w:rPr>
      </w:pPr>
      <w:r w:rsidRPr="00341FBF">
        <w:rPr>
          <w:rFonts w:ascii="Arial" w:hAnsi="Arial" w:cs="Arial"/>
          <w:color w:val="000000" w:themeColor="text1"/>
          <w:sz w:val="22"/>
          <w:szCs w:val="22"/>
        </w:rPr>
        <w:t>Menon et al., (2016) asserts that limited English proficiency chiefly hinders access by diminishing comprehension of mental health information and treatment alternatives, whereas Gulliver et al., (2010) argues that the more profound problem resides in the absence of language appropriate services, which perpetuates exclusion and distrust within minority populations.</w:t>
      </w:r>
    </w:p>
    <w:p w14:paraId="4BB9EA93" w14:textId="77777777" w:rsidR="00307639" w:rsidRPr="00341FBF" w:rsidRDefault="00307639" w:rsidP="0048554A">
      <w:pPr>
        <w:spacing w:line="360" w:lineRule="auto"/>
        <w:jc w:val="both"/>
        <w:rPr>
          <w:rFonts w:ascii="Arial" w:hAnsi="Arial" w:cs="Arial"/>
          <w:b/>
          <w:bCs/>
          <w:color w:val="000000" w:themeColor="text1"/>
          <w:sz w:val="28"/>
          <w:szCs w:val="28"/>
        </w:rPr>
      </w:pPr>
      <w:r w:rsidRPr="00341FBF">
        <w:rPr>
          <w:rFonts w:ascii="Arial" w:hAnsi="Arial" w:cs="Arial"/>
          <w:b/>
          <w:bCs/>
          <w:color w:val="000000" w:themeColor="text1"/>
          <w:sz w:val="28"/>
          <w:szCs w:val="28"/>
        </w:rPr>
        <w:t xml:space="preserve">Connection to other themes   </w:t>
      </w:r>
    </w:p>
    <w:p w14:paraId="3668F500" w14:textId="77777777" w:rsidR="00307639" w:rsidRPr="00341FBF" w:rsidRDefault="00307639" w:rsidP="0048554A">
      <w:pPr>
        <w:spacing w:line="360" w:lineRule="auto"/>
        <w:jc w:val="both"/>
        <w:rPr>
          <w:rFonts w:ascii="Arial" w:hAnsi="Arial" w:cs="Arial"/>
          <w:b/>
          <w:bCs/>
          <w:color w:val="000000" w:themeColor="text1"/>
          <w:sz w:val="28"/>
          <w:szCs w:val="28"/>
        </w:rPr>
      </w:pPr>
      <w:r w:rsidRPr="00341FBF">
        <w:rPr>
          <w:rFonts w:ascii="Arial" w:hAnsi="Arial" w:cs="Arial"/>
          <w:b/>
          <w:bCs/>
          <w:color w:val="000000" w:themeColor="text1"/>
          <w:sz w:val="28"/>
          <w:szCs w:val="28"/>
        </w:rPr>
        <w:t xml:space="preserve">Interconnections:  </w:t>
      </w:r>
    </w:p>
    <w:p w14:paraId="738BD48B" w14:textId="77777777" w:rsidR="00307639" w:rsidRPr="00A25261" w:rsidRDefault="00307639" w:rsidP="0048554A">
      <w:pPr>
        <w:spacing w:line="360" w:lineRule="auto"/>
        <w:jc w:val="both"/>
        <w:rPr>
          <w:rFonts w:ascii="Arial" w:hAnsi="Arial" w:cs="Arial"/>
          <w:sz w:val="22"/>
          <w:szCs w:val="22"/>
        </w:rPr>
      </w:pPr>
      <w:r w:rsidRPr="00341FBF">
        <w:rPr>
          <w:rFonts w:ascii="Arial" w:hAnsi="Arial" w:cs="Arial"/>
          <w:color w:val="000000" w:themeColor="text1"/>
          <w:sz w:val="22"/>
          <w:szCs w:val="22"/>
        </w:rPr>
        <w:t xml:space="preserve">Language difficulties are intricately linked to other themes in this research, including stigma, and cultural competency, as these elements frequently intersect and exacerbate one another.  Individuals with poor English proficiency may encounter heightened stigma when unable to express their mental health issues, resulting in shame, silence, or apprehension of being misinterpreted (Memon et al., 2016).  Cultural </w:t>
      </w:r>
      <w:r w:rsidRPr="00A25261">
        <w:rPr>
          <w:rFonts w:ascii="Arial" w:hAnsi="Arial" w:cs="Arial"/>
          <w:sz w:val="22"/>
          <w:szCs w:val="22"/>
        </w:rPr>
        <w:t xml:space="preserve">competence is intrinsically connected to language requirements; when professionals lack cultural and linguistic awareness, communication deteriorates, diminishing trust and hindering help-seeking (Salway et al., 2016).  Language </w:t>
      </w:r>
      <w:r>
        <w:rPr>
          <w:rFonts w:ascii="Arial" w:hAnsi="Arial" w:cs="Arial"/>
          <w:sz w:val="22"/>
          <w:szCs w:val="22"/>
        </w:rPr>
        <w:t>barriers</w:t>
      </w:r>
      <w:r w:rsidRPr="00A25261">
        <w:rPr>
          <w:rFonts w:ascii="Arial" w:hAnsi="Arial" w:cs="Arial"/>
          <w:sz w:val="22"/>
          <w:szCs w:val="22"/>
        </w:rPr>
        <w:t xml:space="preserve"> impede access, since challenges in navigating appointments, forms, or referrals complicate the attainment of services</w:t>
      </w:r>
      <w:r>
        <w:rPr>
          <w:rFonts w:ascii="Arial" w:hAnsi="Arial" w:cs="Arial"/>
          <w:sz w:val="22"/>
          <w:szCs w:val="22"/>
        </w:rPr>
        <w:t xml:space="preserve"> </w:t>
      </w:r>
      <w:r w:rsidRPr="00BF4961">
        <w:rPr>
          <w:rFonts w:ascii="Arial" w:hAnsi="Arial" w:cs="Arial"/>
          <w:sz w:val="22"/>
          <w:szCs w:val="22"/>
        </w:rPr>
        <w:t>(Pandey et al., 2021)</w:t>
      </w:r>
      <w:r w:rsidRPr="00A25261">
        <w:rPr>
          <w:rFonts w:ascii="Arial" w:hAnsi="Arial" w:cs="Arial"/>
          <w:sz w:val="22"/>
          <w:szCs w:val="22"/>
        </w:rPr>
        <w:t xml:space="preserve">.  These interrelated themes demonstrate that language is not a single barrier but rather a component of a broader system of inequalities that mutually reinforce one other.  Comprehending their </w:t>
      </w:r>
      <w:r w:rsidRPr="00A25261">
        <w:rPr>
          <w:rFonts w:ascii="Arial" w:hAnsi="Arial" w:cs="Arial"/>
          <w:sz w:val="22"/>
          <w:szCs w:val="22"/>
        </w:rPr>
        <w:lastRenderedPageBreak/>
        <w:t>intersection enhances the analysis by demonstrating how various obstacles collectively influence mental health outcomes for ethnic minority populations.</w:t>
      </w:r>
    </w:p>
    <w:p w14:paraId="5665C6A4" w14:textId="77777777" w:rsidR="00307639" w:rsidRPr="00FE0DC8" w:rsidRDefault="00307639" w:rsidP="0048554A">
      <w:pPr>
        <w:spacing w:line="360" w:lineRule="auto"/>
        <w:jc w:val="both"/>
        <w:rPr>
          <w:rFonts w:ascii="Arial" w:hAnsi="Arial" w:cs="Arial"/>
          <w:b/>
          <w:bCs/>
          <w:sz w:val="32"/>
          <w:szCs w:val="32"/>
        </w:rPr>
      </w:pPr>
      <w:r w:rsidRPr="00FE0DC8">
        <w:rPr>
          <w:rFonts w:ascii="Arial" w:hAnsi="Arial" w:cs="Arial"/>
          <w:b/>
          <w:bCs/>
          <w:sz w:val="32"/>
          <w:szCs w:val="32"/>
        </w:rPr>
        <w:t>4.5 Theme 3</w:t>
      </w:r>
      <w:r>
        <w:rPr>
          <w:rFonts w:ascii="Arial" w:hAnsi="Arial" w:cs="Arial"/>
          <w:b/>
          <w:bCs/>
          <w:sz w:val="32"/>
          <w:szCs w:val="32"/>
        </w:rPr>
        <w:t>, Cultural competency</w:t>
      </w:r>
    </w:p>
    <w:p w14:paraId="19825C05"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Definition</w:t>
      </w:r>
    </w:p>
    <w:p w14:paraId="3910E882" w14:textId="77777777" w:rsidR="00307639" w:rsidRDefault="00307639" w:rsidP="0048554A">
      <w:pPr>
        <w:spacing w:line="360" w:lineRule="auto"/>
        <w:jc w:val="both"/>
        <w:rPr>
          <w:rFonts w:ascii="Arial" w:hAnsi="Arial" w:cs="Arial"/>
          <w:sz w:val="22"/>
          <w:szCs w:val="22"/>
        </w:rPr>
      </w:pPr>
      <w:r w:rsidRPr="00C42F2E">
        <w:rPr>
          <w:rFonts w:ascii="Arial" w:hAnsi="Arial" w:cs="Arial"/>
          <w:sz w:val="22"/>
          <w:szCs w:val="22"/>
        </w:rPr>
        <w:t>Cultural competency in mental health care encompasses the behaviours, policies, and practices that facilitate the provision of culturally appropriate services to varied patient populations (Adamson, Warfa &amp; Bhui, 2011).  It encompasses cultural awareness (identifying bias), cultural knowledge (comprehending diverse belief systems), and cultural skills (communicating effectively across cultures).  Cultural humility denotes continuous self-reflection and adjustment to address patients' cultural requirements (NHS England, 2025).  These qualities are essential for mitigating inequality and enhancing trust, involvement, and treatment outcomes within ethnic minority populations.</w:t>
      </w:r>
      <w:r>
        <w:rPr>
          <w:rFonts w:ascii="Arial" w:hAnsi="Arial" w:cs="Arial"/>
          <w:sz w:val="22"/>
          <w:szCs w:val="22"/>
        </w:rPr>
        <w:t xml:space="preserve"> An Improved cultural competence helps reduce culturally rooted stigma communities.</w:t>
      </w:r>
    </w:p>
    <w:p w14:paraId="58B4A202"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Background information</w:t>
      </w:r>
    </w:p>
    <w:p w14:paraId="24B81E50"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Historical/contextual Background:</w:t>
      </w:r>
    </w:p>
    <w:p w14:paraId="466FB901" w14:textId="77777777" w:rsidR="00307639" w:rsidRPr="006F2400" w:rsidRDefault="00307639" w:rsidP="0048554A">
      <w:pPr>
        <w:spacing w:line="360" w:lineRule="auto"/>
        <w:jc w:val="both"/>
        <w:rPr>
          <w:rFonts w:ascii="Arial" w:hAnsi="Arial" w:cs="Arial"/>
          <w:sz w:val="22"/>
          <w:szCs w:val="22"/>
        </w:rPr>
      </w:pPr>
      <w:r w:rsidRPr="006F2400">
        <w:rPr>
          <w:rFonts w:ascii="Arial" w:hAnsi="Arial" w:cs="Arial"/>
          <w:sz w:val="22"/>
          <w:szCs w:val="22"/>
        </w:rPr>
        <w:t>Cultural competency in healthcare arose due to increasing diversity and ongoing health disparities among ethnic minority groups in the UK and worldwide</w:t>
      </w:r>
      <w:r>
        <w:rPr>
          <w:rFonts w:ascii="Arial" w:hAnsi="Arial" w:cs="Arial"/>
          <w:sz w:val="22"/>
          <w:szCs w:val="22"/>
        </w:rPr>
        <w:t xml:space="preserve"> </w:t>
      </w:r>
      <w:r w:rsidRPr="00173A5F">
        <w:rPr>
          <w:rFonts w:ascii="Arial" w:hAnsi="Arial" w:cs="Arial"/>
          <w:sz w:val="22"/>
          <w:szCs w:val="22"/>
        </w:rPr>
        <w:t>(Chauhan et al., 2020)</w:t>
      </w:r>
      <w:r>
        <w:rPr>
          <w:rFonts w:ascii="Arial" w:hAnsi="Arial" w:cs="Arial"/>
          <w:sz w:val="22"/>
          <w:szCs w:val="22"/>
        </w:rPr>
        <w:t>.</w:t>
      </w:r>
      <w:r w:rsidRPr="006F2400">
        <w:rPr>
          <w:rFonts w:ascii="Arial" w:hAnsi="Arial" w:cs="Arial"/>
          <w:sz w:val="22"/>
          <w:szCs w:val="22"/>
        </w:rPr>
        <w:t xml:space="preserve">  Historically, mental health treatments were established based on Western biological theories, frequently overlooking cultural beliefs, communication techniques, and illness explaining models (Adamson, Warfa &amp; Bhui, 2011).  Gradually, the acknowledgement of these deficiencies resulted in policies that advocate for culturally competent practices, encompassing interpreter services, staff training, and culturally tailored solutions.  The objective of cultivating cultural competency is to diminish inequities, enhance trust, participation, and treatment outcomes, so guaranteeing that mental health care is accessible, acceptable, and successful for varied communities.</w:t>
      </w:r>
    </w:p>
    <w:p w14:paraId="47194251"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Impact on research question</w:t>
      </w:r>
    </w:p>
    <w:p w14:paraId="2F11E6EF"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Relevance to Title/Research Question:</w:t>
      </w:r>
    </w:p>
    <w:p w14:paraId="5CD51991" w14:textId="77777777" w:rsidR="00307639" w:rsidRPr="00D27884" w:rsidRDefault="00307639" w:rsidP="0048554A">
      <w:pPr>
        <w:spacing w:line="360" w:lineRule="auto"/>
        <w:jc w:val="both"/>
        <w:rPr>
          <w:rFonts w:ascii="Arial" w:hAnsi="Arial" w:cs="Arial"/>
          <w:sz w:val="22"/>
          <w:szCs w:val="22"/>
        </w:rPr>
      </w:pPr>
      <w:r w:rsidRPr="00D27884">
        <w:rPr>
          <w:rFonts w:ascii="Arial" w:hAnsi="Arial" w:cs="Arial"/>
          <w:sz w:val="22"/>
          <w:szCs w:val="22"/>
        </w:rPr>
        <w:t>Cultural competency significantly affects this study topic since it determines whether persons from ethnic minorities perceive themselves as understood, respected, and secure when utilising mental health treatments.  When services do not comprehend other cultures, people are less likely to use them, and disparities get worse</w:t>
      </w:r>
      <w:r>
        <w:rPr>
          <w:rFonts w:ascii="Arial" w:hAnsi="Arial" w:cs="Arial"/>
          <w:sz w:val="22"/>
          <w:szCs w:val="22"/>
        </w:rPr>
        <w:t xml:space="preserve"> </w:t>
      </w:r>
      <w:r w:rsidRPr="008D55F6">
        <w:rPr>
          <w:rFonts w:ascii="Arial" w:hAnsi="Arial" w:cs="Arial"/>
          <w:sz w:val="22"/>
          <w:szCs w:val="22"/>
        </w:rPr>
        <w:t>(Nwokoroku et al., 2022)</w:t>
      </w:r>
      <w:r>
        <w:rPr>
          <w:rFonts w:ascii="Arial" w:hAnsi="Arial" w:cs="Arial"/>
          <w:sz w:val="22"/>
          <w:szCs w:val="22"/>
        </w:rPr>
        <w:t>.</w:t>
      </w:r>
      <w:r w:rsidRPr="00D27884">
        <w:rPr>
          <w:rFonts w:ascii="Arial" w:hAnsi="Arial" w:cs="Arial"/>
          <w:sz w:val="22"/>
          <w:szCs w:val="22"/>
        </w:rPr>
        <w:t xml:space="preserve">  On the other </w:t>
      </w:r>
      <w:r w:rsidRPr="00D27884">
        <w:rPr>
          <w:rFonts w:ascii="Arial" w:hAnsi="Arial" w:cs="Arial"/>
          <w:sz w:val="22"/>
          <w:szCs w:val="22"/>
        </w:rPr>
        <w:lastRenderedPageBreak/>
        <w:t>hand, culturally competent communication, staff training, and care models that include everyone build trust, deepen therapeutic relationships, and lead to better treatment outcomes (Adamson, Warfa &amp; Bhui, 2011).  Cultural competency is a major issue in this dissertation because it shows how services can change to meet the requirements of different groups and make it easier for people to get to them.</w:t>
      </w:r>
    </w:p>
    <w:p w14:paraId="7642B919"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Statistical information</w:t>
      </w:r>
    </w:p>
    <w:p w14:paraId="78C3E3B9"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Data and statistics:</w:t>
      </w:r>
    </w:p>
    <w:p w14:paraId="0E0422ED" w14:textId="77777777" w:rsidR="00307639" w:rsidRPr="00B73FFD" w:rsidRDefault="00307639" w:rsidP="0048554A">
      <w:pPr>
        <w:spacing w:line="360" w:lineRule="auto"/>
        <w:jc w:val="both"/>
        <w:rPr>
          <w:rFonts w:ascii="Arial" w:hAnsi="Arial" w:cs="Arial"/>
          <w:sz w:val="22"/>
          <w:szCs w:val="22"/>
        </w:rPr>
      </w:pPr>
      <w:r w:rsidRPr="00B73FFD">
        <w:rPr>
          <w:rFonts w:ascii="Arial" w:hAnsi="Arial" w:cs="Arial"/>
          <w:sz w:val="22"/>
          <w:szCs w:val="22"/>
        </w:rPr>
        <w:t>A Care Quality Commission report (2022–23) indicated that numerous ethnic minority patients had a "deficiency in cultural competency" in service delivery, which diminished trust and care quality (CQC, 2023). An evaluation of mental health treatments revealed that under 20% of NHS service consumers from minority ethnic populations said that their cultural or religious requirements were acknowledged (Community Care, 2021). These disparities underscore systemic deficiencies: cultural ineptitude diminishes involvement, intensifies inequities, and indicates the necessity for customised care improvements.</w:t>
      </w:r>
    </w:p>
    <w:p w14:paraId="4FBC952B" w14:textId="77777777" w:rsidR="00307639" w:rsidRDefault="00307639" w:rsidP="0048554A">
      <w:pPr>
        <w:spacing w:line="360" w:lineRule="auto"/>
        <w:jc w:val="both"/>
        <w:rPr>
          <w:rFonts w:ascii="Arial" w:hAnsi="Arial" w:cs="Arial"/>
          <w:b/>
          <w:bCs/>
          <w:sz w:val="28"/>
          <w:szCs w:val="28"/>
        </w:rPr>
      </w:pPr>
      <w:r w:rsidRPr="00FE0DC8">
        <w:rPr>
          <w:rFonts w:ascii="Arial" w:hAnsi="Arial" w:cs="Arial"/>
          <w:b/>
          <w:bCs/>
          <w:sz w:val="28"/>
          <w:szCs w:val="28"/>
        </w:rPr>
        <w:t>Theories, policies, and Legislation</w:t>
      </w:r>
    </w:p>
    <w:p w14:paraId="10B37FDF" w14:textId="77777777" w:rsidR="00307639" w:rsidRDefault="00307639" w:rsidP="0048554A">
      <w:pPr>
        <w:spacing w:line="360" w:lineRule="auto"/>
        <w:jc w:val="both"/>
        <w:rPr>
          <w:rFonts w:ascii="Arial" w:hAnsi="Arial" w:cs="Arial"/>
          <w:b/>
          <w:bCs/>
          <w:sz w:val="28"/>
          <w:szCs w:val="28"/>
        </w:rPr>
      </w:pPr>
      <w:r>
        <w:rPr>
          <w:rFonts w:ascii="Arial" w:hAnsi="Arial" w:cs="Arial"/>
          <w:b/>
          <w:bCs/>
          <w:sz w:val="28"/>
          <w:szCs w:val="28"/>
        </w:rPr>
        <w:t>Theoretical Framework:</w:t>
      </w:r>
    </w:p>
    <w:p w14:paraId="513D3B0B" w14:textId="77777777" w:rsidR="00307639" w:rsidRDefault="00307639" w:rsidP="0048554A">
      <w:pPr>
        <w:spacing w:line="360" w:lineRule="auto"/>
        <w:jc w:val="both"/>
        <w:rPr>
          <w:rFonts w:ascii="Arial" w:hAnsi="Arial" w:cs="Arial"/>
          <w:sz w:val="22"/>
          <w:szCs w:val="22"/>
        </w:rPr>
      </w:pPr>
      <w:r w:rsidRPr="00FA0FC6">
        <w:rPr>
          <w:rFonts w:ascii="Arial" w:hAnsi="Arial" w:cs="Arial"/>
          <w:sz w:val="22"/>
          <w:szCs w:val="22"/>
        </w:rPr>
        <w:t>There are a few theories that assist us understand why cultural competency is so important in mental health care.  Cross-cultural communication theory posits that misunderstandings occur when providers inadequately interpret cultural ideas and linguistic patterns, resulting in mistrust and disengagement (Bhui et al., 20</w:t>
      </w:r>
      <w:r>
        <w:rPr>
          <w:rFonts w:ascii="Arial" w:hAnsi="Arial" w:cs="Arial"/>
          <w:sz w:val="22"/>
          <w:szCs w:val="22"/>
        </w:rPr>
        <w:t>07</w:t>
      </w:r>
      <w:r w:rsidRPr="00FA0FC6">
        <w:rPr>
          <w:rFonts w:ascii="Arial" w:hAnsi="Arial" w:cs="Arial"/>
          <w:sz w:val="22"/>
          <w:szCs w:val="22"/>
        </w:rPr>
        <w:t xml:space="preserve">).  The philosophy of person-centred care stresses the importance of customising care to meet each person's unique requirements. This is in line with culturally competent practice, which values identity, religion, and lived experiences (NHS England, 2020).  The culture Adaptation Framework posits that mental health therapies must be tailored to culture norms to achieve efficacy (Chu </w:t>
      </w:r>
      <w:r>
        <w:rPr>
          <w:rFonts w:ascii="Arial" w:hAnsi="Arial" w:cs="Arial"/>
          <w:sz w:val="22"/>
          <w:szCs w:val="22"/>
        </w:rPr>
        <w:t>and</w:t>
      </w:r>
      <w:r w:rsidRPr="00FA0FC6">
        <w:rPr>
          <w:rFonts w:ascii="Arial" w:hAnsi="Arial" w:cs="Arial"/>
          <w:sz w:val="22"/>
          <w:szCs w:val="22"/>
        </w:rPr>
        <w:t xml:space="preserve"> Leino, 2017).  These theories show that being culturally competent is necessary for fair, meaningful, and responsive treatment.</w:t>
      </w:r>
    </w:p>
    <w:p w14:paraId="350EF534" w14:textId="77777777" w:rsidR="00307639" w:rsidRPr="00025B99" w:rsidRDefault="00307639" w:rsidP="0048554A">
      <w:pPr>
        <w:spacing w:line="360" w:lineRule="auto"/>
        <w:jc w:val="both"/>
        <w:rPr>
          <w:rFonts w:ascii="Arial" w:hAnsi="Arial" w:cs="Arial"/>
          <w:b/>
          <w:bCs/>
          <w:sz w:val="28"/>
          <w:szCs w:val="28"/>
        </w:rPr>
      </w:pPr>
      <w:r w:rsidRPr="00025B99">
        <w:rPr>
          <w:rFonts w:ascii="Arial" w:hAnsi="Arial" w:cs="Arial"/>
          <w:b/>
          <w:bCs/>
          <w:sz w:val="28"/>
          <w:szCs w:val="28"/>
        </w:rPr>
        <w:t>Policies and Legislation:</w:t>
      </w:r>
    </w:p>
    <w:p w14:paraId="19E1AE6D" w14:textId="77777777" w:rsidR="00307639" w:rsidRPr="00F0050D" w:rsidRDefault="00307639" w:rsidP="0048554A">
      <w:pPr>
        <w:spacing w:line="360" w:lineRule="auto"/>
        <w:jc w:val="both"/>
        <w:rPr>
          <w:rFonts w:ascii="Arial" w:hAnsi="Arial" w:cs="Arial"/>
          <w:sz w:val="22"/>
          <w:szCs w:val="22"/>
        </w:rPr>
      </w:pPr>
      <w:r w:rsidRPr="00F0050D">
        <w:rPr>
          <w:rFonts w:ascii="Arial" w:hAnsi="Arial" w:cs="Arial"/>
          <w:sz w:val="22"/>
          <w:szCs w:val="22"/>
        </w:rPr>
        <w:t xml:space="preserve">The Patient and Carer Race Equality Framework (PCREF), mandated by NHS England, legally obligates mental health trusts to adopt culturally responsive treatment and antiracist policies throughout their services (NHS England, 2024).  This policy legally integrates cultural competency into governance and care criteria.  Nonetheless, variations in execution among trusts restrict its uniform effectiveness (CNTW NHS Trust, 2023).  The NHS Equality, Diversity, </w:t>
      </w:r>
      <w:r w:rsidRPr="00F0050D">
        <w:rPr>
          <w:rFonts w:ascii="Arial" w:hAnsi="Arial" w:cs="Arial"/>
          <w:sz w:val="22"/>
          <w:szCs w:val="22"/>
        </w:rPr>
        <w:lastRenderedPageBreak/>
        <w:t>and Inclusion Improvement Plan (2023) underscore the necessity of cultural competence by recognising that institutional biases and linguistic obstacles require structural intervention.  Collectively, these laws and practices enhance the significance of cultural competency in mitigating racial disparities in mental health care.</w:t>
      </w:r>
    </w:p>
    <w:p w14:paraId="01ED399C" w14:textId="77777777" w:rsidR="00307639" w:rsidRPr="004C6B6D" w:rsidRDefault="00307639" w:rsidP="0048554A">
      <w:pPr>
        <w:spacing w:line="360" w:lineRule="auto"/>
        <w:jc w:val="both"/>
        <w:rPr>
          <w:rFonts w:ascii="Arial" w:hAnsi="Arial" w:cs="Arial"/>
          <w:b/>
          <w:bCs/>
          <w:sz w:val="28"/>
          <w:szCs w:val="28"/>
        </w:rPr>
      </w:pPr>
      <w:r w:rsidRPr="004C6B6D">
        <w:rPr>
          <w:rFonts w:ascii="Arial" w:hAnsi="Arial" w:cs="Arial"/>
          <w:b/>
          <w:bCs/>
          <w:sz w:val="28"/>
          <w:szCs w:val="28"/>
        </w:rPr>
        <w:t>Implications</w:t>
      </w:r>
    </w:p>
    <w:p w14:paraId="04C7B705" w14:textId="77777777" w:rsidR="00307639" w:rsidRPr="00212887" w:rsidRDefault="00307639" w:rsidP="0048554A">
      <w:pPr>
        <w:spacing w:line="360" w:lineRule="auto"/>
        <w:jc w:val="both"/>
        <w:rPr>
          <w:rFonts w:ascii="Arial" w:hAnsi="Arial" w:cs="Arial"/>
          <w:sz w:val="22"/>
          <w:szCs w:val="22"/>
        </w:rPr>
      </w:pPr>
      <w:r w:rsidRPr="00212887">
        <w:rPr>
          <w:rFonts w:ascii="Arial" w:hAnsi="Arial" w:cs="Arial"/>
          <w:sz w:val="22"/>
          <w:szCs w:val="22"/>
        </w:rPr>
        <w:t>Cultural competence can enhance mental health access for ethnic minorities by cultivating trust, affirming varied experiences, and mitigating misunderstandings (Mind, 2020).  When services genuinely align with patients' cultural identities, engagement and outcomes frequently enhance.  However, an excessive focus on cultural matching may lead to tokenism, resulting in shallow staff training and the neglect of systemic racism</w:t>
      </w:r>
      <w:r>
        <w:rPr>
          <w:rFonts w:ascii="Arial" w:hAnsi="Arial" w:cs="Arial"/>
          <w:sz w:val="22"/>
          <w:szCs w:val="22"/>
        </w:rPr>
        <w:t xml:space="preserve"> </w:t>
      </w:r>
      <w:r w:rsidRPr="006E7171">
        <w:rPr>
          <w:rFonts w:ascii="Arial" w:hAnsi="Arial" w:cs="Arial"/>
          <w:sz w:val="22"/>
          <w:szCs w:val="22"/>
        </w:rPr>
        <w:t>(Bamrah et al., 2025)</w:t>
      </w:r>
      <w:r>
        <w:rPr>
          <w:rFonts w:ascii="Arial" w:hAnsi="Arial" w:cs="Arial"/>
          <w:sz w:val="22"/>
          <w:szCs w:val="22"/>
        </w:rPr>
        <w:t>.</w:t>
      </w:r>
      <w:r w:rsidRPr="00212887">
        <w:rPr>
          <w:rFonts w:ascii="Arial" w:hAnsi="Arial" w:cs="Arial"/>
          <w:sz w:val="22"/>
          <w:szCs w:val="22"/>
        </w:rPr>
        <w:t xml:space="preserve">  This dual impact informs the study question: cultural competence is crucial for mitigating barriers, yet it necessitates comprehensive structural adjustment to effectively tackle disparities in mental health treatment.</w:t>
      </w:r>
    </w:p>
    <w:p w14:paraId="7CC4E7C6" w14:textId="77777777" w:rsidR="00307639" w:rsidRDefault="00307639" w:rsidP="0048554A">
      <w:pPr>
        <w:spacing w:line="360" w:lineRule="auto"/>
        <w:jc w:val="both"/>
        <w:rPr>
          <w:rFonts w:ascii="Arial" w:hAnsi="Arial" w:cs="Arial"/>
          <w:b/>
          <w:bCs/>
          <w:sz w:val="28"/>
          <w:szCs w:val="28"/>
        </w:rPr>
      </w:pPr>
      <w:r w:rsidRPr="004C6B6D">
        <w:rPr>
          <w:rFonts w:ascii="Arial" w:hAnsi="Arial" w:cs="Arial"/>
          <w:b/>
          <w:bCs/>
          <w:sz w:val="28"/>
          <w:szCs w:val="28"/>
        </w:rPr>
        <w:t>Examples from your articles</w:t>
      </w:r>
    </w:p>
    <w:p w14:paraId="28FC872A" w14:textId="77777777" w:rsidR="00307639" w:rsidRPr="00AF295B" w:rsidRDefault="00307639" w:rsidP="0048554A">
      <w:pPr>
        <w:spacing w:line="360" w:lineRule="auto"/>
        <w:jc w:val="both"/>
        <w:rPr>
          <w:rFonts w:ascii="Arial" w:hAnsi="Arial" w:cs="Arial"/>
          <w:sz w:val="22"/>
          <w:szCs w:val="22"/>
        </w:rPr>
      </w:pPr>
      <w:r w:rsidRPr="00AF295B">
        <w:rPr>
          <w:rFonts w:ascii="Arial" w:hAnsi="Arial" w:cs="Arial"/>
          <w:sz w:val="22"/>
          <w:szCs w:val="22"/>
        </w:rPr>
        <w:t>Numerous studies underscore the impact of cultural competency on the accessibility of mental health care for ethnic minorities in the UK.  Adamson, Warfa, and Bhui (2011) contend that enhancing organisational cultural competence—via staff training, recruitment of a diverse workforce, and community engagement</w:t>
      </w:r>
      <w:r>
        <w:rPr>
          <w:rFonts w:ascii="Arial" w:hAnsi="Arial" w:cs="Arial"/>
          <w:sz w:val="22"/>
          <w:szCs w:val="22"/>
        </w:rPr>
        <w:t xml:space="preserve"> </w:t>
      </w:r>
      <w:r w:rsidRPr="00AF295B">
        <w:rPr>
          <w:rFonts w:ascii="Arial" w:hAnsi="Arial" w:cs="Arial"/>
          <w:sz w:val="22"/>
          <w:szCs w:val="22"/>
        </w:rPr>
        <w:t>facilitates the responsiveness of mental health care to cultural requirements.  Their findings indicate that culturally aware communication enhances patient trust and service utilisation, establishing a strong connection between cultural competency and improved access and outcomes.</w:t>
      </w:r>
    </w:p>
    <w:p w14:paraId="7ADA24B4" w14:textId="77777777" w:rsidR="00307639" w:rsidRDefault="00307639" w:rsidP="0048554A">
      <w:pPr>
        <w:spacing w:line="360" w:lineRule="auto"/>
        <w:jc w:val="both"/>
        <w:rPr>
          <w:rFonts w:ascii="Arial" w:hAnsi="Arial" w:cs="Arial"/>
          <w:b/>
          <w:bCs/>
          <w:sz w:val="28"/>
          <w:szCs w:val="28"/>
        </w:rPr>
      </w:pPr>
      <w:r w:rsidRPr="00E23FF1">
        <w:rPr>
          <w:rFonts w:ascii="Arial" w:hAnsi="Arial" w:cs="Arial"/>
          <w:b/>
          <w:bCs/>
          <w:sz w:val="28"/>
          <w:szCs w:val="28"/>
        </w:rPr>
        <w:t xml:space="preserve">Comparative </w:t>
      </w:r>
      <w:r>
        <w:rPr>
          <w:rFonts w:ascii="Arial" w:hAnsi="Arial" w:cs="Arial"/>
          <w:b/>
          <w:bCs/>
          <w:sz w:val="28"/>
          <w:szCs w:val="28"/>
        </w:rPr>
        <w:t>Analysis</w:t>
      </w:r>
      <w:r w:rsidRPr="00E23FF1">
        <w:rPr>
          <w:rFonts w:ascii="Arial" w:hAnsi="Arial" w:cs="Arial"/>
          <w:b/>
          <w:bCs/>
          <w:sz w:val="28"/>
          <w:szCs w:val="28"/>
        </w:rPr>
        <w:t>:</w:t>
      </w:r>
    </w:p>
    <w:p w14:paraId="1DBF146A" w14:textId="6FC8E23A" w:rsidR="00307639" w:rsidRPr="00AF295B" w:rsidRDefault="00307639" w:rsidP="0048554A">
      <w:pPr>
        <w:spacing w:line="360" w:lineRule="auto"/>
        <w:jc w:val="both"/>
        <w:rPr>
          <w:rFonts w:ascii="Arial" w:hAnsi="Arial" w:cs="Arial"/>
          <w:sz w:val="22"/>
          <w:szCs w:val="22"/>
        </w:rPr>
      </w:pPr>
      <w:r w:rsidRPr="00AF295B">
        <w:rPr>
          <w:rFonts w:ascii="Arial" w:hAnsi="Arial" w:cs="Arial"/>
          <w:sz w:val="22"/>
          <w:szCs w:val="22"/>
        </w:rPr>
        <w:t>Bhui et al. (2015) underscore that cultural competence is crucial for mitigating racial inequities in healthcare.  They contend that insufficient cultural comprehension leads to misdiagnosis, premature cessation of treatment, and dissatisfaction with services.  This substantiates the perspective that culturally tailored mental health interventions enhance involvement within minority populations.</w:t>
      </w:r>
      <w:r>
        <w:rPr>
          <w:rFonts w:ascii="Arial" w:hAnsi="Arial" w:cs="Arial"/>
          <w:sz w:val="22"/>
          <w:szCs w:val="22"/>
        </w:rPr>
        <w:t xml:space="preserve"> </w:t>
      </w:r>
      <w:r w:rsidR="007F3932">
        <w:rPr>
          <w:rFonts w:ascii="Arial" w:hAnsi="Arial" w:cs="Arial"/>
          <w:sz w:val="22"/>
          <w:szCs w:val="22"/>
        </w:rPr>
        <w:t>While</w:t>
      </w:r>
      <w:r>
        <w:rPr>
          <w:rFonts w:ascii="Arial" w:hAnsi="Arial" w:cs="Arial"/>
          <w:sz w:val="22"/>
          <w:szCs w:val="22"/>
        </w:rPr>
        <w:t xml:space="preserve"> </w:t>
      </w:r>
      <w:r w:rsidRPr="00694538">
        <w:rPr>
          <w:rFonts w:ascii="Arial" w:hAnsi="Arial" w:cs="Arial"/>
          <w:sz w:val="22"/>
          <w:szCs w:val="22"/>
        </w:rPr>
        <w:t xml:space="preserve">Kapadia et al. (2022) </w:t>
      </w:r>
      <w:r w:rsidRPr="00AF295B">
        <w:rPr>
          <w:rFonts w:ascii="Arial" w:hAnsi="Arial" w:cs="Arial"/>
          <w:sz w:val="22"/>
          <w:szCs w:val="22"/>
        </w:rPr>
        <w:t>adopt a critical perspective, asserting that cultural competence alone cannot eradicate inequities if underlying structural concerns, such as institutional racism and inadequate interpreter availability, persist.  They emphasise that concentrating exclusively on cultural knowledge may lead to an oversimplification of obstacles.</w:t>
      </w:r>
    </w:p>
    <w:p w14:paraId="467EE646" w14:textId="77777777" w:rsidR="00307639" w:rsidRPr="005951F8" w:rsidRDefault="00307639" w:rsidP="0048554A">
      <w:pPr>
        <w:spacing w:line="360" w:lineRule="auto"/>
        <w:jc w:val="both"/>
        <w:rPr>
          <w:rFonts w:ascii="Arial" w:hAnsi="Arial" w:cs="Arial"/>
          <w:sz w:val="22"/>
          <w:szCs w:val="22"/>
        </w:rPr>
      </w:pPr>
      <w:r w:rsidRPr="00AF295B">
        <w:rPr>
          <w:rFonts w:ascii="Arial" w:hAnsi="Arial" w:cs="Arial"/>
          <w:sz w:val="22"/>
          <w:szCs w:val="22"/>
        </w:rPr>
        <w:t>Collectively, these viewpoints enhance the study by demonstrating that cultural competency is essential for minimising barriers to mental health treatment; nevertheless, it must be accompanied by institutional reform to achieve enduring equity.</w:t>
      </w:r>
    </w:p>
    <w:p w14:paraId="0D54D503" w14:textId="77777777" w:rsidR="00307639" w:rsidRDefault="00307639" w:rsidP="0048554A">
      <w:pPr>
        <w:spacing w:line="360" w:lineRule="auto"/>
        <w:jc w:val="both"/>
        <w:rPr>
          <w:rFonts w:ascii="Arial" w:hAnsi="Arial" w:cs="Arial"/>
          <w:b/>
          <w:bCs/>
          <w:sz w:val="28"/>
          <w:szCs w:val="28"/>
        </w:rPr>
      </w:pPr>
      <w:r w:rsidRPr="004C6B6D">
        <w:rPr>
          <w:rFonts w:ascii="Arial" w:hAnsi="Arial" w:cs="Arial"/>
          <w:b/>
          <w:bCs/>
          <w:sz w:val="28"/>
          <w:szCs w:val="28"/>
        </w:rPr>
        <w:lastRenderedPageBreak/>
        <w:t xml:space="preserve">Connection to other themes  </w:t>
      </w:r>
    </w:p>
    <w:p w14:paraId="0A7C95CE" w14:textId="77777777" w:rsidR="00307639" w:rsidRPr="004C6B6D" w:rsidRDefault="00307639" w:rsidP="0048554A">
      <w:pPr>
        <w:spacing w:line="360" w:lineRule="auto"/>
        <w:jc w:val="both"/>
        <w:rPr>
          <w:rFonts w:ascii="Arial" w:hAnsi="Arial" w:cs="Arial"/>
          <w:b/>
          <w:bCs/>
          <w:sz w:val="28"/>
          <w:szCs w:val="28"/>
        </w:rPr>
      </w:pPr>
      <w:r>
        <w:rPr>
          <w:rFonts w:ascii="Arial" w:hAnsi="Arial" w:cs="Arial"/>
          <w:b/>
          <w:bCs/>
          <w:sz w:val="28"/>
          <w:szCs w:val="28"/>
        </w:rPr>
        <w:t>Interconnection:</w:t>
      </w:r>
    </w:p>
    <w:p w14:paraId="688BBEC6" w14:textId="77777777" w:rsidR="00307639" w:rsidRDefault="00307639" w:rsidP="0048554A">
      <w:pPr>
        <w:spacing w:line="360" w:lineRule="auto"/>
        <w:jc w:val="both"/>
        <w:rPr>
          <w:rFonts w:ascii="Arial" w:hAnsi="Arial" w:cs="Arial"/>
          <w:sz w:val="22"/>
          <w:szCs w:val="22"/>
        </w:rPr>
      </w:pPr>
      <w:r w:rsidRPr="008D0C48">
        <w:rPr>
          <w:rFonts w:ascii="Arial" w:hAnsi="Arial" w:cs="Arial"/>
          <w:sz w:val="22"/>
          <w:szCs w:val="22"/>
        </w:rPr>
        <w:t>Cultural competency is intricately linked to stigma, linguistic obstacles, and accessibility in mental health services. Insufficient cultural comprehension might intensify stigma, leading patients to feel misinterpreted or evaluated, hence diminishing their propensity to seek assistance</w:t>
      </w:r>
      <w:r>
        <w:rPr>
          <w:rFonts w:ascii="Arial" w:hAnsi="Arial" w:cs="Arial"/>
          <w:sz w:val="22"/>
          <w:szCs w:val="22"/>
        </w:rPr>
        <w:t xml:space="preserve"> </w:t>
      </w:r>
      <w:r w:rsidRPr="00E84398">
        <w:rPr>
          <w:rFonts w:ascii="Arial" w:hAnsi="Arial" w:cs="Arial"/>
          <w:sz w:val="22"/>
          <w:szCs w:val="22"/>
        </w:rPr>
        <w:t>(Memon et al., 2016)</w:t>
      </w:r>
      <w:r w:rsidRPr="008D0C48">
        <w:rPr>
          <w:rFonts w:ascii="Arial" w:hAnsi="Arial" w:cs="Arial"/>
          <w:sz w:val="22"/>
          <w:szCs w:val="22"/>
        </w:rPr>
        <w:t>. Culturally in</w:t>
      </w:r>
      <w:r>
        <w:rPr>
          <w:rFonts w:ascii="Arial" w:hAnsi="Arial" w:cs="Arial"/>
          <w:sz w:val="22"/>
          <w:szCs w:val="22"/>
        </w:rPr>
        <w:t>adequate</w:t>
      </w:r>
      <w:r w:rsidRPr="008D0C48">
        <w:rPr>
          <w:rFonts w:ascii="Arial" w:hAnsi="Arial" w:cs="Arial"/>
          <w:sz w:val="22"/>
          <w:szCs w:val="22"/>
        </w:rPr>
        <w:t xml:space="preserve"> services frequently neglect language requirements, resulting in communication obstacles that impede diagnosis and engagement </w:t>
      </w:r>
      <w:r>
        <w:rPr>
          <w:rFonts w:ascii="Arial" w:hAnsi="Arial" w:cs="Arial"/>
          <w:sz w:val="22"/>
          <w:szCs w:val="22"/>
        </w:rPr>
        <w:t>(</w:t>
      </w:r>
      <w:r w:rsidRPr="009A4BB1">
        <w:rPr>
          <w:rFonts w:ascii="Arial" w:hAnsi="Arial" w:cs="Arial"/>
          <w:sz w:val="22"/>
          <w:szCs w:val="22"/>
        </w:rPr>
        <w:t>Pashayan et al., 2015)</w:t>
      </w:r>
      <w:r>
        <w:rPr>
          <w:rFonts w:ascii="Arial" w:hAnsi="Arial" w:cs="Arial"/>
          <w:sz w:val="22"/>
          <w:szCs w:val="22"/>
        </w:rPr>
        <w:t xml:space="preserve">. </w:t>
      </w:r>
      <w:r w:rsidRPr="008D0C48">
        <w:rPr>
          <w:rFonts w:ascii="Arial" w:hAnsi="Arial" w:cs="Arial"/>
          <w:sz w:val="22"/>
          <w:szCs w:val="22"/>
        </w:rPr>
        <w:t>Access is further compromised, since patients may eschew services deemed culturally offensive. The interrelated themes illustrate that barriers are interconnected: strengthening cultural competency not only fosters understanding and respect but also alleviates stigma, language challenges, and unequal access, so collectively improving mental health outcomes.</w:t>
      </w:r>
    </w:p>
    <w:p w14:paraId="5422A1F2" w14:textId="77777777" w:rsidR="00307639" w:rsidRPr="00EC4364" w:rsidRDefault="00307639" w:rsidP="0048554A">
      <w:pPr>
        <w:spacing w:line="360" w:lineRule="auto"/>
        <w:jc w:val="both"/>
        <w:rPr>
          <w:rFonts w:ascii="Arial" w:hAnsi="Arial" w:cs="Arial"/>
          <w:b/>
          <w:bCs/>
          <w:sz w:val="28"/>
          <w:szCs w:val="28"/>
        </w:rPr>
      </w:pPr>
      <w:r w:rsidRPr="00EC4364">
        <w:rPr>
          <w:rFonts w:ascii="Arial" w:hAnsi="Arial" w:cs="Arial"/>
          <w:b/>
          <w:bCs/>
          <w:sz w:val="28"/>
          <w:szCs w:val="28"/>
        </w:rPr>
        <w:t>Conclusion on themes</w:t>
      </w:r>
    </w:p>
    <w:p w14:paraId="4FABAFF5" w14:textId="77777777" w:rsidR="00307639" w:rsidRPr="00EC4364" w:rsidRDefault="00307639" w:rsidP="0048554A">
      <w:pPr>
        <w:spacing w:line="360" w:lineRule="auto"/>
        <w:jc w:val="both"/>
        <w:rPr>
          <w:rFonts w:ascii="Arial" w:hAnsi="Arial" w:cs="Arial"/>
          <w:sz w:val="22"/>
          <w:szCs w:val="22"/>
        </w:rPr>
      </w:pPr>
      <w:r>
        <w:rPr>
          <w:rFonts w:ascii="Arial" w:hAnsi="Arial" w:cs="Arial"/>
          <w:sz w:val="22"/>
          <w:szCs w:val="22"/>
        </w:rPr>
        <w:t>Overall, this</w:t>
      </w:r>
      <w:r w:rsidRPr="00EC4364">
        <w:rPr>
          <w:rFonts w:ascii="Arial" w:hAnsi="Arial" w:cs="Arial"/>
          <w:sz w:val="22"/>
          <w:szCs w:val="22"/>
        </w:rPr>
        <w:t xml:space="preserve"> chapter highlights the principal themes hindering ethnic minority interactions with mental health services, highlighting the interplay of language barrier, cultural competence and stigma on help-seeking and service participation.  Collectively, these findings elucidate a complex and interrelated framework that underscores substantial deficiencies in existing practices.  These findings establish a basis for the subsequent chapter, which will examine methodological approaches employed to analyse these challenges with greater rigour, ensuring the research is robust, transparent, and consistent with the dissertation objectives</w:t>
      </w:r>
    </w:p>
    <w:p w14:paraId="088A2B31" w14:textId="77777777" w:rsidR="00307639" w:rsidRDefault="00307639" w:rsidP="0048554A">
      <w:pPr>
        <w:spacing w:line="360" w:lineRule="auto"/>
        <w:jc w:val="both"/>
        <w:rPr>
          <w:rFonts w:ascii="Arial" w:hAnsi="Arial" w:cs="Arial"/>
          <w:b/>
          <w:bCs/>
          <w:sz w:val="32"/>
          <w:szCs w:val="32"/>
        </w:rPr>
      </w:pPr>
      <w:r w:rsidRPr="00675E1A">
        <w:rPr>
          <w:rFonts w:ascii="Arial" w:hAnsi="Arial" w:cs="Arial"/>
          <w:b/>
          <w:bCs/>
          <w:sz w:val="32"/>
          <w:szCs w:val="32"/>
        </w:rPr>
        <w:t>Chapter 4.6 Chapter Conclusion</w:t>
      </w:r>
    </w:p>
    <w:p w14:paraId="7A986658" w14:textId="77777777" w:rsidR="00E94DD9" w:rsidRDefault="00E94DD9" w:rsidP="00E94DD9">
      <w:pPr>
        <w:spacing w:after="0" w:line="360" w:lineRule="auto"/>
        <w:rPr>
          <w:rFonts w:ascii="Times New Roman" w:eastAsia="Times New Roman" w:hAnsi="Times New Roman" w:cs="Times New Roman"/>
          <w:kern w:val="0"/>
          <w:lang w:eastAsia="en-GB"/>
          <w14:ligatures w14:val="none"/>
        </w:rPr>
      </w:pPr>
      <w:r w:rsidRPr="00E94DD9">
        <w:rPr>
          <w:rFonts w:ascii="Arial" w:eastAsia="Times New Roman" w:hAnsi="Arial" w:cs="Arial"/>
          <w:kern w:val="0"/>
          <w:sz w:val="22"/>
          <w:szCs w:val="22"/>
          <w:lang w:eastAsia="en-GB"/>
          <w14:ligatures w14:val="none"/>
        </w:rPr>
        <w:t>Chapter 4 has presented and analysed the key findings from the thematic analysis, providing an in-depth examination of the main barriers hindering ethnic minority group's access to mental health services in the UK. A thorough examination of the chosen literature revealed three common themes: stigma, language obstacles, and cultural competency, each differently contributing to the challenges faced by these communities. The chapter emphasised the persistence of stigma in suppressing help-seeking behaviours, the barrier of communication and comprehension due to language barriers, and the detrimental impact of insufficient cultural competency in services on trust and involvement. Comparative analysis across authors further illustrated the range of opinions within the literature, while cross-theme links highlighted the interrelated and overlapping characteristics of these barriers.</w:t>
      </w:r>
      <w:r w:rsidRPr="00E94DD9">
        <w:rPr>
          <w:rFonts w:ascii="Times New Roman" w:eastAsia="Times New Roman" w:hAnsi="Times New Roman" w:cs="Times New Roman"/>
          <w:kern w:val="0"/>
          <w:lang w:eastAsia="en-GB"/>
          <w14:ligatures w14:val="none"/>
        </w:rPr>
        <w:t xml:space="preserve"> </w:t>
      </w:r>
    </w:p>
    <w:p w14:paraId="3A7F1271" w14:textId="77777777" w:rsidR="00E94DD9" w:rsidRDefault="00E94DD9" w:rsidP="00E94DD9">
      <w:pPr>
        <w:spacing w:after="0" w:line="360" w:lineRule="auto"/>
        <w:rPr>
          <w:rFonts w:ascii="Times New Roman" w:eastAsia="Times New Roman" w:hAnsi="Times New Roman" w:cs="Times New Roman"/>
          <w:kern w:val="0"/>
          <w:lang w:eastAsia="en-GB"/>
          <w14:ligatures w14:val="none"/>
        </w:rPr>
      </w:pPr>
    </w:p>
    <w:p w14:paraId="2F524E36" w14:textId="3EB82C0F" w:rsidR="00E94DD9" w:rsidRPr="00E94DD9" w:rsidRDefault="00E94DD9" w:rsidP="00E94DD9">
      <w:pPr>
        <w:spacing w:after="0" w:line="360" w:lineRule="auto"/>
        <w:rPr>
          <w:rFonts w:ascii="Arial" w:eastAsia="Times New Roman" w:hAnsi="Arial" w:cs="Arial"/>
          <w:kern w:val="0"/>
          <w:sz w:val="22"/>
          <w:szCs w:val="22"/>
          <w:lang w:eastAsia="en-GB"/>
          <w14:ligatures w14:val="none"/>
        </w:rPr>
      </w:pPr>
      <w:r w:rsidRPr="00E94DD9">
        <w:rPr>
          <w:rFonts w:ascii="Arial" w:eastAsia="Times New Roman" w:hAnsi="Arial" w:cs="Arial"/>
          <w:kern w:val="0"/>
          <w:sz w:val="22"/>
          <w:szCs w:val="22"/>
          <w:lang w:eastAsia="en-GB"/>
          <w14:ligatures w14:val="none"/>
        </w:rPr>
        <w:lastRenderedPageBreak/>
        <w:t>This chapter has given us an improved understanding of the complicated factors that affect service access and outcomes by thoroughly looking at the strengths, limitations, and effects of each topic. These ideas constitute a robust evidentiary foundation for enhancing practice and guiding policy.</w:t>
      </w:r>
    </w:p>
    <w:p w14:paraId="7EA2F61C" w14:textId="624600D5" w:rsidR="00E94DD9" w:rsidRDefault="00E94DD9" w:rsidP="00E94DD9">
      <w:pPr>
        <w:spacing w:after="0" w:line="360" w:lineRule="auto"/>
        <w:rPr>
          <w:rFonts w:ascii="Arial" w:eastAsia="Times New Roman" w:hAnsi="Arial" w:cs="Arial"/>
          <w:kern w:val="0"/>
          <w:sz w:val="22"/>
          <w:szCs w:val="22"/>
          <w:lang w:eastAsia="en-GB"/>
          <w14:ligatures w14:val="none"/>
        </w:rPr>
      </w:pPr>
      <w:r w:rsidRPr="00E94DD9">
        <w:rPr>
          <w:rFonts w:ascii="Arial" w:eastAsia="Times New Roman" w:hAnsi="Arial" w:cs="Arial"/>
          <w:kern w:val="0"/>
          <w:sz w:val="22"/>
          <w:szCs w:val="22"/>
          <w:lang w:eastAsia="en-GB"/>
          <w14:ligatures w14:val="none"/>
        </w:rPr>
        <w:t>Chapter 5 will build on these results by giving useful, evidence-based suggestions for how to do things in the future.  It will also think about the bigger picture of the research, look at its limits, and list ways to do more research to improve mental health equality for ethnic minority groups in the UK.</w:t>
      </w:r>
    </w:p>
    <w:p w14:paraId="26B935EA" w14:textId="77777777" w:rsidR="00E94DD9" w:rsidRDefault="00E94DD9" w:rsidP="00E94DD9">
      <w:pPr>
        <w:spacing w:after="0" w:line="360" w:lineRule="auto"/>
        <w:rPr>
          <w:rFonts w:ascii="Arial" w:eastAsia="Times New Roman" w:hAnsi="Arial" w:cs="Arial"/>
          <w:kern w:val="0"/>
          <w:sz w:val="22"/>
          <w:szCs w:val="22"/>
          <w:lang w:eastAsia="en-GB"/>
          <w14:ligatures w14:val="none"/>
        </w:rPr>
      </w:pPr>
    </w:p>
    <w:p w14:paraId="3B5F1EA0" w14:textId="77777777" w:rsidR="00E94DD9" w:rsidRPr="00E94DD9" w:rsidRDefault="00E94DD9" w:rsidP="00E94DD9">
      <w:pPr>
        <w:spacing w:after="0" w:line="360" w:lineRule="auto"/>
        <w:rPr>
          <w:rFonts w:ascii="Arial" w:eastAsia="Times New Roman" w:hAnsi="Arial" w:cs="Arial"/>
          <w:kern w:val="0"/>
          <w:sz w:val="22"/>
          <w:szCs w:val="22"/>
          <w:lang w:eastAsia="en-GB"/>
          <w14:ligatures w14:val="none"/>
        </w:rPr>
      </w:pPr>
    </w:p>
    <w:p w14:paraId="38BC4FA5" w14:textId="77777777" w:rsidR="00A937BB" w:rsidRPr="00E94DD9" w:rsidRDefault="00A937BB" w:rsidP="00E94DD9">
      <w:pPr>
        <w:spacing w:line="360" w:lineRule="auto"/>
        <w:jc w:val="both"/>
        <w:rPr>
          <w:rFonts w:ascii="Arial" w:hAnsi="Arial" w:cs="Arial"/>
          <w:b/>
          <w:bCs/>
          <w:sz w:val="22"/>
          <w:szCs w:val="22"/>
        </w:rPr>
      </w:pPr>
    </w:p>
    <w:p w14:paraId="0E1E005A" w14:textId="77777777" w:rsidR="00A937BB" w:rsidRPr="00E94DD9" w:rsidRDefault="00A937BB" w:rsidP="00E94DD9">
      <w:pPr>
        <w:spacing w:line="360" w:lineRule="auto"/>
        <w:jc w:val="both"/>
        <w:rPr>
          <w:rFonts w:ascii="Arial" w:hAnsi="Arial" w:cs="Arial"/>
          <w:b/>
          <w:bCs/>
          <w:sz w:val="22"/>
          <w:szCs w:val="22"/>
        </w:rPr>
      </w:pPr>
    </w:p>
    <w:p w14:paraId="103F70F0" w14:textId="77777777" w:rsidR="00A937BB" w:rsidRDefault="00A937BB" w:rsidP="0048554A">
      <w:pPr>
        <w:spacing w:line="360" w:lineRule="auto"/>
        <w:jc w:val="both"/>
        <w:rPr>
          <w:rFonts w:ascii="Arial" w:hAnsi="Arial" w:cs="Arial"/>
          <w:b/>
          <w:bCs/>
          <w:sz w:val="22"/>
          <w:szCs w:val="22"/>
        </w:rPr>
      </w:pPr>
    </w:p>
    <w:p w14:paraId="5E6C27F6" w14:textId="77777777" w:rsidR="00A937BB" w:rsidRDefault="00A937BB" w:rsidP="0048554A">
      <w:pPr>
        <w:spacing w:line="360" w:lineRule="auto"/>
        <w:jc w:val="both"/>
        <w:rPr>
          <w:rFonts w:ascii="Arial" w:hAnsi="Arial" w:cs="Arial"/>
          <w:b/>
          <w:bCs/>
          <w:sz w:val="22"/>
          <w:szCs w:val="22"/>
        </w:rPr>
      </w:pPr>
    </w:p>
    <w:p w14:paraId="72E9D294" w14:textId="77777777" w:rsidR="00A937BB" w:rsidRDefault="00A937BB" w:rsidP="0048554A">
      <w:pPr>
        <w:spacing w:line="360" w:lineRule="auto"/>
        <w:jc w:val="both"/>
        <w:rPr>
          <w:rFonts w:ascii="Arial" w:hAnsi="Arial" w:cs="Arial"/>
          <w:b/>
          <w:bCs/>
          <w:sz w:val="22"/>
          <w:szCs w:val="22"/>
        </w:rPr>
      </w:pPr>
    </w:p>
    <w:p w14:paraId="30A95A09" w14:textId="77777777" w:rsidR="009A30C0" w:rsidRDefault="009A30C0" w:rsidP="0048554A">
      <w:pPr>
        <w:spacing w:line="360" w:lineRule="auto"/>
        <w:jc w:val="both"/>
        <w:rPr>
          <w:rFonts w:ascii="Arial" w:hAnsi="Arial" w:cs="Arial"/>
          <w:b/>
          <w:bCs/>
          <w:sz w:val="22"/>
          <w:szCs w:val="22"/>
        </w:rPr>
      </w:pPr>
    </w:p>
    <w:p w14:paraId="1A434DDB" w14:textId="77777777" w:rsidR="003E07D0" w:rsidRDefault="003E07D0" w:rsidP="0048554A">
      <w:pPr>
        <w:spacing w:line="360" w:lineRule="auto"/>
        <w:jc w:val="both"/>
        <w:rPr>
          <w:rFonts w:ascii="Arial" w:hAnsi="Arial" w:cs="Arial"/>
          <w:b/>
          <w:bCs/>
          <w:color w:val="000000" w:themeColor="text1"/>
          <w:sz w:val="32"/>
          <w:szCs w:val="32"/>
        </w:rPr>
      </w:pPr>
    </w:p>
    <w:p w14:paraId="7F47E274" w14:textId="77777777" w:rsidR="003E07D0" w:rsidRDefault="003E07D0" w:rsidP="0048554A">
      <w:pPr>
        <w:spacing w:line="360" w:lineRule="auto"/>
        <w:jc w:val="both"/>
        <w:rPr>
          <w:rFonts w:ascii="Arial" w:hAnsi="Arial" w:cs="Arial"/>
          <w:b/>
          <w:bCs/>
          <w:color w:val="000000" w:themeColor="text1"/>
          <w:sz w:val="32"/>
          <w:szCs w:val="32"/>
        </w:rPr>
      </w:pPr>
    </w:p>
    <w:p w14:paraId="16BAD090" w14:textId="77777777" w:rsidR="003E07D0" w:rsidRDefault="003E07D0" w:rsidP="0048554A">
      <w:pPr>
        <w:spacing w:line="360" w:lineRule="auto"/>
        <w:jc w:val="both"/>
        <w:rPr>
          <w:rFonts w:ascii="Arial" w:hAnsi="Arial" w:cs="Arial"/>
          <w:b/>
          <w:bCs/>
          <w:color w:val="000000" w:themeColor="text1"/>
          <w:sz w:val="32"/>
          <w:szCs w:val="32"/>
        </w:rPr>
      </w:pPr>
    </w:p>
    <w:p w14:paraId="0476EEC1" w14:textId="77777777" w:rsidR="003E07D0" w:rsidRDefault="003E07D0" w:rsidP="0048554A">
      <w:pPr>
        <w:spacing w:line="360" w:lineRule="auto"/>
        <w:jc w:val="both"/>
        <w:rPr>
          <w:rFonts w:ascii="Arial" w:hAnsi="Arial" w:cs="Arial"/>
          <w:b/>
          <w:bCs/>
          <w:color w:val="000000" w:themeColor="text1"/>
          <w:sz w:val="32"/>
          <w:szCs w:val="32"/>
        </w:rPr>
      </w:pPr>
    </w:p>
    <w:p w14:paraId="0601C9E8" w14:textId="77777777" w:rsidR="003E07D0" w:rsidRDefault="003E07D0" w:rsidP="0048554A">
      <w:pPr>
        <w:spacing w:line="360" w:lineRule="auto"/>
        <w:jc w:val="both"/>
        <w:rPr>
          <w:rFonts w:ascii="Arial" w:hAnsi="Arial" w:cs="Arial"/>
          <w:b/>
          <w:bCs/>
          <w:color w:val="000000" w:themeColor="text1"/>
          <w:sz w:val="32"/>
          <w:szCs w:val="32"/>
        </w:rPr>
      </w:pPr>
    </w:p>
    <w:p w14:paraId="04686C7A" w14:textId="77777777" w:rsidR="003E07D0" w:rsidRDefault="003E07D0" w:rsidP="0048554A">
      <w:pPr>
        <w:spacing w:line="360" w:lineRule="auto"/>
        <w:jc w:val="both"/>
        <w:rPr>
          <w:rFonts w:ascii="Arial" w:hAnsi="Arial" w:cs="Arial"/>
          <w:b/>
          <w:bCs/>
          <w:color w:val="000000" w:themeColor="text1"/>
          <w:sz w:val="32"/>
          <w:szCs w:val="32"/>
        </w:rPr>
      </w:pPr>
    </w:p>
    <w:p w14:paraId="2D9B9EFC" w14:textId="77777777" w:rsidR="003E07D0" w:rsidRDefault="003E07D0" w:rsidP="0048554A">
      <w:pPr>
        <w:spacing w:line="360" w:lineRule="auto"/>
        <w:jc w:val="both"/>
        <w:rPr>
          <w:rFonts w:ascii="Arial" w:hAnsi="Arial" w:cs="Arial"/>
          <w:b/>
          <w:bCs/>
          <w:color w:val="000000" w:themeColor="text1"/>
          <w:sz w:val="32"/>
          <w:szCs w:val="32"/>
        </w:rPr>
      </w:pPr>
    </w:p>
    <w:p w14:paraId="131DB019" w14:textId="77777777" w:rsidR="003E07D0" w:rsidRDefault="003E07D0" w:rsidP="0048554A">
      <w:pPr>
        <w:spacing w:line="360" w:lineRule="auto"/>
        <w:jc w:val="both"/>
        <w:rPr>
          <w:rFonts w:ascii="Arial" w:hAnsi="Arial" w:cs="Arial"/>
          <w:b/>
          <w:bCs/>
          <w:color w:val="000000" w:themeColor="text1"/>
          <w:sz w:val="32"/>
          <w:szCs w:val="32"/>
        </w:rPr>
      </w:pPr>
    </w:p>
    <w:p w14:paraId="2118592A" w14:textId="77777777" w:rsidR="003E07D0" w:rsidRDefault="003E07D0" w:rsidP="0048554A">
      <w:pPr>
        <w:spacing w:line="360" w:lineRule="auto"/>
        <w:jc w:val="both"/>
        <w:rPr>
          <w:rFonts w:ascii="Arial" w:hAnsi="Arial" w:cs="Arial"/>
          <w:b/>
          <w:bCs/>
          <w:color w:val="000000" w:themeColor="text1"/>
          <w:sz w:val="32"/>
          <w:szCs w:val="32"/>
        </w:rPr>
      </w:pPr>
    </w:p>
    <w:p w14:paraId="1FBE6329" w14:textId="77777777" w:rsidR="003E07D0" w:rsidRDefault="003E07D0" w:rsidP="0048554A">
      <w:pPr>
        <w:spacing w:line="360" w:lineRule="auto"/>
        <w:jc w:val="both"/>
        <w:rPr>
          <w:rFonts w:ascii="Arial" w:hAnsi="Arial" w:cs="Arial"/>
          <w:b/>
          <w:bCs/>
          <w:color w:val="000000" w:themeColor="text1"/>
          <w:sz w:val="32"/>
          <w:szCs w:val="32"/>
        </w:rPr>
      </w:pPr>
    </w:p>
    <w:p w14:paraId="273044F5" w14:textId="3E2154C8" w:rsidR="009A30C0" w:rsidRDefault="009A30C0" w:rsidP="0048554A">
      <w:pPr>
        <w:spacing w:line="360" w:lineRule="auto"/>
        <w:jc w:val="both"/>
        <w:rPr>
          <w:rFonts w:ascii="Arial" w:hAnsi="Arial" w:cs="Arial"/>
          <w:b/>
          <w:bCs/>
          <w:color w:val="000000" w:themeColor="text1"/>
          <w:sz w:val="32"/>
          <w:szCs w:val="32"/>
        </w:rPr>
      </w:pPr>
      <w:r w:rsidRPr="00474E0D">
        <w:rPr>
          <w:rFonts w:ascii="Arial" w:hAnsi="Arial" w:cs="Arial"/>
          <w:b/>
          <w:bCs/>
          <w:color w:val="000000" w:themeColor="text1"/>
          <w:sz w:val="32"/>
          <w:szCs w:val="32"/>
        </w:rPr>
        <w:lastRenderedPageBreak/>
        <w:t>“Barriers to receiving mental health services among the Ethnic minority group in UK”</w:t>
      </w:r>
      <w:r>
        <w:rPr>
          <w:rFonts w:ascii="Arial" w:hAnsi="Arial" w:cs="Arial"/>
          <w:b/>
          <w:bCs/>
          <w:color w:val="000000" w:themeColor="text1"/>
          <w:sz w:val="32"/>
          <w:szCs w:val="32"/>
        </w:rPr>
        <w:t xml:space="preserve"> “A systematic Literature review”</w:t>
      </w:r>
    </w:p>
    <w:p w14:paraId="01D23F27" w14:textId="77777777" w:rsidR="009A30C0" w:rsidRPr="00B4512F" w:rsidRDefault="009A30C0" w:rsidP="0048554A">
      <w:pPr>
        <w:spacing w:line="360" w:lineRule="auto"/>
        <w:jc w:val="both"/>
        <w:rPr>
          <w:rFonts w:ascii="Arial" w:hAnsi="Arial" w:cs="Arial"/>
          <w:b/>
          <w:bCs/>
          <w:color w:val="000000" w:themeColor="text1"/>
          <w:sz w:val="32"/>
          <w:szCs w:val="32"/>
        </w:rPr>
      </w:pPr>
      <w:r w:rsidRPr="00B4512F">
        <w:rPr>
          <w:rFonts w:ascii="Arial" w:hAnsi="Arial" w:cs="Arial"/>
          <w:b/>
          <w:bCs/>
          <w:color w:val="000000" w:themeColor="text1"/>
          <w:sz w:val="32"/>
          <w:szCs w:val="32"/>
        </w:rPr>
        <w:t>Chapter 5.1</w:t>
      </w:r>
    </w:p>
    <w:p w14:paraId="79CD6DF7" w14:textId="77777777" w:rsidR="009A30C0" w:rsidRPr="00B4512F" w:rsidRDefault="009A30C0" w:rsidP="0048554A">
      <w:pPr>
        <w:spacing w:line="360" w:lineRule="auto"/>
        <w:jc w:val="both"/>
        <w:rPr>
          <w:rFonts w:ascii="Arial" w:hAnsi="Arial" w:cs="Arial"/>
          <w:b/>
          <w:bCs/>
          <w:color w:val="000000" w:themeColor="text1"/>
          <w:sz w:val="32"/>
          <w:szCs w:val="32"/>
        </w:rPr>
      </w:pPr>
      <w:r w:rsidRPr="00B4512F">
        <w:rPr>
          <w:rFonts w:ascii="Arial" w:hAnsi="Arial" w:cs="Arial"/>
          <w:b/>
          <w:bCs/>
          <w:color w:val="000000" w:themeColor="text1"/>
          <w:sz w:val="32"/>
          <w:szCs w:val="32"/>
        </w:rPr>
        <w:t xml:space="preserve">Introduction </w:t>
      </w:r>
    </w:p>
    <w:p w14:paraId="5900A2C7" w14:textId="77777777" w:rsidR="009A30C0" w:rsidRPr="00B4512F" w:rsidRDefault="009A30C0" w:rsidP="0048554A">
      <w:pPr>
        <w:spacing w:line="360" w:lineRule="auto"/>
        <w:jc w:val="both"/>
        <w:rPr>
          <w:rFonts w:ascii="Arial" w:hAnsi="Arial" w:cs="Arial"/>
          <w:color w:val="000000" w:themeColor="text1"/>
          <w:sz w:val="22"/>
          <w:szCs w:val="22"/>
        </w:rPr>
      </w:pPr>
      <w:r w:rsidRPr="00B4512F">
        <w:rPr>
          <w:rFonts w:ascii="Arial" w:hAnsi="Arial" w:cs="Arial"/>
          <w:color w:val="000000" w:themeColor="text1"/>
          <w:sz w:val="22"/>
          <w:szCs w:val="22"/>
        </w:rPr>
        <w:t>This concluding chapter synthesises the principal findings from the review of stigma, language barriers, and cultural competence as determinants affecting ethnic minority communities' access to mental health treatments in the UK.  It evaluates the fulfilment of the research aim and objectives, while recognising the study's limits.  This chapter offers realistic suggestions for enhancing policy, service delivery, and future research, based on the findings outlined in Chapter 4.  This chapter outlines what this means for professional practice, underscoring the necessity for culturally inclusive, person-centred mental health assistance to mitigate inequities and foster positive outcomes for marginalised communities.</w:t>
      </w:r>
    </w:p>
    <w:p w14:paraId="3BFB4FF0" w14:textId="77777777" w:rsidR="009A30C0" w:rsidRDefault="009A30C0" w:rsidP="0048554A">
      <w:pPr>
        <w:spacing w:line="360" w:lineRule="auto"/>
        <w:jc w:val="both"/>
        <w:rPr>
          <w:rFonts w:ascii="Arial" w:hAnsi="Arial" w:cs="Arial"/>
          <w:b/>
          <w:bCs/>
          <w:color w:val="000000" w:themeColor="text1"/>
          <w:sz w:val="32"/>
          <w:szCs w:val="32"/>
        </w:rPr>
      </w:pPr>
      <w:r w:rsidRPr="00B4512F">
        <w:rPr>
          <w:rFonts w:ascii="Arial" w:hAnsi="Arial" w:cs="Arial"/>
          <w:b/>
          <w:bCs/>
          <w:color w:val="000000" w:themeColor="text1"/>
          <w:sz w:val="32"/>
          <w:szCs w:val="32"/>
        </w:rPr>
        <w:t>Overall conclusion</w:t>
      </w:r>
    </w:p>
    <w:p w14:paraId="0963F34C" w14:textId="3624C737" w:rsidR="009A30C0" w:rsidRPr="00B4512F" w:rsidRDefault="009A30C0" w:rsidP="0048554A">
      <w:pPr>
        <w:spacing w:line="360" w:lineRule="auto"/>
        <w:jc w:val="both"/>
        <w:rPr>
          <w:rFonts w:ascii="Arial" w:hAnsi="Arial" w:cs="Arial"/>
          <w:b/>
          <w:bCs/>
          <w:color w:val="000000" w:themeColor="text1"/>
          <w:sz w:val="32"/>
          <w:szCs w:val="32"/>
        </w:rPr>
      </w:pPr>
      <w:r>
        <w:rPr>
          <w:rFonts w:ascii="Arial" w:hAnsi="Arial" w:cs="Arial"/>
          <w:b/>
          <w:bCs/>
          <w:color w:val="000000" w:themeColor="text1"/>
          <w:sz w:val="32"/>
          <w:szCs w:val="32"/>
        </w:rPr>
        <w:t>Purpose of Conclusion:</w:t>
      </w:r>
    </w:p>
    <w:p w14:paraId="5A797084" w14:textId="77777777" w:rsidR="009A30C0" w:rsidRPr="001875B8" w:rsidRDefault="009A30C0" w:rsidP="0048554A">
      <w:pPr>
        <w:spacing w:line="360" w:lineRule="auto"/>
        <w:jc w:val="both"/>
        <w:rPr>
          <w:rFonts w:ascii="Arial" w:hAnsi="Arial" w:cs="Arial"/>
          <w:color w:val="000000" w:themeColor="text1"/>
          <w:sz w:val="22"/>
          <w:szCs w:val="22"/>
        </w:rPr>
      </w:pPr>
      <w:r w:rsidRPr="001875B8">
        <w:rPr>
          <w:rFonts w:ascii="Arial" w:hAnsi="Arial" w:cs="Arial"/>
          <w:color w:val="000000" w:themeColor="text1"/>
          <w:sz w:val="22"/>
          <w:szCs w:val="22"/>
        </w:rPr>
        <w:t xml:space="preserve">This dissertation examined the influence of stigma, language barriers, and cultural competence on the accessibility </w:t>
      </w:r>
      <w:r>
        <w:rPr>
          <w:rFonts w:ascii="Arial" w:hAnsi="Arial" w:cs="Arial"/>
          <w:color w:val="000000" w:themeColor="text1"/>
          <w:sz w:val="22"/>
          <w:szCs w:val="22"/>
        </w:rPr>
        <w:t>to</w:t>
      </w:r>
      <w:r w:rsidRPr="001875B8">
        <w:rPr>
          <w:rFonts w:ascii="Arial" w:hAnsi="Arial" w:cs="Arial"/>
          <w:color w:val="000000" w:themeColor="text1"/>
          <w:sz w:val="22"/>
          <w:szCs w:val="22"/>
        </w:rPr>
        <w:t xml:space="preserve"> mental health treatments for ethnic minority groups in the UK.  Chapter 1 introduced the research aim: to investigate how these impediments lead to inequities in mental healthcare, alongside objectives focussing on identifying issues, analysing policy solutions, and assessing implications for service improvement.   Chapter 2 examined existing research, emphasising robust evidence that stigma impedes help-seeking, language hurdles obstruct communication, and insufficient cultural competency diminishes trust and satisfaction.  Chapter 3 described a secondary research method that enabled a comprehensive thematic analysis of existing studies.   Chapter 4 revealed significant findings indicating that stigma continues to be an important barrier to obtaining timely assistance, whereas communication challenges result in misdiagnosis and disengagement from care.  Furthermore, insufficient cultural understanding in services leads to care that fails to adequately address patients' cultural requirements.</w:t>
      </w:r>
    </w:p>
    <w:p w14:paraId="7FDE63D9" w14:textId="77777777" w:rsidR="009A30C0" w:rsidRPr="001875B8" w:rsidRDefault="009A30C0" w:rsidP="0048554A">
      <w:pPr>
        <w:spacing w:line="360" w:lineRule="auto"/>
        <w:jc w:val="both"/>
        <w:rPr>
          <w:rFonts w:ascii="Arial" w:hAnsi="Arial" w:cs="Arial"/>
          <w:color w:val="000000" w:themeColor="text1"/>
          <w:sz w:val="22"/>
          <w:szCs w:val="22"/>
        </w:rPr>
      </w:pPr>
      <w:r w:rsidRPr="001875B8">
        <w:rPr>
          <w:rFonts w:ascii="Arial" w:hAnsi="Arial" w:cs="Arial"/>
          <w:color w:val="000000" w:themeColor="text1"/>
          <w:sz w:val="22"/>
          <w:szCs w:val="22"/>
        </w:rPr>
        <w:t xml:space="preserve">Overall, the research reveals that these three </w:t>
      </w:r>
      <w:r>
        <w:rPr>
          <w:rFonts w:ascii="Arial" w:hAnsi="Arial" w:cs="Arial"/>
          <w:color w:val="000000" w:themeColor="text1"/>
          <w:sz w:val="22"/>
          <w:szCs w:val="22"/>
        </w:rPr>
        <w:t>themes</w:t>
      </w:r>
      <w:r w:rsidRPr="001875B8">
        <w:rPr>
          <w:rFonts w:ascii="Arial" w:hAnsi="Arial" w:cs="Arial"/>
          <w:color w:val="000000" w:themeColor="text1"/>
          <w:sz w:val="22"/>
          <w:szCs w:val="22"/>
        </w:rPr>
        <w:t xml:space="preserve"> are interconnected and are collectively promoting mental health inequities.   The study aim has been comprehensively addressed, </w:t>
      </w:r>
      <w:r w:rsidRPr="001875B8">
        <w:rPr>
          <w:rFonts w:ascii="Arial" w:hAnsi="Arial" w:cs="Arial"/>
          <w:color w:val="000000" w:themeColor="text1"/>
          <w:sz w:val="22"/>
          <w:szCs w:val="22"/>
        </w:rPr>
        <w:lastRenderedPageBreak/>
        <w:t>and the objectives have been mostly fulfilled by identifying barriers and emphasising necessary enhancements in policy and practice.  This analysis underscores the necessity of creating culturally responsive, inclusive services to enhance equitable access and improve outcomes for ethnic minority groups in the UK.</w:t>
      </w:r>
    </w:p>
    <w:p w14:paraId="11A96B41" w14:textId="77777777" w:rsidR="009A30C0" w:rsidRPr="00DF5401" w:rsidRDefault="009A30C0" w:rsidP="0048554A">
      <w:pPr>
        <w:spacing w:line="360" w:lineRule="auto"/>
        <w:jc w:val="both"/>
        <w:rPr>
          <w:rFonts w:ascii="Arial" w:hAnsi="Arial" w:cs="Arial"/>
          <w:color w:val="000000" w:themeColor="text1"/>
          <w:sz w:val="22"/>
          <w:szCs w:val="22"/>
        </w:rPr>
      </w:pPr>
      <w:r w:rsidRPr="00DF5401">
        <w:rPr>
          <w:rFonts w:ascii="Arial" w:hAnsi="Arial" w:cs="Arial"/>
          <w:color w:val="000000" w:themeColor="text1"/>
          <w:sz w:val="22"/>
          <w:szCs w:val="22"/>
        </w:rPr>
        <w:t>To make it easier for ethnic minority populations in the UK to get mental health care, we need to make adjustments that can be made within the current health care system.  The three recommendations below are founded on evidence and fit with the NHS's present goals. They also consider the difficulties and limits of putting them into action.</w:t>
      </w:r>
    </w:p>
    <w:p w14:paraId="2B8453FD" w14:textId="77777777" w:rsidR="009A30C0" w:rsidRPr="005F4ACE" w:rsidRDefault="009A30C0" w:rsidP="0048554A">
      <w:pPr>
        <w:spacing w:line="360" w:lineRule="auto"/>
        <w:jc w:val="both"/>
        <w:rPr>
          <w:rFonts w:ascii="Arial" w:hAnsi="Arial" w:cs="Arial"/>
          <w:color w:val="000000" w:themeColor="text1"/>
          <w:sz w:val="28"/>
          <w:szCs w:val="28"/>
        </w:rPr>
      </w:pPr>
      <w:r w:rsidRPr="005F4ACE">
        <w:rPr>
          <w:rFonts w:ascii="Arial" w:hAnsi="Arial" w:cs="Arial"/>
          <w:b/>
          <w:bCs/>
          <w:color w:val="000000" w:themeColor="text1"/>
          <w:sz w:val="28"/>
          <w:szCs w:val="28"/>
        </w:rPr>
        <w:t>Recommendation 1: Strengthen Community Led Anti Stigma Mental Health Interventions</w:t>
      </w:r>
      <w:r>
        <w:rPr>
          <w:rFonts w:ascii="Arial" w:hAnsi="Arial" w:cs="Arial"/>
          <w:b/>
          <w:bCs/>
          <w:color w:val="000000" w:themeColor="text1"/>
          <w:sz w:val="28"/>
          <w:szCs w:val="28"/>
        </w:rPr>
        <w:t>:</w:t>
      </w:r>
    </w:p>
    <w:p w14:paraId="0E96CD4E" w14:textId="57C73CBC" w:rsidR="009A30C0" w:rsidRPr="00F27769" w:rsidRDefault="009A30C0" w:rsidP="0048554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This recommendation responds to the </w:t>
      </w:r>
      <w:r w:rsidR="007F3932">
        <w:rPr>
          <w:rFonts w:ascii="Arial" w:hAnsi="Arial" w:cs="Arial"/>
          <w:color w:val="000000" w:themeColor="text1"/>
          <w:sz w:val="22"/>
          <w:szCs w:val="22"/>
        </w:rPr>
        <w:t>theme, stigma</w:t>
      </w:r>
      <w:r>
        <w:rPr>
          <w:rFonts w:ascii="Arial" w:hAnsi="Arial" w:cs="Arial"/>
          <w:color w:val="000000" w:themeColor="text1"/>
          <w:sz w:val="22"/>
          <w:szCs w:val="22"/>
        </w:rPr>
        <w:t xml:space="preserve"> barrier in chapter 4. </w:t>
      </w:r>
      <w:r w:rsidRPr="00F27769">
        <w:rPr>
          <w:rFonts w:ascii="Arial" w:hAnsi="Arial" w:cs="Arial"/>
          <w:color w:val="000000" w:themeColor="text1"/>
          <w:sz w:val="22"/>
          <w:szCs w:val="22"/>
        </w:rPr>
        <w:t>Stigma continues to be a significant b</w:t>
      </w:r>
      <w:r>
        <w:rPr>
          <w:rFonts w:ascii="Arial" w:hAnsi="Arial" w:cs="Arial"/>
          <w:color w:val="000000" w:themeColor="text1"/>
          <w:sz w:val="22"/>
          <w:szCs w:val="22"/>
        </w:rPr>
        <w:t xml:space="preserve">arrier </w:t>
      </w:r>
      <w:r w:rsidRPr="00F27769">
        <w:rPr>
          <w:rFonts w:ascii="Arial" w:hAnsi="Arial" w:cs="Arial"/>
          <w:color w:val="000000" w:themeColor="text1"/>
          <w:sz w:val="22"/>
          <w:szCs w:val="22"/>
        </w:rPr>
        <w:t>hindering ethnic minority individuals from obtaining mental health treatment, attributable to cultural shame, discrimination, and fear of judgement</w:t>
      </w:r>
      <w:r w:rsidRPr="00917811">
        <w:t xml:space="preserve"> </w:t>
      </w:r>
      <w:r w:rsidRPr="00917811">
        <w:rPr>
          <w:rFonts w:ascii="Arial" w:hAnsi="Arial" w:cs="Arial"/>
          <w:color w:val="000000" w:themeColor="text1"/>
          <w:sz w:val="22"/>
          <w:szCs w:val="22"/>
        </w:rPr>
        <w:t>(Henderson and Gronholm, 2018)</w:t>
      </w:r>
      <w:r>
        <w:rPr>
          <w:rFonts w:ascii="Arial" w:hAnsi="Arial" w:cs="Arial"/>
          <w:color w:val="000000" w:themeColor="text1"/>
          <w:sz w:val="22"/>
          <w:szCs w:val="22"/>
        </w:rPr>
        <w:t>.</w:t>
      </w:r>
      <w:r w:rsidRPr="00F27769">
        <w:rPr>
          <w:rFonts w:ascii="Arial" w:hAnsi="Arial" w:cs="Arial"/>
          <w:color w:val="000000" w:themeColor="text1"/>
          <w:sz w:val="22"/>
          <w:szCs w:val="22"/>
        </w:rPr>
        <w:t xml:space="preserve">  To address this, mental health providers should work with community organisations, church leaders, and voluntary sector organisations that people trust to run anti-stigma campaigns that are specific to each culture.  This is in line with the NHS Long Term Plan's promise to narrow the gap in access and outcomes (NHS England, 2019).</w:t>
      </w:r>
    </w:p>
    <w:p w14:paraId="4A4EEC3F" w14:textId="77777777" w:rsidR="009A30C0" w:rsidRPr="00F27769" w:rsidRDefault="009A30C0" w:rsidP="0048554A">
      <w:pPr>
        <w:spacing w:line="360" w:lineRule="auto"/>
        <w:jc w:val="both"/>
        <w:rPr>
          <w:rFonts w:ascii="Arial" w:hAnsi="Arial" w:cs="Arial"/>
          <w:color w:val="000000" w:themeColor="text1"/>
          <w:sz w:val="22"/>
          <w:szCs w:val="22"/>
        </w:rPr>
      </w:pPr>
      <w:r w:rsidRPr="00F27769">
        <w:rPr>
          <w:rFonts w:ascii="Arial" w:hAnsi="Arial" w:cs="Arial"/>
          <w:color w:val="000000" w:themeColor="text1"/>
          <w:sz w:val="22"/>
          <w:szCs w:val="22"/>
        </w:rPr>
        <w:t>Campaigns could include peer-support ambassadors, public workshops that are adapted to different cultures, and social media campaigns that are led by people in the community.  These methods help make conversations about mental health more common and make people more likely to trust services</w:t>
      </w:r>
      <w:r w:rsidRPr="005E5096">
        <w:t xml:space="preserve"> </w:t>
      </w:r>
      <w:r w:rsidRPr="005E5096">
        <w:rPr>
          <w:rFonts w:ascii="Arial" w:hAnsi="Arial" w:cs="Arial"/>
          <w:color w:val="000000" w:themeColor="text1"/>
          <w:sz w:val="22"/>
          <w:szCs w:val="22"/>
        </w:rPr>
        <w:t>(Evans-Lacko et al., 2012)</w:t>
      </w:r>
      <w:r w:rsidRPr="00F27769">
        <w:rPr>
          <w:rFonts w:ascii="Arial" w:hAnsi="Arial" w:cs="Arial"/>
          <w:color w:val="000000" w:themeColor="text1"/>
          <w:sz w:val="22"/>
          <w:szCs w:val="22"/>
        </w:rPr>
        <w:t>.</w:t>
      </w:r>
    </w:p>
    <w:p w14:paraId="50CA0E98" w14:textId="77777777" w:rsidR="009A30C0" w:rsidRPr="00F27769" w:rsidRDefault="009A30C0" w:rsidP="0048554A">
      <w:pPr>
        <w:spacing w:line="360" w:lineRule="auto"/>
        <w:jc w:val="both"/>
        <w:rPr>
          <w:rFonts w:ascii="Arial" w:hAnsi="Arial" w:cs="Arial"/>
          <w:color w:val="000000" w:themeColor="text1"/>
          <w:sz w:val="22"/>
          <w:szCs w:val="22"/>
        </w:rPr>
      </w:pPr>
      <w:r w:rsidRPr="00173EF9">
        <w:rPr>
          <w:rFonts w:ascii="Arial" w:hAnsi="Arial" w:cs="Arial"/>
          <w:b/>
          <w:bCs/>
          <w:color w:val="000000" w:themeColor="text1"/>
          <w:sz w:val="28"/>
          <w:szCs w:val="28"/>
        </w:rPr>
        <w:t>Limitations and Solutions:</w:t>
      </w:r>
      <w:r w:rsidRPr="00F27769">
        <w:rPr>
          <w:rFonts w:ascii="Arial" w:hAnsi="Arial" w:cs="Arial"/>
          <w:color w:val="000000" w:themeColor="text1"/>
          <w:sz w:val="22"/>
          <w:szCs w:val="22"/>
        </w:rPr>
        <w:t xml:space="preserve"> Funding restrictions and a long history of scepticism in statutory services may make it hard for people to get involved </w:t>
      </w:r>
      <w:r w:rsidRPr="00C5084D">
        <w:rPr>
          <w:rFonts w:ascii="Arial" w:hAnsi="Arial" w:cs="Arial"/>
          <w:color w:val="000000" w:themeColor="text1"/>
          <w:sz w:val="22"/>
          <w:szCs w:val="22"/>
        </w:rPr>
        <w:t>(Thompson, Vidgen and Roberts, 2018)</w:t>
      </w:r>
      <w:r>
        <w:rPr>
          <w:rFonts w:ascii="Arial" w:hAnsi="Arial" w:cs="Arial"/>
          <w:color w:val="000000" w:themeColor="text1"/>
          <w:sz w:val="22"/>
          <w:szCs w:val="22"/>
        </w:rPr>
        <w:t xml:space="preserve">. </w:t>
      </w:r>
      <w:r w:rsidRPr="00F27769">
        <w:rPr>
          <w:rFonts w:ascii="Arial" w:hAnsi="Arial" w:cs="Arial"/>
          <w:color w:val="000000" w:themeColor="text1"/>
          <w:sz w:val="22"/>
          <w:szCs w:val="22"/>
        </w:rPr>
        <w:t>To fix this, NHS England could give targeted inequalities funding and keep an eye on how many people use it by looking at community involvement metrics.  Cultural sensitivity is another restriction, therefore it's important to work with service consumers and local leaders to make sure that the services are relevant and respectful of cultural norms.</w:t>
      </w:r>
    </w:p>
    <w:p w14:paraId="729EB1A9" w14:textId="77777777" w:rsidR="009A30C0" w:rsidRPr="00BD1A66" w:rsidRDefault="009A30C0" w:rsidP="0048554A">
      <w:pPr>
        <w:spacing w:line="360" w:lineRule="auto"/>
        <w:jc w:val="both"/>
        <w:rPr>
          <w:rFonts w:ascii="Arial" w:hAnsi="Arial" w:cs="Arial"/>
          <w:b/>
          <w:bCs/>
          <w:color w:val="000000" w:themeColor="text1"/>
          <w:sz w:val="28"/>
          <w:szCs w:val="28"/>
        </w:rPr>
      </w:pPr>
      <w:r w:rsidRPr="00BD1A66">
        <w:rPr>
          <w:rFonts w:ascii="Arial" w:hAnsi="Arial" w:cs="Arial"/>
          <w:b/>
          <w:bCs/>
          <w:color w:val="000000" w:themeColor="text1"/>
          <w:sz w:val="28"/>
          <w:szCs w:val="28"/>
        </w:rPr>
        <w:t>Recommendation 2: Improve Access to Interpreting Services and Multilingual Mental Health Support</w:t>
      </w:r>
    </w:p>
    <w:p w14:paraId="4D12956F" w14:textId="77777777" w:rsidR="009A30C0" w:rsidRDefault="009A30C0" w:rsidP="0048554A">
      <w:pPr>
        <w:spacing w:line="360" w:lineRule="auto"/>
        <w:jc w:val="both"/>
        <w:rPr>
          <w:rFonts w:ascii="Arial" w:hAnsi="Arial" w:cs="Arial"/>
          <w:color w:val="000000" w:themeColor="text1"/>
          <w:sz w:val="22"/>
          <w:szCs w:val="22"/>
        </w:rPr>
      </w:pPr>
      <w:r w:rsidRPr="00573EDA">
        <w:rPr>
          <w:rFonts w:ascii="Arial" w:hAnsi="Arial" w:cs="Arial"/>
          <w:color w:val="000000" w:themeColor="text1"/>
          <w:sz w:val="22"/>
          <w:szCs w:val="22"/>
        </w:rPr>
        <w:t>This recommendation responds to the theme</w:t>
      </w:r>
      <w:r>
        <w:rPr>
          <w:rFonts w:ascii="Arial" w:hAnsi="Arial" w:cs="Arial"/>
          <w:color w:val="000000" w:themeColor="text1"/>
          <w:sz w:val="22"/>
          <w:szCs w:val="22"/>
        </w:rPr>
        <w:t xml:space="preserve">, Language barrier in chapter 4. </w:t>
      </w:r>
      <w:r w:rsidRPr="00EF1528">
        <w:rPr>
          <w:rFonts w:ascii="Arial" w:hAnsi="Arial" w:cs="Arial"/>
          <w:color w:val="000000" w:themeColor="text1"/>
          <w:sz w:val="22"/>
          <w:szCs w:val="22"/>
        </w:rPr>
        <w:t>Language barriers have a big effect on communication, diagnosis, and following treatment plans</w:t>
      </w:r>
      <w:r w:rsidRPr="00DB249E">
        <w:t xml:space="preserve"> </w:t>
      </w:r>
      <w:r w:rsidRPr="00DB249E">
        <w:rPr>
          <w:rFonts w:ascii="Arial" w:hAnsi="Arial" w:cs="Arial"/>
          <w:color w:val="000000" w:themeColor="text1"/>
          <w:sz w:val="22"/>
          <w:szCs w:val="22"/>
        </w:rPr>
        <w:t>(Gibbons, Dempster and Moutray, 2010)</w:t>
      </w:r>
      <w:r>
        <w:rPr>
          <w:rFonts w:ascii="Arial" w:hAnsi="Arial" w:cs="Arial"/>
          <w:color w:val="000000" w:themeColor="text1"/>
          <w:sz w:val="22"/>
          <w:szCs w:val="22"/>
        </w:rPr>
        <w:t xml:space="preserve">. </w:t>
      </w:r>
      <w:r w:rsidRPr="00EF1528">
        <w:rPr>
          <w:rFonts w:ascii="Arial" w:hAnsi="Arial" w:cs="Arial"/>
          <w:color w:val="000000" w:themeColor="text1"/>
          <w:sz w:val="22"/>
          <w:szCs w:val="22"/>
        </w:rPr>
        <w:t xml:space="preserve">Mental health services must provide the availability </w:t>
      </w:r>
      <w:r w:rsidRPr="00EF1528">
        <w:rPr>
          <w:rFonts w:ascii="Arial" w:hAnsi="Arial" w:cs="Arial"/>
          <w:color w:val="000000" w:themeColor="text1"/>
          <w:sz w:val="22"/>
          <w:szCs w:val="22"/>
        </w:rPr>
        <w:lastRenderedPageBreak/>
        <w:t>of skilled interpreters at all stages of the care pathway, encompassing triage, assessment, and therapy.  This is in line with the legal requirements of the Equality Act 2010, which says that care must be fair and easy to get (UK Government, 2010).  Also, NHS Trusts should offer more multilingual mental health resources, such as translated appointment systems, digital therapy, and interpreters who are trained in clinical language (NHS England, 202</w:t>
      </w:r>
      <w:r>
        <w:rPr>
          <w:rFonts w:ascii="Arial" w:hAnsi="Arial" w:cs="Arial"/>
          <w:color w:val="000000" w:themeColor="text1"/>
          <w:sz w:val="22"/>
          <w:szCs w:val="22"/>
        </w:rPr>
        <w:t>5</w:t>
      </w:r>
      <w:r w:rsidRPr="00EF1528">
        <w:rPr>
          <w:rFonts w:ascii="Arial" w:hAnsi="Arial" w:cs="Arial"/>
          <w:color w:val="000000" w:themeColor="text1"/>
          <w:sz w:val="22"/>
          <w:szCs w:val="22"/>
        </w:rPr>
        <w:t>).</w:t>
      </w:r>
    </w:p>
    <w:p w14:paraId="5CFB92AC" w14:textId="77777777" w:rsidR="009A30C0" w:rsidRPr="00EF1528" w:rsidRDefault="009A30C0" w:rsidP="0048554A">
      <w:pPr>
        <w:spacing w:line="360" w:lineRule="auto"/>
        <w:jc w:val="both"/>
        <w:rPr>
          <w:rFonts w:ascii="Arial" w:hAnsi="Arial" w:cs="Arial"/>
          <w:color w:val="000000" w:themeColor="text1"/>
          <w:sz w:val="22"/>
          <w:szCs w:val="22"/>
        </w:rPr>
      </w:pPr>
      <w:r w:rsidRPr="00EF1528">
        <w:rPr>
          <w:rFonts w:ascii="Arial" w:hAnsi="Arial" w:cs="Arial"/>
          <w:color w:val="000000" w:themeColor="text1"/>
          <w:sz w:val="22"/>
          <w:szCs w:val="22"/>
        </w:rPr>
        <w:t xml:space="preserve">Moreover, clinicians need to gain knowledge of how to work well with interpreters to minimise misunderstandings and wrong diagnoses </w:t>
      </w:r>
      <w:r w:rsidRPr="009710FB">
        <w:rPr>
          <w:rFonts w:ascii="Arial" w:hAnsi="Arial" w:cs="Arial"/>
          <w:color w:val="000000" w:themeColor="text1"/>
          <w:sz w:val="22"/>
          <w:szCs w:val="22"/>
        </w:rPr>
        <w:t>(Karliner et al., 2024)</w:t>
      </w:r>
      <w:r>
        <w:rPr>
          <w:rFonts w:ascii="Arial" w:hAnsi="Arial" w:cs="Arial"/>
          <w:color w:val="000000" w:themeColor="text1"/>
          <w:sz w:val="22"/>
          <w:szCs w:val="22"/>
        </w:rPr>
        <w:t>.</w:t>
      </w:r>
    </w:p>
    <w:p w14:paraId="3A36B809" w14:textId="77777777" w:rsidR="009A30C0" w:rsidRPr="00EF1528" w:rsidRDefault="009A30C0" w:rsidP="0048554A">
      <w:pPr>
        <w:spacing w:line="360" w:lineRule="auto"/>
        <w:jc w:val="both"/>
        <w:rPr>
          <w:rFonts w:ascii="Arial" w:hAnsi="Arial" w:cs="Arial"/>
          <w:color w:val="000000" w:themeColor="text1"/>
          <w:sz w:val="22"/>
          <w:szCs w:val="22"/>
        </w:rPr>
      </w:pPr>
      <w:r w:rsidRPr="00BD1A66">
        <w:rPr>
          <w:rFonts w:ascii="Arial" w:hAnsi="Arial" w:cs="Arial"/>
          <w:b/>
          <w:bCs/>
          <w:color w:val="000000" w:themeColor="text1"/>
          <w:sz w:val="28"/>
          <w:szCs w:val="28"/>
        </w:rPr>
        <w:t>Limitations and Solutions:</w:t>
      </w:r>
      <w:r w:rsidRPr="00EF1528">
        <w:rPr>
          <w:rFonts w:ascii="Arial" w:hAnsi="Arial" w:cs="Arial"/>
          <w:color w:val="000000" w:themeColor="text1"/>
          <w:sz w:val="22"/>
          <w:szCs w:val="22"/>
        </w:rPr>
        <w:t xml:space="preserve"> There aren't enough skilled mental health interpreters right now, and appointments with interpreters are hard to make because of time limits (Phillimore, 201</w:t>
      </w:r>
      <w:r>
        <w:rPr>
          <w:rFonts w:ascii="Arial" w:hAnsi="Arial" w:cs="Arial"/>
          <w:color w:val="000000" w:themeColor="text1"/>
          <w:sz w:val="22"/>
          <w:szCs w:val="22"/>
        </w:rPr>
        <w:t>5</w:t>
      </w:r>
      <w:r w:rsidRPr="00EF1528">
        <w:rPr>
          <w:rFonts w:ascii="Arial" w:hAnsi="Arial" w:cs="Arial"/>
          <w:color w:val="000000" w:themeColor="text1"/>
          <w:sz w:val="22"/>
          <w:szCs w:val="22"/>
        </w:rPr>
        <w:t xml:space="preserve">).  Commissioners should give money to mental health teams to hire interpreters and make sure that longer appointment times are always available.  People may also be hesitant to use the service because they are worried about privacy </w:t>
      </w:r>
      <w:r w:rsidRPr="00BB43B6">
        <w:rPr>
          <w:rFonts w:ascii="Arial" w:hAnsi="Arial" w:cs="Arial"/>
          <w:color w:val="000000" w:themeColor="text1"/>
          <w:sz w:val="22"/>
          <w:szCs w:val="22"/>
        </w:rPr>
        <w:t>(Tribe and Thompson,</w:t>
      </w:r>
      <w:r>
        <w:rPr>
          <w:rFonts w:ascii="Arial" w:hAnsi="Arial" w:cs="Arial"/>
          <w:color w:val="000000" w:themeColor="text1"/>
          <w:sz w:val="22"/>
          <w:szCs w:val="22"/>
        </w:rPr>
        <w:t xml:space="preserve"> </w:t>
      </w:r>
      <w:r w:rsidRPr="00EF1528">
        <w:rPr>
          <w:rFonts w:ascii="Arial" w:hAnsi="Arial" w:cs="Arial"/>
          <w:color w:val="000000" w:themeColor="text1"/>
          <w:sz w:val="22"/>
          <w:szCs w:val="22"/>
        </w:rPr>
        <w:t>20</w:t>
      </w:r>
      <w:r>
        <w:rPr>
          <w:rFonts w:ascii="Arial" w:hAnsi="Arial" w:cs="Arial"/>
          <w:color w:val="000000" w:themeColor="text1"/>
          <w:sz w:val="22"/>
          <w:szCs w:val="22"/>
        </w:rPr>
        <w:t>21</w:t>
      </w:r>
      <w:r w:rsidRPr="00EF1528">
        <w:rPr>
          <w:rFonts w:ascii="Arial" w:hAnsi="Arial" w:cs="Arial"/>
          <w:color w:val="000000" w:themeColor="text1"/>
          <w:sz w:val="22"/>
          <w:szCs w:val="22"/>
        </w:rPr>
        <w:t>).  This could be lessened by making confidentiality training better and giving service users the option to choose the gender or ethnicity of the interpreter.</w:t>
      </w:r>
    </w:p>
    <w:p w14:paraId="603F0C28" w14:textId="77777777" w:rsidR="009A30C0" w:rsidRDefault="009A30C0" w:rsidP="0048554A">
      <w:pPr>
        <w:spacing w:line="360" w:lineRule="auto"/>
        <w:jc w:val="both"/>
        <w:rPr>
          <w:rFonts w:ascii="Arial" w:hAnsi="Arial" w:cs="Arial"/>
          <w:b/>
          <w:bCs/>
          <w:sz w:val="28"/>
          <w:szCs w:val="28"/>
        </w:rPr>
      </w:pPr>
      <w:r w:rsidRPr="00B52809">
        <w:rPr>
          <w:rFonts w:ascii="Arial" w:hAnsi="Arial" w:cs="Arial"/>
          <w:b/>
          <w:bCs/>
          <w:color w:val="000000" w:themeColor="text1"/>
          <w:sz w:val="28"/>
          <w:szCs w:val="28"/>
        </w:rPr>
        <w:t>Recommendation 3</w:t>
      </w:r>
      <w:r w:rsidRPr="00B52809">
        <w:rPr>
          <w:rFonts w:ascii="Arial" w:hAnsi="Arial" w:cs="Arial"/>
          <w:b/>
          <w:bCs/>
          <w:sz w:val="28"/>
          <w:szCs w:val="28"/>
        </w:rPr>
        <w:t>: Mandatory Cultural Competency Training and Improved Workforce Representation</w:t>
      </w:r>
    </w:p>
    <w:p w14:paraId="6DC24108" w14:textId="77777777" w:rsidR="009A30C0" w:rsidRPr="00283E8C" w:rsidRDefault="009A30C0" w:rsidP="0048554A">
      <w:pPr>
        <w:spacing w:line="360" w:lineRule="auto"/>
        <w:jc w:val="both"/>
        <w:rPr>
          <w:rFonts w:ascii="Arial" w:hAnsi="Arial" w:cs="Arial"/>
          <w:sz w:val="22"/>
          <w:szCs w:val="22"/>
        </w:rPr>
      </w:pPr>
      <w:r w:rsidRPr="00573EDA">
        <w:rPr>
          <w:rFonts w:ascii="Arial" w:hAnsi="Arial" w:cs="Arial"/>
          <w:sz w:val="22"/>
          <w:szCs w:val="22"/>
        </w:rPr>
        <w:t xml:space="preserve">This recommendation responds to the theme </w:t>
      </w:r>
      <w:r>
        <w:rPr>
          <w:rFonts w:ascii="Arial" w:hAnsi="Arial" w:cs="Arial"/>
          <w:sz w:val="22"/>
          <w:szCs w:val="22"/>
        </w:rPr>
        <w:t xml:space="preserve">cultural competency, in chapter 4. </w:t>
      </w:r>
      <w:r w:rsidRPr="00283E8C">
        <w:rPr>
          <w:rFonts w:ascii="Arial" w:hAnsi="Arial" w:cs="Arial"/>
          <w:sz w:val="22"/>
          <w:szCs w:val="22"/>
        </w:rPr>
        <w:t>Mental health workers must complete mandated training in cultural competency and anti-racism to establish trust and provide culturally appropriate care (Nazroo et al., 2020).  The augmentation of ethnic minority personnel in high clinical and leadership positions can foster more culturally secure settings and mitigate discriminatory experiences, as advocated by the NHS Workforce Race Equality Standard (WRES) (NHS England, 2023).</w:t>
      </w:r>
    </w:p>
    <w:p w14:paraId="5045BC54" w14:textId="77777777" w:rsidR="009A30C0" w:rsidRPr="00283E8C" w:rsidRDefault="009A30C0" w:rsidP="0048554A">
      <w:pPr>
        <w:spacing w:line="360" w:lineRule="auto"/>
        <w:jc w:val="both"/>
        <w:rPr>
          <w:rFonts w:ascii="Arial" w:hAnsi="Arial" w:cs="Arial"/>
          <w:sz w:val="22"/>
          <w:szCs w:val="22"/>
        </w:rPr>
      </w:pPr>
      <w:r w:rsidRPr="00283E8C">
        <w:rPr>
          <w:rFonts w:ascii="Arial" w:hAnsi="Arial" w:cs="Arial"/>
          <w:sz w:val="22"/>
          <w:szCs w:val="22"/>
        </w:rPr>
        <w:t>Training must emphasise intersectionality, trauma associated with migration, cultural explanatory frameworks for mental illness, and the mitigation of diagnostic bias</w:t>
      </w:r>
      <w:r>
        <w:rPr>
          <w:rFonts w:ascii="Arial" w:hAnsi="Arial" w:cs="Arial"/>
          <w:sz w:val="22"/>
          <w:szCs w:val="22"/>
        </w:rPr>
        <w:t xml:space="preserve"> </w:t>
      </w:r>
      <w:r w:rsidRPr="00D2738C">
        <w:rPr>
          <w:rFonts w:ascii="Arial" w:hAnsi="Arial" w:cs="Arial"/>
          <w:sz w:val="22"/>
          <w:szCs w:val="22"/>
        </w:rPr>
        <w:t>(Bhui, 2016)</w:t>
      </w:r>
      <w:r>
        <w:rPr>
          <w:rFonts w:ascii="Arial" w:hAnsi="Arial" w:cs="Arial"/>
          <w:sz w:val="22"/>
          <w:szCs w:val="22"/>
        </w:rPr>
        <w:t>.</w:t>
      </w:r>
      <w:r w:rsidRPr="00283E8C">
        <w:rPr>
          <w:rFonts w:ascii="Arial" w:hAnsi="Arial" w:cs="Arial"/>
          <w:sz w:val="22"/>
          <w:szCs w:val="22"/>
        </w:rPr>
        <w:t xml:space="preserve"> Moreover, supervision and reflective practice must integrate cultural awareness into routine care provision.</w:t>
      </w:r>
    </w:p>
    <w:p w14:paraId="1E56B610" w14:textId="77777777" w:rsidR="009A30C0" w:rsidRPr="00B52809" w:rsidRDefault="009A30C0" w:rsidP="0048554A">
      <w:pPr>
        <w:spacing w:line="360" w:lineRule="auto"/>
        <w:jc w:val="both"/>
        <w:rPr>
          <w:rFonts w:ascii="Arial" w:hAnsi="Arial" w:cs="Arial"/>
          <w:sz w:val="22"/>
          <w:szCs w:val="22"/>
        </w:rPr>
      </w:pPr>
      <w:r w:rsidRPr="00A2037E">
        <w:rPr>
          <w:rFonts w:ascii="Arial" w:hAnsi="Arial" w:cs="Arial"/>
          <w:b/>
          <w:bCs/>
          <w:sz w:val="28"/>
          <w:szCs w:val="28"/>
        </w:rPr>
        <w:t>Limitations and Solutions:</w:t>
      </w:r>
      <w:r w:rsidRPr="00A2037E">
        <w:rPr>
          <w:rFonts w:ascii="Arial" w:hAnsi="Arial" w:cs="Arial"/>
          <w:sz w:val="22"/>
          <w:szCs w:val="22"/>
        </w:rPr>
        <w:t xml:space="preserve"> </w:t>
      </w:r>
      <w:r w:rsidRPr="00283E8C">
        <w:rPr>
          <w:rFonts w:ascii="Arial" w:hAnsi="Arial" w:cs="Arial"/>
          <w:sz w:val="22"/>
          <w:szCs w:val="22"/>
        </w:rPr>
        <w:t>A problem is that training may inadequately alter practitioner behaviour if implemented superficially</w:t>
      </w:r>
      <w:r>
        <w:rPr>
          <w:rFonts w:ascii="Arial" w:hAnsi="Arial" w:cs="Arial"/>
          <w:sz w:val="22"/>
          <w:szCs w:val="22"/>
        </w:rPr>
        <w:t xml:space="preserve"> </w:t>
      </w:r>
      <w:r w:rsidRPr="00102F21">
        <w:rPr>
          <w:rFonts w:ascii="Arial" w:hAnsi="Arial" w:cs="Arial"/>
          <w:sz w:val="22"/>
          <w:szCs w:val="22"/>
        </w:rPr>
        <w:t>(Jongen, McCalman and Bainbridge, 2018)</w:t>
      </w:r>
      <w:r w:rsidRPr="00283E8C">
        <w:rPr>
          <w:rFonts w:ascii="Arial" w:hAnsi="Arial" w:cs="Arial"/>
          <w:sz w:val="22"/>
          <w:szCs w:val="22"/>
        </w:rPr>
        <w:t>.  To address this, continuous competency evaluations and monitoring via WRES data should be instituted.  Labour shortages also impede advancement (Mind, 202</w:t>
      </w:r>
      <w:r>
        <w:rPr>
          <w:rFonts w:ascii="Arial" w:hAnsi="Arial" w:cs="Arial"/>
          <w:sz w:val="22"/>
          <w:szCs w:val="22"/>
        </w:rPr>
        <w:t>2</w:t>
      </w:r>
      <w:r w:rsidRPr="00283E8C">
        <w:rPr>
          <w:rFonts w:ascii="Arial" w:hAnsi="Arial" w:cs="Arial"/>
          <w:sz w:val="22"/>
          <w:szCs w:val="22"/>
        </w:rPr>
        <w:t>).  Enhancing recruitment incentives and career advancement possibilities for minority professionals may augment representation and ensure long-term viability.</w:t>
      </w:r>
    </w:p>
    <w:p w14:paraId="7F934B97" w14:textId="77777777" w:rsidR="009A30C0" w:rsidRPr="007E783F" w:rsidRDefault="009A30C0" w:rsidP="0048554A">
      <w:pPr>
        <w:spacing w:line="360" w:lineRule="auto"/>
        <w:jc w:val="both"/>
        <w:rPr>
          <w:rFonts w:ascii="Arial" w:hAnsi="Arial" w:cs="Arial"/>
          <w:sz w:val="22"/>
          <w:szCs w:val="22"/>
        </w:rPr>
      </w:pPr>
      <w:r w:rsidRPr="007E783F">
        <w:rPr>
          <w:rFonts w:ascii="Arial" w:hAnsi="Arial" w:cs="Arial"/>
          <w:sz w:val="22"/>
          <w:szCs w:val="22"/>
        </w:rPr>
        <w:lastRenderedPageBreak/>
        <w:t>alleviated by co-production, strategic commissioning, and policy-driven accountability initiatives.  Enhancing community links, communication assistance, and cultural competence will substantially improve access, engagement, and mental health outcomes for ethnic minority people throughout the UK.</w:t>
      </w:r>
    </w:p>
    <w:p w14:paraId="675E457F" w14:textId="77777777" w:rsidR="009A30C0" w:rsidRDefault="009A30C0" w:rsidP="0048554A">
      <w:pPr>
        <w:spacing w:line="360" w:lineRule="auto"/>
        <w:jc w:val="both"/>
        <w:rPr>
          <w:rFonts w:ascii="Arial" w:hAnsi="Arial" w:cs="Arial"/>
          <w:b/>
          <w:bCs/>
          <w:sz w:val="22"/>
          <w:szCs w:val="22"/>
        </w:rPr>
      </w:pPr>
    </w:p>
    <w:p w14:paraId="7249C2A4" w14:textId="77777777" w:rsidR="009A30C0" w:rsidRDefault="009A30C0" w:rsidP="0048554A">
      <w:pPr>
        <w:spacing w:line="360" w:lineRule="auto"/>
        <w:jc w:val="both"/>
        <w:rPr>
          <w:rFonts w:ascii="Arial" w:hAnsi="Arial" w:cs="Arial"/>
          <w:b/>
          <w:bCs/>
          <w:sz w:val="22"/>
          <w:szCs w:val="22"/>
        </w:rPr>
      </w:pPr>
    </w:p>
    <w:p w14:paraId="756B3594" w14:textId="77777777" w:rsidR="009A30C0" w:rsidRDefault="009A30C0" w:rsidP="0048554A">
      <w:pPr>
        <w:spacing w:line="360" w:lineRule="auto"/>
        <w:jc w:val="both"/>
        <w:rPr>
          <w:rFonts w:ascii="Arial" w:hAnsi="Arial" w:cs="Arial"/>
          <w:b/>
          <w:bCs/>
          <w:sz w:val="22"/>
          <w:szCs w:val="22"/>
        </w:rPr>
      </w:pPr>
    </w:p>
    <w:p w14:paraId="11179BE0" w14:textId="77777777" w:rsidR="009A30C0" w:rsidRDefault="009A30C0" w:rsidP="0048554A">
      <w:pPr>
        <w:spacing w:line="360" w:lineRule="auto"/>
        <w:jc w:val="both"/>
        <w:rPr>
          <w:rFonts w:ascii="Arial" w:hAnsi="Arial" w:cs="Arial"/>
          <w:b/>
          <w:bCs/>
          <w:sz w:val="22"/>
          <w:szCs w:val="22"/>
        </w:rPr>
      </w:pPr>
    </w:p>
    <w:p w14:paraId="5AA0DA9C" w14:textId="77777777" w:rsidR="009A30C0" w:rsidRDefault="009A30C0" w:rsidP="0048554A">
      <w:pPr>
        <w:spacing w:line="360" w:lineRule="auto"/>
        <w:jc w:val="both"/>
        <w:rPr>
          <w:rFonts w:ascii="Arial" w:hAnsi="Arial" w:cs="Arial"/>
          <w:b/>
          <w:bCs/>
          <w:sz w:val="22"/>
          <w:szCs w:val="22"/>
        </w:rPr>
      </w:pPr>
    </w:p>
    <w:p w14:paraId="6B475F8A" w14:textId="77777777" w:rsidR="009A30C0" w:rsidRDefault="009A30C0" w:rsidP="0048554A">
      <w:pPr>
        <w:spacing w:line="360" w:lineRule="auto"/>
        <w:jc w:val="both"/>
        <w:rPr>
          <w:rFonts w:ascii="Arial" w:hAnsi="Arial" w:cs="Arial"/>
          <w:b/>
          <w:bCs/>
          <w:sz w:val="22"/>
          <w:szCs w:val="22"/>
        </w:rPr>
      </w:pPr>
    </w:p>
    <w:p w14:paraId="3F994D21" w14:textId="77777777" w:rsidR="009A30C0" w:rsidRDefault="009A30C0" w:rsidP="0048554A">
      <w:pPr>
        <w:spacing w:line="360" w:lineRule="auto"/>
        <w:jc w:val="both"/>
        <w:rPr>
          <w:rFonts w:ascii="Arial" w:hAnsi="Arial" w:cs="Arial"/>
          <w:b/>
          <w:bCs/>
          <w:sz w:val="22"/>
          <w:szCs w:val="22"/>
        </w:rPr>
      </w:pPr>
    </w:p>
    <w:p w14:paraId="25B0E28B" w14:textId="77777777" w:rsidR="009A30C0" w:rsidRDefault="009A30C0" w:rsidP="0048554A">
      <w:pPr>
        <w:spacing w:line="360" w:lineRule="auto"/>
        <w:jc w:val="both"/>
        <w:rPr>
          <w:rFonts w:ascii="Arial" w:hAnsi="Arial" w:cs="Arial"/>
          <w:b/>
          <w:bCs/>
          <w:sz w:val="22"/>
          <w:szCs w:val="22"/>
        </w:rPr>
      </w:pPr>
    </w:p>
    <w:p w14:paraId="3E6D5063" w14:textId="77777777" w:rsidR="009A30C0" w:rsidRDefault="009A30C0" w:rsidP="0048554A">
      <w:pPr>
        <w:spacing w:line="360" w:lineRule="auto"/>
        <w:jc w:val="both"/>
        <w:rPr>
          <w:rFonts w:ascii="Arial" w:hAnsi="Arial" w:cs="Arial"/>
          <w:b/>
          <w:bCs/>
          <w:sz w:val="22"/>
          <w:szCs w:val="22"/>
        </w:rPr>
      </w:pPr>
    </w:p>
    <w:p w14:paraId="769CA493" w14:textId="77777777" w:rsidR="009A30C0" w:rsidRDefault="009A30C0" w:rsidP="0048554A">
      <w:pPr>
        <w:spacing w:line="360" w:lineRule="auto"/>
        <w:jc w:val="both"/>
        <w:rPr>
          <w:rFonts w:ascii="Arial" w:hAnsi="Arial" w:cs="Arial"/>
          <w:b/>
          <w:bCs/>
          <w:sz w:val="22"/>
          <w:szCs w:val="22"/>
        </w:rPr>
      </w:pPr>
    </w:p>
    <w:p w14:paraId="4CEFA6DC" w14:textId="77777777" w:rsidR="009A30C0" w:rsidRDefault="009A30C0" w:rsidP="0048554A">
      <w:pPr>
        <w:spacing w:line="360" w:lineRule="auto"/>
        <w:jc w:val="both"/>
        <w:rPr>
          <w:rFonts w:ascii="Arial" w:hAnsi="Arial" w:cs="Arial"/>
          <w:b/>
          <w:bCs/>
          <w:sz w:val="22"/>
          <w:szCs w:val="22"/>
        </w:rPr>
      </w:pPr>
    </w:p>
    <w:p w14:paraId="7A832B5E" w14:textId="77777777" w:rsidR="009A30C0" w:rsidRDefault="009A30C0" w:rsidP="0048554A">
      <w:pPr>
        <w:spacing w:line="360" w:lineRule="auto"/>
        <w:jc w:val="both"/>
        <w:rPr>
          <w:rFonts w:ascii="Arial" w:hAnsi="Arial" w:cs="Arial"/>
          <w:b/>
          <w:bCs/>
          <w:sz w:val="22"/>
          <w:szCs w:val="22"/>
        </w:rPr>
      </w:pPr>
    </w:p>
    <w:p w14:paraId="13CEE804" w14:textId="77777777" w:rsidR="009A30C0" w:rsidRDefault="009A30C0" w:rsidP="0048554A">
      <w:pPr>
        <w:spacing w:line="360" w:lineRule="auto"/>
        <w:jc w:val="both"/>
        <w:rPr>
          <w:rFonts w:ascii="Arial" w:hAnsi="Arial" w:cs="Arial"/>
          <w:b/>
          <w:bCs/>
          <w:sz w:val="22"/>
          <w:szCs w:val="22"/>
        </w:rPr>
      </w:pPr>
    </w:p>
    <w:p w14:paraId="525EF9B9" w14:textId="77777777" w:rsidR="009A30C0" w:rsidRDefault="009A30C0" w:rsidP="0048554A">
      <w:pPr>
        <w:spacing w:line="360" w:lineRule="auto"/>
        <w:jc w:val="both"/>
        <w:rPr>
          <w:rFonts w:ascii="Arial" w:hAnsi="Arial" w:cs="Arial"/>
          <w:b/>
          <w:bCs/>
          <w:sz w:val="22"/>
          <w:szCs w:val="22"/>
        </w:rPr>
      </w:pPr>
    </w:p>
    <w:p w14:paraId="210444B4" w14:textId="77777777" w:rsidR="009A30C0" w:rsidRDefault="009A30C0" w:rsidP="0048554A">
      <w:pPr>
        <w:spacing w:line="360" w:lineRule="auto"/>
        <w:jc w:val="both"/>
        <w:rPr>
          <w:rFonts w:ascii="Arial" w:hAnsi="Arial" w:cs="Arial"/>
          <w:b/>
          <w:bCs/>
          <w:sz w:val="22"/>
          <w:szCs w:val="22"/>
        </w:rPr>
      </w:pPr>
    </w:p>
    <w:p w14:paraId="2CDD7D1A" w14:textId="77777777" w:rsidR="009A30C0" w:rsidRDefault="009A30C0" w:rsidP="0048554A">
      <w:pPr>
        <w:spacing w:line="360" w:lineRule="auto"/>
        <w:jc w:val="both"/>
        <w:rPr>
          <w:rFonts w:ascii="Arial" w:hAnsi="Arial" w:cs="Arial"/>
          <w:b/>
          <w:bCs/>
          <w:sz w:val="22"/>
          <w:szCs w:val="22"/>
        </w:rPr>
      </w:pPr>
    </w:p>
    <w:p w14:paraId="6EF3A779" w14:textId="77777777" w:rsidR="009A30C0" w:rsidRDefault="009A30C0" w:rsidP="0048554A">
      <w:pPr>
        <w:spacing w:line="360" w:lineRule="auto"/>
        <w:jc w:val="both"/>
        <w:rPr>
          <w:rFonts w:ascii="Arial" w:hAnsi="Arial" w:cs="Arial"/>
          <w:b/>
          <w:bCs/>
          <w:sz w:val="22"/>
          <w:szCs w:val="22"/>
        </w:rPr>
      </w:pPr>
    </w:p>
    <w:p w14:paraId="2B7DA16F" w14:textId="77777777" w:rsidR="009A30C0" w:rsidRDefault="009A30C0" w:rsidP="0048554A">
      <w:pPr>
        <w:spacing w:line="360" w:lineRule="auto"/>
        <w:jc w:val="both"/>
        <w:rPr>
          <w:rFonts w:ascii="Arial" w:hAnsi="Arial" w:cs="Arial"/>
          <w:b/>
          <w:bCs/>
          <w:sz w:val="22"/>
          <w:szCs w:val="22"/>
        </w:rPr>
      </w:pPr>
    </w:p>
    <w:p w14:paraId="5A162D67" w14:textId="77777777" w:rsidR="009A30C0" w:rsidRDefault="009A30C0" w:rsidP="0048554A">
      <w:pPr>
        <w:spacing w:line="360" w:lineRule="auto"/>
        <w:jc w:val="both"/>
        <w:rPr>
          <w:rFonts w:ascii="Arial" w:hAnsi="Arial" w:cs="Arial"/>
          <w:b/>
          <w:bCs/>
          <w:sz w:val="22"/>
          <w:szCs w:val="22"/>
        </w:rPr>
      </w:pPr>
    </w:p>
    <w:p w14:paraId="5625E084" w14:textId="77777777" w:rsidR="009A30C0" w:rsidRDefault="009A30C0" w:rsidP="0048554A">
      <w:pPr>
        <w:spacing w:line="360" w:lineRule="auto"/>
        <w:jc w:val="both"/>
        <w:rPr>
          <w:rFonts w:ascii="Arial" w:hAnsi="Arial" w:cs="Arial"/>
          <w:b/>
          <w:bCs/>
          <w:sz w:val="22"/>
          <w:szCs w:val="22"/>
        </w:rPr>
      </w:pPr>
    </w:p>
    <w:p w14:paraId="0A729E9E" w14:textId="77777777" w:rsidR="009A30C0" w:rsidRDefault="009A30C0" w:rsidP="0048554A">
      <w:pPr>
        <w:spacing w:line="360" w:lineRule="auto"/>
        <w:jc w:val="both"/>
        <w:rPr>
          <w:rFonts w:ascii="Arial" w:hAnsi="Arial" w:cs="Arial"/>
          <w:b/>
          <w:bCs/>
          <w:sz w:val="22"/>
          <w:szCs w:val="22"/>
        </w:rPr>
      </w:pPr>
    </w:p>
    <w:p w14:paraId="11AB382A" w14:textId="77777777" w:rsidR="009A30C0" w:rsidRDefault="009A30C0" w:rsidP="0048554A">
      <w:pPr>
        <w:spacing w:line="360" w:lineRule="auto"/>
        <w:jc w:val="both"/>
        <w:rPr>
          <w:rFonts w:ascii="Arial" w:hAnsi="Arial" w:cs="Arial"/>
          <w:b/>
          <w:bCs/>
          <w:sz w:val="22"/>
          <w:szCs w:val="22"/>
        </w:rPr>
      </w:pPr>
    </w:p>
    <w:p w14:paraId="6BA9DE45" w14:textId="77777777" w:rsidR="00531216" w:rsidRDefault="00531216" w:rsidP="0048554A">
      <w:pPr>
        <w:spacing w:line="360" w:lineRule="auto"/>
        <w:jc w:val="both"/>
        <w:rPr>
          <w:rFonts w:ascii="Arial" w:hAnsi="Arial" w:cs="Arial"/>
          <w:b/>
          <w:bCs/>
          <w:sz w:val="32"/>
          <w:szCs w:val="32"/>
        </w:rPr>
      </w:pPr>
      <w:r>
        <w:rPr>
          <w:rFonts w:ascii="Arial" w:hAnsi="Arial" w:cs="Arial"/>
          <w:b/>
          <w:bCs/>
          <w:sz w:val="32"/>
          <w:szCs w:val="32"/>
        </w:rPr>
        <w:lastRenderedPageBreak/>
        <w:t>“Barrier to receiving mental health services among ethnic minority group in UK” “A Systematic Literature review”</w:t>
      </w:r>
    </w:p>
    <w:p w14:paraId="3195F63E" w14:textId="1C9DC561" w:rsidR="00531216" w:rsidRPr="00531216" w:rsidRDefault="00531216" w:rsidP="0048554A">
      <w:pPr>
        <w:spacing w:line="360" w:lineRule="auto"/>
        <w:jc w:val="both"/>
        <w:rPr>
          <w:rFonts w:ascii="Arial" w:hAnsi="Arial" w:cs="Arial"/>
          <w:b/>
          <w:bCs/>
          <w:sz w:val="32"/>
          <w:szCs w:val="32"/>
        </w:rPr>
      </w:pPr>
      <w:r w:rsidRPr="00531216">
        <w:rPr>
          <w:rFonts w:ascii="Arial" w:hAnsi="Arial" w:cs="Arial"/>
          <w:b/>
          <w:bCs/>
          <w:sz w:val="28"/>
          <w:szCs w:val="28"/>
        </w:rPr>
        <w:t>Chapter 6</w:t>
      </w:r>
    </w:p>
    <w:p w14:paraId="0EB591EF" w14:textId="111537E1" w:rsidR="00A937BB" w:rsidRPr="00531216" w:rsidRDefault="00531216" w:rsidP="0048554A">
      <w:pPr>
        <w:spacing w:line="360" w:lineRule="auto"/>
        <w:jc w:val="both"/>
        <w:rPr>
          <w:rFonts w:ascii="Arial" w:hAnsi="Arial" w:cs="Arial"/>
          <w:b/>
          <w:bCs/>
          <w:sz w:val="28"/>
          <w:szCs w:val="28"/>
        </w:rPr>
      </w:pPr>
      <w:r>
        <w:rPr>
          <w:rFonts w:ascii="Arial" w:hAnsi="Arial" w:cs="Arial"/>
          <w:b/>
          <w:bCs/>
          <w:sz w:val="28"/>
          <w:szCs w:val="28"/>
        </w:rPr>
        <w:t xml:space="preserve">6.1 </w:t>
      </w:r>
      <w:r w:rsidR="00A937BB" w:rsidRPr="00531216">
        <w:rPr>
          <w:rFonts w:ascii="Arial" w:hAnsi="Arial" w:cs="Arial"/>
          <w:b/>
          <w:bCs/>
          <w:sz w:val="28"/>
          <w:szCs w:val="28"/>
        </w:rPr>
        <w:t xml:space="preserve">References </w:t>
      </w:r>
    </w:p>
    <w:p w14:paraId="17371CC2"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‘Doing a Literature Review in Nursing, Health and Social Care (Second edition) Coughlan Michael and Cronin Patricia Doing a Literature Review in Nursing, Health and Social Care (Second edition) 184pp £19.99 Sage Publishing 9781412962049 1412962048 Formula: see text’ (2017) Nurse researcher, 24(4), p. 8. Available at: https://doi.org/10.7748/nr.24.4.8.s3. (Accessed 30 October 2025).</w:t>
      </w:r>
    </w:p>
    <w:p w14:paraId="385708CE"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Adamson, J., Warfa, N. and Bhui, K. (2011) 'A case study of organisational cultural competence in mental healthcare,' BMC Health Services Research, 11(1), p. 218. https://doi.org/10.1186/1472-6963-11-218. (Accessed 18 November 2025).</w:t>
      </w:r>
    </w:p>
    <w:p w14:paraId="7DF9A7DD"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Adamson, J., Warfa, N. and Bhui, K. (2011) 'A case study of organisational cultural competence in mental healthcare,' BMC Health Services Research, 11(1), p. 218. https://doi.org/10.1186/1472-6963-11-218. (Accessed 19 November 2025).</w:t>
      </w:r>
    </w:p>
    <w:p w14:paraId="6DA9D21A"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Alam, S., O’Halloran, S. and Fowke, A. (2024) 'What are the barriers to mental health support for racially-minoritised people within the UK? A systematic review and thematic synthesis,' The Cognitive Behaviour Therapist, 17. https://doi.org/10.1017/s1754470x24000084. (Accessed 19 September 2025).</w:t>
      </w:r>
    </w:p>
    <w:p w14:paraId="26EE235C"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Ali, P.A. and Watson, R. (2017) 'Language barriers and their impact on provision of care to patients with limited English proficiency: Nurses’ perspectives,' Journal of Clinical Nursing, 27(5–6), pp. e1152–e1160. https://doi.org/10.1111/jocn.14204. (Accessed 18 November 2025).</w:t>
      </w:r>
    </w:p>
    <w:p w14:paraId="18CF5A43"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Aveyard, H. (2019) Doing a literature review in health and social care: a practical guide. Fourth edition. London: Open University Press, McGraw-Hill Education.</w:t>
      </w:r>
    </w:p>
    <w:p w14:paraId="65C68E02" w14:textId="77777777" w:rsidR="004A54ED" w:rsidRPr="009A30C0" w:rsidRDefault="004A54ED" w:rsidP="0048554A">
      <w:pPr>
        <w:spacing w:line="360" w:lineRule="auto"/>
        <w:jc w:val="both"/>
        <w:rPr>
          <w:rFonts w:ascii="Arial" w:eastAsia="Aptos" w:hAnsi="Arial" w:cs="Arial"/>
          <w:color w:val="000000" w:themeColor="text1"/>
          <w:sz w:val="22"/>
          <w:szCs w:val="22"/>
        </w:rPr>
      </w:pPr>
      <w:proofErr w:type="spellStart"/>
      <w:r w:rsidRPr="00D4002A">
        <w:rPr>
          <w:rFonts w:ascii="Arial" w:eastAsia="Aptos" w:hAnsi="Arial" w:cs="Arial"/>
          <w:color w:val="000000" w:themeColor="text1"/>
          <w:sz w:val="22"/>
          <w:szCs w:val="22"/>
        </w:rPr>
        <w:t>Bamrah</w:t>
      </w:r>
      <w:proofErr w:type="spellEnd"/>
      <w:r w:rsidRPr="00D4002A">
        <w:rPr>
          <w:rFonts w:ascii="Arial" w:eastAsia="Aptos" w:hAnsi="Arial" w:cs="Arial"/>
          <w:color w:val="000000" w:themeColor="text1"/>
          <w:sz w:val="22"/>
          <w:szCs w:val="22"/>
        </w:rPr>
        <w:t xml:space="preserve">, J.S. et al. </w:t>
      </w:r>
      <w:r w:rsidRPr="009A30C0">
        <w:rPr>
          <w:rFonts w:ascii="Arial" w:eastAsia="Aptos" w:hAnsi="Arial" w:cs="Arial"/>
          <w:color w:val="000000" w:themeColor="text1"/>
          <w:sz w:val="22"/>
          <w:szCs w:val="22"/>
        </w:rPr>
        <w:t>(2025) 'NHS must tackle racism and sexism for the benefit of patients, staff, and society,' BMJ, 390, p. r1334. https://doi.org/10.1136/bmj.r1334. (Accessed 19 November 2025).</w:t>
      </w:r>
    </w:p>
    <w:p w14:paraId="0D42E27C"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Bansal, N. et al. (2022) ‘Understanding Ethnic Inequalities in Mental Healthcare in the UK: a meta-ethnography’, PLOS Medicine, 19(12), pp. 1–36. Available at: https://doi.org/10.1371/journal.pmed.1004139. (Accessed 16 November 2025).</w:t>
      </w:r>
    </w:p>
    <w:p w14:paraId="59F756E8"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lastRenderedPageBreak/>
        <w:t>Bansal, N. et al. (2022) 'Understanding ethnic inequalities in mental healthcare in the UK: A meta-ethnography,' PLoS Medicine, 19(12), p. e1004139. https://doi.org/10.1371/journal.pmed.1004139. (Accessed 19 September 2025).</w:t>
      </w:r>
    </w:p>
    <w:p w14:paraId="00CDF467"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Bauer, A.M., Chen, C.-N. and Alegría, M. (2010) 'English language proficiency and mental health service use among Latino and Asian Americans with mental disorders,' Medical Care, 48(12), pp. 1097–1104. https://doi.org/10.1097/mlr.0b013e3181f80749. (Accessed 18 November 2025).</w:t>
      </w:r>
    </w:p>
    <w:p w14:paraId="7825B907"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Bhatia, R. and Wallace, P. (2007) 'Experiences of refugees and asylum seekers in general practice: a qualitative study,' BMC Family Practice, 8(1), p. 48. https://doi.org/10.1186/1471-2296-8-48. Accessed 17 November 2025).</w:t>
      </w:r>
    </w:p>
    <w:p w14:paraId="5A3848CA"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Bhui K et al. (2007) ‘Cultural competence in mental health care: A review of model evaluations’, BMC Health Services Research, 7. Available at: https://www.psych.ox.ac.uk/publications/1177718 (Accessed: 25 November 2025).</w:t>
      </w:r>
    </w:p>
    <w:p w14:paraId="3C4D4D84"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Bhui, K. (2016) ‘Discrimination, poor mental health, and mental illness’, International Review of Psychiatry, 28(4), pp. 411–414. Available at: https://doi.org/10.1080/09540261.2016.1210578. (Accessed 21 November 2025).</w:t>
      </w:r>
    </w:p>
    <w:p w14:paraId="7CA39C8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Bhui, K. et al. (2007) 'Cultural competence in mental health care: a review of model evaluations,' BMC Health Services Research, 7(1), p. 15. https://doi.org/10.1186/1472-6963-7-15.  (Accessed 18 November 2025).</w:t>
      </w:r>
    </w:p>
    <w:p w14:paraId="2BB84C72"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Bhui, K. et al. (2015) ‘Interventions designed to improve therapeutic communications between black and minority ethnic people and professionals working in psychiatric services: a systematic review of the evidence for their effectiveness’, Health Technology Assessment, 19(31), pp. 1–174. Available at: https://doi.org/10.3310/hta19310. (Accessed 19 November 2025).</w:t>
      </w:r>
    </w:p>
    <w:p w14:paraId="585978D2"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Bhui, K., Ascoli, M. and Nuamh, O. (2012) ‘The place of race and racism in cultural competence: What can we learn from the English experience about the narratives of evidence and argument?’, Transcultural Psychiatry, 49(2), pp. 185–205. Available at: https://doi.org/10.1177/1363461512437589. (Accessed: 15 October 2025).</w:t>
      </w:r>
    </w:p>
    <w:p w14:paraId="7B7CEE1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Bhui, K., Ascoli, M. and Nuamh, O. (2012) ‘The place of race and racism in cultural competence: What can we learn from the English experience about the narratives of evidence and argument?’, Transcultural Psychiatry, 49(2), pp. 185–205. Available at: https://doi.org/10.1177/1363461512437589. (Accessed 17 November 2025).</w:t>
      </w:r>
    </w:p>
    <w:p w14:paraId="02C71ECF"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Bhui, K., Ascoli, M. and Nuamh, O. (2012) 'The place of race and racism in cultural competence: What can we learn from the English experience about the narratives of evidence and argument?' Transcultural Psychiatry, 49(2), pp. 185–205. https://doi.org/10.1177/1363461512437589. (Accessed 17 November 2025).</w:t>
      </w:r>
    </w:p>
    <w:p w14:paraId="2BF5AA11"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Bhui, K., Halvorsrud, K. and Nazroo, J. (2018) ‘Making a difference: ethnic inequality and severe mental illness’, The British Journal of Psychiatry, 213(4), pp. 574–578. Available at: https://doi.org/10.1192/bjp.2018.148. (Accessed: 25 November 2025).</w:t>
      </w:r>
    </w:p>
    <w:p w14:paraId="0A8A10DE" w14:textId="77777777" w:rsidR="004A54ED" w:rsidRPr="00A961A0" w:rsidRDefault="004A54ED" w:rsidP="0048554A">
      <w:pPr>
        <w:spacing w:line="360" w:lineRule="auto"/>
        <w:jc w:val="both"/>
        <w:rPr>
          <w:rFonts w:ascii="Arial" w:eastAsia="Aptos" w:hAnsi="Arial" w:cs="Arial"/>
          <w:color w:val="000000" w:themeColor="text1"/>
          <w:sz w:val="22"/>
          <w:szCs w:val="22"/>
        </w:rPr>
      </w:pPr>
      <w:proofErr w:type="spellStart"/>
      <w:r w:rsidRPr="00D4002A">
        <w:rPr>
          <w:rFonts w:ascii="Arial" w:eastAsia="Aptos" w:hAnsi="Arial" w:cs="Arial"/>
          <w:color w:val="000000" w:themeColor="text1"/>
          <w:sz w:val="22"/>
          <w:szCs w:val="22"/>
        </w:rPr>
        <w:t>Bhui</w:t>
      </w:r>
      <w:proofErr w:type="spellEnd"/>
      <w:r w:rsidRPr="00D4002A">
        <w:rPr>
          <w:rFonts w:ascii="Arial" w:eastAsia="Aptos" w:hAnsi="Arial" w:cs="Arial"/>
          <w:color w:val="000000" w:themeColor="text1"/>
          <w:sz w:val="22"/>
          <w:szCs w:val="22"/>
        </w:rPr>
        <w:t xml:space="preserve">, K.S. et al. </w:t>
      </w:r>
      <w:r w:rsidRPr="00A961A0">
        <w:rPr>
          <w:rFonts w:ascii="Arial" w:eastAsia="Aptos" w:hAnsi="Arial" w:cs="Arial"/>
          <w:color w:val="000000" w:themeColor="text1"/>
          <w:sz w:val="22"/>
          <w:szCs w:val="22"/>
        </w:rPr>
        <w:t>(2015) 'Interventions to improve therapeutic communications between Black and minority ethnic patients and professionals in psychiatric services: Systematic review,' The British Journal of Psychiatry, 207(2), pp. 95–103. https://doi.org/10.1192/bjp.bp.114.158899. (Accessed: 15 October 2025).</w:t>
      </w:r>
    </w:p>
    <w:p w14:paraId="6DB5D216" w14:textId="77777777" w:rsidR="004A54ED"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Bignall, T. et al. (2019) Racial disparities in mental health: Literature and evidence review, p. 1. https://raceequalityfoundation.org.uk/wp-content/uploads/2022/10/mental-health-report-v5-2-2.pdf. (Accessed: 25 November 2025).</w:t>
      </w:r>
    </w:p>
    <w:p w14:paraId="73499418"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Bignall, T. et al. (2019) Racial disparities in mental health: Literature and evidence review, p. 1. https://raceequalityfoundation.org.uk/wp-content/uploads/2022/10/mental-health-report-v5-2-2.pdf. (Accessed: 19 September 2025).</w:t>
      </w:r>
    </w:p>
    <w:p w14:paraId="68C35188"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 xml:space="preserve"> Birmingham and Solihull, NHS (2020). Equality, diversity and inclusion: NHS Birmingham and Solihull. [online] www.birminghamsolihull.icb.nhs.uk. Available at: https://www.birminghamsolihull.icb.nhs.uk/what-we-do/programmes-work/equality-diversity-and-inclusion. (Accessed: 25 November 2025). </w:t>
      </w:r>
    </w:p>
    <w:p w14:paraId="281BAF24"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Black, Asian and minority ethnic (BAME) communities https://www.mentalhealth.org.uk/explore-mental-health/a-z-topics/black-asian-and-minority-ethnic-bame-communities. (Accessed 19 September 2025).</w:t>
      </w:r>
    </w:p>
    <w:p w14:paraId="491ABEA9"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Boland, A. et al. (2020) ‘Doing A Systematic Review: A Student’s Guide’, International coaching psychology review. Leicester: British Psychological Society, pp. 119–120. Available at: https://doi.org/10.53841/bpsicpr.2020.15.2.119. (Accessed 30 October 2025).</w:t>
      </w:r>
    </w:p>
    <w:p w14:paraId="22113748"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Boland, A., Cherry, G. and Dickson, R. (2017) SYSTEMATIC REVIEW a Student’s Guide 2nd Edition Edited by DOING a. Available at: https://uk.sagepub.com/sites/default/files/upm-assets/87631_book_item_87631.pdf. (Accessed 30 October 2025).</w:t>
      </w:r>
    </w:p>
    <w:p w14:paraId="09828F7D"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Braun, V. and Clarke, V. (2006) ‘Using thematic analysis in psychology’, Qualitative research in psychology, 3(2), pp. 77–101. Available at: https://doi.org/10.1191/1478088706qp063oa.</w:t>
      </w:r>
    </w:p>
    <w:p w14:paraId="6AFFDBC5" w14:textId="77777777" w:rsidR="004A54ED" w:rsidRDefault="004A54ED" w:rsidP="004A54ED">
      <w:pPr>
        <w:spacing w:line="360" w:lineRule="auto"/>
        <w:jc w:val="both"/>
        <w:rPr>
          <w:rFonts w:ascii="Times New Roman" w:eastAsia="Times New Roman" w:hAnsi="Times New Roman" w:cs="Times New Roman"/>
          <w:kern w:val="0"/>
          <w:lang w:eastAsia="en-GB"/>
          <w14:ligatures w14:val="none"/>
        </w:rPr>
      </w:pPr>
      <w:r w:rsidRPr="00A94E5B">
        <w:rPr>
          <w:rFonts w:ascii="Arial" w:eastAsia="Aptos" w:hAnsi="Arial" w:cs="Arial"/>
          <w:color w:val="000000" w:themeColor="text1"/>
          <w:sz w:val="22"/>
          <w:szCs w:val="22"/>
        </w:rPr>
        <w:lastRenderedPageBreak/>
        <w:t>Braun, V. and Clarke, V. (2013) Successful Qualitative Research: A Practical Guide for Beginners. London: Sage publication.</w:t>
      </w:r>
      <w:r w:rsidRPr="004A54ED">
        <w:rPr>
          <w:rFonts w:ascii="Times New Roman" w:eastAsia="Times New Roman" w:hAnsi="Times New Roman" w:cs="Times New Roman"/>
          <w:kern w:val="0"/>
          <w:lang w:eastAsia="en-GB"/>
          <w14:ligatures w14:val="none"/>
        </w:rPr>
        <w:t xml:space="preserve"> </w:t>
      </w:r>
    </w:p>
    <w:p w14:paraId="779F5E2F" w14:textId="5B85E089" w:rsidR="004A54ED" w:rsidRPr="004A54ED" w:rsidRDefault="004A54ED" w:rsidP="004A54ED">
      <w:pPr>
        <w:spacing w:line="360" w:lineRule="auto"/>
        <w:jc w:val="both"/>
        <w:rPr>
          <w:rFonts w:ascii="Arial" w:eastAsia="Aptos" w:hAnsi="Arial" w:cs="Arial"/>
          <w:color w:val="000000" w:themeColor="text1"/>
          <w:sz w:val="22"/>
          <w:szCs w:val="22"/>
        </w:rPr>
      </w:pPr>
      <w:r w:rsidRPr="004A54ED">
        <w:rPr>
          <w:rFonts w:ascii="Arial" w:eastAsia="Aptos" w:hAnsi="Arial" w:cs="Arial"/>
          <w:color w:val="000000" w:themeColor="text1"/>
          <w:sz w:val="22"/>
          <w:szCs w:val="22"/>
        </w:rPr>
        <w:t xml:space="preserve">Bree, R.T. and Gallagher, G. (2016) 'Using Microsoft Excel to code and thematically analyse qualitative data: a simple, cost-effective approach.,' </w:t>
      </w:r>
      <w:r w:rsidRPr="004A54ED">
        <w:rPr>
          <w:rFonts w:ascii="Arial" w:eastAsia="Aptos" w:hAnsi="Arial" w:cs="Arial"/>
          <w:i/>
          <w:iCs/>
          <w:color w:val="000000" w:themeColor="text1"/>
          <w:sz w:val="22"/>
          <w:szCs w:val="22"/>
        </w:rPr>
        <w:t>ojs.aishe.org</w:t>
      </w:r>
      <w:r w:rsidRPr="004A54ED">
        <w:rPr>
          <w:rFonts w:ascii="Arial" w:eastAsia="Aptos" w:hAnsi="Arial" w:cs="Arial"/>
          <w:color w:val="000000" w:themeColor="text1"/>
          <w:sz w:val="22"/>
          <w:szCs w:val="22"/>
        </w:rPr>
        <w:t xml:space="preserve"> [Preprint]. https://doi.org/10.62707/aishej.v8i2.281.</w:t>
      </w:r>
      <w:r>
        <w:rPr>
          <w:rFonts w:ascii="Arial" w:eastAsia="Aptos" w:hAnsi="Arial" w:cs="Arial"/>
          <w:color w:val="000000" w:themeColor="text1"/>
          <w:sz w:val="22"/>
          <w:szCs w:val="22"/>
        </w:rPr>
        <w:t xml:space="preserve"> (Accessed: 27 November 2025).</w:t>
      </w:r>
    </w:p>
    <w:p w14:paraId="2D1706B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Byrne, B. et al. (2020) Ethnicity, race and inequality in the UK: state of the nation. 1st ed. Bristol: Policy Press. Available at: https://doi.org/10.56687/9781447351269. (Accessed 18 November 2025).</w:t>
      </w:r>
    </w:p>
    <w:p w14:paraId="6769B4C1"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Care Quality Commission (2024). Monitoring the Mental Health Act in 2022/23 - Care Quality Commission. [online] www.cqc.org.uk. Available at: https://www.cqc.org.uk/publications/monitoring-mental-health-act/2022-2023. (Accessed 16 November 2025).</w:t>
      </w:r>
    </w:p>
    <w:p w14:paraId="5D48503D"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Care Quality Commission (2024). Monitoring the Mental Health Act in 2022/23 - Care Quality Commission. [online] www.cqc.org.uk. Available at: https://www.cqc.org.uk/publications/monitoring-mental-health-act/2022-2023. (Accessed 18 November 2025).</w:t>
      </w:r>
    </w:p>
    <w:p w14:paraId="3A3B253A"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Centre for Mental Health. (2025). Shifting the Dial - Centre for Mental Health. [online] Available at: https://www.centreformentalhealth.org.uk/publications/shifting-dial/. (Accessed: 26 November 2025).</w:t>
      </w:r>
    </w:p>
    <w:p w14:paraId="0A0FFF96"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Chauhan, A. et al. (2020) 'The safety of health care for ethnic minority patients: a systematic review,' International Journal for Equity in Health, 19(1), p. 118. https://doi.org/10.1186/s12939-020-01223-2.  (Accessed 18 November 2025).</w:t>
      </w:r>
    </w:p>
    <w:p w14:paraId="22CCC4FB"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Chu, J. and Leino, A. (2017) 'Advancement in the maturing science of cultural adaptations of evidence-based interventions.,' Journal of Consulting and Clinical Psychology, 85(1), pp. 45–57. https://doi.org/10.1037/ccp0000145. (Accessed 18 November 2025).</w:t>
      </w:r>
    </w:p>
    <w:p w14:paraId="24ADA076"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Clement, S. et al. (2014) 'What is the impact of mental health-related stigma on help-seeking? A systematic review of quantitative and qualitative studies,' Psychological Medicine, 45(1), pp. 11–27. https://doi.org/10.1017/s0033291714000129. (Accessed 27 November 2025). </w:t>
      </w:r>
    </w:p>
    <w:p w14:paraId="33F18916"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Community Care. (2021). How Black and ethnic minority mental health patients’ cultural needs frequently go unmet. [online] Available at: https://www.communitycare.co.uk/2021/01/08/black-ethnic-minority-mental-health-patients-cultural-needs-frequently-go-unmet/. (Accessed 18 November 2025). </w:t>
      </w:r>
    </w:p>
    <w:p w14:paraId="5424F000"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Corrigan, P. (2004) ‘How Stigma Interferes with Mental Health Care’, The American psychologist, 59(7), pp. 614–625. Available at: https://doi.org/10.1037/0003-066X.59.7.614.</w:t>
      </w:r>
    </w:p>
    <w:p w14:paraId="28181621"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Corrigan, P.W. and Watson, A.C. (2002). Understanding the impact of stigma on people with mental illness. World psychiatry: official journal of the World Psychiatric Association (WPA), [online] 1(1), pp.16–20. Available at: https://pubmed.ncbi.nlm.nih.gov/16946807/. (Accessed November 2025).</w:t>
      </w:r>
    </w:p>
    <w:p w14:paraId="3F15B991"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4A54ED">
        <w:rPr>
          <w:rFonts w:ascii="Arial" w:eastAsia="Aptos" w:hAnsi="Arial" w:cs="Arial"/>
          <w:color w:val="000000" w:themeColor="text1"/>
          <w:sz w:val="22"/>
          <w:szCs w:val="22"/>
          <w:lang w:val="nl-NL"/>
        </w:rPr>
        <w:t xml:space="preserve">Corrigan, P.W. et al. </w:t>
      </w:r>
      <w:r w:rsidRPr="009A30C0">
        <w:rPr>
          <w:rFonts w:ascii="Arial" w:eastAsia="Aptos" w:hAnsi="Arial" w:cs="Arial"/>
          <w:color w:val="000000" w:themeColor="text1"/>
          <w:sz w:val="22"/>
          <w:szCs w:val="22"/>
        </w:rPr>
        <w:t>(2014) ‘Mental health stigma and primary health care decisions’, Psychiatry research, 218(1–2), pp. 35–38. Available at: https://doi.org/10.1016/j.psychres.2014.04.028.</w:t>
      </w:r>
    </w:p>
    <w:p w14:paraId="3F7CD7C0"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Department of Health and Social Care (2021). Reforming the Mental Health Act. [online] GOV.UK. Available at: https://www.gov.uk/government/consultations/reforming-the-mental-health-act. (Accessed: 26 November 2025).</w:t>
      </w:r>
    </w:p>
    <w:p w14:paraId="336DC60E"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Epstein, R.M. and Street, R.L. (2011) ‘The Values and Value of Patient-Cantered Care’, The Annals of Family Medicine, 9(2), pp. 100–103. Available at: https://doi.org/10.1370/afm.1239. (Accessed: 19 September 2025).</w:t>
      </w:r>
    </w:p>
    <w:p w14:paraId="1553D0BE"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D4002A">
        <w:rPr>
          <w:rFonts w:ascii="Arial" w:eastAsia="Aptos" w:hAnsi="Arial" w:cs="Arial"/>
          <w:color w:val="000000" w:themeColor="text1"/>
          <w:sz w:val="22"/>
          <w:szCs w:val="22"/>
        </w:rPr>
        <w:t xml:space="preserve">Evans-Lacko, S. et al. </w:t>
      </w:r>
      <w:r w:rsidRPr="009A30C0">
        <w:rPr>
          <w:rFonts w:ascii="Arial" w:eastAsia="Aptos" w:hAnsi="Arial" w:cs="Arial"/>
          <w:color w:val="000000" w:themeColor="text1"/>
          <w:sz w:val="22"/>
          <w:szCs w:val="22"/>
        </w:rPr>
        <w:t>(2012) 'Mass social contact interventions and their effect on mental health related stigma and intended discrimination,' BMC Public Health, 12(1), p. 489. https://doi.org/10.1186/1471-2458-12-489. (Accessed 21 November 2025).</w:t>
      </w:r>
    </w:p>
    <w:p w14:paraId="4B7BD1B4"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Fernando, S., 2017. Institutional racism in psychiatry and clinical psychology (Vol. 17517893, No. 0). London: Palgrave Macmillan.</w:t>
      </w:r>
    </w:p>
    <w:p w14:paraId="6828C792"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Flores, G. (2006) 'Language barriers to health care in the United Kingdom,' New England Journal of Medicine, 355(3), pp. 229–231. https://doi.org/10.1056/nejmp058316. (Accessed 17 November 2025).</w:t>
      </w:r>
    </w:p>
    <w:p w14:paraId="7F7D1C6E"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Gibbons, C., Dempster, M. and Moutray, M. (2010) 'Stress, coping and satisfaction in nursing students,' Journal of Advanced Nursing, 67(3), pp. 621–632. https://doi.org/10.1111/j.1365-2648.2010.05495.x. (Accessed 21 November 2025).</w:t>
      </w:r>
    </w:p>
    <w:p w14:paraId="7DB8937B"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Goffman, E. (1963) 'Stigma: notes on the management of spoiled identity.,' Social Forces, 43(1), p. 127. https://doi.org/10.2307/2575995. (Accessed 16 November 2025).</w:t>
      </w:r>
    </w:p>
    <w:p w14:paraId="2CFEC8B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GOV.UK (2010). Equality Act 2010. [online] GOV.UK. Available at: https://www.gov.uk/guidance/equality-act-2010-guidance. (Accessed 16 November 2025).</w:t>
      </w:r>
    </w:p>
    <w:p w14:paraId="45664DF9"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GOV.UK (2010). Equality Act 2010. [online] Legislation.gov.uk. Available at: https://www.legislation.gov.uk/ukpga/2010/15/contents. (Accessed: 25 November 2025).</w:t>
      </w:r>
    </w:p>
    <w:p w14:paraId="00CA263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GOV.UK (2010). Equality Act 2010. [online] Legislation.gov.uk. Available at: https://www.legislation.gov.uk/ukpga/2010/15/contents. (Accessed 18 November 2025).</w:t>
      </w:r>
    </w:p>
    <w:p w14:paraId="6629073C"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Gulliver, A., Griffiths, K.M. and Christensen, H. (2010) 'Perceived barriers and facilitators to mental health help-seeking in young people: a systematic review,' BMC Psychiatry, 10(1), p. 113. https://doi.org/10.1186/1471-244x-10-113. (Accessed 27 November 2025).</w:t>
      </w:r>
    </w:p>
    <w:p w14:paraId="4F078148"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Hayanga, B., Stafford, M. and Bécares, L. (2021) 'Ethnic Inequalities in Healthcare Use and Care Quality among People with Multiple Long-Term Health Conditions Living in the United Kingdom: A Systematic Review and Narrative Synthesis,' International Journal of Environmental Research and Public Health, 18(23), p. 12599. https://doi.org/10.3390/ijerph182312599. (Accessed 18 November 2025).</w:t>
      </w:r>
    </w:p>
    <w:p w14:paraId="6DF78F74"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Henderson, C. and Gronholm, P.C. (2018) ‘Mental Health Related Stigma as a “Wicked Problem”: The Need to Address Stigma and Consider the Consequences’, International journal of environmental research and public health, 15(6), p. 1158. Available at: https://doi.org/10.3390/ijerph15061158. (Accessed: 20 November 2025).</w:t>
      </w:r>
    </w:p>
    <w:p w14:paraId="4D474F5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Hinshaw, S.P. (2010). The mark of shame: stigma of mental illness and an agenda for change. New York, N.Y.; Oxford: Oxford University Press.</w:t>
      </w:r>
    </w:p>
    <w:p w14:paraId="43BBED10"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Jones, D., and Gill, P. (1998) 'Breaking down language barriers,' BMJ, 316(7143), pp. 1476–1480. https://doi.org/10.1136/bmj.316.7143.1476. (Accessed 19 September 2025).</w:t>
      </w:r>
    </w:p>
    <w:p w14:paraId="1B824F96"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Jongen, C., McCalman, J. and Bainbridge, R. (2018) ‘Health workforce cultural competency interventions: a systematic scoping review’, BMC health services research, 18(1). Available at: https://doi.org/10.1186/s12913-018-3001-5. (Accessed: 20 November 2025).</w:t>
      </w:r>
    </w:p>
    <w:p w14:paraId="7133FFFC"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Kapadia, D. et al. (2022) Ethnic Inequalities in Healthcare: A rapid evidence review. https://www.manchester.ac.uk/discover/news/download/1139877/rho-rapid-review-final-report-v.7.pdf. (Accessed: 25 November 2025).</w:t>
      </w:r>
    </w:p>
    <w:p w14:paraId="72F0663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Kapadia, D. et al. (2022) Ethnic Inequalities in Healthcare: A rapid evidence review. https://www.nhsrho.org/wp-content/uploads/2023/05/RHO-Rapid-Review-Final-Report_Summary_v.4.pdf. (Accessed 18 November 2025).</w:t>
      </w:r>
    </w:p>
    <w:p w14:paraId="0B8E8655"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Kapadia, D. et al. (2022) Ethnic Inequalities in Healthcare: A Rapid Evidence Review. NHS Race and Health Observatory. Available at: https://www.nhsrho.org/wp-content/uploads/2023/05/RHO-Rapid-Review-Final-Report_.pdf. (Accessed 19 November 2025).</w:t>
      </w:r>
    </w:p>
    <w:p w14:paraId="75C41476" w14:textId="77777777" w:rsidR="004A54ED" w:rsidRPr="00A937BB"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lang w:val="nl-NL"/>
        </w:rPr>
        <w:lastRenderedPageBreak/>
        <w:t xml:space="preserve">Karliner, L.S. et al. </w:t>
      </w:r>
      <w:r w:rsidRPr="009A30C0">
        <w:rPr>
          <w:rFonts w:ascii="Arial" w:eastAsia="Aptos" w:hAnsi="Arial" w:cs="Arial"/>
          <w:color w:val="000000" w:themeColor="text1"/>
          <w:sz w:val="22"/>
          <w:szCs w:val="22"/>
        </w:rPr>
        <w:t>(2024) ‘Language Access Systems Improvement initiative: impact on professional interpreter utilisation, a natural experiment’, BMJ Open, 14(1), pp. e073486–e073486. Available at: https://doi.org/10.1136/bmjopen-2023-073486. (Accessed: 21 November 2025).</w:t>
      </w:r>
    </w:p>
    <w:p w14:paraId="7E51EBCC"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Karlsen, S. and Nazroo, J.Y. (2002) 'Agency and structure: the impact of ethnic identity and racism on the health of ethnic minority people,' Sociology of Health &amp; Illness, 24(1), pp. 1–20. https://doi.org/10.1111/1467-9566.00001. (Accessed 18 November 2025).</w:t>
      </w:r>
    </w:p>
    <w:p w14:paraId="27CFF7E8"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Kolaski, K., Logan, L.R. and Ioannidis, J.P.A. (2023) ‘Guidance to best tools and practices for systematic reviews’, Systematic Reviews, 12(1), pp. 1–29. Available at: https://doi.org/10.1186/s13643-023-02255-9. (Accessed 30 October 2025).</w:t>
      </w:r>
    </w:p>
    <w:p w14:paraId="7066506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D4002A">
        <w:rPr>
          <w:rFonts w:ascii="Arial" w:eastAsia="Aptos" w:hAnsi="Arial" w:cs="Arial"/>
          <w:color w:val="000000" w:themeColor="text1"/>
          <w:sz w:val="22"/>
          <w:szCs w:val="22"/>
        </w:rPr>
        <w:t xml:space="preserve">Kumas-Tan, Z. et al. </w:t>
      </w:r>
      <w:r w:rsidRPr="00CA315D">
        <w:rPr>
          <w:rFonts w:ascii="Arial" w:eastAsia="Aptos" w:hAnsi="Arial" w:cs="Arial"/>
          <w:color w:val="000000" w:themeColor="text1"/>
          <w:sz w:val="22"/>
          <w:szCs w:val="22"/>
        </w:rPr>
        <w:t>(2007) ‘Measures of Cultural Competence: Examining Hidden Assumptions’, Academic Medicine, 82(6), pp. 548–557. Available at: https://doi.org/10.1097/acm.0b013e3180555a2d. (Accessed: 25 November 2025).</w:t>
      </w:r>
    </w:p>
    <w:p w14:paraId="20285AF0"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Mantovani, N., Pizzolati, M. and Edge, D. (2017) ‘Exploring the relationship between stigma and help</w:t>
      </w:r>
      <w:r w:rsidRPr="009A30C0">
        <w:rPr>
          <w:rFonts w:ascii="Cambria Math" w:eastAsia="Aptos" w:hAnsi="Cambria Math" w:cs="Cambria Math"/>
          <w:color w:val="000000" w:themeColor="text1"/>
          <w:sz w:val="22"/>
          <w:szCs w:val="22"/>
        </w:rPr>
        <w:t>‐</w:t>
      </w:r>
      <w:r w:rsidRPr="009A30C0">
        <w:rPr>
          <w:rFonts w:ascii="Arial" w:eastAsia="Aptos" w:hAnsi="Arial" w:cs="Arial"/>
          <w:color w:val="000000" w:themeColor="text1"/>
          <w:sz w:val="22"/>
          <w:szCs w:val="22"/>
        </w:rPr>
        <w:t>seeking for mental illness in African</w:t>
      </w:r>
      <w:r w:rsidRPr="009A30C0">
        <w:rPr>
          <w:rFonts w:ascii="Cambria Math" w:eastAsia="Aptos" w:hAnsi="Cambria Math" w:cs="Cambria Math"/>
          <w:color w:val="000000" w:themeColor="text1"/>
          <w:sz w:val="22"/>
          <w:szCs w:val="22"/>
        </w:rPr>
        <w:t>‐</w:t>
      </w:r>
      <w:r w:rsidRPr="009A30C0">
        <w:rPr>
          <w:rFonts w:ascii="Arial" w:eastAsia="Aptos" w:hAnsi="Arial" w:cs="Arial"/>
          <w:color w:val="000000" w:themeColor="text1"/>
          <w:sz w:val="22"/>
          <w:szCs w:val="22"/>
        </w:rPr>
        <w:t>descended faith communities in the UK’, Health expectations: an international journal of public participation in health care and health policy, 20(3), pp. 373–384. Available at: https://doi.org/10.1111/hex.12464.</w:t>
      </w:r>
    </w:p>
    <w:p w14:paraId="47356E0C"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Marecek, J. (2021) 'Suman Fernando, Institutional racism in psychiatry and clinical psychology: Race matters in mental health,' Feminism &amp; Psychology, 31(1), pp. 165–168. https://doi.org/10.1177/0959353521991726. (Accessed: 15 October 2025).</w:t>
      </w:r>
    </w:p>
    <w:p w14:paraId="67CB996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 xml:space="preserve">Marecek, J. (2021) 'Suman Fernando, Institutional racism in psychiatry and clinical psychology: Race matters in mental health,' Feminism &amp; Psychology, 31(1), pp. 165–168. https://doi.org/10.1177/0959353521991726. (Accessed 19 September 2025). </w:t>
      </w:r>
    </w:p>
    <w:p w14:paraId="08C9C6F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Marmot, M. (2010) Fair Society Healthy Lives (The Marmot Review), Institute of Health Equity. Available at: https://www.instituteofhealthequity.org/resources-reports/fair-society-healthy-lives-the-marmot-review. (Accessed: 25 November 2025).</w:t>
      </w:r>
    </w:p>
    <w:p w14:paraId="3FE389F6"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 xml:space="preserve">Marmot, M. and Bell, R. (2016) ‘Social inequalities in health: a proper concern of epidemiology’, Annals of Epidemiology, 26(4), pp. 238–240. Available at: https://doi.org/10.1016/j.annepidem.2016.02.003. (Accessed: 25 November 2025). </w:t>
      </w:r>
    </w:p>
    <w:p w14:paraId="17308919"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Marmot, M. et al. (2020) Marmot Review 10 Years on - Institute of Health Equity, Institute of Health Equity. Available at: https://www.instituteofhealthequity.org/resources-reports/marmot-review-10-years-on. (Accessed: 19 September 2025).</w:t>
      </w:r>
    </w:p>
    <w:p w14:paraId="3C0838AF"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 xml:space="preserve">Memon, A. et al. (2016) ‘Perceived barriers to accessing mental health services among black and minority ethnic communities: a qualitative study in southeast England’, The Lancet (British edition), 388, pp. S76–S76. Available at: https://doi.org/10.1016/S0140-6736(16)32312-1. </w:t>
      </w:r>
    </w:p>
    <w:p w14:paraId="227358AF"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Memon, A. et al. (2016) 'Perceived barriers to accessing mental health services among black and minority ethnic (BME) communities: a qualitative study in Southeast England,' BMJ Open, 6(11), p. e012337. https://doi.org/10.1136/bmjopen-2016-012337. (Accessed: 15 October 2025).</w:t>
      </w:r>
    </w:p>
    <w:p w14:paraId="3E1DF383"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Memon, A. et al. (2016) 'Perceived barriers to accessing mental health services among black and minority ethnic (BME) communities: a qualitative study in Southeast England,' BMJ Open, 6(11), p. e012337. https://doi.org/10.1136/bmjopen-2016-012337. (Accessed 30 October 2025).</w:t>
      </w:r>
    </w:p>
    <w:p w14:paraId="1E13BC70"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Memon, A. et al. (2016) 'Perceived barriers to accessing mental health services among black and minority ethnic (BME) communities: a qualitative study in Southeast England,' BMJ Open, 6(11), p. e012337. https://doi.org/10.1136/bmjopen-2016-012337. (Accessed 19 November 2025).</w:t>
      </w:r>
    </w:p>
    <w:p w14:paraId="7630D1FA"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Memon, A. et al. (2016) 'Perceived barriers to accessing mental health services among black and minority ethnic (BME) communities: a qualitative study in Southeast England,' BMJ Open, 6(11), p. e012337. https://doi.org/10.1136/bmjopen-2016-012337. (Accessed 27 November 2025).</w:t>
      </w:r>
    </w:p>
    <w:p w14:paraId="49F453F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Mental Health Act Statistics, Annual Figures, 2024-25 (2025). https://www.gov.uk/government/statistics/announcements/mental-health-act-statistics-annual-figures-2024-25. (Accessed 19 September 2025).</w:t>
      </w:r>
    </w:p>
    <w:p w14:paraId="3D46E79A"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Mental Health Foundation (2020) Inequalities and mental health, Mental Health Foundation. MHF. Available at: https://www.mentalhealth.org.uk/our-work/policy-and-advocacy/inequalities-and-mental-health-our-policy-perspective. (Accessed: 25 November 2025).</w:t>
      </w:r>
    </w:p>
    <w:p w14:paraId="642FDEDA"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Mental Health Foundation (2024). Black, Asian and Minority Ethnic (BAME) Communities. [online] www.mentalhealth.org.uk. Available at: https://www.mentalhealth.org.uk/explore-mental-health/a-z-topics/black-asian-and-minority-ethnic-bame-communities. (Accessed 16 November 2025).</w:t>
      </w:r>
    </w:p>
    <w:p w14:paraId="1B853E38"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Mind (2020) About Mind. Available at: https://www.mind.org.uk/media/6484/race-equality-briefing-final-oct-2020.pdf. Accessed 19 November 2025). </w:t>
      </w:r>
    </w:p>
    <w:p w14:paraId="61B0A8D5"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Mind (2022) Workplace Wellbeing Index 2021/22 Index Insights. Available at: https://www.mind.org.uk/media/kogesqr4/mind-index-insights-report-2021-22.pdf. (Accessed: 21 November 2025).</w:t>
      </w:r>
    </w:p>
    <w:p w14:paraId="5149DFF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Nazroo, J.Y., Bhui, K.S. and Rhodes, J. (2019) 'Where next for understanding race/ethnic inequalities in severe mental illness? Structural, interpersonal and institutional racism,' Sociology of Health &amp; Illness, 42(2), pp. 262–276. https://doi.org/10.1111/1467-9566.13001. (Accessed 27 November 2025).</w:t>
      </w:r>
    </w:p>
    <w:p w14:paraId="1A214EB0"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Nelson, S.E. and Wilson, K. (2017). The mental health of Indigenous peoples in Canada: A critical review of research. Social Science &amp; Medicine, [online] 176, pp.93–112. Doi: HTTPs://doi.org/10.1016/j.socscimed.2017.01.021. (Accessed: 25 November 2025).</w:t>
      </w:r>
    </w:p>
    <w:p w14:paraId="0AD46E8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Digital. (2024). Mental Health Act Statistics, Annual Figures. [online] Available at: https://digital.nhs.uk/data-and-information/publications/statistical/mental-health-act-statistics-annual-figures. (Accessed 16 November 2025).</w:t>
      </w:r>
    </w:p>
    <w:p w14:paraId="12A05063"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NHS England (2019). NHS England» NHS Long Term Plan to tackle major killer conditions and save up to half a million lives. [online] England.nhs.uk. Available at: https://www.england.nhs.uk/2019/01/long-term-plan/. (Accessed: 26 November 2025).</w:t>
      </w:r>
    </w:p>
    <w:p w14:paraId="2B38B3AB"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NHS England (2019). NHS Long Term Plan. [online] NHS England. Available at: https://www.longtermplan.nhs.uk/. (Accessed 16 November 2025). </w:t>
      </w:r>
    </w:p>
    <w:p w14:paraId="39516876"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NHS England (2020). NHS England» Advancing Mental Health Equalities Strategy. [online] www.england.nhs.uk. Available at: https://www.england.nhs.uk/publication/advancing-mental-health-equalities-strategy/. (Accessed: 25 November 2025).</w:t>
      </w:r>
    </w:p>
    <w:p w14:paraId="03213955"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(2020). NHS England» Advancing Mental Health Equalities Strategy. [online] www.england.nhs.uk. Available at: https://www.england.nhs.uk/publication/advancing-mental-health-equalities-strategy/. (Accessed 18 November 2025).</w:t>
      </w:r>
    </w:p>
    <w:p w14:paraId="2CA129C7"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(2023) NHS England» NHS Workforce Race Equality Standard 2023 data analysis report for NHS trusts, www.england.nhs.uk. Available at: https://www.england.nhs.uk/publication/nhs-workforce-race-equality-standard-2023-data-analysis-report-for-nhs-trusts/. (Accessed: 21 November 2025).</w:t>
      </w:r>
    </w:p>
    <w:p w14:paraId="3DCC7E1A"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(2023) NHS equality, diversity, and Inclusion Improvement Plan, NHS England. Available at: https://www.england.nhs.uk/long-read/nhs-equality-diversity-and-inclusion-improvement-plan/. (Accessed 19 2025).</w:t>
      </w:r>
    </w:p>
    <w:p w14:paraId="690E8EDF"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lastRenderedPageBreak/>
        <w:t>NHS England (2023). NHS England» Patient and carer race equality framework. [online] www.england.nhs.uk. Available at: https://www.england.nhs.uk/mental-health/advancing-mental-health-equalities/pcref/. (Accessed: 25 November 2025).</w:t>
      </w:r>
    </w:p>
    <w:p w14:paraId="6E8C02A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(2024) NHS England» Patient and carer race equality framework, www.england.nhs.uk. Available at: https://www.england.nhs.uk/mental-health/advancing-mental-health-equalities/pcref/. (Accessed 19 2025).</w:t>
      </w:r>
    </w:p>
    <w:p w14:paraId="0C4E0A3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(2025) NHS England» Accessible information standard, England.nhs.uk. Available at: https://www.england.nhs.uk/accessible-information-standard/. (Accessed: 21 November 2025).</w:t>
      </w:r>
    </w:p>
    <w:p w14:paraId="28E9F80F"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(2025). NHS England» Accessible information standard. [online] England.nhs.uk. Available at: https://www.england.nhs.uk/accessible-information-standard/. (Accessed 18 November 2025).</w:t>
      </w:r>
    </w:p>
    <w:p w14:paraId="32DE0D66"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NHS England (2025). NHS England» Culturally Competent Inpatient Care. [online] England.nhs.uk. Available at: https://www.england.nhs.uk/long-read/culturally-competent-inpatient-care/. (Accessed 18 2025).</w:t>
      </w:r>
    </w:p>
    <w:p w14:paraId="0BB4D381"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NHS Long Term Plan. https://www.longtermplan.nhs.uk/.</w:t>
      </w:r>
    </w:p>
    <w:p w14:paraId="3322C05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Nowak, S.A. (2025) ‘V. Braun, V. Clarke, Thematic Analysis. A Practical Guide Londyn: SAGE Publications Ltd, 2022, 376 s’, Neofilolog (Poznan. Online), (64/2), pp. 470–474. Available at: https://doi.org/10.14746/n.2024.64.2.15. </w:t>
      </w:r>
    </w:p>
    <w:p w14:paraId="5739F0EB" w14:textId="77777777" w:rsidR="004A54ED"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Nowell, L.S. et al. (2017) Thematic analysis: Striving to meet the trustworthiness criteria, International Journal of Qualitative Methods, pp. 1–13. https://doi.org/10.1177/1609406917733847. (Accessed 26 November 2025).</w:t>
      </w:r>
    </w:p>
    <w:p w14:paraId="64DC585C" w14:textId="77777777" w:rsidR="004A54ED" w:rsidRPr="00CA315D" w:rsidRDefault="004A54ED" w:rsidP="0048554A">
      <w:pPr>
        <w:spacing w:line="360" w:lineRule="auto"/>
        <w:jc w:val="both"/>
        <w:rPr>
          <w:rFonts w:ascii="Arial" w:eastAsia="Aptos" w:hAnsi="Arial" w:cs="Arial"/>
          <w:color w:val="000000" w:themeColor="text1"/>
          <w:sz w:val="22"/>
          <w:szCs w:val="22"/>
        </w:rPr>
      </w:pPr>
      <w:proofErr w:type="spellStart"/>
      <w:r w:rsidRPr="00D4002A">
        <w:rPr>
          <w:rFonts w:ascii="Arial" w:eastAsia="Aptos" w:hAnsi="Arial" w:cs="Arial"/>
          <w:color w:val="000000" w:themeColor="text1"/>
          <w:sz w:val="22"/>
          <w:szCs w:val="22"/>
        </w:rPr>
        <w:t>Nwokoroku</w:t>
      </w:r>
      <w:proofErr w:type="spellEnd"/>
      <w:r w:rsidRPr="00D4002A">
        <w:rPr>
          <w:rFonts w:ascii="Arial" w:eastAsia="Aptos" w:hAnsi="Arial" w:cs="Arial"/>
          <w:color w:val="000000" w:themeColor="text1"/>
          <w:sz w:val="22"/>
          <w:szCs w:val="22"/>
        </w:rPr>
        <w:t xml:space="preserve">, S.C. et al. </w:t>
      </w:r>
      <w:r w:rsidRPr="00CA315D">
        <w:rPr>
          <w:rFonts w:ascii="Arial" w:eastAsia="Aptos" w:hAnsi="Arial" w:cs="Arial"/>
          <w:color w:val="000000" w:themeColor="text1"/>
          <w:sz w:val="22"/>
          <w:szCs w:val="22"/>
        </w:rPr>
        <w:t>(2022) 'A systematic review of the role of culture in the mental health service utilisation among ethnic minority groups in the United Kingdom,' Cambridge Prisms Global Mental Health, 9, pp. 84–93. https://doi.org/10.1017/gmh.2022.2. (Accessed 19 September 2025).</w:t>
      </w:r>
    </w:p>
    <w:p w14:paraId="7436BE53" w14:textId="77777777" w:rsidR="004A54ED" w:rsidRPr="009A30C0" w:rsidRDefault="004A54ED" w:rsidP="0048554A">
      <w:pPr>
        <w:spacing w:line="360" w:lineRule="auto"/>
        <w:jc w:val="both"/>
        <w:rPr>
          <w:rFonts w:ascii="Arial" w:eastAsia="Aptos" w:hAnsi="Arial" w:cs="Arial"/>
          <w:color w:val="000000" w:themeColor="text1"/>
          <w:sz w:val="22"/>
          <w:szCs w:val="22"/>
        </w:rPr>
      </w:pPr>
      <w:proofErr w:type="spellStart"/>
      <w:r w:rsidRPr="00D4002A">
        <w:rPr>
          <w:rFonts w:ascii="Arial" w:eastAsia="Aptos" w:hAnsi="Arial" w:cs="Arial"/>
          <w:color w:val="000000" w:themeColor="text1"/>
          <w:sz w:val="22"/>
          <w:szCs w:val="22"/>
        </w:rPr>
        <w:t>Nwokoroku</w:t>
      </w:r>
      <w:proofErr w:type="spellEnd"/>
      <w:r w:rsidRPr="00D4002A">
        <w:rPr>
          <w:rFonts w:ascii="Arial" w:eastAsia="Aptos" w:hAnsi="Arial" w:cs="Arial"/>
          <w:color w:val="000000" w:themeColor="text1"/>
          <w:sz w:val="22"/>
          <w:szCs w:val="22"/>
        </w:rPr>
        <w:t xml:space="preserve">, S.C. et al. </w:t>
      </w:r>
      <w:r w:rsidRPr="009A30C0">
        <w:rPr>
          <w:rFonts w:ascii="Arial" w:eastAsia="Aptos" w:hAnsi="Arial" w:cs="Arial"/>
          <w:color w:val="000000" w:themeColor="text1"/>
          <w:sz w:val="22"/>
          <w:szCs w:val="22"/>
        </w:rPr>
        <w:t>(2022) 'A systematic review of the role of culture in the mental health service utilisation among ethnic minority groups in the United Kingdom,' Cambridge Prisms Global Mental Health, 9, pp. 84–93. https://doi.org/10.1017/gmh.2022.2. (Accessed 18 November 2025).</w:t>
      </w:r>
    </w:p>
    <w:p w14:paraId="73306E7C"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lastRenderedPageBreak/>
        <w:t>OECD. (2015). Health briefly 2015. [online] Available at: https://www.oecd.org/en/publications/health-at-a-glance-2015_health_glance-2015-en.html. (Accessed: 25 November 2025).</w:t>
      </w:r>
    </w:p>
    <w:p w14:paraId="240B8076"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Office for National Statistics (2022) Ethnic group, England and Wales - Office for National Statistics, www.ons.gov.uk. Office for National Statistics. Available at: https://www.ons.gov.uk/peoplepopulationandcommunity/culturalidentity/ethnicity/bulletins/ethnicgroupenglandandwales/census2021. (Accessed: 15 October 2025).</w:t>
      </w:r>
    </w:p>
    <w:p w14:paraId="684BFA9E"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Office of Minority Health (2013) Office of Minority Health’s recommended national standards for culturally and linguistically appropriate services in health care. https://cccm.thinkculturalhealth.hhs.gov/PDF_Docs/CLAS_Standards.pdf. (Accessed: 25 November 2025).</w:t>
      </w:r>
    </w:p>
    <w:p w14:paraId="45DA71BD"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4A54ED">
        <w:rPr>
          <w:rFonts w:ascii="Arial" w:eastAsia="Aptos" w:hAnsi="Arial" w:cs="Arial"/>
          <w:color w:val="000000" w:themeColor="text1"/>
          <w:sz w:val="22"/>
          <w:szCs w:val="22"/>
          <w:lang w:val="nl-NL"/>
        </w:rPr>
        <w:t xml:space="preserve">Page, M.J. et al. </w:t>
      </w:r>
      <w:r w:rsidRPr="00A94E5B">
        <w:rPr>
          <w:rFonts w:ascii="Arial" w:eastAsia="Aptos" w:hAnsi="Arial" w:cs="Arial"/>
          <w:color w:val="000000" w:themeColor="text1"/>
          <w:sz w:val="22"/>
          <w:szCs w:val="22"/>
        </w:rPr>
        <w:t>(2021) ‘PRISMA 2020 explanation and elaboration: updated guidance and exemplars for reporting systematic reviews’, BMJ (Online), 372, p. n160. Available at: https://doi.org/10.1136/bmj.n160. (Accessed 30 October 2025).</w:t>
      </w:r>
    </w:p>
    <w:p w14:paraId="684A408A"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D4002A">
        <w:rPr>
          <w:rFonts w:ascii="Arial" w:eastAsia="Aptos" w:hAnsi="Arial" w:cs="Arial"/>
          <w:color w:val="000000" w:themeColor="text1"/>
          <w:sz w:val="22"/>
          <w:szCs w:val="22"/>
        </w:rPr>
        <w:t xml:space="preserve">Page, M.J. et al. </w:t>
      </w:r>
      <w:r w:rsidRPr="00A94E5B">
        <w:rPr>
          <w:rFonts w:ascii="Arial" w:eastAsia="Aptos" w:hAnsi="Arial" w:cs="Arial"/>
          <w:color w:val="000000" w:themeColor="text1"/>
          <w:sz w:val="22"/>
          <w:szCs w:val="22"/>
        </w:rPr>
        <w:t>(2021) 'PRISMA 2020 explanation and elaboration: updated guidance and exemplars for reporting systematic reviews,' BMJ, p. n160. https://doi.org/10.1136/bmj.n160. (Accessed 30 October 2025).</w:t>
      </w:r>
    </w:p>
    <w:p w14:paraId="039AE905"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D4002A">
        <w:rPr>
          <w:rFonts w:ascii="Arial" w:eastAsia="Aptos" w:hAnsi="Arial" w:cs="Arial"/>
          <w:color w:val="000000" w:themeColor="text1"/>
          <w:sz w:val="22"/>
          <w:szCs w:val="22"/>
        </w:rPr>
        <w:t xml:space="preserve">Page, M.J. et al. </w:t>
      </w:r>
      <w:r w:rsidRPr="00A961A0">
        <w:rPr>
          <w:rFonts w:ascii="Arial" w:eastAsia="Aptos" w:hAnsi="Arial" w:cs="Arial"/>
          <w:color w:val="000000" w:themeColor="text1"/>
          <w:sz w:val="22"/>
          <w:szCs w:val="22"/>
        </w:rPr>
        <w:t>(2021b) 'The PRISMA 2020 statement: an updated guideline for reporting systematic reviews,' BMJ, p. n71. https://doi.org/10.1136/bmj.n71. (Accessed: 15 October 2025).</w:t>
      </w:r>
    </w:p>
    <w:p w14:paraId="68EA1418"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British Medical Journal, 372(71). Doihttps://doi.org/10.1136/bmj.n71. (Accessed: 15 October 2025).</w:t>
      </w:r>
    </w:p>
    <w:p w14:paraId="7711CE28"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Pandey, M. et al. (2021) 'Impacts of English language proficiency on healthcare access, use, and outcomes among immigrants: a qualitative study,' BMC Health Services Research, 21(1), p. 741. https://doi.org/10.1186/s12913-021-06750-4. (Accessed 18 November 2025).</w:t>
      </w:r>
    </w:p>
    <w:p w14:paraId="011ED4E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Pashayan, N. et al. (2015) 'Evaluation of recruitment and selection for specialty training in public health: interim results of a prospective cohort study to measure the predictive validity of the selection process,' Journal of Public Health, 38(2), pp. e194–e200. https://doi.org/10.1093/pubmed/fdv102. (Accessed 20 November 2025).</w:t>
      </w:r>
    </w:p>
    <w:p w14:paraId="16D9C1CA"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lastRenderedPageBreak/>
        <w:t xml:space="preserve">PCREF plan - Cumbria, Northumberland, Tyne and Wear NHS Foundation Trust (2023) Cumbria, Northumberland, Tyne and Wear NHS Foundation Trust. Available at: https://www.cntw.nhs.uk/about/health-inequalities/pcref/pcref-plan/ (Accessed: 19 November 2025). </w:t>
      </w:r>
    </w:p>
    <w:p w14:paraId="3AEC142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Priebe, S. et al. (2012) 'Good practice in mental health care for socially marginalised groups in Europe: a qualitative study of expert views in 14 countries,' BMC Public Health, 12(1), p. 248. https://doi.org/10.1186/1471-2458-12-248. (Accessed 18 November 2025).</w:t>
      </w:r>
    </w:p>
    <w:p w14:paraId="0DCD591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Public Health England (2015) Local action on health inequalities: improving health literacy. https://www.gov.uk/government/publications/local-action-on-health-inequalities-improving-health-literacy. (Accessed 18 November 2025).</w:t>
      </w:r>
    </w:p>
    <w:p w14:paraId="19DEDB50" w14:textId="77777777" w:rsidR="004A54ED" w:rsidRPr="00A961A0" w:rsidRDefault="004A54ED" w:rsidP="0048554A">
      <w:pPr>
        <w:spacing w:line="360" w:lineRule="auto"/>
        <w:jc w:val="both"/>
        <w:rPr>
          <w:rFonts w:ascii="Arial" w:eastAsia="Aptos" w:hAnsi="Arial" w:cs="Arial"/>
          <w:color w:val="000000" w:themeColor="text1"/>
          <w:sz w:val="22"/>
          <w:szCs w:val="22"/>
        </w:rPr>
      </w:pPr>
      <w:r w:rsidRPr="00A961A0">
        <w:rPr>
          <w:rFonts w:ascii="Arial" w:eastAsia="Aptos" w:hAnsi="Arial" w:cs="Arial"/>
          <w:color w:val="000000" w:themeColor="text1"/>
          <w:sz w:val="22"/>
          <w:szCs w:val="22"/>
        </w:rPr>
        <w:t>Public Health England (2020) Disparities in the risk and outcomes of COVID-19. Available at: https://assets.publishing.service.gov.uk/media/5f328354d3bf7f1b12a7023a/Disparities_in_the_risk_and_outcomes_of_COVID_August_2020_update.pdf. (Accessed: 15 October 2025).</w:t>
      </w:r>
    </w:p>
    <w:p w14:paraId="15904263"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Richly, P. (2025) ‘Language barriers in mental healthcare: A critical analysis’, Australasian psychiatry: bulletin of the Royal Australian and New Zealand College of Psychiatrists, 33(3), pp. 336–338. Available at: https://doi.org/10.1177/10398562251316102. (Accessed 18 November 2025).</w:t>
      </w:r>
    </w:p>
    <w:p w14:paraId="5A4F9DE4"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Rimmer, A. (2013) 'BMA asks for GPs’ experiences of MRCGP exam,' BMJ, p. f6827. https://doi.org/10.1136/bmj.f6827. (Accessed: 19 September 2025).</w:t>
      </w:r>
    </w:p>
    <w:p w14:paraId="3B690A12"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Salway, S. et al. (2016) 'Obstacles to “race equality” in the English National Health Service: Insights from the healthcare commissioning arena,' Social Science &amp; Medicine, 152, pp. 102–110. https://doi.org/10.1016/j.socscimed.2016.01.031. (Accessed 18 November 2025).</w:t>
      </w:r>
    </w:p>
    <w:p w14:paraId="47B43100"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Salway, S. et al. (2020) 'Transforming the health system for the UK’s multiethnic population,' BMJ, 368, p. m268. https://doi.org/10.1136/bmj.m268. (Accessed 18 November 2025).</w:t>
      </w:r>
    </w:p>
    <w:p w14:paraId="66C8AC62"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D4002A">
        <w:rPr>
          <w:rFonts w:ascii="Arial" w:eastAsia="Aptos" w:hAnsi="Arial" w:cs="Arial"/>
          <w:color w:val="000000" w:themeColor="text1"/>
          <w:sz w:val="22"/>
          <w:szCs w:val="22"/>
        </w:rPr>
        <w:t xml:space="preserve">Santana, M.-J. et al. </w:t>
      </w:r>
      <w:r w:rsidRPr="00CA315D">
        <w:rPr>
          <w:rFonts w:ascii="Arial" w:eastAsia="Aptos" w:hAnsi="Arial" w:cs="Arial"/>
          <w:color w:val="000000" w:themeColor="text1"/>
          <w:sz w:val="22"/>
          <w:szCs w:val="22"/>
        </w:rPr>
        <w:t xml:space="preserve">(2020) ‘Improving the quality of person-centred healthcare from the patient perspective: development of person-centred quality indicators’, BMJ Open, 10(10), p. e037323. Available at: https://doi.org/10.1136/bmjopen-2020-037323. (Accessed: 25 November 2025). </w:t>
      </w:r>
    </w:p>
    <w:p w14:paraId="3B8A0E35"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Snyder, H. (2019) 'Literature review as a research methodology: An overview and guidelines,' Journal of Business Research, 104, pp. 333–339. https://doi.org/10.1016/j.jbusres.2019.07.039. (Accessed 30 October 2025).</w:t>
      </w:r>
    </w:p>
    <w:p w14:paraId="3A4FE298"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lastRenderedPageBreak/>
        <w:t xml:space="preserve">Spillett et al. (2024) 'Delivering person-centred care and support for the UK’s culturally diverse communities,' Frontline Briefing [Preprint]. https://www.researchinpractice.org.uk/media/nlqpcvr3/adults_fb_supportingworkacrosscultures_web.pdf. (Accessed 26 November 2025). </w:t>
      </w:r>
    </w:p>
    <w:p w14:paraId="25B4A4CE"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 xml:space="preserve">Stepanova, E. et al. (2025) '“I am not a priority”: ethnic minority experiences of navigating mental health support and the need for culturally sensitive services during and beyond the pandemic,' BMJ Mental Health, 28(1), p. e301481. https://doi.org/10.1136/bmjment-2024-301481. (Accessed 19 September 2025). </w:t>
      </w:r>
    </w:p>
    <w:p w14:paraId="1E234689"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 xml:space="preserve">Stepanova, E. et al. (2025) '“I am not a priority”: ethnic minority experiences of navigating mental health support and the need for culturally sensitive services during and beyond the pandemic,' BMJ Mental Health, 28(1), p. e301481. https://doi.org/10.1136/bmjment-2024-301481. (Accessed 20 November 2025). </w:t>
      </w:r>
    </w:p>
    <w:p w14:paraId="4A55A520" w14:textId="77777777" w:rsidR="004A54ED" w:rsidRPr="00A94E5B" w:rsidRDefault="004A54ED" w:rsidP="0048554A">
      <w:pPr>
        <w:spacing w:line="360" w:lineRule="auto"/>
        <w:jc w:val="both"/>
        <w:rPr>
          <w:rFonts w:ascii="Arial" w:eastAsia="Aptos" w:hAnsi="Arial" w:cs="Arial"/>
          <w:color w:val="000000" w:themeColor="text1"/>
          <w:sz w:val="22"/>
          <w:szCs w:val="22"/>
        </w:rPr>
      </w:pPr>
      <w:r w:rsidRPr="00A94E5B">
        <w:rPr>
          <w:rFonts w:ascii="Arial" w:eastAsia="Aptos" w:hAnsi="Arial" w:cs="Arial"/>
          <w:color w:val="000000" w:themeColor="text1"/>
          <w:sz w:val="22"/>
          <w:szCs w:val="22"/>
        </w:rPr>
        <w:t>Thomas, J. and Harden, A. (2008) ‘Methods for the thematic synthesis of qualitative research in systematic reviews’, BMC medical research methodology, 8(1). Available at: https://doi.org/10.1186/1471-2288-8-45. (Accessed 30 October 2025).</w:t>
      </w:r>
    </w:p>
    <w:p w14:paraId="52AC8EAC"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Thompson, C.T., Vidgen, A. and Roberts, N.P. (2018) 'Psychological interventions for post-traumatic stress disorder in refugees and asylum seekers: A systematic review and meta-analysis,' Clinical Psychology Review, 63, pp. 66–79. https://doi.org/10.1016/j.cpr.2018.06.006. (Accessed 21 November 2025).</w:t>
      </w:r>
    </w:p>
    <w:p w14:paraId="40EA325A"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Thornton, J. (2020) 'Ethnic minority patients receive worse mental healthcare than white patients, review finds,' BMJ, p. m1058. https://doi.org/10.1136/bmj.m1058.(Accessed 19 September 2025).</w:t>
      </w:r>
    </w:p>
    <w:p w14:paraId="739A86A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thriveldn.co.uk (2023) Impact Report 2022-23. https://thriveldn.co.uk/wp-content/uploads/2023/07/Thrive-LDN-Impact-Report-2022-23.pdf. (Accessed: 26 November 2025).</w:t>
      </w:r>
    </w:p>
    <w:p w14:paraId="0A2D8ED7" w14:textId="77777777" w:rsidR="004A54ED" w:rsidRPr="009A30C0" w:rsidRDefault="004A54ED" w:rsidP="0048554A">
      <w:pPr>
        <w:spacing w:line="360" w:lineRule="auto"/>
        <w:jc w:val="both"/>
        <w:rPr>
          <w:rFonts w:ascii="Arial" w:eastAsia="Aptos" w:hAnsi="Arial" w:cs="Arial"/>
          <w:color w:val="000000" w:themeColor="text1"/>
          <w:sz w:val="22"/>
          <w:szCs w:val="22"/>
        </w:rPr>
      </w:pPr>
      <w:r w:rsidRPr="009A30C0">
        <w:rPr>
          <w:rFonts w:ascii="Arial" w:eastAsia="Aptos" w:hAnsi="Arial" w:cs="Arial"/>
          <w:color w:val="000000" w:themeColor="text1"/>
          <w:sz w:val="22"/>
          <w:szCs w:val="22"/>
        </w:rPr>
        <w:t>Tribe, R. and Thompson, K. (2021) Working with Interpreters in Mental Health: Good Practice Guidelines. Edited by Professor Dinesh Bhugra and Prof Rachel Tribe. Springer. Available at: https://doi.org/10.1007/978-981-10-2366-8_38. (Accessed; 21 November 2025).</w:t>
      </w:r>
    </w:p>
    <w:p w14:paraId="10CD887A"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Truong, M., Paradies, Y. and Priest, N. (2014) ‘Interventions to Improve Cultural Competency in healthcare: a Systematic Review of Reviews’, BMC Health Services Research, 14(1). Available at: https://doi.org/10.1186/1472-6963-14-99. (Accessed: 25 November 2025).</w:t>
      </w:r>
    </w:p>
    <w:p w14:paraId="37F976E7"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t xml:space="preserve">Who.int. (2025). [online] Available at: https://iris.who.int/handle/10665/105670 (Accessed: 25 November 2025). </w:t>
      </w:r>
    </w:p>
    <w:p w14:paraId="785359CD" w14:textId="77777777" w:rsidR="004A54ED" w:rsidRPr="00CA315D" w:rsidRDefault="004A54ED" w:rsidP="0048554A">
      <w:pPr>
        <w:spacing w:line="360" w:lineRule="auto"/>
        <w:jc w:val="both"/>
        <w:rPr>
          <w:rFonts w:ascii="Arial" w:eastAsia="Aptos" w:hAnsi="Arial" w:cs="Arial"/>
          <w:color w:val="000000" w:themeColor="text1"/>
          <w:sz w:val="22"/>
          <w:szCs w:val="22"/>
        </w:rPr>
      </w:pPr>
      <w:r w:rsidRPr="00CA315D">
        <w:rPr>
          <w:rFonts w:ascii="Arial" w:eastAsia="Aptos" w:hAnsi="Arial" w:cs="Arial"/>
          <w:color w:val="000000" w:themeColor="text1"/>
          <w:sz w:val="22"/>
          <w:szCs w:val="22"/>
        </w:rPr>
        <w:lastRenderedPageBreak/>
        <w:t>Who.int. (2025). WHO EMRO - Mental health and substance use. [online] Available at: https://www.emro.who.int/mnh/mental-health-action-plan/. (Accessed: 25 November 2025).</w:t>
      </w:r>
    </w:p>
    <w:p w14:paraId="2A9AD7A7" w14:textId="77777777" w:rsidR="00AA5E76" w:rsidRDefault="00AA5E76" w:rsidP="0048554A">
      <w:pPr>
        <w:spacing w:line="360" w:lineRule="auto"/>
        <w:jc w:val="both"/>
        <w:rPr>
          <w:rFonts w:ascii="Arial" w:hAnsi="Arial" w:cs="Arial"/>
          <w:b/>
          <w:bCs/>
          <w:sz w:val="28"/>
          <w:szCs w:val="28"/>
        </w:rPr>
      </w:pPr>
    </w:p>
    <w:p w14:paraId="445C5CCE" w14:textId="77777777" w:rsidR="00AA5E76" w:rsidRDefault="00AA5E76" w:rsidP="0048554A">
      <w:pPr>
        <w:spacing w:line="360" w:lineRule="auto"/>
        <w:jc w:val="both"/>
        <w:rPr>
          <w:rFonts w:ascii="Arial" w:hAnsi="Arial" w:cs="Arial"/>
          <w:b/>
          <w:bCs/>
          <w:sz w:val="28"/>
          <w:szCs w:val="28"/>
        </w:rPr>
      </w:pPr>
    </w:p>
    <w:p w14:paraId="764A83B8" w14:textId="77777777" w:rsidR="00AA5E76" w:rsidRDefault="00AA5E76" w:rsidP="00B2686A">
      <w:pPr>
        <w:spacing w:line="360" w:lineRule="auto"/>
        <w:jc w:val="both"/>
        <w:rPr>
          <w:rFonts w:ascii="Arial" w:hAnsi="Arial" w:cs="Arial"/>
          <w:b/>
          <w:bCs/>
          <w:sz w:val="28"/>
          <w:szCs w:val="28"/>
        </w:rPr>
      </w:pPr>
    </w:p>
    <w:p w14:paraId="1AAB7004" w14:textId="77777777" w:rsidR="00AA5E76" w:rsidRDefault="00AA5E76" w:rsidP="00B2686A">
      <w:pPr>
        <w:spacing w:line="360" w:lineRule="auto"/>
        <w:jc w:val="both"/>
        <w:rPr>
          <w:rFonts w:ascii="Arial" w:hAnsi="Arial" w:cs="Arial"/>
          <w:b/>
          <w:bCs/>
          <w:sz w:val="28"/>
          <w:szCs w:val="28"/>
        </w:rPr>
      </w:pPr>
    </w:p>
    <w:p w14:paraId="79AF329B" w14:textId="77777777" w:rsidR="00AA5E76" w:rsidRDefault="00AA5E76" w:rsidP="00B2686A">
      <w:pPr>
        <w:spacing w:line="360" w:lineRule="auto"/>
        <w:jc w:val="both"/>
        <w:rPr>
          <w:rFonts w:ascii="Arial" w:hAnsi="Arial" w:cs="Arial"/>
          <w:b/>
          <w:bCs/>
          <w:sz w:val="28"/>
          <w:szCs w:val="28"/>
        </w:rPr>
      </w:pPr>
    </w:p>
    <w:p w14:paraId="0694BBD4" w14:textId="77777777" w:rsidR="00AA5E76" w:rsidRDefault="00AA5E76" w:rsidP="00B2686A">
      <w:pPr>
        <w:spacing w:line="360" w:lineRule="auto"/>
        <w:jc w:val="both"/>
        <w:rPr>
          <w:rFonts w:ascii="Arial" w:hAnsi="Arial" w:cs="Arial"/>
          <w:b/>
          <w:bCs/>
          <w:sz w:val="28"/>
          <w:szCs w:val="28"/>
        </w:rPr>
      </w:pPr>
    </w:p>
    <w:p w14:paraId="1251B9EC" w14:textId="77777777" w:rsidR="00AA5E76" w:rsidRDefault="00AA5E76" w:rsidP="00B2686A">
      <w:pPr>
        <w:spacing w:line="360" w:lineRule="auto"/>
        <w:jc w:val="both"/>
        <w:rPr>
          <w:rFonts w:ascii="Arial" w:hAnsi="Arial" w:cs="Arial"/>
          <w:b/>
          <w:bCs/>
          <w:sz w:val="28"/>
          <w:szCs w:val="28"/>
        </w:rPr>
      </w:pPr>
    </w:p>
    <w:p w14:paraId="5E20A828" w14:textId="77777777" w:rsidR="00AA5E76" w:rsidRDefault="00AA5E76" w:rsidP="00B2686A">
      <w:pPr>
        <w:spacing w:line="360" w:lineRule="auto"/>
        <w:jc w:val="both"/>
        <w:rPr>
          <w:rFonts w:ascii="Arial" w:hAnsi="Arial" w:cs="Arial"/>
          <w:b/>
          <w:bCs/>
          <w:sz w:val="28"/>
          <w:szCs w:val="28"/>
        </w:rPr>
      </w:pPr>
    </w:p>
    <w:p w14:paraId="1B197262" w14:textId="77777777" w:rsidR="00AA5E76" w:rsidRDefault="00AA5E76" w:rsidP="00B2686A">
      <w:pPr>
        <w:spacing w:line="360" w:lineRule="auto"/>
        <w:jc w:val="both"/>
        <w:rPr>
          <w:rFonts w:ascii="Arial" w:hAnsi="Arial" w:cs="Arial"/>
          <w:b/>
          <w:bCs/>
          <w:sz w:val="28"/>
          <w:szCs w:val="28"/>
        </w:rPr>
      </w:pPr>
    </w:p>
    <w:p w14:paraId="223B310D" w14:textId="77777777" w:rsidR="00AA5E76" w:rsidRDefault="00AA5E76" w:rsidP="00B2686A">
      <w:pPr>
        <w:spacing w:line="360" w:lineRule="auto"/>
        <w:jc w:val="both"/>
        <w:rPr>
          <w:rFonts w:ascii="Arial" w:hAnsi="Arial" w:cs="Arial"/>
          <w:b/>
          <w:bCs/>
          <w:sz w:val="28"/>
          <w:szCs w:val="28"/>
        </w:rPr>
      </w:pPr>
    </w:p>
    <w:p w14:paraId="43D8A1D7" w14:textId="77777777" w:rsidR="00AA5E76" w:rsidRDefault="00AA5E76" w:rsidP="00B2686A">
      <w:pPr>
        <w:spacing w:line="360" w:lineRule="auto"/>
        <w:jc w:val="both"/>
        <w:rPr>
          <w:rFonts w:ascii="Arial" w:hAnsi="Arial" w:cs="Arial"/>
          <w:b/>
          <w:bCs/>
          <w:sz w:val="28"/>
          <w:szCs w:val="28"/>
        </w:rPr>
      </w:pPr>
    </w:p>
    <w:p w14:paraId="6D5B1076" w14:textId="77777777" w:rsidR="00CE4D67" w:rsidRDefault="00CE4D67" w:rsidP="00B2686A">
      <w:pPr>
        <w:spacing w:line="360" w:lineRule="auto"/>
        <w:jc w:val="both"/>
        <w:rPr>
          <w:rFonts w:ascii="Arial" w:hAnsi="Arial" w:cs="Arial"/>
          <w:b/>
          <w:bCs/>
          <w:sz w:val="28"/>
          <w:szCs w:val="28"/>
        </w:rPr>
      </w:pPr>
    </w:p>
    <w:p w14:paraId="0AC963ED" w14:textId="77777777" w:rsidR="00CE4D67" w:rsidRDefault="00CE4D67" w:rsidP="00B2686A">
      <w:pPr>
        <w:spacing w:line="360" w:lineRule="auto"/>
        <w:jc w:val="both"/>
        <w:rPr>
          <w:rFonts w:ascii="Arial" w:hAnsi="Arial" w:cs="Arial"/>
          <w:b/>
          <w:bCs/>
          <w:sz w:val="28"/>
          <w:szCs w:val="28"/>
        </w:rPr>
      </w:pPr>
    </w:p>
    <w:p w14:paraId="2931561E" w14:textId="77777777" w:rsidR="00CE4D67" w:rsidRDefault="00CE4D67" w:rsidP="00B2686A">
      <w:pPr>
        <w:spacing w:line="360" w:lineRule="auto"/>
        <w:jc w:val="both"/>
        <w:rPr>
          <w:rFonts w:ascii="Arial" w:hAnsi="Arial" w:cs="Arial"/>
          <w:b/>
          <w:bCs/>
          <w:sz w:val="28"/>
          <w:szCs w:val="28"/>
        </w:rPr>
      </w:pPr>
    </w:p>
    <w:p w14:paraId="6D7C5379" w14:textId="77777777" w:rsidR="00CE4D67" w:rsidRDefault="00CE4D67" w:rsidP="00B2686A">
      <w:pPr>
        <w:spacing w:line="360" w:lineRule="auto"/>
        <w:jc w:val="both"/>
        <w:rPr>
          <w:rFonts w:ascii="Arial" w:hAnsi="Arial" w:cs="Arial"/>
          <w:b/>
          <w:bCs/>
          <w:sz w:val="28"/>
          <w:szCs w:val="28"/>
        </w:rPr>
      </w:pPr>
    </w:p>
    <w:p w14:paraId="4038C851" w14:textId="77777777" w:rsidR="00CE4D67" w:rsidRDefault="00CE4D67" w:rsidP="00B2686A">
      <w:pPr>
        <w:spacing w:line="360" w:lineRule="auto"/>
        <w:jc w:val="both"/>
        <w:rPr>
          <w:rFonts w:ascii="Arial" w:hAnsi="Arial" w:cs="Arial"/>
          <w:b/>
          <w:bCs/>
          <w:sz w:val="28"/>
          <w:szCs w:val="28"/>
        </w:rPr>
      </w:pPr>
    </w:p>
    <w:p w14:paraId="3738676C" w14:textId="77777777" w:rsidR="00CE4D67" w:rsidRDefault="00CE4D67" w:rsidP="00B2686A">
      <w:pPr>
        <w:spacing w:line="360" w:lineRule="auto"/>
        <w:jc w:val="both"/>
        <w:rPr>
          <w:rFonts w:ascii="Arial" w:hAnsi="Arial" w:cs="Arial"/>
          <w:b/>
          <w:bCs/>
          <w:sz w:val="28"/>
          <w:szCs w:val="28"/>
        </w:rPr>
      </w:pPr>
    </w:p>
    <w:p w14:paraId="1A320681" w14:textId="77777777" w:rsidR="00CE4D67" w:rsidRDefault="00CE4D67" w:rsidP="00B2686A">
      <w:pPr>
        <w:spacing w:line="360" w:lineRule="auto"/>
        <w:jc w:val="both"/>
        <w:rPr>
          <w:rFonts w:ascii="Arial" w:hAnsi="Arial" w:cs="Arial"/>
          <w:b/>
          <w:bCs/>
          <w:sz w:val="28"/>
          <w:szCs w:val="28"/>
        </w:rPr>
      </w:pPr>
    </w:p>
    <w:p w14:paraId="2FD56276" w14:textId="77777777" w:rsidR="00CE4D67" w:rsidRDefault="00CE4D67" w:rsidP="00B2686A">
      <w:pPr>
        <w:spacing w:line="360" w:lineRule="auto"/>
        <w:jc w:val="both"/>
        <w:rPr>
          <w:rFonts w:ascii="Arial" w:hAnsi="Arial" w:cs="Arial"/>
          <w:b/>
          <w:bCs/>
          <w:sz w:val="28"/>
          <w:szCs w:val="28"/>
        </w:rPr>
      </w:pPr>
    </w:p>
    <w:p w14:paraId="311D04E7" w14:textId="77777777" w:rsidR="00CE4D67" w:rsidRDefault="00CE4D67" w:rsidP="00B2686A">
      <w:pPr>
        <w:spacing w:line="360" w:lineRule="auto"/>
        <w:jc w:val="both"/>
        <w:rPr>
          <w:rFonts w:ascii="Arial" w:hAnsi="Arial" w:cs="Arial"/>
          <w:b/>
          <w:bCs/>
          <w:sz w:val="28"/>
          <w:szCs w:val="28"/>
        </w:rPr>
      </w:pPr>
    </w:p>
    <w:p w14:paraId="61336681" w14:textId="282F13F2" w:rsidR="00A937BB" w:rsidRDefault="00531216" w:rsidP="00B2686A">
      <w:pPr>
        <w:spacing w:line="360" w:lineRule="auto"/>
        <w:jc w:val="both"/>
        <w:rPr>
          <w:rFonts w:ascii="Arial" w:hAnsi="Arial" w:cs="Arial"/>
          <w:b/>
          <w:bCs/>
          <w:sz w:val="28"/>
          <w:szCs w:val="28"/>
        </w:rPr>
      </w:pPr>
      <w:r w:rsidRPr="00531216">
        <w:rPr>
          <w:rFonts w:ascii="Arial" w:hAnsi="Arial" w:cs="Arial"/>
          <w:b/>
          <w:bCs/>
          <w:sz w:val="28"/>
          <w:szCs w:val="28"/>
        </w:rPr>
        <w:lastRenderedPageBreak/>
        <w:t>6.</w:t>
      </w:r>
      <w:r>
        <w:rPr>
          <w:rFonts w:ascii="Arial" w:hAnsi="Arial" w:cs="Arial"/>
          <w:b/>
          <w:bCs/>
          <w:sz w:val="28"/>
          <w:szCs w:val="28"/>
        </w:rPr>
        <w:t>2 Appendices</w:t>
      </w:r>
    </w:p>
    <w:p w14:paraId="2EE589AF" w14:textId="3F5638C9" w:rsidR="00AA5E76" w:rsidRPr="00AA5E76" w:rsidRDefault="00AA5E76" w:rsidP="00AA5E76">
      <w:pPr>
        <w:pStyle w:val="Heading1"/>
        <w:spacing w:line="360" w:lineRule="auto"/>
        <w:jc w:val="center"/>
        <w:rPr>
          <w:rFonts w:ascii="Arial" w:hAnsi="Arial" w:cs="Arial"/>
          <w:b/>
          <w:bCs/>
          <w:color w:val="auto"/>
          <w:sz w:val="28"/>
          <w:szCs w:val="28"/>
        </w:rPr>
      </w:pPr>
      <w:bookmarkStart w:id="6" w:name="_Hlk215169046"/>
      <w:r w:rsidRPr="00AA5E76">
        <w:rPr>
          <w:rFonts w:ascii="Arial" w:hAnsi="Arial" w:cs="Arial"/>
          <w:b/>
          <w:bCs/>
          <w:color w:val="auto"/>
          <w:sz w:val="28"/>
          <w:szCs w:val="28"/>
        </w:rPr>
        <w:t>BMHP6020 Independent Project Source Tracking Table</w:t>
      </w:r>
    </w:p>
    <w:p w14:paraId="36DFD5B7" w14:textId="77777777" w:rsidR="00AA5E76" w:rsidRPr="00D81FBC" w:rsidRDefault="00AA5E76" w:rsidP="00AA5E76">
      <w:pPr>
        <w:spacing w:line="360" w:lineRule="auto"/>
        <w:jc w:val="center"/>
        <w:rPr>
          <w:rFonts w:ascii="Arial" w:hAnsi="Arial" w:cs="Arial"/>
          <w:b/>
          <w:bCs/>
        </w:rPr>
      </w:pPr>
      <w:r w:rsidRPr="00D81FBC">
        <w:rPr>
          <w:rFonts w:ascii="Arial" w:hAnsi="Arial" w:cs="Arial"/>
          <w:b/>
          <w:bCs/>
        </w:rPr>
        <w:t>Title: What are the barriers to receiving Mental Health services among the ethnic minority group in the UK</w:t>
      </w:r>
    </w:p>
    <w:tbl>
      <w:tblPr>
        <w:tblStyle w:val="PlainTable1"/>
        <w:tblW w:w="6157" w:type="pct"/>
        <w:tblInd w:w="-998" w:type="dxa"/>
        <w:tblLook w:val="01A0" w:firstRow="1" w:lastRow="0" w:firstColumn="1" w:lastColumn="1" w:noHBand="0" w:noVBand="0"/>
      </w:tblPr>
      <w:tblGrid>
        <w:gridCol w:w="1757"/>
        <w:gridCol w:w="1160"/>
        <w:gridCol w:w="2317"/>
        <w:gridCol w:w="3175"/>
        <w:gridCol w:w="1350"/>
        <w:gridCol w:w="1343"/>
      </w:tblGrid>
      <w:tr w:rsidR="00AA5E76" w:rsidRPr="0062772D" w14:paraId="0EE152DF" w14:textId="77777777" w:rsidTr="00AA5E76">
        <w:trPr>
          <w:cnfStyle w:val="100000000000" w:firstRow="1" w:lastRow="0" w:firstColumn="0" w:lastColumn="0" w:oddVBand="0" w:evenVBand="0" w:oddHBand="0" w:evenHBand="0" w:firstRowFirstColumn="0" w:firstRowLastColumn="0" w:lastRowFirstColumn="0" w:lastRowLastColumn="0"/>
          <w:trHeight w:val="999"/>
        </w:trPr>
        <w:tc>
          <w:tcPr>
            <w:cnfStyle w:val="001000000000" w:firstRow="0" w:lastRow="0" w:firstColumn="1" w:lastColumn="0" w:oddVBand="0" w:evenVBand="0" w:oddHBand="0" w:evenHBand="0" w:firstRowFirstColumn="0" w:firstRowLastColumn="0" w:lastRowFirstColumn="0" w:lastRowLastColumn="0"/>
            <w:tcW w:w="791" w:type="pct"/>
          </w:tcPr>
          <w:p w14:paraId="4416B0D6" w14:textId="77777777" w:rsidR="00AA5E76" w:rsidRPr="0062772D" w:rsidRDefault="00AA5E76" w:rsidP="00910F1B">
            <w:pPr>
              <w:spacing w:line="360" w:lineRule="auto"/>
              <w:rPr>
                <w:rFonts w:ascii="Arial" w:hAnsi="Arial" w:cs="Arial"/>
                <w:sz w:val="18"/>
                <w:szCs w:val="18"/>
              </w:rPr>
            </w:pPr>
            <w:bookmarkStart w:id="7" w:name="_Hlk212081460"/>
            <w:r w:rsidRPr="0062772D">
              <w:rPr>
                <w:rFonts w:ascii="Segoe UI Emoji" w:hAnsi="Segoe UI Emoji" w:cs="Segoe UI Emoji"/>
                <w:sz w:val="18"/>
                <w:szCs w:val="18"/>
              </w:rPr>
              <w:t>✅</w:t>
            </w:r>
            <w:r w:rsidRPr="0062772D">
              <w:rPr>
                <w:rFonts w:ascii="Arial" w:hAnsi="Arial" w:cs="Arial"/>
                <w:sz w:val="18"/>
                <w:szCs w:val="18"/>
              </w:rPr>
              <w:t xml:space="preserve"> Saved?</w:t>
            </w:r>
          </w:p>
        </w:tc>
        <w:tc>
          <w:tcPr>
            <w:cnfStyle w:val="000010000000" w:firstRow="0" w:lastRow="0" w:firstColumn="0" w:lastColumn="0" w:oddVBand="1" w:evenVBand="0" w:oddHBand="0" w:evenHBand="0" w:firstRowFirstColumn="0" w:firstRowLastColumn="0" w:lastRowFirstColumn="0" w:lastRowLastColumn="0"/>
            <w:tcW w:w="522" w:type="pct"/>
          </w:tcPr>
          <w:p w14:paraId="358AD60A"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Author &amp; Year</w:t>
            </w:r>
          </w:p>
        </w:tc>
        <w:tc>
          <w:tcPr>
            <w:tcW w:w="1043" w:type="pct"/>
          </w:tcPr>
          <w:p w14:paraId="2A41FE5F" w14:textId="77777777" w:rsidR="00AA5E76" w:rsidRPr="0062772D" w:rsidRDefault="00AA5E76" w:rsidP="00910F1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2772D">
              <w:rPr>
                <w:rFonts w:ascii="Arial" w:hAnsi="Arial" w:cs="Arial"/>
                <w:sz w:val="18"/>
                <w:szCs w:val="18"/>
              </w:rPr>
              <w:t>Title</w:t>
            </w:r>
          </w:p>
        </w:tc>
        <w:tc>
          <w:tcPr>
            <w:cnfStyle w:val="000010000000" w:firstRow="0" w:lastRow="0" w:firstColumn="0" w:lastColumn="0" w:oddVBand="1" w:evenVBand="0" w:oddHBand="0" w:evenHBand="0" w:firstRowFirstColumn="0" w:firstRowLastColumn="0" w:lastRowFirstColumn="0" w:lastRowLastColumn="0"/>
            <w:tcW w:w="1430" w:type="pct"/>
          </w:tcPr>
          <w:p w14:paraId="40C859F4"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Summary</w:t>
            </w:r>
          </w:p>
        </w:tc>
        <w:tc>
          <w:tcPr>
            <w:tcW w:w="608" w:type="pct"/>
          </w:tcPr>
          <w:p w14:paraId="612FBE81" w14:textId="77777777" w:rsidR="00AA5E76" w:rsidRPr="0062772D" w:rsidRDefault="00AA5E76" w:rsidP="00910F1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2772D">
              <w:rPr>
                <w:rFonts w:ascii="Arial" w:hAnsi="Arial" w:cs="Arial"/>
                <w:sz w:val="18"/>
                <w:szCs w:val="18"/>
              </w:rPr>
              <w:t>CRAAP Notes</w:t>
            </w:r>
          </w:p>
        </w:tc>
        <w:tc>
          <w:tcPr>
            <w:cnfStyle w:val="000100000000" w:firstRow="0" w:lastRow="0" w:firstColumn="0" w:lastColumn="1" w:oddVBand="0" w:evenVBand="0" w:oddHBand="0" w:evenHBand="0" w:firstRowFirstColumn="0" w:firstRowLastColumn="0" w:lastRowFirstColumn="0" w:lastRowLastColumn="0"/>
            <w:tcW w:w="605" w:type="pct"/>
          </w:tcPr>
          <w:p w14:paraId="7FAC4508"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 xml:space="preserve">File Name / Link to Source </w:t>
            </w:r>
          </w:p>
        </w:tc>
      </w:tr>
      <w:tr w:rsidR="00AA5E76" w:rsidRPr="0062772D" w14:paraId="70C1284A" w14:textId="77777777" w:rsidTr="00AA5E76">
        <w:trPr>
          <w:cnfStyle w:val="000000100000" w:firstRow="0" w:lastRow="0" w:firstColumn="0" w:lastColumn="0" w:oddVBand="0" w:evenVBand="0" w:oddHBand="1" w:evenHBand="0" w:firstRowFirstColumn="0" w:firstRowLastColumn="0" w:lastRowFirstColumn="0" w:lastRowLastColumn="0"/>
          <w:trHeight w:val="901"/>
        </w:trPr>
        <w:tc>
          <w:tcPr>
            <w:cnfStyle w:val="001000000000" w:firstRow="0" w:lastRow="0" w:firstColumn="1" w:lastColumn="0" w:oddVBand="0" w:evenVBand="0" w:oddHBand="0" w:evenHBand="0" w:firstRowFirstColumn="0" w:firstRowLastColumn="0" w:lastRowFirstColumn="0" w:lastRowLastColumn="0"/>
            <w:tcW w:w="791" w:type="pct"/>
          </w:tcPr>
          <w:p w14:paraId="7534FE5D"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 xml:space="preserve"> Yes</w:t>
            </w:r>
          </w:p>
        </w:tc>
        <w:tc>
          <w:tcPr>
            <w:cnfStyle w:val="000010000000" w:firstRow="0" w:lastRow="0" w:firstColumn="0" w:lastColumn="0" w:oddVBand="1" w:evenVBand="0" w:oddHBand="0" w:evenHBand="0" w:firstRowFirstColumn="0" w:firstRowLastColumn="0" w:lastRowFirstColumn="0" w:lastRowLastColumn="0"/>
            <w:tcW w:w="522" w:type="pct"/>
          </w:tcPr>
          <w:p w14:paraId="0D0F2F53"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Creswell and Creswell (2023)</w:t>
            </w:r>
          </w:p>
        </w:tc>
        <w:tc>
          <w:tcPr>
            <w:tcW w:w="1043" w:type="pct"/>
          </w:tcPr>
          <w:p w14:paraId="1A97283F" w14:textId="77777777"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 xml:space="preserve"> Research design: Qualitative, quantitative, and mixed methods approach. </w:t>
            </w:r>
          </w:p>
        </w:tc>
        <w:tc>
          <w:tcPr>
            <w:cnfStyle w:val="000010000000" w:firstRow="0" w:lastRow="0" w:firstColumn="0" w:lastColumn="0" w:oddVBand="1" w:evenVBand="0" w:oddHBand="0" w:evenHBand="0" w:firstRowFirstColumn="0" w:firstRowLastColumn="0" w:lastRowFirstColumn="0" w:lastRowLastColumn="0"/>
            <w:tcW w:w="1430" w:type="pct"/>
          </w:tcPr>
          <w:p w14:paraId="33EFA8FE"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Qualitative, Quantitative, and mixed method</w:t>
            </w:r>
          </w:p>
        </w:tc>
        <w:tc>
          <w:tcPr>
            <w:tcW w:w="608" w:type="pct"/>
          </w:tcPr>
          <w:p w14:paraId="0C32E348" w14:textId="77777777"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Current, updated research</w:t>
            </w:r>
          </w:p>
        </w:tc>
        <w:tc>
          <w:tcPr>
            <w:cnfStyle w:val="000100000000" w:firstRow="0" w:lastRow="0" w:firstColumn="0" w:lastColumn="1" w:oddVBand="0" w:evenVBand="0" w:oddHBand="0" w:evenHBand="0" w:firstRowFirstColumn="0" w:firstRowLastColumn="0" w:lastRowFirstColumn="0" w:lastRowLastColumn="0"/>
            <w:tcW w:w="605" w:type="pct"/>
          </w:tcPr>
          <w:p w14:paraId="1745EDD1"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 xml:space="preserve"> N/A</w:t>
            </w:r>
          </w:p>
        </w:tc>
      </w:tr>
      <w:tr w:rsidR="00AA5E76" w:rsidRPr="0062772D" w14:paraId="1E6A2ED1" w14:textId="77777777" w:rsidTr="00AA5E76">
        <w:trPr>
          <w:trHeight w:val="749"/>
        </w:trPr>
        <w:tc>
          <w:tcPr>
            <w:cnfStyle w:val="001000000000" w:firstRow="0" w:lastRow="0" w:firstColumn="1" w:lastColumn="0" w:oddVBand="0" w:evenVBand="0" w:oddHBand="0" w:evenHBand="0" w:firstRowFirstColumn="0" w:firstRowLastColumn="0" w:lastRowFirstColumn="0" w:lastRowLastColumn="0"/>
            <w:tcW w:w="791" w:type="pct"/>
          </w:tcPr>
          <w:p w14:paraId="3D339605"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Yes</w:t>
            </w:r>
          </w:p>
        </w:tc>
        <w:tc>
          <w:tcPr>
            <w:cnfStyle w:val="000010000000" w:firstRow="0" w:lastRow="0" w:firstColumn="0" w:lastColumn="0" w:oddVBand="1" w:evenVBand="0" w:oddHBand="0" w:evenHBand="0" w:firstRowFirstColumn="0" w:firstRowLastColumn="0" w:lastRowFirstColumn="0" w:lastRowLastColumn="0"/>
            <w:tcW w:w="522" w:type="pct"/>
          </w:tcPr>
          <w:p w14:paraId="7F0F1075"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Aveyard and Bradbury-Jones (2019)</w:t>
            </w:r>
          </w:p>
        </w:tc>
        <w:tc>
          <w:tcPr>
            <w:tcW w:w="1043" w:type="pct"/>
          </w:tcPr>
          <w:p w14:paraId="7FF7661D" w14:textId="77777777" w:rsidR="00AA5E76" w:rsidRPr="0062772D" w:rsidRDefault="00AA5E76" w:rsidP="00910F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Analysis of current practices in undertaking literature reviews</w:t>
            </w:r>
          </w:p>
        </w:tc>
        <w:tc>
          <w:tcPr>
            <w:cnfStyle w:val="000010000000" w:firstRow="0" w:lastRow="0" w:firstColumn="0" w:lastColumn="0" w:oddVBand="1" w:evenVBand="0" w:oddHBand="0" w:evenHBand="0" w:firstRowFirstColumn="0" w:firstRowLastColumn="0" w:lastRowFirstColumn="0" w:lastRowLastColumn="0"/>
            <w:tcW w:w="1430" w:type="pct"/>
          </w:tcPr>
          <w:p w14:paraId="5115726D"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An analysis on current practice</w:t>
            </w:r>
          </w:p>
        </w:tc>
        <w:tc>
          <w:tcPr>
            <w:tcW w:w="608" w:type="pct"/>
          </w:tcPr>
          <w:p w14:paraId="3ED39E3C" w14:textId="77777777" w:rsidR="00AA5E76" w:rsidRPr="0062772D" w:rsidRDefault="00AA5E76" w:rsidP="00910F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A Literature review</w:t>
            </w:r>
          </w:p>
        </w:tc>
        <w:tc>
          <w:tcPr>
            <w:cnfStyle w:val="000100000000" w:firstRow="0" w:lastRow="0" w:firstColumn="0" w:lastColumn="1" w:oddVBand="0" w:evenVBand="0" w:oddHBand="0" w:evenHBand="0" w:firstRowFirstColumn="0" w:firstRowLastColumn="0" w:lastRowFirstColumn="0" w:lastRowLastColumn="0"/>
            <w:tcW w:w="605" w:type="pct"/>
          </w:tcPr>
          <w:p w14:paraId="576A2715"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Practices, undertaking literature review in Nursing.</w:t>
            </w:r>
          </w:p>
        </w:tc>
      </w:tr>
      <w:tr w:rsidR="00AA5E76" w:rsidRPr="0062772D" w14:paraId="114DDECB" w14:textId="77777777" w:rsidTr="00AA5E76">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791" w:type="pct"/>
          </w:tcPr>
          <w:p w14:paraId="6A92C7C3"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Yes</w:t>
            </w:r>
          </w:p>
        </w:tc>
        <w:tc>
          <w:tcPr>
            <w:cnfStyle w:val="000010000000" w:firstRow="0" w:lastRow="0" w:firstColumn="0" w:lastColumn="0" w:oddVBand="1" w:evenVBand="0" w:oddHBand="0" w:evenHBand="0" w:firstRowFirstColumn="0" w:firstRowLastColumn="0" w:lastRowFirstColumn="0" w:lastRowLastColumn="0"/>
            <w:tcW w:w="522" w:type="pct"/>
          </w:tcPr>
          <w:p w14:paraId="1C067AC1"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Bhui et al. (2018)</w:t>
            </w:r>
          </w:p>
        </w:tc>
        <w:tc>
          <w:tcPr>
            <w:tcW w:w="1043" w:type="pct"/>
          </w:tcPr>
          <w:p w14:paraId="3F9FFBB4" w14:textId="77777777"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Barriers to mental healthcare for ethnic minorities in the UK</w:t>
            </w:r>
          </w:p>
        </w:tc>
        <w:tc>
          <w:tcPr>
            <w:cnfStyle w:val="000010000000" w:firstRow="0" w:lastRow="0" w:firstColumn="0" w:lastColumn="0" w:oddVBand="1" w:evenVBand="0" w:oddHBand="0" w:evenHBand="0" w:firstRowFirstColumn="0" w:firstRowLastColumn="0" w:lastRowFirstColumn="0" w:lastRowLastColumn="0"/>
            <w:tcW w:w="1430" w:type="pct"/>
          </w:tcPr>
          <w:p w14:paraId="77880E11"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Identifies stigma, language, and cultural misunderstanding as key barriers.</w:t>
            </w:r>
          </w:p>
        </w:tc>
        <w:tc>
          <w:tcPr>
            <w:tcW w:w="608" w:type="pct"/>
          </w:tcPr>
          <w:p w14:paraId="39908EAC" w14:textId="77777777"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Peer -reviewed journal article</w:t>
            </w:r>
          </w:p>
        </w:tc>
        <w:tc>
          <w:tcPr>
            <w:cnfStyle w:val="000100000000" w:firstRow="0" w:lastRow="0" w:firstColumn="0" w:lastColumn="1" w:oddVBand="0" w:evenVBand="0" w:oddHBand="0" w:evenHBand="0" w:firstRowFirstColumn="0" w:firstRowLastColumn="0" w:lastRowFirstColumn="0" w:lastRowLastColumn="0"/>
            <w:tcW w:w="605" w:type="pct"/>
          </w:tcPr>
          <w:p w14:paraId="79BE36EB"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Mental health, ethnic minority group</w:t>
            </w:r>
          </w:p>
        </w:tc>
      </w:tr>
      <w:tr w:rsidR="00AA5E76" w:rsidRPr="0062772D" w14:paraId="32AE540E" w14:textId="77777777" w:rsidTr="00AA5E76">
        <w:trPr>
          <w:trHeight w:val="787"/>
        </w:trPr>
        <w:tc>
          <w:tcPr>
            <w:cnfStyle w:val="001000000000" w:firstRow="0" w:lastRow="0" w:firstColumn="1" w:lastColumn="0" w:oddVBand="0" w:evenVBand="0" w:oddHBand="0" w:evenHBand="0" w:firstRowFirstColumn="0" w:firstRowLastColumn="0" w:lastRowFirstColumn="0" w:lastRowLastColumn="0"/>
            <w:tcW w:w="791" w:type="pct"/>
          </w:tcPr>
          <w:p w14:paraId="7368CA50"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Yes</w:t>
            </w:r>
          </w:p>
        </w:tc>
        <w:tc>
          <w:tcPr>
            <w:cnfStyle w:val="000010000000" w:firstRow="0" w:lastRow="0" w:firstColumn="0" w:lastColumn="0" w:oddVBand="1" w:evenVBand="0" w:oddHBand="0" w:evenHBand="0" w:firstRowFirstColumn="0" w:firstRowLastColumn="0" w:lastRowFirstColumn="0" w:lastRowLastColumn="0"/>
            <w:tcW w:w="522" w:type="pct"/>
          </w:tcPr>
          <w:p w14:paraId="16266496"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NHS (2021)</w:t>
            </w:r>
          </w:p>
        </w:tc>
        <w:tc>
          <w:tcPr>
            <w:tcW w:w="1043" w:type="pct"/>
          </w:tcPr>
          <w:p w14:paraId="59ED9C57" w14:textId="77777777" w:rsidR="00AA5E76" w:rsidRPr="0062772D" w:rsidRDefault="00AA5E76" w:rsidP="00910F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Mental health and wellbeing strategy 2021 - 2026.</w:t>
            </w:r>
          </w:p>
        </w:tc>
        <w:tc>
          <w:tcPr>
            <w:cnfStyle w:val="000010000000" w:firstRow="0" w:lastRow="0" w:firstColumn="0" w:lastColumn="0" w:oddVBand="1" w:evenVBand="0" w:oddHBand="0" w:evenHBand="0" w:firstRowFirstColumn="0" w:firstRowLastColumn="0" w:lastRowFirstColumn="0" w:lastRowLastColumn="0"/>
            <w:tcW w:w="1430" w:type="pct"/>
          </w:tcPr>
          <w:p w14:paraId="0B93AB3F"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Outlined national strategies to improve equitable mental health access.</w:t>
            </w:r>
          </w:p>
        </w:tc>
        <w:tc>
          <w:tcPr>
            <w:tcW w:w="608" w:type="pct"/>
          </w:tcPr>
          <w:p w14:paraId="3B1D4A1B" w14:textId="77777777" w:rsidR="00AA5E76" w:rsidRPr="0062772D" w:rsidRDefault="00AA5E76" w:rsidP="00910F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Government report</w:t>
            </w:r>
          </w:p>
        </w:tc>
        <w:tc>
          <w:tcPr>
            <w:cnfStyle w:val="000100000000" w:firstRow="0" w:lastRow="0" w:firstColumn="0" w:lastColumn="1" w:oddVBand="0" w:evenVBand="0" w:oddHBand="0" w:evenHBand="0" w:firstRowFirstColumn="0" w:firstRowLastColumn="0" w:lastRowFirstColumn="0" w:lastRowLastColumn="0"/>
            <w:tcW w:w="605" w:type="pct"/>
          </w:tcPr>
          <w:p w14:paraId="6DB0CCD1"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Policy context for reducing disparities.</w:t>
            </w:r>
          </w:p>
        </w:tc>
      </w:tr>
      <w:tr w:rsidR="00AA5E76" w:rsidRPr="0062772D" w14:paraId="21811408" w14:textId="77777777" w:rsidTr="00AA5E76">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791" w:type="pct"/>
          </w:tcPr>
          <w:p w14:paraId="64DB66BD"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Yes</w:t>
            </w:r>
          </w:p>
        </w:tc>
        <w:tc>
          <w:tcPr>
            <w:cnfStyle w:val="000010000000" w:firstRow="0" w:lastRow="0" w:firstColumn="0" w:lastColumn="0" w:oddVBand="1" w:evenVBand="0" w:oddHBand="0" w:evenHBand="0" w:firstRowFirstColumn="0" w:firstRowLastColumn="0" w:lastRowFirstColumn="0" w:lastRowLastColumn="0"/>
            <w:tcW w:w="522" w:type="pct"/>
          </w:tcPr>
          <w:p w14:paraId="50014FB4"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Smith and Patel (2019)</w:t>
            </w:r>
          </w:p>
        </w:tc>
        <w:tc>
          <w:tcPr>
            <w:tcW w:w="1043" w:type="pct"/>
          </w:tcPr>
          <w:p w14:paraId="5D5B8D92" w14:textId="77777777"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Cultural competence in Mental Health practice</w:t>
            </w:r>
          </w:p>
        </w:tc>
        <w:tc>
          <w:tcPr>
            <w:cnfStyle w:val="000010000000" w:firstRow="0" w:lastRow="0" w:firstColumn="0" w:lastColumn="0" w:oddVBand="1" w:evenVBand="0" w:oddHBand="0" w:evenHBand="0" w:firstRowFirstColumn="0" w:firstRowLastColumn="0" w:lastRowFirstColumn="0" w:lastRowLastColumn="0"/>
            <w:tcW w:w="1430" w:type="pct"/>
          </w:tcPr>
          <w:p w14:paraId="1C530A6F" w14:textId="77777777" w:rsidR="00AA5E76" w:rsidRPr="0062772D" w:rsidRDefault="00AA5E76" w:rsidP="00910F1B">
            <w:pPr>
              <w:spacing w:line="360" w:lineRule="auto"/>
              <w:rPr>
                <w:rFonts w:ascii="Arial" w:hAnsi="Arial" w:cs="Arial"/>
                <w:b/>
                <w:bCs/>
                <w:sz w:val="18"/>
                <w:szCs w:val="18"/>
              </w:rPr>
            </w:pPr>
            <w:r w:rsidRPr="0062772D">
              <w:rPr>
                <w:rFonts w:ascii="Arial" w:hAnsi="Arial" w:cs="Arial"/>
                <w:b/>
                <w:bCs/>
                <w:sz w:val="18"/>
                <w:szCs w:val="18"/>
              </w:rPr>
              <w:t>Discuss need for culturally sensitive services.</w:t>
            </w:r>
          </w:p>
        </w:tc>
        <w:tc>
          <w:tcPr>
            <w:tcW w:w="608" w:type="pct"/>
          </w:tcPr>
          <w:p w14:paraId="38C4097C" w14:textId="79A37AAE" w:rsidR="00AA5E76" w:rsidRPr="0062772D" w:rsidRDefault="00AA5E76" w:rsidP="00910F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62772D">
              <w:rPr>
                <w:rFonts w:ascii="Arial" w:hAnsi="Arial" w:cs="Arial"/>
                <w:b/>
                <w:bCs/>
                <w:sz w:val="18"/>
                <w:szCs w:val="18"/>
              </w:rPr>
              <w:t xml:space="preserve">Supported by research evidence, case </w:t>
            </w:r>
            <w:r w:rsidR="007F3932" w:rsidRPr="0062772D">
              <w:rPr>
                <w:rFonts w:ascii="Arial" w:hAnsi="Arial" w:cs="Arial"/>
                <w:b/>
                <w:bCs/>
                <w:sz w:val="18"/>
                <w:szCs w:val="18"/>
              </w:rPr>
              <w:t>studies,</w:t>
            </w:r>
            <w:r w:rsidRPr="0062772D">
              <w:rPr>
                <w:rFonts w:ascii="Arial" w:hAnsi="Arial" w:cs="Arial"/>
                <w:b/>
                <w:bCs/>
                <w:sz w:val="18"/>
                <w:szCs w:val="18"/>
              </w:rPr>
              <w:t xml:space="preserve"> and references</w:t>
            </w:r>
          </w:p>
        </w:tc>
        <w:tc>
          <w:tcPr>
            <w:cnfStyle w:val="000100000000" w:firstRow="0" w:lastRow="0" w:firstColumn="0" w:lastColumn="1" w:oddVBand="0" w:evenVBand="0" w:oddHBand="0" w:evenHBand="0" w:firstRowFirstColumn="0" w:firstRowLastColumn="0" w:lastRowFirstColumn="0" w:lastRowLastColumn="0"/>
            <w:tcW w:w="605" w:type="pct"/>
          </w:tcPr>
          <w:p w14:paraId="53ACA69F" w14:textId="77777777" w:rsidR="00AA5E76" w:rsidRPr="0062772D" w:rsidRDefault="00AA5E76" w:rsidP="00910F1B">
            <w:pPr>
              <w:spacing w:line="360" w:lineRule="auto"/>
              <w:rPr>
                <w:rFonts w:ascii="Arial" w:hAnsi="Arial" w:cs="Arial"/>
                <w:sz w:val="18"/>
                <w:szCs w:val="18"/>
              </w:rPr>
            </w:pPr>
            <w:r w:rsidRPr="0062772D">
              <w:rPr>
                <w:rFonts w:ascii="Arial" w:hAnsi="Arial" w:cs="Arial"/>
                <w:sz w:val="18"/>
                <w:szCs w:val="18"/>
              </w:rPr>
              <w:t>Support theme of cultural competence</w:t>
            </w:r>
          </w:p>
        </w:tc>
      </w:tr>
    </w:tbl>
    <w:bookmarkEnd w:id="6"/>
    <w:bookmarkEnd w:id="7"/>
    <w:p w14:paraId="53F9B4F8" w14:textId="040E7980" w:rsidR="00AA5E76" w:rsidRPr="00927728" w:rsidRDefault="00AA5E76" w:rsidP="00B2686A">
      <w:pPr>
        <w:spacing w:line="360" w:lineRule="auto"/>
        <w:jc w:val="both"/>
        <w:rPr>
          <w:rFonts w:ascii="Arial" w:hAnsi="Arial" w:cs="Arial"/>
          <w:b/>
          <w:bCs/>
          <w:sz w:val="22"/>
          <w:szCs w:val="22"/>
        </w:rPr>
      </w:pPr>
      <w:r w:rsidRPr="00927728">
        <w:rPr>
          <w:rFonts w:ascii="Arial" w:hAnsi="Arial" w:cs="Arial"/>
          <w:b/>
          <w:bCs/>
          <w:sz w:val="22"/>
          <w:szCs w:val="22"/>
        </w:rPr>
        <w:t>Appendix 1</w:t>
      </w:r>
    </w:p>
    <w:p w14:paraId="5965C965" w14:textId="77777777" w:rsidR="00AA5E76" w:rsidRDefault="00AA5E76" w:rsidP="00B2686A">
      <w:pPr>
        <w:spacing w:line="360" w:lineRule="auto"/>
        <w:jc w:val="both"/>
        <w:rPr>
          <w:rFonts w:ascii="Arial" w:hAnsi="Arial" w:cs="Arial"/>
          <w:b/>
          <w:bCs/>
          <w:sz w:val="28"/>
          <w:szCs w:val="28"/>
        </w:rPr>
      </w:pPr>
    </w:p>
    <w:p w14:paraId="67F83C1A" w14:textId="77777777" w:rsidR="00AA5E76" w:rsidRDefault="00AA5E76" w:rsidP="00B2686A">
      <w:pPr>
        <w:spacing w:line="360" w:lineRule="auto"/>
        <w:jc w:val="both"/>
        <w:rPr>
          <w:rFonts w:ascii="Arial" w:hAnsi="Arial" w:cs="Arial"/>
          <w:b/>
          <w:bCs/>
          <w:sz w:val="28"/>
          <w:szCs w:val="28"/>
        </w:rPr>
      </w:pPr>
    </w:p>
    <w:p w14:paraId="1C5A6067" w14:textId="77777777" w:rsidR="00AA5E76" w:rsidRDefault="00AA5E76" w:rsidP="00B2686A">
      <w:pPr>
        <w:spacing w:line="360" w:lineRule="auto"/>
        <w:jc w:val="both"/>
        <w:rPr>
          <w:rFonts w:ascii="Arial" w:hAnsi="Arial" w:cs="Arial"/>
          <w:b/>
          <w:bCs/>
          <w:sz w:val="28"/>
          <w:szCs w:val="28"/>
        </w:rPr>
      </w:pPr>
    </w:p>
    <w:p w14:paraId="3E42F19D" w14:textId="77777777" w:rsidR="00AA5E76" w:rsidRDefault="00AA5E76" w:rsidP="00B2686A">
      <w:pPr>
        <w:spacing w:line="360" w:lineRule="auto"/>
        <w:jc w:val="both"/>
        <w:rPr>
          <w:rFonts w:ascii="Arial" w:hAnsi="Arial" w:cs="Arial"/>
          <w:b/>
          <w:bCs/>
          <w:sz w:val="28"/>
          <w:szCs w:val="28"/>
        </w:rPr>
      </w:pPr>
    </w:p>
    <w:p w14:paraId="69F38218" w14:textId="06E6C1F9" w:rsidR="00927728" w:rsidRDefault="008035B3" w:rsidP="00927728">
      <w:pPr>
        <w:spacing w:after="360" w:line="360" w:lineRule="auto"/>
        <w:ind w:left="-1304" w:right="-283"/>
        <w:jc w:val="both"/>
        <w:rPr>
          <w:rFonts w:ascii="Arial" w:hAnsi="Arial" w:cs="Arial"/>
          <w:b/>
          <w:bCs/>
          <w:sz w:val="20"/>
          <w:szCs w:val="20"/>
        </w:rPr>
      </w:pPr>
      <w:r w:rsidRPr="008035B3">
        <w:rPr>
          <w:noProof/>
        </w:rPr>
        <w:lastRenderedPageBreak/>
        <w:drawing>
          <wp:inline distT="0" distB="0" distL="0" distR="0" wp14:anchorId="2793916E" wp14:editId="2A74BEE4">
            <wp:extent cx="7383780" cy="4503420"/>
            <wp:effectExtent l="0" t="0" r="0" b="0"/>
            <wp:docPr id="17475629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36427" cy="4535530"/>
                    </a:xfrm>
                    <a:prstGeom prst="rect">
                      <a:avLst/>
                    </a:prstGeom>
                    <a:noFill/>
                    <a:ln>
                      <a:noFill/>
                    </a:ln>
                  </pic:spPr>
                </pic:pic>
              </a:graphicData>
            </a:graphic>
          </wp:inline>
        </w:drawing>
      </w:r>
      <w:r w:rsidR="00CF1CF0" w:rsidRPr="00CF1CF0">
        <w:rPr>
          <w:rFonts w:ascii="Arial" w:hAnsi="Arial" w:cs="Arial"/>
          <w:b/>
          <w:bCs/>
          <w:sz w:val="22"/>
          <w:szCs w:val="22"/>
        </w:rPr>
        <w:t>Appendix 2</w:t>
      </w:r>
      <w:r w:rsidR="00EC3EF5">
        <w:rPr>
          <w:rFonts w:ascii="Arial" w:hAnsi="Arial" w:cs="Arial"/>
          <w:b/>
          <w:bCs/>
          <w:sz w:val="22"/>
          <w:szCs w:val="22"/>
        </w:rPr>
        <w:t xml:space="preserve"> (See link for complete summary result table, </w:t>
      </w:r>
      <w:hyperlink r:id="rId9" w:history="1">
        <w:r w:rsidR="00EC3EF5" w:rsidRPr="00EC3EF5">
          <w:rPr>
            <w:rStyle w:val="Hyperlink"/>
            <w:rFonts w:ascii="Arial" w:hAnsi="Arial" w:cs="Arial"/>
            <w:b/>
            <w:bCs/>
            <w:color w:val="0E2841" w:themeColor="text2"/>
            <w:sz w:val="22"/>
            <w:szCs w:val="22"/>
          </w:rPr>
          <w:t>Summary result table.docx</w:t>
        </w:r>
      </w:hyperlink>
      <w:r w:rsidR="00EC3EF5" w:rsidRPr="00EC3EF5">
        <w:rPr>
          <w:rFonts w:ascii="Arial" w:hAnsi="Arial" w:cs="Arial"/>
          <w:b/>
          <w:bCs/>
          <w:color w:val="0E2841" w:themeColor="text2"/>
          <w:sz w:val="22"/>
          <w:szCs w:val="22"/>
        </w:rPr>
        <w:t>)</w:t>
      </w:r>
    </w:p>
    <w:p w14:paraId="58914055" w14:textId="77777777" w:rsidR="00927728" w:rsidRDefault="00927728" w:rsidP="00927728">
      <w:pPr>
        <w:spacing w:after="360" w:line="360" w:lineRule="auto"/>
        <w:ind w:left="-1304" w:right="-283"/>
        <w:jc w:val="both"/>
        <w:rPr>
          <w:rFonts w:ascii="Arial" w:hAnsi="Arial" w:cs="Arial"/>
          <w:b/>
          <w:bCs/>
          <w:sz w:val="20"/>
          <w:szCs w:val="20"/>
        </w:rPr>
      </w:pPr>
    </w:p>
    <w:p w14:paraId="4A326FA0" w14:textId="49786FF9" w:rsidR="00EC3EF5" w:rsidRPr="00EC3EF5" w:rsidRDefault="00927728" w:rsidP="00927728">
      <w:pPr>
        <w:spacing w:after="360" w:line="360" w:lineRule="auto"/>
        <w:ind w:left="-1304" w:right="-283"/>
        <w:jc w:val="both"/>
        <w:rPr>
          <w:b/>
          <w:bCs/>
          <w:color w:val="000000" w:themeColor="text1"/>
        </w:rPr>
      </w:pPr>
      <w:r>
        <w:rPr>
          <w:color w:val="0E2841" w:themeColor="text2"/>
        </w:rPr>
        <w:t xml:space="preserve">  </w:t>
      </w:r>
      <w:r w:rsidRPr="00EC3EF5">
        <w:rPr>
          <w:b/>
          <w:bCs/>
          <w:color w:val="000000" w:themeColor="text1"/>
        </w:rPr>
        <w:t>Appendix</w:t>
      </w:r>
      <w:r w:rsidR="00EC3EF5" w:rsidRPr="00EC3EF5">
        <w:rPr>
          <w:b/>
          <w:bCs/>
          <w:color w:val="000000" w:themeColor="text1"/>
        </w:rPr>
        <w:t xml:space="preserve"> 3</w:t>
      </w:r>
      <w:r w:rsidRPr="00EC3EF5">
        <w:rPr>
          <w:b/>
          <w:bCs/>
          <w:color w:val="000000" w:themeColor="text1"/>
        </w:rPr>
        <w:t xml:space="preserve">, a link </w:t>
      </w:r>
      <w:r w:rsidR="00EC3EF5" w:rsidRPr="00EC3EF5">
        <w:rPr>
          <w:b/>
          <w:bCs/>
          <w:color w:val="000000" w:themeColor="text1"/>
        </w:rPr>
        <w:t>of the methodology poster, from chapter 3</w:t>
      </w:r>
    </w:p>
    <w:p w14:paraId="00D50E02" w14:textId="3EDAD31C" w:rsidR="00927728" w:rsidRPr="00EC3EF5" w:rsidRDefault="00927728" w:rsidP="00927728">
      <w:pPr>
        <w:spacing w:after="360" w:line="360" w:lineRule="auto"/>
        <w:ind w:left="-1304" w:right="-283"/>
        <w:jc w:val="both"/>
        <w:rPr>
          <w:rFonts w:ascii="Arial" w:hAnsi="Arial" w:cs="Arial"/>
          <w:b/>
          <w:bCs/>
          <w:color w:val="000000" w:themeColor="text1"/>
          <w:sz w:val="20"/>
          <w:szCs w:val="20"/>
        </w:rPr>
      </w:pPr>
      <w:r w:rsidRPr="00EC3EF5">
        <w:rPr>
          <w:b/>
          <w:bCs/>
          <w:color w:val="000000" w:themeColor="text1"/>
        </w:rPr>
        <w:t xml:space="preserve">  </w:t>
      </w:r>
      <w:hyperlink r:id="rId10" w:history="1">
        <w:r w:rsidRPr="00EC3EF5">
          <w:rPr>
            <w:b/>
            <w:bCs/>
            <w:color w:val="000000" w:themeColor="text1"/>
            <w:u w:val="single"/>
          </w:rPr>
          <w:t>Poster.docx</w:t>
        </w:r>
      </w:hyperlink>
      <w:r w:rsidRPr="00EC3EF5">
        <w:rPr>
          <w:rFonts w:ascii="Arial" w:hAnsi="Arial" w:cs="Arial"/>
          <w:b/>
          <w:bCs/>
          <w:color w:val="000000" w:themeColor="text1"/>
          <w:sz w:val="20"/>
          <w:szCs w:val="20"/>
        </w:rPr>
        <w:t xml:space="preserve">  </w:t>
      </w:r>
    </w:p>
    <w:p w14:paraId="41C7966D" w14:textId="77777777" w:rsidR="00927728" w:rsidRDefault="00927728" w:rsidP="00B2686A">
      <w:pPr>
        <w:spacing w:line="360" w:lineRule="auto"/>
        <w:jc w:val="both"/>
        <w:rPr>
          <w:rFonts w:ascii="Arial" w:hAnsi="Arial" w:cs="Arial"/>
          <w:b/>
          <w:bCs/>
          <w:sz w:val="28"/>
          <w:szCs w:val="28"/>
        </w:rPr>
      </w:pPr>
    </w:p>
    <w:p w14:paraId="32488D4B" w14:textId="77777777" w:rsidR="00927728" w:rsidRDefault="00927728" w:rsidP="00B2686A">
      <w:pPr>
        <w:spacing w:line="360" w:lineRule="auto"/>
        <w:jc w:val="both"/>
        <w:rPr>
          <w:rFonts w:ascii="Arial" w:hAnsi="Arial" w:cs="Arial"/>
          <w:b/>
          <w:bCs/>
          <w:sz w:val="28"/>
          <w:szCs w:val="28"/>
        </w:rPr>
      </w:pPr>
    </w:p>
    <w:p w14:paraId="403F5C39" w14:textId="77777777" w:rsidR="00927728" w:rsidRDefault="00927728" w:rsidP="00B2686A">
      <w:pPr>
        <w:spacing w:line="360" w:lineRule="auto"/>
        <w:jc w:val="both"/>
        <w:rPr>
          <w:rFonts w:ascii="Arial" w:hAnsi="Arial" w:cs="Arial"/>
          <w:b/>
          <w:bCs/>
          <w:sz w:val="28"/>
          <w:szCs w:val="28"/>
        </w:rPr>
      </w:pPr>
    </w:p>
    <w:p w14:paraId="79763308" w14:textId="77777777" w:rsidR="00927728" w:rsidRDefault="00927728" w:rsidP="00B2686A">
      <w:pPr>
        <w:spacing w:line="360" w:lineRule="auto"/>
        <w:jc w:val="both"/>
        <w:rPr>
          <w:rFonts w:ascii="Arial" w:hAnsi="Arial" w:cs="Arial"/>
          <w:b/>
          <w:bCs/>
          <w:sz w:val="28"/>
          <w:szCs w:val="28"/>
        </w:rPr>
      </w:pPr>
    </w:p>
    <w:p w14:paraId="4EDDC6C9" w14:textId="77777777" w:rsidR="00927728" w:rsidRPr="00AA5E76" w:rsidRDefault="00927728" w:rsidP="00B2686A">
      <w:pPr>
        <w:spacing w:line="360" w:lineRule="auto"/>
        <w:jc w:val="both"/>
        <w:rPr>
          <w:rFonts w:ascii="Arial" w:hAnsi="Arial" w:cs="Arial"/>
          <w:b/>
          <w:bCs/>
          <w:sz w:val="28"/>
          <w:szCs w:val="28"/>
        </w:rPr>
      </w:pPr>
    </w:p>
    <w:sectPr w:rsidR="00927728" w:rsidRPr="00AA5E76" w:rsidSect="00BA0CEE">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051AC" w14:textId="77777777" w:rsidR="008910E1" w:rsidRDefault="008910E1" w:rsidP="00531216">
      <w:pPr>
        <w:spacing w:after="0" w:line="240" w:lineRule="auto"/>
      </w:pPr>
      <w:r>
        <w:separator/>
      </w:r>
    </w:p>
  </w:endnote>
  <w:endnote w:type="continuationSeparator" w:id="0">
    <w:p w14:paraId="6942DC7C" w14:textId="77777777" w:rsidR="008910E1" w:rsidRDefault="008910E1" w:rsidP="00531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A08BB" w14:textId="4C08B1FD" w:rsidR="0063551C" w:rsidRDefault="0063551C">
    <w:pPr>
      <w:pStyle w:val="Footer"/>
      <w:jc w:val="right"/>
    </w:pPr>
  </w:p>
  <w:p w14:paraId="419C2CA5" w14:textId="3211AE3C" w:rsidR="009B4B2C" w:rsidRDefault="009B4B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992881"/>
      <w:docPartObj>
        <w:docPartGallery w:val="Page Numbers (Bottom of Page)"/>
        <w:docPartUnique/>
      </w:docPartObj>
    </w:sdtPr>
    <w:sdtContent>
      <w:p w14:paraId="23D5E259" w14:textId="77777777" w:rsidR="001B0688" w:rsidRDefault="001B0688">
        <w:pPr>
          <w:pStyle w:val="Footer"/>
          <w:jc w:val="right"/>
        </w:pPr>
        <w:r>
          <w:fldChar w:fldCharType="begin"/>
        </w:r>
        <w:r>
          <w:instrText>PAGE   \* MERGEFORMAT</w:instrText>
        </w:r>
        <w:r>
          <w:fldChar w:fldCharType="separate"/>
        </w:r>
        <w:r>
          <w:t>2</w:t>
        </w:r>
        <w:r>
          <w:fldChar w:fldCharType="end"/>
        </w:r>
      </w:p>
    </w:sdtContent>
  </w:sdt>
  <w:p w14:paraId="5F59412E" w14:textId="77777777" w:rsidR="001B0688" w:rsidRDefault="001B0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C53EA" w14:textId="77777777" w:rsidR="008910E1" w:rsidRDefault="008910E1" w:rsidP="00531216">
      <w:pPr>
        <w:spacing w:after="0" w:line="240" w:lineRule="auto"/>
      </w:pPr>
      <w:r>
        <w:separator/>
      </w:r>
    </w:p>
  </w:footnote>
  <w:footnote w:type="continuationSeparator" w:id="0">
    <w:p w14:paraId="2F3ADD93" w14:textId="77777777" w:rsidR="008910E1" w:rsidRDefault="008910E1" w:rsidP="00531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773B"/>
    <w:multiLevelType w:val="hybridMultilevel"/>
    <w:tmpl w:val="C5028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C7B79"/>
    <w:multiLevelType w:val="hybridMultilevel"/>
    <w:tmpl w:val="4B0C7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C7A18"/>
    <w:multiLevelType w:val="hybridMultilevel"/>
    <w:tmpl w:val="66240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A28E4"/>
    <w:multiLevelType w:val="hybridMultilevel"/>
    <w:tmpl w:val="E688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714665"/>
    <w:multiLevelType w:val="multilevel"/>
    <w:tmpl w:val="C6EA884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2B1407E"/>
    <w:multiLevelType w:val="hybridMultilevel"/>
    <w:tmpl w:val="DFECEB40"/>
    <w:lvl w:ilvl="0" w:tplc="8D36C3FE">
      <w:start w:val="1"/>
      <w:numFmt w:val="bullet"/>
      <w:lvlText w:val=""/>
      <w:lvlJc w:val="left"/>
      <w:pPr>
        <w:ind w:left="1092"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B21B3A"/>
    <w:multiLevelType w:val="multilevel"/>
    <w:tmpl w:val="6B46C1E4"/>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8B50BD8"/>
    <w:multiLevelType w:val="hybridMultilevel"/>
    <w:tmpl w:val="0B40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053F5B"/>
    <w:multiLevelType w:val="hybridMultilevel"/>
    <w:tmpl w:val="99281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C71BA"/>
    <w:multiLevelType w:val="hybridMultilevel"/>
    <w:tmpl w:val="D09681A2"/>
    <w:lvl w:ilvl="0" w:tplc="8D36C3FE">
      <w:start w:val="1"/>
      <w:numFmt w:val="bullet"/>
      <w:lvlText w:val=""/>
      <w:lvlJc w:val="left"/>
      <w:pPr>
        <w:ind w:left="1092" w:hanging="360"/>
      </w:pPr>
      <w:rPr>
        <w:rFonts w:ascii="Symbol" w:hAnsi="Symbol" w:hint="default"/>
        <w:b w:val="0"/>
        <w:bCs w:val="0"/>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10" w15:restartNumberingAfterBreak="0">
    <w:nsid w:val="360F120C"/>
    <w:multiLevelType w:val="hybridMultilevel"/>
    <w:tmpl w:val="0084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D756B6"/>
    <w:multiLevelType w:val="hybridMultilevel"/>
    <w:tmpl w:val="A350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4307E4"/>
    <w:multiLevelType w:val="hybridMultilevel"/>
    <w:tmpl w:val="019C0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FD3B33"/>
    <w:multiLevelType w:val="hybridMultilevel"/>
    <w:tmpl w:val="9C74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C62D76"/>
    <w:multiLevelType w:val="hybridMultilevel"/>
    <w:tmpl w:val="6F045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0D13C3"/>
    <w:multiLevelType w:val="hybridMultilevel"/>
    <w:tmpl w:val="AD807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4327B5"/>
    <w:multiLevelType w:val="hybridMultilevel"/>
    <w:tmpl w:val="13B8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0902D3"/>
    <w:multiLevelType w:val="hybridMultilevel"/>
    <w:tmpl w:val="2488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2F7F80"/>
    <w:multiLevelType w:val="hybridMultilevel"/>
    <w:tmpl w:val="5A3AE11E"/>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19" w15:restartNumberingAfterBreak="0">
    <w:nsid w:val="6A587A6D"/>
    <w:multiLevelType w:val="hybridMultilevel"/>
    <w:tmpl w:val="119036EA"/>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20" w15:restartNumberingAfterBreak="0">
    <w:nsid w:val="7E3F0AFA"/>
    <w:multiLevelType w:val="hybridMultilevel"/>
    <w:tmpl w:val="7298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D14AD8"/>
    <w:multiLevelType w:val="hybridMultilevel"/>
    <w:tmpl w:val="021E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455693">
    <w:abstractNumId w:val="4"/>
  </w:num>
  <w:num w:numId="2" w16cid:durableId="1167019812">
    <w:abstractNumId w:val="18"/>
  </w:num>
  <w:num w:numId="3" w16cid:durableId="69665203">
    <w:abstractNumId w:val="19"/>
  </w:num>
  <w:num w:numId="4" w16cid:durableId="548148512">
    <w:abstractNumId w:val="9"/>
  </w:num>
  <w:num w:numId="5" w16cid:durableId="460154223">
    <w:abstractNumId w:val="5"/>
  </w:num>
  <w:num w:numId="6" w16cid:durableId="29456208">
    <w:abstractNumId w:val="6"/>
  </w:num>
  <w:num w:numId="7" w16cid:durableId="1637251431">
    <w:abstractNumId w:val="12"/>
  </w:num>
  <w:num w:numId="8" w16cid:durableId="288556942">
    <w:abstractNumId w:val="3"/>
  </w:num>
  <w:num w:numId="9" w16cid:durableId="1919174525">
    <w:abstractNumId w:val="16"/>
  </w:num>
  <w:num w:numId="10" w16cid:durableId="992025438">
    <w:abstractNumId w:val="7"/>
  </w:num>
  <w:num w:numId="11" w16cid:durableId="1142119606">
    <w:abstractNumId w:val="20"/>
  </w:num>
  <w:num w:numId="12" w16cid:durableId="1508255860">
    <w:abstractNumId w:val="10"/>
  </w:num>
  <w:num w:numId="13" w16cid:durableId="1260286377">
    <w:abstractNumId w:val="8"/>
  </w:num>
  <w:num w:numId="14" w16cid:durableId="1426069057">
    <w:abstractNumId w:val="21"/>
  </w:num>
  <w:num w:numId="15" w16cid:durableId="1263687136">
    <w:abstractNumId w:val="11"/>
  </w:num>
  <w:num w:numId="16" w16cid:durableId="1404597013">
    <w:abstractNumId w:val="13"/>
  </w:num>
  <w:num w:numId="17" w16cid:durableId="1586184504">
    <w:abstractNumId w:val="15"/>
  </w:num>
  <w:num w:numId="18" w16cid:durableId="80836872">
    <w:abstractNumId w:val="0"/>
  </w:num>
  <w:num w:numId="19" w16cid:durableId="244920422">
    <w:abstractNumId w:val="1"/>
  </w:num>
  <w:num w:numId="20" w16cid:durableId="1158497419">
    <w:abstractNumId w:val="14"/>
  </w:num>
  <w:num w:numId="21" w16cid:durableId="2028100237">
    <w:abstractNumId w:val="2"/>
  </w:num>
  <w:num w:numId="22" w16cid:durableId="5533947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BA3"/>
    <w:rsid w:val="0003022E"/>
    <w:rsid w:val="00036312"/>
    <w:rsid w:val="000951C8"/>
    <w:rsid w:val="001B0688"/>
    <w:rsid w:val="001C50D5"/>
    <w:rsid w:val="00204442"/>
    <w:rsid w:val="0027323D"/>
    <w:rsid w:val="00282406"/>
    <w:rsid w:val="00282781"/>
    <w:rsid w:val="002A0483"/>
    <w:rsid w:val="002B17FD"/>
    <w:rsid w:val="002B37B2"/>
    <w:rsid w:val="002D7ED4"/>
    <w:rsid w:val="00307639"/>
    <w:rsid w:val="00341FBF"/>
    <w:rsid w:val="00357170"/>
    <w:rsid w:val="00361F4A"/>
    <w:rsid w:val="003E07D0"/>
    <w:rsid w:val="003E7604"/>
    <w:rsid w:val="004120C9"/>
    <w:rsid w:val="00442BA3"/>
    <w:rsid w:val="00474F8E"/>
    <w:rsid w:val="004819C7"/>
    <w:rsid w:val="0048554A"/>
    <w:rsid w:val="004A54ED"/>
    <w:rsid w:val="004C011C"/>
    <w:rsid w:val="004D5E90"/>
    <w:rsid w:val="005117BC"/>
    <w:rsid w:val="00511B16"/>
    <w:rsid w:val="00531216"/>
    <w:rsid w:val="00531D62"/>
    <w:rsid w:val="00532854"/>
    <w:rsid w:val="00612AFB"/>
    <w:rsid w:val="00615876"/>
    <w:rsid w:val="0063551C"/>
    <w:rsid w:val="00694558"/>
    <w:rsid w:val="006C0A5E"/>
    <w:rsid w:val="006D0AB3"/>
    <w:rsid w:val="006E5AA4"/>
    <w:rsid w:val="00707011"/>
    <w:rsid w:val="0073212F"/>
    <w:rsid w:val="00734D71"/>
    <w:rsid w:val="007505A4"/>
    <w:rsid w:val="007F38E1"/>
    <w:rsid w:val="007F3932"/>
    <w:rsid w:val="0080251F"/>
    <w:rsid w:val="008035B3"/>
    <w:rsid w:val="00810650"/>
    <w:rsid w:val="00862A3A"/>
    <w:rsid w:val="008910E1"/>
    <w:rsid w:val="008D69E5"/>
    <w:rsid w:val="00927728"/>
    <w:rsid w:val="00952E42"/>
    <w:rsid w:val="00977A86"/>
    <w:rsid w:val="00994B48"/>
    <w:rsid w:val="009A30C0"/>
    <w:rsid w:val="009A3DB3"/>
    <w:rsid w:val="009B4B2C"/>
    <w:rsid w:val="009E06AB"/>
    <w:rsid w:val="009F3792"/>
    <w:rsid w:val="00A1403A"/>
    <w:rsid w:val="00A1555D"/>
    <w:rsid w:val="00A31D15"/>
    <w:rsid w:val="00A61475"/>
    <w:rsid w:val="00A937BB"/>
    <w:rsid w:val="00A94E5B"/>
    <w:rsid w:val="00A961A0"/>
    <w:rsid w:val="00AA5E76"/>
    <w:rsid w:val="00AF2719"/>
    <w:rsid w:val="00B2686A"/>
    <w:rsid w:val="00B74281"/>
    <w:rsid w:val="00BA0CEE"/>
    <w:rsid w:val="00C81A73"/>
    <w:rsid w:val="00CA315D"/>
    <w:rsid w:val="00CE4D67"/>
    <w:rsid w:val="00CE5A63"/>
    <w:rsid w:val="00CF1209"/>
    <w:rsid w:val="00CF1CF0"/>
    <w:rsid w:val="00D16978"/>
    <w:rsid w:val="00D4002A"/>
    <w:rsid w:val="00D73238"/>
    <w:rsid w:val="00D76202"/>
    <w:rsid w:val="00D86A33"/>
    <w:rsid w:val="00DA621E"/>
    <w:rsid w:val="00DE7930"/>
    <w:rsid w:val="00E14241"/>
    <w:rsid w:val="00E2146A"/>
    <w:rsid w:val="00E323B7"/>
    <w:rsid w:val="00E677BC"/>
    <w:rsid w:val="00E77E00"/>
    <w:rsid w:val="00E94DD9"/>
    <w:rsid w:val="00EC3EF5"/>
    <w:rsid w:val="00EF1256"/>
    <w:rsid w:val="00F171F8"/>
    <w:rsid w:val="00F814E5"/>
    <w:rsid w:val="00FA1F59"/>
    <w:rsid w:val="00FD351D"/>
    <w:rsid w:val="00FF7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A5E20D"/>
  <w15:chartTrackingRefBased/>
  <w15:docId w15:val="{4047ED92-F2BD-4D6A-B596-F2EF1459E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216"/>
  </w:style>
  <w:style w:type="paragraph" w:styleId="Heading1">
    <w:name w:val="heading 1"/>
    <w:basedOn w:val="Normal"/>
    <w:next w:val="Normal"/>
    <w:link w:val="Heading1Char"/>
    <w:uiPriority w:val="9"/>
    <w:qFormat/>
    <w:rsid w:val="00442B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2B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2B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2B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B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B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B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B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B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B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2B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2B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B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B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B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B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B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BA3"/>
    <w:rPr>
      <w:rFonts w:eastAsiaTheme="majorEastAsia" w:cstheme="majorBidi"/>
      <w:color w:val="272727" w:themeColor="text1" w:themeTint="D8"/>
    </w:rPr>
  </w:style>
  <w:style w:type="paragraph" w:styleId="Title">
    <w:name w:val="Title"/>
    <w:basedOn w:val="Normal"/>
    <w:next w:val="Normal"/>
    <w:link w:val="TitleChar"/>
    <w:uiPriority w:val="10"/>
    <w:qFormat/>
    <w:rsid w:val="00442B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B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B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B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BA3"/>
    <w:pPr>
      <w:spacing w:before="160"/>
      <w:jc w:val="center"/>
    </w:pPr>
    <w:rPr>
      <w:i/>
      <w:iCs/>
      <w:color w:val="404040" w:themeColor="text1" w:themeTint="BF"/>
    </w:rPr>
  </w:style>
  <w:style w:type="character" w:customStyle="1" w:styleId="QuoteChar">
    <w:name w:val="Quote Char"/>
    <w:basedOn w:val="DefaultParagraphFont"/>
    <w:link w:val="Quote"/>
    <w:uiPriority w:val="29"/>
    <w:rsid w:val="00442BA3"/>
    <w:rPr>
      <w:i/>
      <w:iCs/>
      <w:color w:val="404040" w:themeColor="text1" w:themeTint="BF"/>
    </w:rPr>
  </w:style>
  <w:style w:type="paragraph" w:styleId="ListParagraph">
    <w:name w:val="List Paragraph"/>
    <w:basedOn w:val="Normal"/>
    <w:uiPriority w:val="34"/>
    <w:qFormat/>
    <w:rsid w:val="00442BA3"/>
    <w:pPr>
      <w:ind w:left="720"/>
      <w:contextualSpacing/>
    </w:pPr>
  </w:style>
  <w:style w:type="character" w:styleId="IntenseEmphasis">
    <w:name w:val="Intense Emphasis"/>
    <w:basedOn w:val="DefaultParagraphFont"/>
    <w:uiPriority w:val="21"/>
    <w:qFormat/>
    <w:rsid w:val="00442BA3"/>
    <w:rPr>
      <w:i/>
      <w:iCs/>
      <w:color w:val="0F4761" w:themeColor="accent1" w:themeShade="BF"/>
    </w:rPr>
  </w:style>
  <w:style w:type="paragraph" w:styleId="IntenseQuote">
    <w:name w:val="Intense Quote"/>
    <w:basedOn w:val="Normal"/>
    <w:next w:val="Normal"/>
    <w:link w:val="IntenseQuoteChar"/>
    <w:uiPriority w:val="30"/>
    <w:qFormat/>
    <w:rsid w:val="00442B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2BA3"/>
    <w:rPr>
      <w:i/>
      <w:iCs/>
      <w:color w:val="0F4761" w:themeColor="accent1" w:themeShade="BF"/>
    </w:rPr>
  </w:style>
  <w:style w:type="character" w:styleId="IntenseReference">
    <w:name w:val="Intense Reference"/>
    <w:basedOn w:val="DefaultParagraphFont"/>
    <w:uiPriority w:val="32"/>
    <w:qFormat/>
    <w:rsid w:val="00442BA3"/>
    <w:rPr>
      <w:b/>
      <w:bCs/>
      <w:smallCaps/>
      <w:color w:val="0F4761" w:themeColor="accent1" w:themeShade="BF"/>
      <w:spacing w:val="5"/>
    </w:rPr>
  </w:style>
  <w:style w:type="character" w:styleId="Hyperlink">
    <w:name w:val="Hyperlink"/>
    <w:basedOn w:val="DefaultParagraphFont"/>
    <w:uiPriority w:val="99"/>
    <w:unhideWhenUsed/>
    <w:rsid w:val="00CA315D"/>
    <w:rPr>
      <w:color w:val="467886" w:themeColor="hyperlink"/>
      <w:u w:val="single"/>
    </w:rPr>
  </w:style>
  <w:style w:type="character" w:styleId="UnresolvedMention">
    <w:name w:val="Unresolved Mention"/>
    <w:basedOn w:val="DefaultParagraphFont"/>
    <w:uiPriority w:val="99"/>
    <w:semiHidden/>
    <w:unhideWhenUsed/>
    <w:rsid w:val="00CA315D"/>
    <w:rPr>
      <w:color w:val="605E5C"/>
      <w:shd w:val="clear" w:color="auto" w:fill="E1DFDD"/>
    </w:rPr>
  </w:style>
  <w:style w:type="paragraph" w:styleId="Header">
    <w:name w:val="header"/>
    <w:basedOn w:val="Normal"/>
    <w:link w:val="HeaderChar"/>
    <w:uiPriority w:val="99"/>
    <w:unhideWhenUsed/>
    <w:rsid w:val="00531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216"/>
  </w:style>
  <w:style w:type="paragraph" w:styleId="Footer">
    <w:name w:val="footer"/>
    <w:basedOn w:val="Normal"/>
    <w:link w:val="FooterChar"/>
    <w:uiPriority w:val="99"/>
    <w:unhideWhenUsed/>
    <w:rsid w:val="00531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216"/>
  </w:style>
  <w:style w:type="table" w:styleId="PlainTable1">
    <w:name w:val="Plain Table 1"/>
    <w:basedOn w:val="TableNormal"/>
    <w:uiPriority w:val="99"/>
    <w:rsid w:val="00AA5E76"/>
    <w:pPr>
      <w:spacing w:after="0" w:line="240" w:lineRule="auto"/>
    </w:pPr>
    <w:rPr>
      <w:rFonts w:eastAsiaTheme="minorEastAsia"/>
      <w:kern w:val="0"/>
      <w:sz w:val="22"/>
      <w:szCs w:val="22"/>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4A54ED"/>
    <w:rPr>
      <w:rFonts w:ascii="Times New Roman" w:hAnsi="Times New Roman" w:cs="Times New Roman"/>
    </w:rPr>
  </w:style>
  <w:style w:type="character" w:styleId="LineNumber">
    <w:name w:val="line number"/>
    <w:basedOn w:val="DefaultParagraphFont"/>
    <w:uiPriority w:val="99"/>
    <w:semiHidden/>
    <w:unhideWhenUsed/>
    <w:rsid w:val="00BA0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uowtsd-my.sharepoint.com/:w:/g/personal/2016551_student_uwtsd_ac_uk/IQCDnmUp6-reR7wGhWovPpa8AZh7r0d-U4LAKeJLYSb7ask?e=9ePpwM" TargetMode="External"/><Relationship Id="rId4" Type="http://schemas.openxmlformats.org/officeDocument/2006/relationships/webSettings" Target="webSettings.xml"/><Relationship Id="rId9" Type="http://schemas.openxmlformats.org/officeDocument/2006/relationships/hyperlink" Target="https://uowtsd-my.sharepoint.com/:w:/g/personal/2016551_student_uwtsd_ac_uk/IQCQPLUHPOoCT57OKlIDedn7AVdyn9G02-w9UY8RrpP9oMQ?e=iJQKC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6A62280-3406-4036-9C8B-3A366766CFAE}">
  <we:reference id="WA200003530" version="1.0.47.0" store="Omex" storeType="OMEX"/>
  <we:alternateReferences>
    <we:reference id="WA200003530" version="1.0.47.0" store="WA200003530"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E096BE0-759F-4814-8AEF-8388B64C37BB}">
  <we:reference id="WA200005669" version="2.0.0.0" store="Omex" storeType="OMEX"/>
  <we:alternateReferences>
    <we:reference id="WA200005669" version="2.0.0.0" store="WA200005669"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57</Pages>
  <Words>15094</Words>
  <Characters>101741</Characters>
  <Application>Microsoft Office Word</Application>
  <DocSecurity>0</DocSecurity>
  <Lines>1919</Lines>
  <Paragraphs>703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Ekos Adamu (2016551)</dc:creator>
  <cp:keywords/>
  <dc:description/>
  <cp:lastModifiedBy>Ekos Adamu (2016551)</cp:lastModifiedBy>
  <cp:revision>2</cp:revision>
  <dcterms:created xsi:type="dcterms:W3CDTF">2025-11-28T04:28:00Z</dcterms:created>
  <dcterms:modified xsi:type="dcterms:W3CDTF">2025-11-28T04:28:00Z</dcterms:modified>
</cp:coreProperties>
</file>