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A2CE4" w14:textId="38D01862" w:rsidR="0072675F" w:rsidRDefault="00A02A72" w:rsidP="00F87138">
      <w:pPr>
        <w:spacing w:after="0" w:line="360" w:lineRule="auto"/>
        <w:jc w:val="both"/>
        <w:rPr>
          <w:rFonts w:ascii="Arial" w:hAnsi="Arial" w:cs="Arial"/>
          <w:b/>
          <w:bCs/>
        </w:rPr>
      </w:pPr>
      <w:r w:rsidRPr="00A02A72">
        <w:rPr>
          <w:rFonts w:ascii="Arial" w:eastAsia="DengXian" w:hAnsi="Arial" w:cs="Arial"/>
          <w:noProof/>
          <w:kern w:val="0"/>
          <w:lang w:eastAsia="zh-CN"/>
          <w14:ligatures w14:val="none"/>
        </w:rPr>
        <w:drawing>
          <wp:inline distT="0" distB="0" distL="0" distR="0" wp14:anchorId="624BB7BB" wp14:editId="2F2018D5">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r>
        <w:rPr>
          <w:rFonts w:ascii="Arial" w:hAnsi="Arial" w:cs="Arial"/>
          <w:b/>
          <w:bCs/>
        </w:rPr>
        <w:t xml:space="preserve"> </w:t>
      </w:r>
    </w:p>
    <w:p w14:paraId="32B71CF4" w14:textId="31F0D79F" w:rsidR="00227B7A" w:rsidRPr="00AF10FC" w:rsidRDefault="00E11E15" w:rsidP="00227B7A">
      <w:pPr>
        <w:jc w:val="center"/>
        <w:rPr>
          <w:rFonts w:ascii="Arial" w:hAnsi="Arial" w:cs="Arial"/>
          <w:sz w:val="72"/>
          <w:szCs w:val="72"/>
        </w:rPr>
      </w:pPr>
      <w:r w:rsidRPr="00AF10FC">
        <w:rPr>
          <w:rFonts w:ascii="Arial" w:hAnsi="Arial" w:cs="Arial"/>
          <w:sz w:val="72"/>
          <w:szCs w:val="72"/>
        </w:rPr>
        <w:t xml:space="preserve">Management Accounting for </w:t>
      </w:r>
      <w:r w:rsidR="00D82944" w:rsidRPr="00AF10FC">
        <w:rPr>
          <w:rFonts w:ascii="Arial" w:hAnsi="Arial" w:cs="Arial"/>
          <w:sz w:val="72"/>
          <w:szCs w:val="72"/>
        </w:rPr>
        <w:t>Managers</w:t>
      </w:r>
    </w:p>
    <w:p w14:paraId="33154E56" w14:textId="1465F866" w:rsidR="00227B7A" w:rsidRDefault="00227B7A" w:rsidP="00227B7A">
      <w:pPr>
        <w:rPr>
          <w:rFonts w:ascii="Arial" w:hAnsi="Arial" w:cs="Arial"/>
        </w:rPr>
      </w:pPr>
      <w:r w:rsidRPr="00B31EB7">
        <w:rPr>
          <w:rFonts w:ascii="Arial" w:hAnsi="Arial" w:cs="Arial"/>
        </w:rPr>
        <w:t xml:space="preserve"> </w:t>
      </w:r>
      <w:r w:rsidR="0035085F">
        <w:rPr>
          <w:noProof/>
        </w:rPr>
        <w:drawing>
          <wp:inline distT="0" distB="0" distL="0" distR="0" wp14:anchorId="0D582F31" wp14:editId="371AA62E">
            <wp:extent cx="5731510" cy="1016018"/>
            <wp:effectExtent l="0" t="0" r="0" b="0"/>
            <wp:docPr id="6" name="Picture 6" descr="GSK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SK Logo, symbol, meaning, history, PNG, bra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016018"/>
                    </a:xfrm>
                    <a:prstGeom prst="rect">
                      <a:avLst/>
                    </a:prstGeom>
                    <a:noFill/>
                    <a:ln>
                      <a:noFill/>
                    </a:ln>
                  </pic:spPr>
                </pic:pic>
              </a:graphicData>
            </a:graphic>
          </wp:inline>
        </w:drawing>
      </w:r>
      <w:r w:rsidR="0035085F">
        <w:rPr>
          <w:rFonts w:ascii="Arial" w:hAnsi="Arial" w:cs="Arial"/>
        </w:rPr>
        <w:t xml:space="preserve"> </w:t>
      </w:r>
      <w:r w:rsidRPr="00B31EB7">
        <w:rPr>
          <w:rFonts w:ascii="Arial" w:hAnsi="Arial" w:cs="Arial"/>
        </w:rPr>
        <w:t xml:space="preserve">         </w:t>
      </w:r>
    </w:p>
    <w:p w14:paraId="3C180A64" w14:textId="4F191A82" w:rsidR="002969BB" w:rsidRPr="00D53497" w:rsidRDefault="002969BB" w:rsidP="00D53497">
      <w:pPr>
        <w:rPr>
          <w:rFonts w:ascii="Arial" w:hAnsi="Arial" w:cs="Arial"/>
        </w:rPr>
      </w:pPr>
    </w:p>
    <w:p w14:paraId="4CDF08C7" w14:textId="02B02F6D" w:rsidR="00227B7A" w:rsidRDefault="00227B7A" w:rsidP="00227B7A">
      <w:pPr>
        <w:jc w:val="center"/>
        <w:rPr>
          <w:rFonts w:ascii="Arial" w:hAnsi="Arial" w:cs="Arial"/>
          <w:sz w:val="52"/>
          <w:szCs w:val="52"/>
        </w:rPr>
      </w:pPr>
      <w:r w:rsidRPr="00B31EB7">
        <w:rPr>
          <w:rFonts w:ascii="Arial" w:hAnsi="Arial" w:cs="Arial"/>
          <w:sz w:val="52"/>
          <w:szCs w:val="52"/>
        </w:rPr>
        <w:t xml:space="preserve">Assignment </w:t>
      </w:r>
      <w:r>
        <w:rPr>
          <w:rFonts w:ascii="Arial" w:hAnsi="Arial" w:cs="Arial"/>
          <w:sz w:val="52"/>
          <w:szCs w:val="52"/>
        </w:rPr>
        <w:t>1</w:t>
      </w:r>
    </w:p>
    <w:p w14:paraId="62FCA14C" w14:textId="205EB36C" w:rsidR="006C2DD8" w:rsidRDefault="00227B7A" w:rsidP="006C2DD8">
      <w:pPr>
        <w:jc w:val="center"/>
        <w:rPr>
          <w:rFonts w:ascii="Arial" w:hAnsi="Arial" w:cs="Arial"/>
          <w:sz w:val="52"/>
          <w:szCs w:val="52"/>
        </w:rPr>
      </w:pPr>
      <w:r>
        <w:rPr>
          <w:rFonts w:ascii="Arial" w:hAnsi="Arial" w:cs="Arial"/>
          <w:sz w:val="52"/>
          <w:szCs w:val="52"/>
        </w:rPr>
        <w:t>Submission deadline</w:t>
      </w:r>
    </w:p>
    <w:p w14:paraId="4956A296" w14:textId="72813C8B" w:rsidR="00227B7A" w:rsidRPr="00B31EB7" w:rsidRDefault="00227B7A" w:rsidP="00227B7A">
      <w:pPr>
        <w:jc w:val="center"/>
        <w:rPr>
          <w:rFonts w:ascii="Arial" w:hAnsi="Arial" w:cs="Arial"/>
          <w:sz w:val="52"/>
          <w:szCs w:val="52"/>
        </w:rPr>
      </w:pPr>
      <w:r>
        <w:rPr>
          <w:rFonts w:ascii="Arial" w:hAnsi="Arial" w:cs="Arial"/>
          <w:sz w:val="52"/>
          <w:szCs w:val="52"/>
        </w:rPr>
        <w:t>1</w:t>
      </w:r>
      <w:r w:rsidR="00D82944">
        <w:rPr>
          <w:rFonts w:ascii="Arial" w:hAnsi="Arial" w:cs="Arial"/>
          <w:sz w:val="52"/>
          <w:szCs w:val="52"/>
        </w:rPr>
        <w:t>7</w:t>
      </w:r>
      <w:r>
        <w:rPr>
          <w:rFonts w:ascii="Arial" w:hAnsi="Arial" w:cs="Arial"/>
          <w:sz w:val="52"/>
          <w:szCs w:val="52"/>
        </w:rPr>
        <w:t>/</w:t>
      </w:r>
      <w:r w:rsidR="00987A47">
        <w:rPr>
          <w:rFonts w:ascii="Arial" w:hAnsi="Arial" w:cs="Arial"/>
          <w:sz w:val="52"/>
          <w:szCs w:val="52"/>
        </w:rPr>
        <w:t>07</w:t>
      </w:r>
      <w:r>
        <w:rPr>
          <w:rFonts w:ascii="Arial" w:hAnsi="Arial" w:cs="Arial"/>
          <w:sz w:val="52"/>
          <w:szCs w:val="52"/>
        </w:rPr>
        <w:t>/202</w:t>
      </w:r>
      <w:r w:rsidR="00987A47">
        <w:rPr>
          <w:rFonts w:ascii="Arial" w:hAnsi="Arial" w:cs="Arial"/>
          <w:sz w:val="52"/>
          <w:szCs w:val="52"/>
        </w:rPr>
        <w:t>6</w:t>
      </w:r>
    </w:p>
    <w:p w14:paraId="1E6AE007" w14:textId="77777777" w:rsidR="00227B7A" w:rsidRPr="00B31EB7" w:rsidRDefault="00227B7A" w:rsidP="00227B7A">
      <w:pPr>
        <w:rPr>
          <w:rFonts w:ascii="Arial" w:hAnsi="Arial" w:cs="Arial"/>
        </w:rPr>
      </w:pPr>
    </w:p>
    <w:p w14:paraId="052128CA" w14:textId="77777777" w:rsidR="00227B7A" w:rsidRPr="00B31EB7" w:rsidRDefault="00227B7A" w:rsidP="00227B7A">
      <w:pPr>
        <w:rPr>
          <w:rFonts w:ascii="Arial" w:hAnsi="Arial" w:cs="Arial"/>
        </w:rPr>
      </w:pPr>
    </w:p>
    <w:p w14:paraId="3463C702" w14:textId="77777777" w:rsidR="00227B7A" w:rsidRPr="00B31EB7" w:rsidRDefault="00227B7A" w:rsidP="00227B7A">
      <w:pPr>
        <w:rPr>
          <w:rFonts w:ascii="Arial" w:hAnsi="Arial" w:cs="Arial"/>
          <w:sz w:val="40"/>
          <w:szCs w:val="40"/>
        </w:rPr>
      </w:pPr>
      <w:r w:rsidRPr="00B31EB7">
        <w:rPr>
          <w:rFonts w:ascii="Arial" w:hAnsi="Arial" w:cs="Arial"/>
          <w:sz w:val="40"/>
          <w:szCs w:val="40"/>
        </w:rPr>
        <w:t>Name:              Badru Keanene</w:t>
      </w:r>
    </w:p>
    <w:p w14:paraId="72D66B6B" w14:textId="77777777" w:rsidR="00227B7A" w:rsidRPr="00B31EB7" w:rsidRDefault="00227B7A" w:rsidP="00227B7A">
      <w:pPr>
        <w:rPr>
          <w:rFonts w:ascii="Arial" w:hAnsi="Arial" w:cs="Arial"/>
          <w:sz w:val="40"/>
          <w:szCs w:val="40"/>
        </w:rPr>
      </w:pPr>
      <w:r w:rsidRPr="00B31EB7">
        <w:rPr>
          <w:rFonts w:ascii="Arial" w:hAnsi="Arial" w:cs="Arial"/>
          <w:sz w:val="40"/>
          <w:szCs w:val="40"/>
        </w:rPr>
        <w:t>Student ID:       2416450</w:t>
      </w:r>
    </w:p>
    <w:p w14:paraId="26E3E3F4" w14:textId="2016D60E" w:rsidR="00227B7A" w:rsidRPr="00B31EB7" w:rsidRDefault="00227B7A" w:rsidP="00227B7A">
      <w:pPr>
        <w:rPr>
          <w:rFonts w:ascii="Arial" w:hAnsi="Arial" w:cs="Arial"/>
          <w:sz w:val="40"/>
          <w:szCs w:val="40"/>
        </w:rPr>
      </w:pPr>
      <w:r w:rsidRPr="00B31EB7">
        <w:rPr>
          <w:rFonts w:ascii="Arial" w:hAnsi="Arial" w:cs="Arial"/>
          <w:sz w:val="40"/>
          <w:szCs w:val="40"/>
        </w:rPr>
        <w:t>Module code:   LCBB</w:t>
      </w:r>
      <w:r>
        <w:rPr>
          <w:rFonts w:ascii="Arial" w:hAnsi="Arial" w:cs="Arial"/>
          <w:sz w:val="40"/>
          <w:szCs w:val="40"/>
        </w:rPr>
        <w:t>5</w:t>
      </w:r>
      <w:r w:rsidRPr="00B31EB7">
        <w:rPr>
          <w:rFonts w:ascii="Arial" w:hAnsi="Arial" w:cs="Arial"/>
          <w:sz w:val="40"/>
          <w:szCs w:val="40"/>
        </w:rPr>
        <w:t>0</w:t>
      </w:r>
      <w:r>
        <w:rPr>
          <w:rFonts w:ascii="Arial" w:hAnsi="Arial" w:cs="Arial"/>
          <w:sz w:val="40"/>
          <w:szCs w:val="40"/>
        </w:rPr>
        <w:t>1</w:t>
      </w:r>
      <w:r w:rsidR="00987A47">
        <w:rPr>
          <w:rFonts w:ascii="Arial" w:hAnsi="Arial" w:cs="Arial"/>
          <w:sz w:val="40"/>
          <w:szCs w:val="40"/>
        </w:rPr>
        <w:t>0</w:t>
      </w:r>
      <w:r w:rsidRPr="00B31EB7">
        <w:rPr>
          <w:rFonts w:ascii="Arial" w:hAnsi="Arial" w:cs="Arial"/>
          <w:sz w:val="40"/>
          <w:szCs w:val="40"/>
        </w:rPr>
        <w:t>_LON</w:t>
      </w:r>
    </w:p>
    <w:p w14:paraId="0FACD9B1" w14:textId="3C5764E0" w:rsidR="00227B7A" w:rsidRDefault="00227B7A" w:rsidP="00227B7A">
      <w:pPr>
        <w:tabs>
          <w:tab w:val="left" w:pos="6935"/>
        </w:tabs>
        <w:rPr>
          <w:rFonts w:ascii="Arial" w:hAnsi="Arial" w:cs="Arial"/>
          <w:sz w:val="40"/>
          <w:szCs w:val="40"/>
        </w:rPr>
      </w:pPr>
      <w:r w:rsidRPr="00B31EB7">
        <w:rPr>
          <w:rFonts w:ascii="Arial" w:hAnsi="Arial" w:cs="Arial"/>
          <w:sz w:val="40"/>
          <w:szCs w:val="40"/>
        </w:rPr>
        <w:t xml:space="preserve">Lecturer:          </w:t>
      </w:r>
      <w:r w:rsidR="00733F67">
        <w:rPr>
          <w:rFonts w:ascii="Arial" w:hAnsi="Arial" w:cs="Arial"/>
          <w:color w:val="1D2125"/>
          <w:sz w:val="40"/>
          <w:szCs w:val="40"/>
          <w:shd w:val="clear" w:color="auto" w:fill="FFFFFF"/>
        </w:rPr>
        <w:t>Zainab Atta</w:t>
      </w:r>
    </w:p>
    <w:sdt>
      <w:sdtPr>
        <w:rPr>
          <w:rFonts w:asciiTheme="minorHAnsi" w:eastAsiaTheme="minorHAnsi" w:hAnsiTheme="minorHAnsi" w:cstheme="minorBidi"/>
          <w:color w:val="auto"/>
          <w:kern w:val="2"/>
          <w:sz w:val="24"/>
          <w:szCs w:val="24"/>
          <w:lang w:val="en-GB"/>
          <w14:ligatures w14:val="standardContextual"/>
        </w:rPr>
        <w:id w:val="1757472817"/>
        <w:docPartObj>
          <w:docPartGallery w:val="Table of Contents"/>
          <w:docPartUnique/>
        </w:docPartObj>
      </w:sdtPr>
      <w:sdtEndPr>
        <w:rPr>
          <w:b/>
          <w:bCs/>
          <w:noProof/>
        </w:rPr>
      </w:sdtEndPr>
      <w:sdtContent>
        <w:p w14:paraId="619D5996" w14:textId="29837D09" w:rsidR="00752D25" w:rsidRPr="00B76CDF" w:rsidRDefault="00752D25">
          <w:pPr>
            <w:pStyle w:val="TOCHeading"/>
            <w:rPr>
              <w:rFonts w:ascii="Arial" w:hAnsi="Arial" w:cs="Arial"/>
              <w:b/>
              <w:bCs/>
              <w:color w:val="000000" w:themeColor="text1"/>
              <w:sz w:val="24"/>
              <w:szCs w:val="24"/>
            </w:rPr>
          </w:pPr>
          <w:r w:rsidRPr="00B76CDF">
            <w:rPr>
              <w:rFonts w:ascii="Arial" w:hAnsi="Arial" w:cs="Arial"/>
              <w:b/>
              <w:bCs/>
              <w:color w:val="000000" w:themeColor="text1"/>
              <w:sz w:val="24"/>
              <w:szCs w:val="24"/>
            </w:rPr>
            <w:t>Table of Contents</w:t>
          </w:r>
        </w:p>
        <w:p w14:paraId="5A457E2E" w14:textId="72F48721" w:rsidR="00B76CDF" w:rsidRDefault="00752D2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150823" w:history="1">
            <w:r w:rsidR="00B76CDF" w:rsidRPr="00286970">
              <w:rPr>
                <w:rStyle w:val="Hyperlink"/>
                <w:rFonts w:ascii="Arial" w:hAnsi="Arial" w:cs="Arial"/>
                <w:b/>
                <w:bCs/>
                <w:noProof/>
              </w:rPr>
              <w:t>1. Introduction</w:t>
            </w:r>
            <w:r w:rsidR="00B76CDF">
              <w:rPr>
                <w:noProof/>
                <w:webHidden/>
              </w:rPr>
              <w:tab/>
            </w:r>
            <w:r w:rsidR="00B76CDF">
              <w:rPr>
                <w:noProof/>
                <w:webHidden/>
              </w:rPr>
              <w:fldChar w:fldCharType="begin"/>
            </w:r>
            <w:r w:rsidR="00B76CDF">
              <w:rPr>
                <w:noProof/>
                <w:webHidden/>
              </w:rPr>
              <w:instrText xml:space="preserve"> PAGEREF _Toc235150823 \h </w:instrText>
            </w:r>
            <w:r w:rsidR="00B76CDF">
              <w:rPr>
                <w:noProof/>
                <w:webHidden/>
              </w:rPr>
            </w:r>
            <w:r w:rsidR="00B76CDF">
              <w:rPr>
                <w:noProof/>
                <w:webHidden/>
              </w:rPr>
              <w:fldChar w:fldCharType="separate"/>
            </w:r>
            <w:r w:rsidR="00B76CDF">
              <w:rPr>
                <w:noProof/>
                <w:webHidden/>
              </w:rPr>
              <w:t>3</w:t>
            </w:r>
            <w:r w:rsidR="00B76CDF">
              <w:rPr>
                <w:noProof/>
                <w:webHidden/>
              </w:rPr>
              <w:fldChar w:fldCharType="end"/>
            </w:r>
          </w:hyperlink>
        </w:p>
        <w:p w14:paraId="370681DA" w14:textId="102F193A" w:rsidR="00B76CDF" w:rsidRDefault="00B76CDF">
          <w:pPr>
            <w:pStyle w:val="TOC2"/>
            <w:tabs>
              <w:tab w:val="right" w:leader="dot" w:pos="9016"/>
            </w:tabs>
            <w:rPr>
              <w:rFonts w:eastAsiaTheme="minorEastAsia"/>
              <w:noProof/>
              <w:lang w:eastAsia="en-GB"/>
            </w:rPr>
          </w:pPr>
          <w:hyperlink w:anchor="_Toc235150824" w:history="1">
            <w:r w:rsidRPr="00286970">
              <w:rPr>
                <w:rStyle w:val="Hyperlink"/>
                <w:rFonts w:ascii="Arial" w:hAnsi="Arial" w:cs="Arial"/>
                <w:b/>
                <w:bCs/>
                <w:noProof/>
              </w:rPr>
              <w:t>1.1. Importance of management accounting in decision-making</w:t>
            </w:r>
            <w:r>
              <w:rPr>
                <w:noProof/>
                <w:webHidden/>
              </w:rPr>
              <w:tab/>
            </w:r>
            <w:r>
              <w:rPr>
                <w:noProof/>
                <w:webHidden/>
              </w:rPr>
              <w:fldChar w:fldCharType="begin"/>
            </w:r>
            <w:r>
              <w:rPr>
                <w:noProof/>
                <w:webHidden/>
              </w:rPr>
              <w:instrText xml:space="preserve"> PAGEREF _Toc235150824 \h </w:instrText>
            </w:r>
            <w:r>
              <w:rPr>
                <w:noProof/>
                <w:webHidden/>
              </w:rPr>
            </w:r>
            <w:r>
              <w:rPr>
                <w:noProof/>
                <w:webHidden/>
              </w:rPr>
              <w:fldChar w:fldCharType="separate"/>
            </w:r>
            <w:r>
              <w:rPr>
                <w:noProof/>
                <w:webHidden/>
              </w:rPr>
              <w:t>3</w:t>
            </w:r>
            <w:r>
              <w:rPr>
                <w:noProof/>
                <w:webHidden/>
              </w:rPr>
              <w:fldChar w:fldCharType="end"/>
            </w:r>
          </w:hyperlink>
        </w:p>
        <w:p w14:paraId="0FB06B8E" w14:textId="62B63E33" w:rsidR="00B76CDF" w:rsidRDefault="00B76CDF">
          <w:pPr>
            <w:pStyle w:val="TOC1"/>
            <w:tabs>
              <w:tab w:val="right" w:leader="dot" w:pos="9016"/>
            </w:tabs>
            <w:rPr>
              <w:rFonts w:eastAsiaTheme="minorEastAsia"/>
              <w:noProof/>
              <w:lang w:eastAsia="en-GB"/>
            </w:rPr>
          </w:pPr>
          <w:hyperlink w:anchor="_Toc235150825" w:history="1">
            <w:r w:rsidRPr="00286970">
              <w:rPr>
                <w:rStyle w:val="Hyperlink"/>
                <w:rFonts w:ascii="Arial" w:hAnsi="Arial" w:cs="Arial"/>
                <w:b/>
                <w:bCs/>
                <w:noProof/>
                <w:lang w:eastAsia="en-GB"/>
              </w:rPr>
              <w:t>2. GSK’s Cost Analysis and Business Model</w:t>
            </w:r>
            <w:r>
              <w:rPr>
                <w:noProof/>
                <w:webHidden/>
              </w:rPr>
              <w:tab/>
            </w:r>
            <w:r>
              <w:rPr>
                <w:noProof/>
                <w:webHidden/>
              </w:rPr>
              <w:fldChar w:fldCharType="begin"/>
            </w:r>
            <w:r>
              <w:rPr>
                <w:noProof/>
                <w:webHidden/>
              </w:rPr>
              <w:instrText xml:space="preserve"> PAGEREF _Toc235150825 \h </w:instrText>
            </w:r>
            <w:r>
              <w:rPr>
                <w:noProof/>
                <w:webHidden/>
              </w:rPr>
            </w:r>
            <w:r>
              <w:rPr>
                <w:noProof/>
                <w:webHidden/>
              </w:rPr>
              <w:fldChar w:fldCharType="separate"/>
            </w:r>
            <w:r>
              <w:rPr>
                <w:noProof/>
                <w:webHidden/>
              </w:rPr>
              <w:t>4</w:t>
            </w:r>
            <w:r>
              <w:rPr>
                <w:noProof/>
                <w:webHidden/>
              </w:rPr>
              <w:fldChar w:fldCharType="end"/>
            </w:r>
          </w:hyperlink>
        </w:p>
        <w:p w14:paraId="7E1AD483" w14:textId="26488BAD" w:rsidR="00B76CDF" w:rsidRDefault="00B76CDF">
          <w:pPr>
            <w:pStyle w:val="TOC2"/>
            <w:tabs>
              <w:tab w:val="right" w:leader="dot" w:pos="9016"/>
            </w:tabs>
            <w:rPr>
              <w:rFonts w:eastAsiaTheme="minorEastAsia"/>
              <w:noProof/>
              <w:lang w:eastAsia="en-GB"/>
            </w:rPr>
          </w:pPr>
          <w:hyperlink w:anchor="_Toc235150826" w:history="1">
            <w:r w:rsidRPr="00286970">
              <w:rPr>
                <w:rStyle w:val="Hyperlink"/>
                <w:rFonts w:ascii="Arial" w:hAnsi="Arial" w:cs="Arial"/>
                <w:b/>
                <w:bCs/>
                <w:noProof/>
                <w:lang w:eastAsia="en-GB"/>
              </w:rPr>
              <w:t>2.1. Revenue Model</w:t>
            </w:r>
            <w:r>
              <w:rPr>
                <w:noProof/>
                <w:webHidden/>
              </w:rPr>
              <w:tab/>
            </w:r>
            <w:r>
              <w:rPr>
                <w:noProof/>
                <w:webHidden/>
              </w:rPr>
              <w:fldChar w:fldCharType="begin"/>
            </w:r>
            <w:r>
              <w:rPr>
                <w:noProof/>
                <w:webHidden/>
              </w:rPr>
              <w:instrText xml:space="preserve"> PAGEREF _Toc235150826 \h </w:instrText>
            </w:r>
            <w:r>
              <w:rPr>
                <w:noProof/>
                <w:webHidden/>
              </w:rPr>
            </w:r>
            <w:r>
              <w:rPr>
                <w:noProof/>
                <w:webHidden/>
              </w:rPr>
              <w:fldChar w:fldCharType="separate"/>
            </w:r>
            <w:r>
              <w:rPr>
                <w:noProof/>
                <w:webHidden/>
              </w:rPr>
              <w:t>5</w:t>
            </w:r>
            <w:r>
              <w:rPr>
                <w:noProof/>
                <w:webHidden/>
              </w:rPr>
              <w:fldChar w:fldCharType="end"/>
            </w:r>
          </w:hyperlink>
        </w:p>
        <w:p w14:paraId="6657B30D" w14:textId="04DC95EC" w:rsidR="00B76CDF" w:rsidRDefault="00B76CDF">
          <w:pPr>
            <w:pStyle w:val="TOC2"/>
            <w:tabs>
              <w:tab w:val="right" w:leader="dot" w:pos="9016"/>
            </w:tabs>
            <w:rPr>
              <w:rFonts w:eastAsiaTheme="minorEastAsia"/>
              <w:noProof/>
              <w:lang w:eastAsia="en-GB"/>
            </w:rPr>
          </w:pPr>
          <w:hyperlink w:anchor="_Toc235150827" w:history="1">
            <w:r w:rsidRPr="00286970">
              <w:rPr>
                <w:rStyle w:val="Hyperlink"/>
                <w:rFonts w:ascii="Arial" w:hAnsi="Arial" w:cs="Arial"/>
                <w:b/>
                <w:bCs/>
                <w:noProof/>
                <w:lang w:eastAsia="en-GB"/>
              </w:rPr>
              <w:t>2.2. Cost Structure</w:t>
            </w:r>
            <w:r>
              <w:rPr>
                <w:noProof/>
                <w:webHidden/>
              </w:rPr>
              <w:tab/>
            </w:r>
            <w:r>
              <w:rPr>
                <w:noProof/>
                <w:webHidden/>
              </w:rPr>
              <w:fldChar w:fldCharType="begin"/>
            </w:r>
            <w:r>
              <w:rPr>
                <w:noProof/>
                <w:webHidden/>
              </w:rPr>
              <w:instrText xml:space="preserve"> PAGEREF _Toc235150827 \h </w:instrText>
            </w:r>
            <w:r>
              <w:rPr>
                <w:noProof/>
                <w:webHidden/>
              </w:rPr>
            </w:r>
            <w:r>
              <w:rPr>
                <w:noProof/>
                <w:webHidden/>
              </w:rPr>
              <w:fldChar w:fldCharType="separate"/>
            </w:r>
            <w:r>
              <w:rPr>
                <w:noProof/>
                <w:webHidden/>
              </w:rPr>
              <w:t>5</w:t>
            </w:r>
            <w:r>
              <w:rPr>
                <w:noProof/>
                <w:webHidden/>
              </w:rPr>
              <w:fldChar w:fldCharType="end"/>
            </w:r>
          </w:hyperlink>
        </w:p>
        <w:p w14:paraId="4D7CF787" w14:textId="24A98B9B" w:rsidR="00B76CDF" w:rsidRDefault="00B76CDF">
          <w:pPr>
            <w:pStyle w:val="TOC1"/>
            <w:tabs>
              <w:tab w:val="right" w:leader="dot" w:pos="9016"/>
            </w:tabs>
            <w:rPr>
              <w:rFonts w:eastAsiaTheme="minorEastAsia"/>
              <w:noProof/>
              <w:lang w:eastAsia="en-GB"/>
            </w:rPr>
          </w:pPr>
          <w:hyperlink w:anchor="_Toc235150828" w:history="1">
            <w:r w:rsidRPr="00286970">
              <w:rPr>
                <w:rStyle w:val="Hyperlink"/>
                <w:rFonts w:ascii="Arial" w:eastAsia="Times New Roman" w:hAnsi="Arial" w:cs="Arial"/>
                <w:b/>
                <w:bCs/>
                <w:noProof/>
                <w:lang w:eastAsia="en-GB"/>
              </w:rPr>
              <w:t>3. The Role of Budgeting in GSK's Operations</w:t>
            </w:r>
            <w:r>
              <w:rPr>
                <w:noProof/>
                <w:webHidden/>
              </w:rPr>
              <w:tab/>
            </w:r>
            <w:r>
              <w:rPr>
                <w:noProof/>
                <w:webHidden/>
              </w:rPr>
              <w:fldChar w:fldCharType="begin"/>
            </w:r>
            <w:r>
              <w:rPr>
                <w:noProof/>
                <w:webHidden/>
              </w:rPr>
              <w:instrText xml:space="preserve"> PAGEREF _Toc235150828 \h </w:instrText>
            </w:r>
            <w:r>
              <w:rPr>
                <w:noProof/>
                <w:webHidden/>
              </w:rPr>
            </w:r>
            <w:r>
              <w:rPr>
                <w:noProof/>
                <w:webHidden/>
              </w:rPr>
              <w:fldChar w:fldCharType="separate"/>
            </w:r>
            <w:r>
              <w:rPr>
                <w:noProof/>
                <w:webHidden/>
              </w:rPr>
              <w:t>7</w:t>
            </w:r>
            <w:r>
              <w:rPr>
                <w:noProof/>
                <w:webHidden/>
              </w:rPr>
              <w:fldChar w:fldCharType="end"/>
            </w:r>
          </w:hyperlink>
        </w:p>
        <w:p w14:paraId="4E30CEE8" w14:textId="10499816" w:rsidR="00B76CDF" w:rsidRDefault="00B76CDF">
          <w:pPr>
            <w:pStyle w:val="TOC1"/>
            <w:tabs>
              <w:tab w:val="right" w:leader="dot" w:pos="9016"/>
            </w:tabs>
            <w:rPr>
              <w:rFonts w:eastAsiaTheme="minorEastAsia"/>
              <w:noProof/>
              <w:lang w:eastAsia="en-GB"/>
            </w:rPr>
          </w:pPr>
          <w:hyperlink w:anchor="_Toc235150829" w:history="1">
            <w:r w:rsidRPr="00286970">
              <w:rPr>
                <w:rStyle w:val="Hyperlink"/>
                <w:rFonts w:ascii="Arial" w:hAnsi="Arial" w:cs="Arial"/>
                <w:b/>
                <w:bCs/>
                <w:noProof/>
              </w:rPr>
              <w:t>4. GSK’s Performance Measurement and Decision Making</w:t>
            </w:r>
            <w:r>
              <w:rPr>
                <w:noProof/>
                <w:webHidden/>
              </w:rPr>
              <w:tab/>
            </w:r>
            <w:r>
              <w:rPr>
                <w:noProof/>
                <w:webHidden/>
              </w:rPr>
              <w:fldChar w:fldCharType="begin"/>
            </w:r>
            <w:r>
              <w:rPr>
                <w:noProof/>
                <w:webHidden/>
              </w:rPr>
              <w:instrText xml:space="preserve"> PAGEREF _Toc235150829 \h </w:instrText>
            </w:r>
            <w:r>
              <w:rPr>
                <w:noProof/>
                <w:webHidden/>
              </w:rPr>
            </w:r>
            <w:r>
              <w:rPr>
                <w:noProof/>
                <w:webHidden/>
              </w:rPr>
              <w:fldChar w:fldCharType="separate"/>
            </w:r>
            <w:r>
              <w:rPr>
                <w:noProof/>
                <w:webHidden/>
              </w:rPr>
              <w:t>8</w:t>
            </w:r>
            <w:r>
              <w:rPr>
                <w:noProof/>
                <w:webHidden/>
              </w:rPr>
              <w:fldChar w:fldCharType="end"/>
            </w:r>
          </w:hyperlink>
        </w:p>
        <w:p w14:paraId="417E8474" w14:textId="7F2D0CD0" w:rsidR="00B76CDF" w:rsidRDefault="00B76CDF">
          <w:pPr>
            <w:pStyle w:val="TOC1"/>
            <w:tabs>
              <w:tab w:val="right" w:leader="dot" w:pos="9016"/>
            </w:tabs>
            <w:rPr>
              <w:rFonts w:eastAsiaTheme="minorEastAsia"/>
              <w:noProof/>
              <w:lang w:eastAsia="en-GB"/>
            </w:rPr>
          </w:pPr>
          <w:hyperlink w:anchor="_Toc235150830" w:history="1">
            <w:r w:rsidRPr="00286970">
              <w:rPr>
                <w:rStyle w:val="Hyperlink"/>
                <w:rFonts w:ascii="Arial" w:hAnsi="Arial" w:cs="Arial"/>
                <w:b/>
                <w:bCs/>
                <w:noProof/>
                <w:lang w:eastAsia="en-GB"/>
              </w:rPr>
              <w:t>5. GSK's Integration of Sustainability into Financial Decision-Making and         Ethical Cost Management</w:t>
            </w:r>
            <w:r>
              <w:rPr>
                <w:noProof/>
                <w:webHidden/>
              </w:rPr>
              <w:tab/>
            </w:r>
            <w:r>
              <w:rPr>
                <w:noProof/>
                <w:webHidden/>
              </w:rPr>
              <w:fldChar w:fldCharType="begin"/>
            </w:r>
            <w:r>
              <w:rPr>
                <w:noProof/>
                <w:webHidden/>
              </w:rPr>
              <w:instrText xml:space="preserve"> PAGEREF _Toc235150830 \h </w:instrText>
            </w:r>
            <w:r>
              <w:rPr>
                <w:noProof/>
                <w:webHidden/>
              </w:rPr>
            </w:r>
            <w:r>
              <w:rPr>
                <w:noProof/>
                <w:webHidden/>
              </w:rPr>
              <w:fldChar w:fldCharType="separate"/>
            </w:r>
            <w:r>
              <w:rPr>
                <w:noProof/>
                <w:webHidden/>
              </w:rPr>
              <w:t>10</w:t>
            </w:r>
            <w:r>
              <w:rPr>
                <w:noProof/>
                <w:webHidden/>
              </w:rPr>
              <w:fldChar w:fldCharType="end"/>
            </w:r>
          </w:hyperlink>
        </w:p>
        <w:p w14:paraId="2DAC3EBE" w14:textId="502A7A22" w:rsidR="00B76CDF" w:rsidRDefault="00B76CDF">
          <w:pPr>
            <w:pStyle w:val="TOC1"/>
            <w:tabs>
              <w:tab w:val="right" w:leader="dot" w:pos="9016"/>
            </w:tabs>
            <w:rPr>
              <w:rFonts w:eastAsiaTheme="minorEastAsia"/>
              <w:noProof/>
              <w:lang w:eastAsia="en-GB"/>
            </w:rPr>
          </w:pPr>
          <w:hyperlink w:anchor="_Toc235150831" w:history="1">
            <w:r w:rsidRPr="00286970">
              <w:rPr>
                <w:rStyle w:val="Hyperlink"/>
                <w:rFonts w:ascii="Arial" w:hAnsi="Arial" w:cs="Arial"/>
                <w:b/>
                <w:bCs/>
                <w:noProof/>
              </w:rPr>
              <w:t>6. Conclusion and Recommendations</w:t>
            </w:r>
            <w:r>
              <w:rPr>
                <w:noProof/>
                <w:webHidden/>
              </w:rPr>
              <w:tab/>
            </w:r>
            <w:r>
              <w:rPr>
                <w:noProof/>
                <w:webHidden/>
              </w:rPr>
              <w:fldChar w:fldCharType="begin"/>
            </w:r>
            <w:r>
              <w:rPr>
                <w:noProof/>
                <w:webHidden/>
              </w:rPr>
              <w:instrText xml:space="preserve"> PAGEREF _Toc235150831 \h </w:instrText>
            </w:r>
            <w:r>
              <w:rPr>
                <w:noProof/>
                <w:webHidden/>
              </w:rPr>
            </w:r>
            <w:r>
              <w:rPr>
                <w:noProof/>
                <w:webHidden/>
              </w:rPr>
              <w:fldChar w:fldCharType="separate"/>
            </w:r>
            <w:r>
              <w:rPr>
                <w:noProof/>
                <w:webHidden/>
              </w:rPr>
              <w:t>11</w:t>
            </w:r>
            <w:r>
              <w:rPr>
                <w:noProof/>
                <w:webHidden/>
              </w:rPr>
              <w:fldChar w:fldCharType="end"/>
            </w:r>
          </w:hyperlink>
        </w:p>
        <w:p w14:paraId="43EFC861" w14:textId="1372B9E5" w:rsidR="00B76CDF" w:rsidRDefault="00B76CDF">
          <w:pPr>
            <w:pStyle w:val="TOC1"/>
            <w:tabs>
              <w:tab w:val="right" w:leader="dot" w:pos="9016"/>
            </w:tabs>
            <w:rPr>
              <w:rFonts w:eastAsiaTheme="minorEastAsia"/>
              <w:noProof/>
              <w:lang w:eastAsia="en-GB"/>
            </w:rPr>
          </w:pPr>
          <w:hyperlink w:anchor="_Toc235150832" w:history="1">
            <w:r w:rsidRPr="00286970">
              <w:rPr>
                <w:rStyle w:val="Hyperlink"/>
                <w:rFonts w:ascii="Arial" w:hAnsi="Arial" w:cs="Arial"/>
                <w:b/>
                <w:bCs/>
                <w:noProof/>
              </w:rPr>
              <w:t>7. References</w:t>
            </w:r>
            <w:r>
              <w:rPr>
                <w:noProof/>
                <w:webHidden/>
              </w:rPr>
              <w:tab/>
            </w:r>
            <w:r>
              <w:rPr>
                <w:noProof/>
                <w:webHidden/>
              </w:rPr>
              <w:fldChar w:fldCharType="begin"/>
            </w:r>
            <w:r>
              <w:rPr>
                <w:noProof/>
                <w:webHidden/>
              </w:rPr>
              <w:instrText xml:space="preserve"> PAGEREF _Toc235150832 \h </w:instrText>
            </w:r>
            <w:r>
              <w:rPr>
                <w:noProof/>
                <w:webHidden/>
              </w:rPr>
            </w:r>
            <w:r>
              <w:rPr>
                <w:noProof/>
                <w:webHidden/>
              </w:rPr>
              <w:fldChar w:fldCharType="separate"/>
            </w:r>
            <w:r>
              <w:rPr>
                <w:noProof/>
                <w:webHidden/>
              </w:rPr>
              <w:t>12</w:t>
            </w:r>
            <w:r>
              <w:rPr>
                <w:noProof/>
                <w:webHidden/>
              </w:rPr>
              <w:fldChar w:fldCharType="end"/>
            </w:r>
          </w:hyperlink>
        </w:p>
        <w:p w14:paraId="6C82BA0A" w14:textId="60E70468" w:rsidR="00752D25" w:rsidRDefault="00752D25">
          <w:r>
            <w:rPr>
              <w:b/>
              <w:bCs/>
              <w:noProof/>
            </w:rPr>
            <w:fldChar w:fldCharType="end"/>
          </w:r>
        </w:p>
      </w:sdtContent>
    </w:sdt>
    <w:p w14:paraId="2D5B0D97" w14:textId="648C9745" w:rsidR="00DB6217" w:rsidRDefault="00DB6217" w:rsidP="00F87138">
      <w:pPr>
        <w:spacing w:after="0" w:line="360" w:lineRule="auto"/>
        <w:jc w:val="both"/>
        <w:rPr>
          <w:rFonts w:ascii="Arial" w:hAnsi="Arial" w:cs="Arial"/>
          <w:b/>
          <w:bCs/>
        </w:rPr>
      </w:pPr>
    </w:p>
    <w:p w14:paraId="49459718" w14:textId="77777777" w:rsidR="0072675F" w:rsidRDefault="0072675F">
      <w:pPr>
        <w:rPr>
          <w:rFonts w:ascii="Arial" w:hAnsi="Arial" w:cs="Arial"/>
          <w:b/>
          <w:bCs/>
        </w:rPr>
      </w:pPr>
      <w:r>
        <w:rPr>
          <w:rFonts w:ascii="Arial" w:hAnsi="Arial" w:cs="Arial"/>
          <w:b/>
          <w:bCs/>
        </w:rPr>
        <w:br w:type="page"/>
      </w:r>
    </w:p>
    <w:p w14:paraId="1B5EB4EC" w14:textId="3BA40CAE" w:rsidR="00012927" w:rsidRPr="002841A0" w:rsidRDefault="00012927" w:rsidP="00753B23">
      <w:pPr>
        <w:pStyle w:val="Heading1"/>
        <w:rPr>
          <w:rFonts w:ascii="Arial" w:hAnsi="Arial" w:cs="Arial"/>
          <w:b/>
          <w:bCs/>
          <w:color w:val="000000" w:themeColor="text1"/>
          <w:sz w:val="24"/>
          <w:szCs w:val="24"/>
        </w:rPr>
      </w:pPr>
      <w:bookmarkStart w:id="0" w:name="_Toc235150823"/>
      <w:r w:rsidRPr="002841A0">
        <w:rPr>
          <w:rFonts w:ascii="Arial" w:hAnsi="Arial" w:cs="Arial"/>
          <w:b/>
          <w:bCs/>
          <w:color w:val="000000" w:themeColor="text1"/>
          <w:sz w:val="24"/>
          <w:szCs w:val="24"/>
        </w:rPr>
        <w:lastRenderedPageBreak/>
        <w:t>1</w:t>
      </w:r>
      <w:r w:rsidR="009E0182">
        <w:rPr>
          <w:rFonts w:ascii="Arial" w:hAnsi="Arial" w:cs="Arial"/>
          <w:b/>
          <w:bCs/>
          <w:color w:val="000000" w:themeColor="text1"/>
          <w:sz w:val="24"/>
          <w:szCs w:val="24"/>
        </w:rPr>
        <w:t>.</w:t>
      </w:r>
      <w:r w:rsidRPr="002841A0">
        <w:rPr>
          <w:rFonts w:ascii="Arial" w:hAnsi="Arial" w:cs="Arial"/>
          <w:b/>
          <w:bCs/>
          <w:color w:val="000000" w:themeColor="text1"/>
          <w:sz w:val="24"/>
          <w:szCs w:val="24"/>
        </w:rPr>
        <w:t xml:space="preserve"> Introduction</w:t>
      </w:r>
      <w:bookmarkEnd w:id="0"/>
    </w:p>
    <w:p w14:paraId="12DC0BCA" w14:textId="499F52C6" w:rsidR="00012927" w:rsidRPr="005437FE" w:rsidRDefault="00012927" w:rsidP="00BC2C29">
      <w:pPr>
        <w:spacing w:after="0" w:line="360" w:lineRule="auto"/>
        <w:ind w:left="284"/>
        <w:jc w:val="both"/>
        <w:rPr>
          <w:rFonts w:ascii="Arial" w:eastAsia="Times New Roman" w:hAnsi="Arial" w:cs="Arial"/>
          <w:color w:val="000000" w:themeColor="text1"/>
          <w:kern w:val="0"/>
          <w:lang w:eastAsia="en-GB"/>
          <w14:ligatures w14:val="none"/>
        </w:rPr>
      </w:pPr>
      <w:r w:rsidRPr="005437FE">
        <w:rPr>
          <w:rFonts w:ascii="Arial" w:hAnsi="Arial" w:cs="Arial"/>
          <w:color w:val="000000" w:themeColor="text1"/>
        </w:rPr>
        <w:t>GlaxoSmithKline (GSK) is a British multinational pharmaceutical and biotechnology company headquartered in London, England. It was established in 2000 through the merger of Glaxo Wellcome and SmithKline Beecham</w:t>
      </w:r>
      <w:r w:rsidR="00AB47B1" w:rsidRPr="005437FE">
        <w:rPr>
          <w:rFonts w:ascii="Arial" w:hAnsi="Arial" w:cs="Arial"/>
          <w:color w:val="000000" w:themeColor="text1"/>
        </w:rPr>
        <w:t>.</w:t>
      </w:r>
      <w:r w:rsidRPr="005437FE">
        <w:rPr>
          <w:rFonts w:ascii="Arial" w:hAnsi="Arial" w:cs="Arial"/>
          <w:color w:val="000000" w:themeColor="text1"/>
        </w:rPr>
        <w:t xml:space="preserve"> GSK focuses on specialty medicines, vaccines, and general medicines, with key therapeutic areas including HIV, respiratory, cancer, and infectious diseases. GSK is also known for its innovative products, including the first malaria vaccine and various over-the-counter medications </w:t>
      </w:r>
      <w:r w:rsidRPr="005437FE">
        <w:rPr>
          <w:rFonts w:ascii="Arial" w:eastAsia="Times New Roman" w:hAnsi="Arial" w:cs="Arial"/>
          <w:color w:val="000000" w:themeColor="text1"/>
          <w:kern w:val="0"/>
          <w:lang w:eastAsia="en-GB"/>
          <w14:ligatures w14:val="none"/>
        </w:rPr>
        <w:t>(</w:t>
      </w:r>
      <w:r w:rsidR="00345159" w:rsidRPr="005437FE">
        <w:rPr>
          <w:rFonts w:ascii="Arial" w:eastAsia="Times New Roman" w:hAnsi="Arial" w:cs="Arial"/>
          <w:color w:val="000000" w:themeColor="text1"/>
          <w:kern w:val="0"/>
          <w:lang w:eastAsia="en-GB"/>
          <w14:ligatures w14:val="none"/>
        </w:rPr>
        <w:t>Gsk.com</w:t>
      </w:r>
      <w:r w:rsidRPr="005437FE">
        <w:rPr>
          <w:rFonts w:ascii="Arial" w:eastAsia="Times New Roman" w:hAnsi="Arial" w:cs="Arial"/>
          <w:color w:val="000000" w:themeColor="text1"/>
          <w:kern w:val="0"/>
          <w:lang w:eastAsia="en-GB"/>
          <w14:ligatures w14:val="none"/>
        </w:rPr>
        <w:t>, 2025)</w:t>
      </w:r>
    </w:p>
    <w:p w14:paraId="6D4F1F10" w14:textId="47AB1F84" w:rsidR="00012927" w:rsidRPr="005437FE" w:rsidRDefault="002E5D34" w:rsidP="00F87138">
      <w:pPr>
        <w:spacing w:after="0" w:line="360" w:lineRule="auto"/>
        <w:ind w:left="284"/>
        <w:jc w:val="both"/>
        <w:rPr>
          <w:rFonts w:ascii="Arial" w:hAnsi="Arial" w:cs="Arial"/>
          <w:color w:val="000000" w:themeColor="text1"/>
        </w:rPr>
      </w:pPr>
      <w:r w:rsidRPr="005437FE">
        <w:rPr>
          <w:rFonts w:ascii="Arial" w:hAnsi="Arial" w:cs="Arial"/>
          <w:color w:val="000000" w:themeColor="text1"/>
        </w:rPr>
        <w:t xml:space="preserve">The list of the top 10 pharmaceutical companies by total revenue in 2024 comprised Roche, Merck &amp; Co., Pfizer, Johnson &amp; Johnson, AbbVie, AstraZeneca, Novartis, Sanofi, Bristol Myers Squibb, and Eli Lilly (IntuitionLabs, 2025). </w:t>
      </w:r>
    </w:p>
    <w:p w14:paraId="0B3EFE61" w14:textId="77777777" w:rsidR="005437FE" w:rsidRDefault="005437FE" w:rsidP="00F87138">
      <w:pPr>
        <w:spacing w:line="360" w:lineRule="auto"/>
        <w:ind w:left="284"/>
        <w:jc w:val="both"/>
        <w:rPr>
          <w:rFonts w:ascii="Arial" w:hAnsi="Arial" w:cs="Arial"/>
        </w:rPr>
      </w:pPr>
    </w:p>
    <w:p w14:paraId="0F6790E4" w14:textId="53EB76F2" w:rsidR="00012927" w:rsidRDefault="00012927" w:rsidP="00F87138">
      <w:pPr>
        <w:spacing w:line="360" w:lineRule="auto"/>
        <w:ind w:left="284"/>
        <w:jc w:val="both"/>
        <w:rPr>
          <w:b/>
          <w:bCs/>
        </w:rPr>
      </w:pPr>
      <w:r w:rsidRPr="00565831">
        <w:rPr>
          <w:rFonts w:ascii="Arial" w:hAnsi="Arial" w:cs="Arial"/>
        </w:rPr>
        <w:t>GSK's share of the global pharmaceutical market is approximately £32.7 billion of industry revenue</w:t>
      </w:r>
      <w:r w:rsidR="00FF5DF7">
        <w:rPr>
          <w:rFonts w:ascii="Arial" w:hAnsi="Arial" w:cs="Arial"/>
        </w:rPr>
        <w:t xml:space="preserve"> in 2025</w:t>
      </w:r>
      <w:r w:rsidRPr="00565831">
        <w:rPr>
          <w:rFonts w:ascii="Arial" w:hAnsi="Arial" w:cs="Arial"/>
        </w:rPr>
        <w:t>, representing about 2.4% of the global pharmaceutical market.</w:t>
      </w:r>
      <w:r w:rsidRPr="000440B7">
        <w:rPr>
          <w:b/>
          <w:bCs/>
        </w:rPr>
        <w:t xml:space="preserve"> </w:t>
      </w:r>
    </w:p>
    <w:p w14:paraId="7485AF17" w14:textId="794CABB2" w:rsidR="00253074" w:rsidRPr="00253074" w:rsidRDefault="00253074" w:rsidP="00253074">
      <w:pPr>
        <w:spacing w:line="360" w:lineRule="auto"/>
        <w:ind w:left="284"/>
        <w:jc w:val="both"/>
        <w:rPr>
          <w:b/>
          <w:bCs/>
        </w:rPr>
      </w:pPr>
      <w:r w:rsidRPr="00253074">
        <w:rPr>
          <w:b/>
          <w:bCs/>
          <w:noProof/>
        </w:rPr>
        <w:drawing>
          <wp:inline distT="0" distB="0" distL="0" distR="0" wp14:anchorId="13DBDBA3" wp14:editId="14AEC37B">
            <wp:extent cx="5731510" cy="30587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058795"/>
                    </a:xfrm>
                    <a:prstGeom prst="rect">
                      <a:avLst/>
                    </a:prstGeom>
                    <a:noFill/>
                    <a:ln>
                      <a:noFill/>
                    </a:ln>
                  </pic:spPr>
                </pic:pic>
              </a:graphicData>
            </a:graphic>
          </wp:inline>
        </w:drawing>
      </w:r>
    </w:p>
    <w:p w14:paraId="3299B37A" w14:textId="1C5F28FF" w:rsidR="00253074" w:rsidRDefault="00BA2CBF" w:rsidP="00B25362">
      <w:pPr>
        <w:spacing w:line="360" w:lineRule="auto"/>
        <w:ind w:left="284"/>
        <w:jc w:val="both"/>
        <w:rPr>
          <w:rFonts w:ascii="Arial" w:hAnsi="Arial" w:cs="Arial"/>
        </w:rPr>
      </w:pPr>
      <w:r w:rsidRPr="00B25362">
        <w:rPr>
          <w:rFonts w:ascii="Arial" w:hAnsi="Arial" w:cs="Arial"/>
        </w:rPr>
        <w:t>Source: (G</w:t>
      </w:r>
      <w:r w:rsidR="00B25362" w:rsidRPr="00B25362">
        <w:rPr>
          <w:rFonts w:ascii="Arial" w:hAnsi="Arial" w:cs="Arial"/>
        </w:rPr>
        <w:t>sk.com, 2025)</w:t>
      </w:r>
    </w:p>
    <w:p w14:paraId="6AD499A0" w14:textId="68A9011F" w:rsidR="00046AB5" w:rsidRPr="007645DF" w:rsidRDefault="00FD089C" w:rsidP="007645DF">
      <w:pPr>
        <w:pStyle w:val="Heading2"/>
        <w:rPr>
          <w:rFonts w:ascii="Arial" w:hAnsi="Arial" w:cs="Arial"/>
          <w:b/>
          <w:bCs/>
          <w:color w:val="000000" w:themeColor="text1"/>
          <w:sz w:val="24"/>
          <w:szCs w:val="24"/>
        </w:rPr>
      </w:pPr>
      <w:bookmarkStart w:id="1" w:name="_Toc235150824"/>
      <w:r w:rsidRPr="007645DF">
        <w:rPr>
          <w:rFonts w:ascii="Arial" w:hAnsi="Arial" w:cs="Arial"/>
          <w:b/>
          <w:bCs/>
          <w:color w:val="000000" w:themeColor="text1"/>
          <w:sz w:val="24"/>
          <w:szCs w:val="24"/>
        </w:rPr>
        <w:t>1.</w:t>
      </w:r>
      <w:r w:rsidR="00EE17D1">
        <w:rPr>
          <w:rFonts w:ascii="Arial" w:hAnsi="Arial" w:cs="Arial"/>
          <w:b/>
          <w:bCs/>
          <w:color w:val="000000" w:themeColor="text1"/>
          <w:sz w:val="24"/>
          <w:szCs w:val="24"/>
        </w:rPr>
        <w:t>1.</w:t>
      </w:r>
      <w:r w:rsidRPr="007645DF">
        <w:rPr>
          <w:rFonts w:ascii="Arial" w:hAnsi="Arial" w:cs="Arial"/>
          <w:b/>
          <w:bCs/>
          <w:color w:val="000000" w:themeColor="text1"/>
          <w:sz w:val="24"/>
          <w:szCs w:val="24"/>
        </w:rPr>
        <w:t xml:space="preserve"> </w:t>
      </w:r>
      <w:r w:rsidR="00046AB5" w:rsidRPr="007645DF">
        <w:rPr>
          <w:rFonts w:ascii="Arial" w:hAnsi="Arial" w:cs="Arial"/>
          <w:b/>
          <w:bCs/>
          <w:color w:val="000000" w:themeColor="text1"/>
          <w:sz w:val="24"/>
          <w:szCs w:val="24"/>
        </w:rPr>
        <w:t>Importance of management accounting in decision-making</w:t>
      </w:r>
      <w:bookmarkEnd w:id="1"/>
      <w:r w:rsidR="00046AB5" w:rsidRPr="007645DF">
        <w:rPr>
          <w:rFonts w:ascii="Arial" w:hAnsi="Arial" w:cs="Arial"/>
          <w:b/>
          <w:bCs/>
          <w:color w:val="000000" w:themeColor="text1"/>
          <w:sz w:val="24"/>
          <w:szCs w:val="24"/>
        </w:rPr>
        <w:t xml:space="preserve"> </w:t>
      </w:r>
    </w:p>
    <w:p w14:paraId="5EF3250A" w14:textId="529506EA" w:rsidR="008E7264" w:rsidRPr="008E7264" w:rsidRDefault="008E7264" w:rsidP="00966720">
      <w:pPr>
        <w:spacing w:line="360" w:lineRule="auto"/>
        <w:ind w:left="284"/>
        <w:jc w:val="both"/>
        <w:rPr>
          <w:rFonts w:ascii="Arial" w:eastAsia="Times New Roman" w:hAnsi="Arial" w:cs="Arial"/>
          <w:color w:val="FF0000"/>
          <w:kern w:val="0"/>
          <w:lang w:eastAsia="en-GB"/>
          <w14:ligatures w14:val="none"/>
        </w:rPr>
      </w:pPr>
      <w:r w:rsidRPr="008E7264">
        <w:rPr>
          <w:rFonts w:ascii="Arial" w:eastAsia="Times New Roman" w:hAnsi="Arial" w:cs="Arial"/>
          <w:color w:val="000000" w:themeColor="text1"/>
          <w:kern w:val="0"/>
          <w:lang w:eastAsia="en-GB"/>
          <w14:ligatures w14:val="none"/>
        </w:rPr>
        <w:t>According to CIMA</w:t>
      </w:r>
      <w:r w:rsidR="00AC39CB">
        <w:rPr>
          <w:rFonts w:ascii="Arial" w:eastAsia="Times New Roman" w:hAnsi="Arial" w:cs="Arial"/>
          <w:color w:val="000000" w:themeColor="text1"/>
          <w:kern w:val="0"/>
          <w:lang w:eastAsia="en-GB"/>
          <w14:ligatures w14:val="none"/>
        </w:rPr>
        <w:t xml:space="preserve">, </w:t>
      </w:r>
      <w:r w:rsidR="00A63235">
        <w:rPr>
          <w:rFonts w:ascii="Arial" w:eastAsia="Times New Roman" w:hAnsi="Arial" w:cs="Arial"/>
          <w:color w:val="000000" w:themeColor="text1"/>
          <w:kern w:val="0"/>
          <w:lang w:eastAsia="en-GB"/>
          <w14:ligatures w14:val="none"/>
        </w:rPr>
        <w:t>m</w:t>
      </w:r>
      <w:r w:rsidR="00F3408A" w:rsidRPr="00F3408A">
        <w:rPr>
          <w:rFonts w:ascii="Arial" w:eastAsia="Times New Roman" w:hAnsi="Arial" w:cs="Arial"/>
          <w:color w:val="000000" w:themeColor="text1"/>
          <w:kern w:val="0"/>
          <w:lang w:eastAsia="en-GB"/>
          <w14:ligatures w14:val="none"/>
        </w:rPr>
        <w:t xml:space="preserve">anagement accounting plays a critical role in providing information that supports managerial decision-making. Specifically, cost analysis within management accounting offers essential data that underpins effective </w:t>
      </w:r>
      <w:r w:rsidR="00F3408A" w:rsidRPr="00F3408A">
        <w:rPr>
          <w:rFonts w:ascii="Arial" w:eastAsia="Times New Roman" w:hAnsi="Arial" w:cs="Arial"/>
          <w:color w:val="000000" w:themeColor="text1"/>
          <w:kern w:val="0"/>
          <w:lang w:eastAsia="en-GB"/>
          <w14:ligatures w14:val="none"/>
        </w:rPr>
        <w:lastRenderedPageBreak/>
        <w:t>decisions by managers, as highlighted in the connection between managerial decision-making and accounting information</w:t>
      </w:r>
      <w:r w:rsidR="00F3408A" w:rsidRPr="00F3408A">
        <w:rPr>
          <w:rFonts w:ascii="Arial" w:eastAsia="Times New Roman" w:hAnsi="Arial" w:cs="Arial"/>
          <w:color w:val="000000" w:themeColor="text1"/>
          <w:kern w:val="0"/>
          <w:lang w:eastAsia="en-GB"/>
          <w14:ligatures w14:val="none"/>
        </w:rPr>
        <w:t xml:space="preserve"> </w:t>
      </w:r>
      <w:r w:rsidRPr="00FC12DF">
        <w:rPr>
          <w:rFonts w:ascii="Arial" w:eastAsia="Times New Roman" w:hAnsi="Arial" w:cs="Arial"/>
          <w:color w:val="000000" w:themeColor="text1"/>
          <w:kern w:val="0"/>
          <w:lang w:eastAsia="en-GB"/>
          <w14:ligatures w14:val="none"/>
        </w:rPr>
        <w:t>(CIMA, 2023)</w:t>
      </w:r>
      <w:r w:rsidR="00DE15B1">
        <w:rPr>
          <w:rFonts w:ascii="Arial" w:eastAsia="Times New Roman" w:hAnsi="Arial" w:cs="Arial"/>
          <w:color w:val="000000" w:themeColor="text1"/>
          <w:kern w:val="0"/>
          <w:lang w:eastAsia="en-GB"/>
          <w14:ligatures w14:val="none"/>
        </w:rPr>
        <w:t>.</w:t>
      </w:r>
    </w:p>
    <w:p w14:paraId="64295612" w14:textId="79698DFA" w:rsidR="00082B71" w:rsidRPr="00FC12DF" w:rsidRDefault="008E7264" w:rsidP="00EB647B">
      <w:pPr>
        <w:spacing w:line="360" w:lineRule="auto"/>
        <w:ind w:left="284"/>
        <w:jc w:val="both"/>
        <w:rPr>
          <w:rFonts w:ascii="Arial" w:eastAsia="Times New Roman" w:hAnsi="Arial" w:cs="Arial"/>
          <w:color w:val="000000" w:themeColor="text1"/>
          <w:kern w:val="0"/>
          <w:lang w:eastAsia="en-GB"/>
          <w14:ligatures w14:val="none"/>
        </w:rPr>
      </w:pPr>
      <w:r w:rsidRPr="00FC12DF">
        <w:rPr>
          <w:rFonts w:ascii="Arial" w:eastAsia="Times New Roman" w:hAnsi="Arial" w:cs="Arial"/>
          <w:color w:val="000000" w:themeColor="text1"/>
          <w:kern w:val="0"/>
          <w:lang w:eastAsia="en-GB"/>
          <w14:ligatures w14:val="none"/>
        </w:rPr>
        <w:t>For example</w:t>
      </w:r>
      <w:r w:rsidR="00FC12DF" w:rsidRPr="00FC12DF">
        <w:rPr>
          <w:rFonts w:ascii="Arial" w:eastAsia="Times New Roman" w:hAnsi="Arial" w:cs="Arial"/>
          <w:color w:val="000000" w:themeColor="text1"/>
          <w:kern w:val="0"/>
          <w:lang w:eastAsia="en-GB"/>
          <w14:ligatures w14:val="none"/>
        </w:rPr>
        <w:t>,</w:t>
      </w:r>
      <w:r w:rsidRPr="00FC12DF">
        <w:rPr>
          <w:rFonts w:ascii="Arial" w:eastAsia="Times New Roman" w:hAnsi="Arial" w:cs="Arial"/>
          <w:color w:val="000000" w:themeColor="text1"/>
          <w:kern w:val="0"/>
          <w:lang w:eastAsia="en-GB"/>
          <w14:ligatures w14:val="none"/>
        </w:rPr>
        <w:t xml:space="preserve"> GSK has recently bought Nuvalent which specialise in lung cancer treatment for £10.6bn (Gsk.com, 2026). Management accounting would have provided an analysis and indicated that the return on investment if GSK bought this firm, given the increase in cancer rates (ScienceDaily, 2026).</w:t>
      </w:r>
    </w:p>
    <w:p w14:paraId="5106ED85" w14:textId="75AE529B" w:rsidR="00012927" w:rsidRPr="002841A0" w:rsidRDefault="00012927" w:rsidP="00753B23">
      <w:pPr>
        <w:pStyle w:val="Heading1"/>
        <w:rPr>
          <w:rFonts w:ascii="Arial" w:hAnsi="Arial" w:cs="Arial"/>
          <w:b/>
          <w:bCs/>
          <w:color w:val="000000" w:themeColor="text1"/>
          <w:sz w:val="24"/>
          <w:szCs w:val="24"/>
          <w:lang w:eastAsia="en-GB"/>
        </w:rPr>
      </w:pPr>
      <w:bookmarkStart w:id="2" w:name="_Toc235150825"/>
      <w:r w:rsidRPr="002841A0">
        <w:rPr>
          <w:rFonts w:ascii="Arial" w:hAnsi="Arial" w:cs="Arial"/>
          <w:b/>
          <w:bCs/>
          <w:color w:val="000000" w:themeColor="text1"/>
          <w:sz w:val="24"/>
          <w:szCs w:val="24"/>
          <w:lang w:eastAsia="en-GB"/>
        </w:rPr>
        <w:t>2</w:t>
      </w:r>
      <w:r w:rsidR="009E0182">
        <w:rPr>
          <w:rFonts w:ascii="Arial" w:hAnsi="Arial" w:cs="Arial"/>
          <w:b/>
          <w:bCs/>
          <w:color w:val="000000" w:themeColor="text1"/>
          <w:sz w:val="24"/>
          <w:szCs w:val="24"/>
          <w:lang w:eastAsia="en-GB"/>
        </w:rPr>
        <w:t>.</w:t>
      </w:r>
      <w:r w:rsidRPr="002841A0">
        <w:rPr>
          <w:rFonts w:ascii="Arial" w:hAnsi="Arial" w:cs="Arial"/>
          <w:b/>
          <w:bCs/>
          <w:color w:val="000000" w:themeColor="text1"/>
          <w:sz w:val="24"/>
          <w:szCs w:val="24"/>
          <w:lang w:eastAsia="en-GB"/>
        </w:rPr>
        <w:t xml:space="preserve"> GSK’s Cost Analysis and Business Model</w:t>
      </w:r>
      <w:bookmarkEnd w:id="2"/>
      <w:r w:rsidRPr="002841A0">
        <w:rPr>
          <w:rFonts w:ascii="Arial" w:hAnsi="Arial" w:cs="Arial"/>
          <w:b/>
          <w:bCs/>
          <w:color w:val="000000" w:themeColor="text1"/>
          <w:sz w:val="24"/>
          <w:szCs w:val="24"/>
          <w:lang w:eastAsia="en-GB"/>
        </w:rPr>
        <w:t xml:space="preserve"> </w:t>
      </w:r>
    </w:p>
    <w:p w14:paraId="158A719D" w14:textId="6E3D8CA5" w:rsidR="00AA2D42" w:rsidRPr="003379E4" w:rsidRDefault="00012927" w:rsidP="003379E4">
      <w:pPr>
        <w:spacing w:before="100" w:beforeAutospacing="1" w:after="100" w:afterAutospacing="1" w:line="360" w:lineRule="auto"/>
        <w:ind w:left="284"/>
        <w:jc w:val="both"/>
        <w:rPr>
          <w:rFonts w:ascii="Arial" w:eastAsia="Times New Roman" w:hAnsi="Arial" w:cs="Arial"/>
          <w:kern w:val="0"/>
          <w:lang w:eastAsia="en-GB"/>
          <w14:ligatures w14:val="none"/>
        </w:rPr>
      </w:pPr>
      <w:r w:rsidRPr="00C26FA4">
        <w:rPr>
          <w:rFonts w:ascii="Arial" w:eastAsia="Times New Roman" w:hAnsi="Arial" w:cs="Arial"/>
          <w:kern w:val="0"/>
          <w:lang w:eastAsia="en-GB"/>
          <w14:ligatures w14:val="none"/>
        </w:rPr>
        <w:t>GSK is a research-based biopharmaceutical company that creates value through the discovery, development, manufacturing, and commerciali</w:t>
      </w:r>
      <w:r w:rsidR="005F754E">
        <w:rPr>
          <w:rFonts w:ascii="Arial" w:eastAsia="Times New Roman" w:hAnsi="Arial" w:cs="Arial"/>
          <w:kern w:val="0"/>
          <w:lang w:eastAsia="en-GB"/>
          <w14:ligatures w14:val="none"/>
        </w:rPr>
        <w:t>s</w:t>
      </w:r>
      <w:r w:rsidRPr="00C26FA4">
        <w:rPr>
          <w:rFonts w:ascii="Arial" w:eastAsia="Times New Roman" w:hAnsi="Arial" w:cs="Arial"/>
          <w:kern w:val="0"/>
          <w:lang w:eastAsia="en-GB"/>
          <w14:ligatures w14:val="none"/>
        </w:rPr>
        <w:t xml:space="preserve">ation of prescription medicines and vaccines. Following the demerger of its consumer healthcare business in 2022, GSK’s business model is focused on three revenue-generating segments: Specialty Medicines, Vaccines, and General Medicines. In 2025, GSK generated £32.7 billion in turnover, of which £13.5 billion (41%) came from Specialty Medicines, £9.2 billion (28%) from Vaccines, and £10.0 billion (31%) from General Medicines. Its largest therapeutic areas are HIV, oncology, respiratory disease, immunology, and infectious diseases </w:t>
      </w:r>
      <w:bookmarkStart w:id="3" w:name="_Hlk234257696"/>
      <w:r w:rsidRPr="00FC12DF">
        <w:rPr>
          <w:rFonts w:ascii="Arial" w:eastAsia="Times New Roman" w:hAnsi="Arial" w:cs="Arial"/>
          <w:b/>
          <w:bCs/>
          <w:color w:val="000000" w:themeColor="text1"/>
          <w:kern w:val="0"/>
          <w:lang w:eastAsia="en-GB"/>
          <w14:ligatures w14:val="none"/>
        </w:rPr>
        <w:t>(</w:t>
      </w:r>
      <w:r w:rsidRPr="00FC12DF">
        <w:rPr>
          <w:rFonts w:ascii="Arial" w:hAnsi="Arial" w:cs="Arial"/>
          <w:color w:val="000000" w:themeColor="text1"/>
        </w:rPr>
        <w:t>Gsk.com. 2025</w:t>
      </w:r>
      <w:r w:rsidRPr="00FC12DF">
        <w:rPr>
          <w:rFonts w:ascii="Arial" w:eastAsia="Times New Roman" w:hAnsi="Arial" w:cs="Arial"/>
          <w:b/>
          <w:bCs/>
          <w:color w:val="000000" w:themeColor="text1"/>
          <w:kern w:val="0"/>
          <w:lang w:eastAsia="en-GB"/>
          <w14:ligatures w14:val="none"/>
        </w:rPr>
        <w:t>)</w:t>
      </w:r>
      <w:r w:rsidRPr="00FC12DF">
        <w:rPr>
          <w:rFonts w:ascii="Arial" w:eastAsia="Times New Roman" w:hAnsi="Arial" w:cs="Arial"/>
          <w:color w:val="000000" w:themeColor="text1"/>
          <w:kern w:val="0"/>
          <w:lang w:eastAsia="en-GB"/>
          <w14:ligatures w14:val="none"/>
        </w:rPr>
        <w:t>.</w:t>
      </w:r>
      <w:bookmarkEnd w:id="3"/>
    </w:p>
    <w:p w14:paraId="764D7D37" w14:textId="44C0C2DD" w:rsidR="00096C94" w:rsidRPr="00096C94" w:rsidRDefault="003379E4" w:rsidP="00F87138">
      <w:pPr>
        <w:spacing w:after="0" w:line="360" w:lineRule="auto"/>
        <w:jc w:val="both"/>
        <w:rPr>
          <w:rFonts w:ascii="Arial" w:eastAsia="Times New Roman" w:hAnsi="Arial" w:cs="Arial"/>
          <w:kern w:val="0"/>
          <w:lang w:eastAsia="en-GB"/>
          <w14:ligatures w14:val="none"/>
        </w:rPr>
      </w:pPr>
      <w:r w:rsidRPr="003379E4">
        <w:rPr>
          <w:rFonts w:ascii="Arial" w:eastAsia="Times New Roman" w:hAnsi="Arial" w:cs="Arial"/>
          <w:noProof/>
          <w:kern w:val="0"/>
          <w:lang w:eastAsia="en-GB"/>
          <w14:ligatures w14:val="none"/>
        </w:rPr>
        <w:lastRenderedPageBreak/>
        <w:drawing>
          <wp:inline distT="0" distB="0" distL="0" distR="0" wp14:anchorId="47114B73" wp14:editId="6AD066FC">
            <wp:extent cx="6182190" cy="4319905"/>
            <wp:effectExtent l="0" t="0" r="952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51657" cy="4438323"/>
                    </a:xfrm>
                    <a:prstGeom prst="rect">
                      <a:avLst/>
                    </a:prstGeom>
                    <a:noFill/>
                    <a:ln>
                      <a:noFill/>
                    </a:ln>
                  </pic:spPr>
                </pic:pic>
              </a:graphicData>
            </a:graphic>
          </wp:inline>
        </w:drawing>
      </w:r>
    </w:p>
    <w:p w14:paraId="20D42D74" w14:textId="5FA84488" w:rsidR="00765091" w:rsidRPr="00C26FA4" w:rsidRDefault="003E36AD" w:rsidP="00F87138">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9E60FE">
        <w:rPr>
          <w:rFonts w:ascii="Arial" w:eastAsia="Times New Roman" w:hAnsi="Arial" w:cs="Arial"/>
          <w:kern w:val="0"/>
          <w:lang w:eastAsia="en-GB"/>
          <w14:ligatures w14:val="none"/>
        </w:rPr>
        <w:t xml:space="preserve"> </w:t>
      </w:r>
      <w:r w:rsidR="00C7411F">
        <w:rPr>
          <w:rFonts w:ascii="Arial" w:eastAsia="Times New Roman" w:hAnsi="Arial" w:cs="Arial"/>
          <w:kern w:val="0"/>
          <w:lang w:eastAsia="en-GB"/>
          <w14:ligatures w14:val="none"/>
        </w:rPr>
        <w:t xml:space="preserve"> </w:t>
      </w:r>
      <w:r w:rsidR="003D4F5D">
        <w:rPr>
          <w:rFonts w:ascii="Arial" w:eastAsia="Times New Roman" w:hAnsi="Arial" w:cs="Arial"/>
          <w:kern w:val="0"/>
          <w:lang w:eastAsia="en-GB"/>
          <w14:ligatures w14:val="none"/>
        </w:rPr>
        <w:t>Source</w:t>
      </w:r>
      <w:r w:rsidR="00885F78" w:rsidRPr="00FC12DF">
        <w:rPr>
          <w:rFonts w:ascii="Arial" w:eastAsia="Times New Roman" w:hAnsi="Arial" w:cs="Arial"/>
          <w:color w:val="000000" w:themeColor="text1"/>
          <w:kern w:val="0"/>
          <w:lang w:eastAsia="en-GB"/>
          <w14:ligatures w14:val="none"/>
        </w:rPr>
        <w:t>:</w:t>
      </w:r>
      <w:r w:rsidR="00885F78" w:rsidRPr="00FC12DF">
        <w:rPr>
          <w:rFonts w:ascii="Arial" w:eastAsia="Times New Roman" w:hAnsi="Arial" w:cs="Arial"/>
          <w:b/>
          <w:bCs/>
          <w:color w:val="000000" w:themeColor="text1"/>
          <w:kern w:val="0"/>
          <w:lang w:eastAsia="en-GB"/>
          <w14:ligatures w14:val="none"/>
        </w:rPr>
        <w:t xml:space="preserve"> (</w:t>
      </w:r>
      <w:r w:rsidR="00885F78" w:rsidRPr="00FC12DF">
        <w:rPr>
          <w:rFonts w:ascii="Arial" w:hAnsi="Arial" w:cs="Arial"/>
          <w:color w:val="000000" w:themeColor="text1"/>
        </w:rPr>
        <w:t>Gsk.com. 2025</w:t>
      </w:r>
      <w:r w:rsidR="00885F78" w:rsidRPr="00FC12DF">
        <w:rPr>
          <w:rFonts w:ascii="Arial" w:eastAsia="Times New Roman" w:hAnsi="Arial" w:cs="Arial"/>
          <w:b/>
          <w:bCs/>
          <w:color w:val="000000" w:themeColor="text1"/>
          <w:kern w:val="0"/>
          <w:lang w:eastAsia="en-GB"/>
          <w14:ligatures w14:val="none"/>
        </w:rPr>
        <w:t>)</w:t>
      </w:r>
      <w:r w:rsidR="00885F78" w:rsidRPr="00FC12DF">
        <w:rPr>
          <w:rFonts w:ascii="Arial" w:eastAsia="Times New Roman" w:hAnsi="Arial" w:cs="Arial"/>
          <w:color w:val="000000" w:themeColor="text1"/>
          <w:kern w:val="0"/>
          <w:lang w:eastAsia="en-GB"/>
          <w14:ligatures w14:val="none"/>
        </w:rPr>
        <w:t>.</w:t>
      </w:r>
    </w:p>
    <w:p w14:paraId="63A41B3A" w14:textId="17A6D10B" w:rsidR="00012927" w:rsidRPr="00FC12DF" w:rsidRDefault="00012927" w:rsidP="00E71EF9">
      <w:pPr>
        <w:pStyle w:val="Heading2"/>
        <w:rPr>
          <w:rFonts w:ascii="Arial" w:hAnsi="Arial" w:cs="Arial"/>
          <w:b/>
          <w:bCs/>
          <w:color w:val="000000" w:themeColor="text1"/>
          <w:sz w:val="24"/>
          <w:szCs w:val="24"/>
          <w:lang w:eastAsia="en-GB"/>
        </w:rPr>
      </w:pPr>
      <w:bookmarkStart w:id="4" w:name="_Toc235150826"/>
      <w:r w:rsidRPr="00235A79">
        <w:rPr>
          <w:rFonts w:ascii="Arial" w:hAnsi="Arial" w:cs="Arial"/>
          <w:b/>
          <w:bCs/>
          <w:color w:val="000000" w:themeColor="text1"/>
          <w:sz w:val="24"/>
          <w:szCs w:val="24"/>
          <w:lang w:eastAsia="en-GB"/>
        </w:rPr>
        <w:t>2</w:t>
      </w:r>
      <w:r w:rsidRPr="00FC12DF">
        <w:rPr>
          <w:rFonts w:ascii="Arial" w:hAnsi="Arial" w:cs="Arial"/>
          <w:b/>
          <w:bCs/>
          <w:color w:val="000000" w:themeColor="text1"/>
          <w:sz w:val="24"/>
          <w:szCs w:val="24"/>
          <w:lang w:eastAsia="en-GB"/>
        </w:rPr>
        <w:t>.1</w:t>
      </w:r>
      <w:r w:rsidR="009E0182" w:rsidRPr="00FC12DF">
        <w:rPr>
          <w:rFonts w:ascii="Arial" w:hAnsi="Arial" w:cs="Arial"/>
          <w:b/>
          <w:bCs/>
          <w:color w:val="000000" w:themeColor="text1"/>
          <w:sz w:val="24"/>
          <w:szCs w:val="24"/>
          <w:lang w:eastAsia="en-GB"/>
        </w:rPr>
        <w:t>.</w:t>
      </w:r>
      <w:r w:rsidRPr="00FC12DF">
        <w:rPr>
          <w:rFonts w:ascii="Arial" w:hAnsi="Arial" w:cs="Arial"/>
          <w:b/>
          <w:bCs/>
          <w:color w:val="000000" w:themeColor="text1"/>
          <w:sz w:val="24"/>
          <w:szCs w:val="24"/>
          <w:lang w:eastAsia="en-GB"/>
        </w:rPr>
        <w:t xml:space="preserve"> Revenue Model</w:t>
      </w:r>
      <w:bookmarkEnd w:id="4"/>
    </w:p>
    <w:p w14:paraId="1BD3ED63" w14:textId="38749812" w:rsidR="009C5CC4" w:rsidRPr="00FC12DF" w:rsidRDefault="009C5CC4" w:rsidP="00F87138">
      <w:pPr>
        <w:spacing w:before="100" w:beforeAutospacing="1" w:after="100" w:afterAutospacing="1" w:line="360" w:lineRule="auto"/>
        <w:ind w:left="284"/>
        <w:jc w:val="both"/>
        <w:rPr>
          <w:rFonts w:ascii="Arial" w:eastAsia="Times New Roman" w:hAnsi="Arial" w:cs="Arial"/>
          <w:color w:val="000000" w:themeColor="text1"/>
          <w:kern w:val="0"/>
          <w:lang w:eastAsia="en-GB"/>
          <w14:ligatures w14:val="none"/>
        </w:rPr>
      </w:pPr>
      <w:r w:rsidRPr="00FC12DF">
        <w:rPr>
          <w:rFonts w:ascii="Arial" w:eastAsia="Times New Roman" w:hAnsi="Arial" w:cs="Arial"/>
          <w:color w:val="000000" w:themeColor="text1"/>
          <w:kern w:val="0"/>
          <w:lang w:eastAsia="en-GB"/>
          <w14:ligatures w14:val="none"/>
        </w:rPr>
        <w:t>GSK makes most of its money by selling products, mainly prescription drugs and vaccines that have patents. The company's business model depends a lot on intellectual property. These patents give GSK exclusive rights to sell certain products for a limited time, allowing them to charge higher prices. Popular products like their HIV treatments, Shingrix, and Trelegy bring in a lot of money. This cash is then used to fund new research and development. Besides selling products directly, GSK also gets money from licensing deals, royalties, and working with other drug companies. This approach is pretty standard in the pharmaceutical industry, where new discoveries and patent protection are crucial for making profits</w:t>
      </w:r>
      <w:r w:rsidR="00C26642" w:rsidRPr="00FC12DF">
        <w:rPr>
          <w:rFonts w:ascii="Arial" w:eastAsia="Times New Roman" w:hAnsi="Arial" w:cs="Arial"/>
          <w:color w:val="000000" w:themeColor="text1"/>
          <w:kern w:val="0"/>
          <w:lang w:eastAsia="en-GB"/>
          <w14:ligatures w14:val="none"/>
        </w:rPr>
        <w:t xml:space="preserve"> </w:t>
      </w:r>
      <w:r w:rsidR="00C26642" w:rsidRPr="00FC12DF">
        <w:rPr>
          <w:rFonts w:ascii="Arial" w:eastAsia="Times New Roman" w:hAnsi="Arial" w:cs="Arial"/>
          <w:b/>
          <w:bCs/>
          <w:color w:val="000000" w:themeColor="text1"/>
          <w:kern w:val="0"/>
          <w:lang w:eastAsia="en-GB"/>
          <w14:ligatures w14:val="none"/>
        </w:rPr>
        <w:t>(</w:t>
      </w:r>
      <w:r w:rsidR="00C26642" w:rsidRPr="00FC12DF">
        <w:rPr>
          <w:rFonts w:ascii="Arial" w:eastAsia="Times New Roman" w:hAnsi="Arial" w:cs="Arial"/>
          <w:color w:val="000000" w:themeColor="text1"/>
          <w:kern w:val="0"/>
          <w:lang w:eastAsia="en-GB"/>
          <w14:ligatures w14:val="none"/>
        </w:rPr>
        <w:t>Gsk.com, 2025</w:t>
      </w:r>
      <w:r w:rsidR="00C26642" w:rsidRPr="00FC12DF">
        <w:rPr>
          <w:rFonts w:ascii="Arial" w:eastAsia="Times New Roman" w:hAnsi="Arial" w:cs="Arial"/>
          <w:b/>
          <w:bCs/>
          <w:color w:val="000000" w:themeColor="text1"/>
          <w:kern w:val="0"/>
          <w:lang w:eastAsia="en-GB"/>
          <w14:ligatures w14:val="none"/>
        </w:rPr>
        <w:t xml:space="preserve">; </w:t>
      </w:r>
      <w:r w:rsidR="00C26642" w:rsidRPr="00FC12DF">
        <w:rPr>
          <w:rFonts w:ascii="Arial" w:eastAsia="Times New Roman" w:hAnsi="Arial" w:cs="Arial"/>
          <w:color w:val="000000" w:themeColor="text1"/>
          <w:kern w:val="0"/>
          <w:lang w:eastAsia="en-GB"/>
          <w14:ligatures w14:val="none"/>
        </w:rPr>
        <w:t>Umbrex, 2026</w:t>
      </w:r>
      <w:r w:rsidR="00C26642" w:rsidRPr="00FC12DF">
        <w:rPr>
          <w:rFonts w:ascii="Arial" w:eastAsia="Times New Roman" w:hAnsi="Arial" w:cs="Arial"/>
          <w:b/>
          <w:bCs/>
          <w:color w:val="000000" w:themeColor="text1"/>
          <w:kern w:val="0"/>
          <w:lang w:eastAsia="en-GB"/>
          <w14:ligatures w14:val="none"/>
        </w:rPr>
        <w:t>)</w:t>
      </w:r>
      <w:r w:rsidRPr="00FC12DF">
        <w:rPr>
          <w:rFonts w:ascii="Arial" w:eastAsia="Times New Roman" w:hAnsi="Arial" w:cs="Arial"/>
          <w:color w:val="000000" w:themeColor="text1"/>
          <w:kern w:val="0"/>
          <w:lang w:eastAsia="en-GB"/>
          <w14:ligatures w14:val="none"/>
        </w:rPr>
        <w:t xml:space="preserve">. </w:t>
      </w:r>
    </w:p>
    <w:p w14:paraId="2D9A6D91" w14:textId="2FF9A7CB" w:rsidR="00012927" w:rsidRPr="00FC12DF" w:rsidRDefault="00012927" w:rsidP="00235A79">
      <w:pPr>
        <w:pStyle w:val="Heading2"/>
        <w:rPr>
          <w:rFonts w:ascii="Arial" w:hAnsi="Arial" w:cs="Arial"/>
          <w:b/>
          <w:bCs/>
          <w:color w:val="000000" w:themeColor="text1"/>
          <w:sz w:val="24"/>
          <w:szCs w:val="24"/>
          <w:lang w:eastAsia="en-GB"/>
        </w:rPr>
      </w:pPr>
      <w:bookmarkStart w:id="5" w:name="_Toc235150827"/>
      <w:r w:rsidRPr="00FC12DF">
        <w:rPr>
          <w:rFonts w:ascii="Arial" w:hAnsi="Arial" w:cs="Arial"/>
          <w:b/>
          <w:bCs/>
          <w:color w:val="000000" w:themeColor="text1"/>
          <w:sz w:val="24"/>
          <w:szCs w:val="24"/>
          <w:lang w:eastAsia="en-GB"/>
        </w:rPr>
        <w:t>2.2</w:t>
      </w:r>
      <w:r w:rsidR="009E0182" w:rsidRPr="00FC12DF">
        <w:rPr>
          <w:rFonts w:ascii="Arial" w:hAnsi="Arial" w:cs="Arial"/>
          <w:b/>
          <w:bCs/>
          <w:color w:val="000000" w:themeColor="text1"/>
          <w:sz w:val="24"/>
          <w:szCs w:val="24"/>
          <w:lang w:eastAsia="en-GB"/>
        </w:rPr>
        <w:t>.</w:t>
      </w:r>
      <w:r w:rsidRPr="00FC12DF">
        <w:rPr>
          <w:rFonts w:ascii="Arial" w:hAnsi="Arial" w:cs="Arial"/>
          <w:b/>
          <w:bCs/>
          <w:color w:val="000000" w:themeColor="text1"/>
          <w:sz w:val="24"/>
          <w:szCs w:val="24"/>
          <w:lang w:eastAsia="en-GB"/>
        </w:rPr>
        <w:t xml:space="preserve"> Cost Structure</w:t>
      </w:r>
      <w:bookmarkEnd w:id="5"/>
    </w:p>
    <w:p w14:paraId="186A28A6" w14:textId="77777777" w:rsidR="00012927" w:rsidRPr="00FC12DF" w:rsidRDefault="00012927" w:rsidP="00F87138">
      <w:pPr>
        <w:spacing w:line="360" w:lineRule="auto"/>
        <w:ind w:left="284"/>
        <w:jc w:val="both"/>
        <w:rPr>
          <w:color w:val="000000" w:themeColor="text1"/>
          <w:lang w:eastAsia="en-GB"/>
        </w:rPr>
      </w:pPr>
      <w:r w:rsidRPr="00FC12DF">
        <w:rPr>
          <w:color w:val="000000" w:themeColor="text1"/>
          <w:lang w:eastAsia="en-GB"/>
        </w:rPr>
        <w:t>GSK (GlaxoSmithKline) does not publish a standalone "cost structure" document,</w:t>
      </w:r>
      <w:r w:rsidRPr="00FC12DF">
        <w:rPr>
          <w:rFonts w:ascii="Arial" w:eastAsia="Times New Roman" w:hAnsi="Arial" w:cs="Arial"/>
          <w:color w:val="000000" w:themeColor="text1"/>
          <w:kern w:val="0"/>
          <w:lang w:eastAsia="en-GB"/>
          <w14:ligatures w14:val="none"/>
        </w:rPr>
        <w:t xml:space="preserve"> but rather details its cost base in its comprehensive annual financial disclosures. The </w:t>
      </w:r>
      <w:r w:rsidRPr="00FC12DF">
        <w:rPr>
          <w:rFonts w:ascii="Arial" w:eastAsia="Times New Roman" w:hAnsi="Arial" w:cs="Arial"/>
          <w:color w:val="000000" w:themeColor="text1"/>
          <w:kern w:val="0"/>
          <w:lang w:eastAsia="en-GB"/>
          <w14:ligatures w14:val="none"/>
        </w:rPr>
        <w:lastRenderedPageBreak/>
        <w:t>overarching operational and cost structure is detailed across multiple official reports, breaking down expenditures into Cost of Sales, SG&amp;A (Selling, General, and Administration), R&amp;D (Research &amp; Development), and Restructuring.</w:t>
      </w:r>
    </w:p>
    <w:p w14:paraId="3BA61B08" w14:textId="77777777" w:rsidR="00012927" w:rsidRPr="00FC12DF" w:rsidRDefault="00012927" w:rsidP="00F87138">
      <w:pPr>
        <w:spacing w:line="360" w:lineRule="auto"/>
        <w:ind w:left="284"/>
        <w:jc w:val="both"/>
        <w:rPr>
          <w:color w:val="000000" w:themeColor="text1"/>
          <w:lang w:eastAsia="en-GB"/>
        </w:rPr>
      </w:pPr>
      <w:r w:rsidRPr="00FC12DF">
        <w:rPr>
          <w:color w:val="000000" w:themeColor="text1"/>
          <w:lang w:eastAsia="en-GB"/>
        </w:rPr>
        <w:t>Key Cost Structure Components</w:t>
      </w:r>
    </w:p>
    <w:p w14:paraId="6E67DA9E" w14:textId="77777777" w:rsidR="00012927" w:rsidRPr="00FC12DF" w:rsidRDefault="00012927" w:rsidP="00F87138">
      <w:pPr>
        <w:pStyle w:val="ListParagraph"/>
        <w:numPr>
          <w:ilvl w:val="0"/>
          <w:numId w:val="1"/>
        </w:numPr>
        <w:spacing w:line="360" w:lineRule="auto"/>
        <w:jc w:val="both"/>
        <w:rPr>
          <w:rFonts w:ascii="Arial" w:eastAsia="Times New Roman" w:hAnsi="Arial" w:cs="Arial"/>
          <w:color w:val="000000" w:themeColor="text1"/>
          <w:kern w:val="0"/>
          <w:lang w:eastAsia="en-GB"/>
          <w14:ligatures w14:val="none"/>
        </w:rPr>
      </w:pPr>
      <w:r w:rsidRPr="00FC12DF">
        <w:rPr>
          <w:rFonts w:ascii="Arial" w:eastAsia="Times New Roman" w:hAnsi="Arial" w:cs="Arial"/>
          <w:color w:val="000000" w:themeColor="text1"/>
          <w:kern w:val="0"/>
          <w:lang w:eastAsia="en-GB"/>
          <w14:ligatures w14:val="none"/>
        </w:rPr>
        <w:t>Costs required to produce GSK's specialty medicines, vaccines, and general medicines.</w:t>
      </w:r>
    </w:p>
    <w:p w14:paraId="29A1E347" w14:textId="74CB34B1" w:rsidR="001B4F04" w:rsidRPr="00FC12DF" w:rsidRDefault="00012927" w:rsidP="005A6572">
      <w:pPr>
        <w:pStyle w:val="ListParagraph"/>
        <w:numPr>
          <w:ilvl w:val="0"/>
          <w:numId w:val="1"/>
        </w:numPr>
        <w:spacing w:line="360" w:lineRule="auto"/>
        <w:jc w:val="both"/>
        <w:rPr>
          <w:rFonts w:ascii="Arial" w:eastAsia="Times New Roman" w:hAnsi="Arial" w:cs="Arial"/>
          <w:color w:val="000000" w:themeColor="text1"/>
          <w:kern w:val="0"/>
          <w:lang w:eastAsia="en-GB"/>
          <w14:ligatures w14:val="none"/>
        </w:rPr>
      </w:pPr>
      <w:r w:rsidRPr="00FC12DF">
        <w:rPr>
          <w:rFonts w:ascii="Arial" w:eastAsia="Times New Roman" w:hAnsi="Arial" w:cs="Arial"/>
          <w:color w:val="000000" w:themeColor="text1"/>
          <w:kern w:val="0"/>
          <w:lang w:eastAsia="en-GB"/>
          <w14:ligatures w14:val="none"/>
        </w:rPr>
        <w:t xml:space="preserve">Selling, General, and Administration (SG&amp;A): The largest overhead and commercial cost block. This includes global sales force expenses, marketing operations, legal/compliance costs, and corporate administrative functions. </w:t>
      </w:r>
      <w:r w:rsidR="0093548D" w:rsidRPr="00FC12DF">
        <w:rPr>
          <w:rFonts w:ascii="Arial" w:eastAsia="Times New Roman" w:hAnsi="Arial" w:cs="Arial"/>
          <w:color w:val="000000" w:themeColor="text1"/>
          <w:kern w:val="0"/>
          <w:lang w:eastAsia="en-GB"/>
          <w14:ligatures w14:val="none"/>
        </w:rPr>
        <w:t>GSK SG&amp;A expenses for 2025 were $11.984B, a 14.86% decline from 2024</w:t>
      </w:r>
      <w:r w:rsidR="00274D34" w:rsidRPr="00FC12DF">
        <w:rPr>
          <w:rFonts w:ascii="Arial" w:eastAsia="Times New Roman" w:hAnsi="Arial" w:cs="Arial"/>
          <w:color w:val="000000" w:themeColor="text1"/>
          <w:kern w:val="0"/>
          <w:lang w:eastAsia="en-GB"/>
          <w14:ligatures w14:val="none"/>
        </w:rPr>
        <w:t xml:space="preserve"> </w:t>
      </w:r>
      <w:r w:rsidR="00701FF9" w:rsidRPr="00FC12DF">
        <w:rPr>
          <w:rFonts w:ascii="Arial" w:eastAsia="Times New Roman" w:hAnsi="Arial" w:cs="Arial"/>
          <w:color w:val="000000" w:themeColor="text1"/>
          <w:kern w:val="0"/>
          <w:lang w:eastAsia="en-GB"/>
          <w14:ligatures w14:val="none"/>
        </w:rPr>
        <w:t xml:space="preserve">which </w:t>
      </w:r>
      <w:r w:rsidR="00DD14E6" w:rsidRPr="00FC12DF">
        <w:rPr>
          <w:rFonts w:ascii="Arial" w:eastAsia="Times New Roman" w:hAnsi="Arial" w:cs="Arial"/>
          <w:color w:val="000000" w:themeColor="text1"/>
          <w:kern w:val="0"/>
          <w:lang w:eastAsia="en-GB"/>
          <w14:ligatures w14:val="none"/>
        </w:rPr>
        <w:t>had</w:t>
      </w:r>
      <w:r w:rsidR="00387522" w:rsidRPr="00FC12DF">
        <w:rPr>
          <w:rFonts w:ascii="Arial" w:eastAsia="Times New Roman" w:hAnsi="Arial" w:cs="Arial"/>
          <w:color w:val="000000" w:themeColor="text1"/>
          <w:kern w:val="0"/>
          <w:lang w:eastAsia="en-GB"/>
          <w14:ligatures w14:val="none"/>
        </w:rPr>
        <w:t xml:space="preserve"> expenses of </w:t>
      </w:r>
      <w:r w:rsidR="00701FF9" w:rsidRPr="00FC12DF">
        <w:rPr>
          <w:rFonts w:ascii="Arial" w:eastAsia="Times New Roman" w:hAnsi="Arial" w:cs="Arial"/>
          <w:color w:val="000000" w:themeColor="text1"/>
          <w:kern w:val="0"/>
          <w:lang w:eastAsia="en-GB"/>
          <w14:ligatures w14:val="none"/>
        </w:rPr>
        <w:t>$14.076B</w:t>
      </w:r>
      <w:r w:rsidR="00375E0D" w:rsidRPr="00FC12DF">
        <w:rPr>
          <w:rFonts w:ascii="Arial" w:eastAsia="Times New Roman" w:hAnsi="Arial" w:cs="Arial"/>
          <w:color w:val="000000" w:themeColor="text1"/>
          <w:kern w:val="0"/>
          <w:lang w:eastAsia="en-GB"/>
          <w14:ligatures w14:val="none"/>
        </w:rPr>
        <w:t xml:space="preserve"> (</w:t>
      </w:r>
      <w:r w:rsidR="00375E0D" w:rsidRPr="00FC12DF">
        <w:rPr>
          <w:rFonts w:ascii="Arial" w:hAnsi="Arial" w:cs="Arial"/>
          <w:color w:val="000000" w:themeColor="text1"/>
        </w:rPr>
        <w:t>Macrotrends, 2026a).</w:t>
      </w:r>
      <w:r w:rsidR="00C94773" w:rsidRPr="00FC12DF">
        <w:rPr>
          <w:rFonts w:ascii="Arial" w:eastAsia="Times New Roman" w:hAnsi="Arial" w:cs="Arial"/>
          <w:color w:val="000000" w:themeColor="text1"/>
          <w:kern w:val="0"/>
          <w:lang w:eastAsia="en-GB"/>
          <w14:ligatures w14:val="none"/>
        </w:rPr>
        <w:t xml:space="preserve"> </w:t>
      </w:r>
    </w:p>
    <w:p w14:paraId="084D326F" w14:textId="77777777" w:rsidR="00115F64" w:rsidRPr="00F80B27" w:rsidRDefault="00012927" w:rsidP="00F74E15">
      <w:pPr>
        <w:pStyle w:val="ListParagraph"/>
        <w:numPr>
          <w:ilvl w:val="0"/>
          <w:numId w:val="1"/>
        </w:numPr>
        <w:spacing w:line="360" w:lineRule="auto"/>
        <w:jc w:val="both"/>
        <w:rPr>
          <w:rFonts w:ascii="Arial" w:eastAsia="Times New Roman" w:hAnsi="Arial" w:cs="Arial"/>
          <w:color w:val="000000" w:themeColor="text1"/>
          <w:kern w:val="0"/>
          <w:lang w:eastAsia="en-GB"/>
          <w14:ligatures w14:val="none"/>
        </w:rPr>
      </w:pPr>
      <w:bookmarkStart w:id="6" w:name="_Hlk233297489"/>
      <w:r w:rsidRPr="00FC12DF">
        <w:rPr>
          <w:rFonts w:ascii="Arial" w:eastAsia="Times New Roman" w:hAnsi="Arial" w:cs="Arial"/>
          <w:color w:val="000000" w:themeColor="text1"/>
          <w:kern w:val="0"/>
          <w:lang w:eastAsia="en-GB"/>
          <w14:ligatures w14:val="none"/>
        </w:rPr>
        <w:t xml:space="preserve">Research &amp; Development </w:t>
      </w:r>
      <w:bookmarkEnd w:id="6"/>
      <w:r w:rsidRPr="00FC12DF">
        <w:rPr>
          <w:rFonts w:ascii="Arial" w:eastAsia="Times New Roman" w:hAnsi="Arial" w:cs="Arial"/>
          <w:color w:val="000000" w:themeColor="text1"/>
          <w:kern w:val="0"/>
          <w:lang w:eastAsia="en-GB"/>
          <w14:ligatures w14:val="none"/>
        </w:rPr>
        <w:t xml:space="preserve">(R&amp;D): Major investments in clinical trials, scientific platforms, and drug discovery. GSK consistently allocates a significant portion </w:t>
      </w:r>
      <w:r w:rsidRPr="00F80B27">
        <w:rPr>
          <w:rFonts w:ascii="Arial" w:eastAsia="Times New Roman" w:hAnsi="Arial" w:cs="Arial"/>
          <w:color w:val="000000" w:themeColor="text1"/>
          <w:kern w:val="0"/>
          <w:lang w:eastAsia="en-GB"/>
          <w14:ligatures w14:val="none"/>
        </w:rPr>
        <w:t>of total turnover (typically 14%</w:t>
      </w:r>
      <w:r w:rsidR="00761593" w:rsidRPr="00F80B27">
        <w:rPr>
          <w:rFonts w:ascii="Arial" w:eastAsia="Times New Roman" w:hAnsi="Arial" w:cs="Arial"/>
          <w:color w:val="000000" w:themeColor="text1"/>
          <w:kern w:val="0"/>
          <w:lang w:eastAsia="en-GB"/>
          <w14:ligatures w14:val="none"/>
        </w:rPr>
        <w:t xml:space="preserve"> </w:t>
      </w:r>
      <w:r w:rsidR="00A42807" w:rsidRPr="00F80B27">
        <w:rPr>
          <w:rFonts w:ascii="Arial" w:eastAsia="Times New Roman" w:hAnsi="Arial" w:cs="Arial"/>
          <w:color w:val="000000" w:themeColor="text1"/>
          <w:kern w:val="0"/>
          <w:lang w:eastAsia="en-GB"/>
          <w14:ligatures w14:val="none"/>
        </w:rPr>
        <w:t>plus</w:t>
      </w:r>
      <w:r w:rsidRPr="00F80B27">
        <w:rPr>
          <w:rFonts w:ascii="Arial" w:eastAsia="Times New Roman" w:hAnsi="Arial" w:cs="Arial"/>
          <w:color w:val="000000" w:themeColor="text1"/>
          <w:kern w:val="0"/>
          <w:lang w:eastAsia="en-GB"/>
          <w14:ligatures w14:val="none"/>
        </w:rPr>
        <w:t>) to its R&amp;D pipeline.</w:t>
      </w:r>
      <w:r w:rsidR="00115F64" w:rsidRPr="00F80B27">
        <w:rPr>
          <w:rFonts w:ascii="Arial" w:eastAsia="Times New Roman" w:hAnsi="Arial" w:cs="Arial"/>
          <w:color w:val="000000" w:themeColor="text1"/>
          <w:kern w:val="0"/>
          <w:lang w:eastAsia="en-GB"/>
          <w14:ligatures w14:val="none"/>
        </w:rPr>
        <w:t xml:space="preserve"> </w:t>
      </w:r>
      <w:r w:rsidR="00EF31B7" w:rsidRPr="00F80B27">
        <w:rPr>
          <w:rFonts w:ascii="Arial" w:eastAsia="Times New Roman" w:hAnsi="Arial" w:cs="Arial"/>
          <w:color w:val="000000" w:themeColor="text1"/>
          <w:kern w:val="0"/>
          <w:lang w:eastAsia="en-GB"/>
          <w14:ligatures w14:val="none"/>
        </w:rPr>
        <w:t>GSK allocated £6.6 billion to core R&amp;D in 2025, representing a 9% increase in AER and 11% in CER compared with 2024. Their development pipeline now includes 58 assets, with more than half originating from business development activities (GSK, 2025).</w:t>
      </w:r>
      <w:r w:rsidR="00115F64" w:rsidRPr="00F80B27">
        <w:rPr>
          <w:rFonts w:ascii="Arial" w:eastAsia="Times New Roman" w:hAnsi="Arial" w:cs="Arial"/>
          <w:color w:val="000000" w:themeColor="text1"/>
          <w:kern w:val="0"/>
          <w:lang w:eastAsia="en-GB"/>
          <w14:ligatures w14:val="none"/>
        </w:rPr>
        <w:t xml:space="preserve"> </w:t>
      </w:r>
    </w:p>
    <w:p w14:paraId="14BF4878" w14:textId="447C75B2" w:rsidR="00750841" w:rsidRPr="00F80B27" w:rsidRDefault="00012927" w:rsidP="005A70AE">
      <w:pPr>
        <w:pStyle w:val="ListParagraph"/>
        <w:numPr>
          <w:ilvl w:val="0"/>
          <w:numId w:val="1"/>
        </w:numPr>
        <w:spacing w:line="360" w:lineRule="auto"/>
        <w:jc w:val="both"/>
        <w:rPr>
          <w:rFonts w:ascii="Times New Roman" w:eastAsia="Times New Roman" w:hAnsi="Times New Roman" w:cs="Times New Roman"/>
          <w:color w:val="000000" w:themeColor="text1"/>
          <w:kern w:val="0"/>
          <w:lang w:eastAsia="en-GB"/>
          <w14:ligatures w14:val="none"/>
        </w:rPr>
      </w:pPr>
      <w:r w:rsidRPr="00F80B27">
        <w:rPr>
          <w:rFonts w:ascii="Arial" w:eastAsia="Times New Roman" w:hAnsi="Arial" w:cs="Arial"/>
          <w:color w:val="000000" w:themeColor="text1"/>
          <w:kern w:val="0"/>
          <w:lang w:eastAsia="en-GB"/>
          <w14:ligatures w14:val="none"/>
        </w:rPr>
        <w:t>Restructuring Costs: Ongoing operational transformation and site optimi</w:t>
      </w:r>
      <w:r w:rsidR="0083158A" w:rsidRPr="00F80B27">
        <w:rPr>
          <w:rFonts w:ascii="Arial" w:eastAsia="Times New Roman" w:hAnsi="Arial" w:cs="Arial"/>
          <w:color w:val="000000" w:themeColor="text1"/>
          <w:kern w:val="0"/>
          <w:lang w:eastAsia="en-GB"/>
          <w14:ligatures w14:val="none"/>
        </w:rPr>
        <w:t>s</w:t>
      </w:r>
      <w:r w:rsidRPr="00F80B27">
        <w:rPr>
          <w:rFonts w:ascii="Arial" w:eastAsia="Times New Roman" w:hAnsi="Arial" w:cs="Arial"/>
          <w:color w:val="000000" w:themeColor="text1"/>
          <w:kern w:val="0"/>
          <w:lang w:eastAsia="en-GB"/>
          <w14:ligatures w14:val="none"/>
        </w:rPr>
        <w:t>ation expenses designed to improve long-term margins.</w:t>
      </w:r>
      <w:r w:rsidR="001C44A9" w:rsidRPr="00F80B27">
        <w:rPr>
          <w:rFonts w:ascii="Arial" w:eastAsia="Times New Roman" w:hAnsi="Arial" w:cs="Arial"/>
          <w:color w:val="000000" w:themeColor="text1"/>
          <w:kern w:val="0"/>
          <w:lang w:eastAsia="en-GB"/>
          <w14:ligatures w14:val="none"/>
        </w:rPr>
        <w:t xml:space="preserve"> </w:t>
      </w:r>
      <w:r w:rsidR="007D531B" w:rsidRPr="00F80B27">
        <w:rPr>
          <w:rFonts w:ascii="Arial" w:eastAsia="Times New Roman" w:hAnsi="Arial" w:cs="Arial"/>
          <w:color w:val="000000" w:themeColor="text1"/>
          <w:kern w:val="0"/>
          <w:lang w:eastAsia="en-GB"/>
          <w14:ligatures w14:val="none"/>
        </w:rPr>
        <w:t xml:space="preserve">GSK is cutting approximately 350 R&amp;D roles across its US and UK operations as part of a broader restructuring of the division (Williams, 2026). </w:t>
      </w:r>
    </w:p>
    <w:p w14:paraId="175104FD" w14:textId="33F2255C" w:rsidR="00B675BC" w:rsidRPr="00FC12DF" w:rsidRDefault="00B675BC" w:rsidP="00F87138">
      <w:pPr>
        <w:spacing w:before="100" w:beforeAutospacing="1" w:after="100" w:afterAutospacing="1" w:line="360" w:lineRule="auto"/>
        <w:ind w:left="284"/>
        <w:jc w:val="both"/>
        <w:rPr>
          <w:rFonts w:ascii="Arial" w:eastAsia="Times New Roman" w:hAnsi="Arial" w:cs="Arial"/>
          <w:color w:val="000000" w:themeColor="text1"/>
          <w:kern w:val="0"/>
          <w:lang w:eastAsia="en-GB"/>
          <w14:ligatures w14:val="none"/>
        </w:rPr>
      </w:pPr>
      <w:r w:rsidRPr="00FC12DF">
        <w:rPr>
          <w:rFonts w:ascii="Arial" w:eastAsia="Times New Roman" w:hAnsi="Arial" w:cs="Arial"/>
          <w:color w:val="000000" w:themeColor="text1"/>
          <w:kern w:val="0"/>
          <w:lang w:eastAsia="en-GB"/>
          <w14:ligatures w14:val="none"/>
        </w:rPr>
        <w:t>Variable costs go up as you make and sell more products. These costs cover things like raw materials, drug ingredients, packaging, shipping, and some marketing. Making vaccines also needs special biological materials that change based on how much you produce. But once a drug is developed and approved, making more of it doesn't cost that much compared to the initial research and development spending. Because of this, drug companies often find that producing more makes each unit cheaper (economies of scale) and they can make a good profit on successful drugs.</w:t>
      </w:r>
    </w:p>
    <w:p w14:paraId="1D58E458" w14:textId="79F91FF5" w:rsidR="001248F3" w:rsidRPr="00FC12DF" w:rsidRDefault="00012927" w:rsidP="008775D2">
      <w:pPr>
        <w:spacing w:before="100" w:beforeAutospacing="1" w:after="100" w:afterAutospacing="1" w:line="360" w:lineRule="auto"/>
        <w:ind w:left="284"/>
        <w:jc w:val="both"/>
        <w:rPr>
          <w:rFonts w:ascii="Arial" w:eastAsia="Times New Roman" w:hAnsi="Arial" w:cs="Arial"/>
          <w:color w:val="000000" w:themeColor="text1"/>
          <w:kern w:val="0"/>
          <w:lang w:eastAsia="en-GB"/>
          <w14:ligatures w14:val="none"/>
        </w:rPr>
      </w:pPr>
      <w:r w:rsidRPr="00FC12DF">
        <w:rPr>
          <w:rFonts w:ascii="Arial" w:eastAsia="Times New Roman" w:hAnsi="Arial" w:cs="Arial"/>
          <w:color w:val="000000" w:themeColor="text1"/>
          <w:kern w:val="0"/>
          <w:lang w:eastAsia="en-GB"/>
          <w14:ligatures w14:val="none"/>
        </w:rPr>
        <w:t>Overall, GSK’s business model is characteri</w:t>
      </w:r>
      <w:r w:rsidR="00525EAA" w:rsidRPr="00FC12DF">
        <w:rPr>
          <w:rFonts w:ascii="Arial" w:eastAsia="Times New Roman" w:hAnsi="Arial" w:cs="Arial"/>
          <w:color w:val="000000" w:themeColor="text1"/>
          <w:kern w:val="0"/>
          <w:lang w:eastAsia="en-GB"/>
          <w14:ligatures w14:val="none"/>
        </w:rPr>
        <w:t>s</w:t>
      </w:r>
      <w:r w:rsidRPr="00FC12DF">
        <w:rPr>
          <w:rFonts w:ascii="Arial" w:eastAsia="Times New Roman" w:hAnsi="Arial" w:cs="Arial"/>
          <w:color w:val="000000" w:themeColor="text1"/>
          <w:kern w:val="0"/>
          <w:lang w:eastAsia="en-GB"/>
          <w14:ligatures w14:val="none"/>
        </w:rPr>
        <w:t>ed by high fixed costs associated with innovation and comparatively lower variable production costs. Consequently, long-</w:t>
      </w:r>
      <w:r w:rsidRPr="00FC12DF">
        <w:rPr>
          <w:rFonts w:ascii="Arial" w:eastAsia="Times New Roman" w:hAnsi="Arial" w:cs="Arial"/>
          <w:color w:val="000000" w:themeColor="text1"/>
          <w:kern w:val="0"/>
          <w:lang w:eastAsia="en-GB"/>
          <w14:ligatures w14:val="none"/>
        </w:rPr>
        <w:lastRenderedPageBreak/>
        <w:t xml:space="preserve">term success depends on maintaining a strong pipeline of patented medicines and vaccines capable of generating sufficient revenue to recover substantial R&amp;D investments and support future growth </w:t>
      </w:r>
      <w:r w:rsidRPr="00FC12DF">
        <w:rPr>
          <w:rFonts w:ascii="Arial" w:eastAsia="Times New Roman" w:hAnsi="Arial" w:cs="Arial"/>
          <w:b/>
          <w:bCs/>
          <w:color w:val="000000" w:themeColor="text1"/>
          <w:kern w:val="0"/>
          <w:lang w:eastAsia="en-GB"/>
          <w14:ligatures w14:val="none"/>
        </w:rPr>
        <w:t>(</w:t>
      </w:r>
      <w:r w:rsidRPr="00FC12DF">
        <w:rPr>
          <w:rFonts w:ascii="Arial" w:eastAsia="Times New Roman" w:hAnsi="Arial" w:cs="Arial"/>
          <w:color w:val="000000" w:themeColor="text1"/>
          <w:kern w:val="0"/>
          <w:lang w:eastAsia="en-GB"/>
          <w14:ligatures w14:val="none"/>
        </w:rPr>
        <w:t>Gsk.com, 2025</w:t>
      </w:r>
      <w:r w:rsidRPr="00FC12DF">
        <w:rPr>
          <w:rFonts w:ascii="Arial" w:eastAsia="Times New Roman" w:hAnsi="Arial" w:cs="Arial"/>
          <w:b/>
          <w:bCs/>
          <w:color w:val="000000" w:themeColor="text1"/>
          <w:kern w:val="0"/>
          <w:lang w:eastAsia="en-GB"/>
          <w14:ligatures w14:val="none"/>
        </w:rPr>
        <w:t>)</w:t>
      </w:r>
      <w:r w:rsidRPr="00FC12DF">
        <w:rPr>
          <w:rFonts w:ascii="Arial" w:eastAsia="Times New Roman" w:hAnsi="Arial" w:cs="Arial"/>
          <w:color w:val="000000" w:themeColor="text1"/>
          <w:kern w:val="0"/>
          <w:lang w:eastAsia="en-GB"/>
          <w14:ligatures w14:val="none"/>
        </w:rPr>
        <w:t>.</w:t>
      </w:r>
    </w:p>
    <w:p w14:paraId="6670A9E6" w14:textId="4A5813BA" w:rsidR="00FE2199" w:rsidRPr="00FC12DF" w:rsidRDefault="00FE2199" w:rsidP="00235A79">
      <w:pPr>
        <w:pStyle w:val="Heading1"/>
        <w:rPr>
          <w:rFonts w:ascii="Arial" w:eastAsia="Times New Roman" w:hAnsi="Arial" w:cs="Arial"/>
          <w:b/>
          <w:bCs/>
          <w:color w:val="000000" w:themeColor="text1"/>
          <w:sz w:val="24"/>
          <w:szCs w:val="24"/>
          <w:lang w:eastAsia="en-GB"/>
        </w:rPr>
      </w:pPr>
      <w:bookmarkStart w:id="7" w:name="_Toc235150828"/>
      <w:r w:rsidRPr="00FC12DF">
        <w:rPr>
          <w:rFonts w:ascii="Arial" w:eastAsia="Times New Roman" w:hAnsi="Arial" w:cs="Arial"/>
          <w:b/>
          <w:bCs/>
          <w:color w:val="000000" w:themeColor="text1"/>
          <w:sz w:val="24"/>
          <w:szCs w:val="24"/>
          <w:lang w:eastAsia="en-GB"/>
        </w:rPr>
        <w:t>3</w:t>
      </w:r>
      <w:r w:rsidR="009E0182" w:rsidRPr="00FC12DF">
        <w:rPr>
          <w:rFonts w:ascii="Arial" w:eastAsia="Times New Roman" w:hAnsi="Arial" w:cs="Arial"/>
          <w:b/>
          <w:bCs/>
          <w:color w:val="000000" w:themeColor="text1"/>
          <w:sz w:val="24"/>
          <w:szCs w:val="24"/>
          <w:lang w:eastAsia="en-GB"/>
        </w:rPr>
        <w:t>.</w:t>
      </w:r>
      <w:r w:rsidRPr="00FC12DF">
        <w:rPr>
          <w:rFonts w:ascii="Arial" w:eastAsia="Times New Roman" w:hAnsi="Arial" w:cs="Arial"/>
          <w:b/>
          <w:bCs/>
          <w:color w:val="000000" w:themeColor="text1"/>
          <w:sz w:val="24"/>
          <w:szCs w:val="24"/>
          <w:lang w:eastAsia="en-GB"/>
        </w:rPr>
        <w:t xml:space="preserve"> The Role of Budgeting in GSK's Operations</w:t>
      </w:r>
      <w:bookmarkEnd w:id="7"/>
      <w:r w:rsidRPr="00FC12DF">
        <w:rPr>
          <w:rFonts w:ascii="Arial" w:eastAsia="Times New Roman" w:hAnsi="Arial" w:cs="Arial"/>
          <w:b/>
          <w:bCs/>
          <w:color w:val="000000" w:themeColor="text1"/>
          <w:sz w:val="24"/>
          <w:szCs w:val="24"/>
          <w:lang w:eastAsia="en-GB"/>
        </w:rPr>
        <w:t xml:space="preserve"> </w:t>
      </w:r>
    </w:p>
    <w:p w14:paraId="3EE34154" w14:textId="3B5B8722" w:rsidR="00FE2199" w:rsidRPr="00FC12DF" w:rsidRDefault="00673944" w:rsidP="009D580A">
      <w:pPr>
        <w:spacing w:before="100" w:beforeAutospacing="1" w:after="100" w:afterAutospacing="1" w:line="360" w:lineRule="auto"/>
        <w:ind w:left="284"/>
        <w:jc w:val="both"/>
        <w:rPr>
          <w:rFonts w:ascii="Arial" w:eastAsia="Times New Roman" w:hAnsi="Arial" w:cs="Arial"/>
          <w:color w:val="000000" w:themeColor="text1"/>
          <w:kern w:val="0"/>
          <w:lang w:eastAsia="en-GB"/>
          <w14:ligatures w14:val="none"/>
        </w:rPr>
      </w:pPr>
      <w:r w:rsidRPr="00FC12DF">
        <w:rPr>
          <w:rFonts w:ascii="Arial" w:eastAsia="Times New Roman" w:hAnsi="Arial" w:cs="Arial"/>
          <w:color w:val="000000" w:themeColor="text1"/>
          <w:kern w:val="0"/>
          <w:lang w:eastAsia="en-GB"/>
          <w14:ligatures w14:val="none"/>
        </w:rPr>
        <w:t>Budgeting is really important for how GSK runs its business and plans for the future. It helps the company put money where it's needed most, keep costs in check, fund its research, and meet its long-term money goals. GSK is a biopharmaceutical company that does a lot of research. This industry requires a lot of money, takes a long time to develop products, and has strict rules to follow. So, budgeting gives GSK a way to decide which projects are most valuable and make sure the whole company spends money wisely</w:t>
      </w:r>
      <w:r w:rsidR="000B468F" w:rsidRPr="00FC12DF">
        <w:rPr>
          <w:rFonts w:ascii="Arial" w:eastAsia="Times New Roman" w:hAnsi="Arial" w:cs="Arial"/>
          <w:color w:val="000000" w:themeColor="text1"/>
          <w:kern w:val="0"/>
          <w:lang w:eastAsia="en-GB"/>
          <w14:ligatures w14:val="none"/>
        </w:rPr>
        <w:t xml:space="preserve"> </w:t>
      </w:r>
      <w:r w:rsidR="000B468F" w:rsidRPr="00F80B27">
        <w:rPr>
          <w:rFonts w:ascii="Arial" w:eastAsia="Times New Roman" w:hAnsi="Arial" w:cs="Arial"/>
          <w:color w:val="000000" w:themeColor="text1"/>
          <w:kern w:val="0"/>
          <w:lang w:eastAsia="en-GB"/>
          <w14:ligatures w14:val="none"/>
        </w:rPr>
        <w:t>(GSK, 2025).</w:t>
      </w:r>
      <w:r w:rsidRPr="00FC12DF">
        <w:rPr>
          <w:rFonts w:ascii="Arial" w:eastAsia="Times New Roman" w:hAnsi="Arial" w:cs="Arial"/>
          <w:color w:val="000000" w:themeColor="text1"/>
          <w:kern w:val="0"/>
          <w:lang w:eastAsia="en-GB"/>
          <w14:ligatures w14:val="none"/>
        </w:rPr>
        <w:t xml:space="preserve"> A big chunk of GSK's budget goes into research and development (R&amp;D). This is key to keeping a steady stream of new medicines and vaccines coming. By planning the budget, managers can look at where to invest, estimate how much money they'll have coming in, and decide how much to spend on things like clinical trials, making products, meeting regulations, and selling them. Budgeting also helps measure how well the company is doing. By comparing what was actually spent to what was planned, managers can see where the differences are and make changes if needed</w:t>
      </w:r>
      <w:r w:rsidR="002079AF" w:rsidRPr="00FC12DF">
        <w:rPr>
          <w:rFonts w:ascii="Arial" w:eastAsia="Times New Roman" w:hAnsi="Arial" w:cs="Arial"/>
          <w:color w:val="000000" w:themeColor="text1"/>
          <w:kern w:val="0"/>
          <w:lang w:eastAsia="en-GB"/>
          <w14:ligatures w14:val="none"/>
        </w:rPr>
        <w:t xml:space="preserve"> </w:t>
      </w:r>
      <w:r w:rsidR="002079AF" w:rsidRPr="00F80B27">
        <w:rPr>
          <w:rFonts w:ascii="Arial" w:eastAsia="Times New Roman" w:hAnsi="Arial" w:cs="Arial"/>
          <w:color w:val="000000" w:themeColor="text1"/>
          <w:kern w:val="0"/>
          <w:lang w:eastAsia="en-GB"/>
          <w14:ligatures w14:val="none"/>
        </w:rPr>
        <w:t>(GSK, 2025).</w:t>
      </w:r>
    </w:p>
    <w:p w14:paraId="2F4DFFA5" w14:textId="7DB7BD68" w:rsidR="00FE2199" w:rsidRPr="00F80B27" w:rsidRDefault="00FE2199" w:rsidP="0005203A">
      <w:pPr>
        <w:spacing w:before="100" w:beforeAutospacing="1" w:after="100" w:afterAutospacing="1" w:line="360" w:lineRule="auto"/>
        <w:ind w:left="284"/>
        <w:jc w:val="both"/>
        <w:rPr>
          <w:rFonts w:ascii="Arial" w:eastAsia="Times New Roman" w:hAnsi="Arial" w:cs="Arial"/>
          <w:color w:val="000000" w:themeColor="text1"/>
          <w:kern w:val="0"/>
          <w:lang w:eastAsia="en-GB"/>
          <w14:ligatures w14:val="none"/>
        </w:rPr>
      </w:pPr>
      <w:r w:rsidRPr="00F80B27">
        <w:rPr>
          <w:rFonts w:ascii="Arial" w:eastAsia="Times New Roman" w:hAnsi="Arial" w:cs="Arial"/>
          <w:color w:val="000000" w:themeColor="text1"/>
          <w:kern w:val="0"/>
          <w:lang w:eastAsia="en-GB"/>
          <w14:ligatures w14:val="none"/>
        </w:rPr>
        <w:t xml:space="preserve">The year-on-year change in operating expenses reported in GSK’s 2025 Annual Financial Statement reflects a notable decline compared with 2024, signalling both internal managerial actions and external macroeconomic influences. </w:t>
      </w:r>
      <w:r w:rsidR="007B3283" w:rsidRPr="00F80B27">
        <w:rPr>
          <w:rFonts w:ascii="Arial" w:eastAsia="Times New Roman" w:hAnsi="Arial" w:cs="Arial"/>
          <w:color w:val="000000" w:themeColor="text1"/>
          <w:kern w:val="0"/>
          <w:lang w:eastAsia="en-GB"/>
          <w14:ligatures w14:val="none"/>
        </w:rPr>
        <w:t>According to Google Finance and GSK's 2025 Annual Report, GSK's operating expenses declined year-on-year. Operating expenses decreased from approximately US$34.96 billion in 2024 to US$32.62 billion in 2025, representing a reduction of around 6.7% (Macrotrends</w:t>
      </w:r>
      <w:r w:rsidR="00356634" w:rsidRPr="00F80B27">
        <w:rPr>
          <w:rFonts w:ascii="Arial" w:eastAsia="Times New Roman" w:hAnsi="Arial" w:cs="Arial"/>
          <w:color w:val="000000" w:themeColor="text1"/>
          <w:kern w:val="0"/>
          <w:lang w:eastAsia="en-GB"/>
          <w14:ligatures w14:val="none"/>
        </w:rPr>
        <w:t>,</w:t>
      </w:r>
      <w:r w:rsidR="007B3283" w:rsidRPr="00F80B27">
        <w:rPr>
          <w:rFonts w:ascii="Arial" w:eastAsia="Times New Roman" w:hAnsi="Arial" w:cs="Arial"/>
          <w:color w:val="000000" w:themeColor="text1"/>
          <w:kern w:val="0"/>
          <w:lang w:eastAsia="en-GB"/>
          <w14:ligatures w14:val="none"/>
        </w:rPr>
        <w:t xml:space="preserve"> 2026). </w:t>
      </w:r>
      <w:r w:rsidRPr="00F80B27">
        <w:rPr>
          <w:rFonts w:ascii="Arial" w:eastAsia="Times New Roman" w:hAnsi="Arial" w:cs="Arial"/>
          <w:color w:val="000000" w:themeColor="text1"/>
          <w:kern w:val="0"/>
          <w:lang w:eastAsia="en-GB"/>
          <w14:ligatures w14:val="none"/>
        </w:rPr>
        <w:t xml:space="preserve">This reduction is primarily attributed to lower significant legal charges and contingent consideration liabilities, which had materially inflated operating costs in the prior year. </w:t>
      </w:r>
    </w:p>
    <w:p w14:paraId="7A73B696" w14:textId="5275FC16" w:rsidR="008C41D7" w:rsidRPr="008C41D7" w:rsidRDefault="008C41D7" w:rsidP="008C41D7">
      <w:pPr>
        <w:spacing w:before="100" w:beforeAutospacing="1" w:after="100" w:afterAutospacing="1" w:line="360" w:lineRule="auto"/>
        <w:ind w:left="284"/>
        <w:jc w:val="both"/>
        <w:rPr>
          <w:rFonts w:ascii="Arial" w:eastAsia="Times New Roman" w:hAnsi="Arial" w:cs="Arial"/>
          <w:color w:val="000000" w:themeColor="text1"/>
          <w:kern w:val="0"/>
          <w:lang w:eastAsia="en-GB"/>
          <w14:ligatures w14:val="none"/>
        </w:rPr>
      </w:pPr>
      <w:r w:rsidRPr="008C41D7">
        <w:rPr>
          <w:rFonts w:ascii="Arial" w:eastAsia="Times New Roman" w:hAnsi="Arial" w:cs="Arial"/>
          <w:color w:val="000000" w:themeColor="text1"/>
          <w:kern w:val="0"/>
          <w:lang w:eastAsia="en-GB"/>
          <w14:ligatures w14:val="none"/>
        </w:rPr>
        <w:t>GSK’s 2025 performance was shaped by stronger SG&amp;A</w:t>
      </w:r>
      <w:r w:rsidR="0054147A" w:rsidRPr="00F80B27">
        <w:rPr>
          <w:rFonts w:ascii="Arial" w:eastAsia="Times New Roman" w:hAnsi="Arial" w:cs="Arial"/>
          <w:color w:val="000000" w:themeColor="text1"/>
          <w:kern w:val="0"/>
          <w:lang w:eastAsia="en-GB"/>
          <w14:ligatures w14:val="none"/>
        </w:rPr>
        <w:t xml:space="preserve"> (selling, general, and administrative expenses)</w:t>
      </w:r>
      <w:r w:rsidRPr="008C41D7">
        <w:rPr>
          <w:rFonts w:ascii="Arial" w:eastAsia="Times New Roman" w:hAnsi="Arial" w:cs="Arial"/>
          <w:color w:val="000000" w:themeColor="text1"/>
          <w:kern w:val="0"/>
          <w:lang w:eastAsia="en-GB"/>
          <w14:ligatures w14:val="none"/>
        </w:rPr>
        <w:t xml:space="preserve"> efficiency and a more disciplined allocation of R&amp;D spending, signalling a shift toward cost effectiveness and targeted investment in late</w:t>
      </w:r>
      <w:r w:rsidRPr="008C41D7">
        <w:rPr>
          <w:rFonts w:ascii="Arial" w:eastAsia="Times New Roman" w:hAnsi="Arial" w:cs="Arial"/>
          <w:color w:val="000000" w:themeColor="text1"/>
          <w:kern w:val="0"/>
          <w:lang w:eastAsia="en-GB"/>
          <w14:ligatures w14:val="none"/>
        </w:rPr>
        <w:noBreakHyphen/>
        <w:t>stage assets (GSK, 2025). The company’s emphasis on high</w:t>
      </w:r>
      <w:r w:rsidRPr="008C41D7">
        <w:rPr>
          <w:rFonts w:ascii="Arial" w:eastAsia="Times New Roman" w:hAnsi="Arial" w:cs="Arial"/>
          <w:color w:val="000000" w:themeColor="text1"/>
          <w:kern w:val="0"/>
          <w:lang w:eastAsia="en-GB"/>
          <w14:ligatures w14:val="none"/>
        </w:rPr>
        <w:noBreakHyphen/>
        <w:t xml:space="preserve">margin Specialty </w:t>
      </w:r>
      <w:r w:rsidRPr="008C41D7">
        <w:rPr>
          <w:rFonts w:ascii="Arial" w:eastAsia="Times New Roman" w:hAnsi="Arial" w:cs="Arial"/>
          <w:color w:val="000000" w:themeColor="text1"/>
          <w:kern w:val="0"/>
          <w:lang w:eastAsia="en-GB"/>
          <w14:ligatures w14:val="none"/>
        </w:rPr>
        <w:lastRenderedPageBreak/>
        <w:t>Medicines</w:t>
      </w:r>
      <w:r w:rsidR="00BF7153" w:rsidRPr="00FC12DF">
        <w:rPr>
          <w:rFonts w:ascii="Arial" w:eastAsia="Times New Roman" w:hAnsi="Arial" w:cs="Arial"/>
          <w:color w:val="000000" w:themeColor="text1"/>
          <w:kern w:val="0"/>
          <w:lang w:eastAsia="en-GB"/>
          <w14:ligatures w14:val="none"/>
        </w:rPr>
        <w:t xml:space="preserve"> </w:t>
      </w:r>
      <w:r w:rsidRPr="008C41D7">
        <w:rPr>
          <w:rFonts w:ascii="Arial" w:eastAsia="Times New Roman" w:hAnsi="Arial" w:cs="Arial"/>
          <w:color w:val="000000" w:themeColor="text1"/>
          <w:kern w:val="0"/>
          <w:lang w:eastAsia="en-GB"/>
          <w14:ligatures w14:val="none"/>
        </w:rPr>
        <w:t>particularly HIV, oncology, and respiratory treatments—enhanced operating leverage, enabling revenue growth without a proportional rise in operating costs. This mirrors a wider industry trend in which pharmaceutical firms prioritise specialised therapeutics to improve profitability (PwC, 2024).</w:t>
      </w:r>
    </w:p>
    <w:p w14:paraId="44308237" w14:textId="77777777" w:rsidR="008C41D7" w:rsidRPr="008C41D7" w:rsidRDefault="008C41D7" w:rsidP="008C41D7">
      <w:pPr>
        <w:spacing w:before="100" w:beforeAutospacing="1" w:after="100" w:afterAutospacing="1" w:line="360" w:lineRule="auto"/>
        <w:ind w:left="284"/>
        <w:jc w:val="both"/>
        <w:rPr>
          <w:rFonts w:ascii="Arial" w:eastAsia="Times New Roman" w:hAnsi="Arial" w:cs="Arial"/>
          <w:color w:val="000000" w:themeColor="text1"/>
          <w:kern w:val="0"/>
          <w:lang w:eastAsia="en-GB"/>
          <w14:ligatures w14:val="none"/>
        </w:rPr>
      </w:pPr>
      <w:r w:rsidRPr="008C41D7">
        <w:rPr>
          <w:rFonts w:ascii="Arial" w:eastAsia="Times New Roman" w:hAnsi="Arial" w:cs="Arial"/>
          <w:color w:val="000000" w:themeColor="text1"/>
          <w:kern w:val="0"/>
          <w:lang w:eastAsia="en-GB"/>
          <w14:ligatures w14:val="none"/>
        </w:rPr>
        <w:t>External conditions also supported lower operating expenses. A stronger British pound reduced reported costs when converted to US dollars, highlighting the influence of currency movements on multinational companies. Additionally, declining inflation in 2025 eased pressure on input and logistics costs, while post</w:t>
      </w:r>
      <w:r w:rsidRPr="008C41D7">
        <w:rPr>
          <w:rFonts w:ascii="Arial" w:eastAsia="Times New Roman" w:hAnsi="Arial" w:cs="Arial"/>
          <w:color w:val="000000" w:themeColor="text1"/>
          <w:kern w:val="0"/>
          <w:lang w:eastAsia="en-GB"/>
          <w14:ligatures w14:val="none"/>
        </w:rPr>
        <w:noBreakHyphen/>
        <w:t>pandemic stabilisation in healthcare demand reduced operational strain. These factors allowed GSK to normalise spending after elevated legal and restructuring costs in 2024.</w:t>
      </w:r>
    </w:p>
    <w:p w14:paraId="1A07BA20" w14:textId="42C760A0" w:rsidR="008C41D7" w:rsidRPr="00FC12DF" w:rsidRDefault="008C41D7" w:rsidP="00F80B27">
      <w:pPr>
        <w:spacing w:before="100" w:beforeAutospacing="1" w:after="100" w:afterAutospacing="1" w:line="360" w:lineRule="auto"/>
        <w:ind w:left="284"/>
        <w:jc w:val="both"/>
        <w:rPr>
          <w:rFonts w:ascii="Arial" w:eastAsia="Times New Roman" w:hAnsi="Arial" w:cs="Arial"/>
          <w:color w:val="000000" w:themeColor="text1"/>
          <w:kern w:val="0"/>
          <w:lang w:eastAsia="en-GB"/>
          <w14:ligatures w14:val="none"/>
        </w:rPr>
      </w:pPr>
      <w:r w:rsidRPr="008C41D7">
        <w:rPr>
          <w:rFonts w:ascii="Arial" w:eastAsia="Times New Roman" w:hAnsi="Arial" w:cs="Arial"/>
          <w:color w:val="000000" w:themeColor="text1"/>
          <w:kern w:val="0"/>
          <w:lang w:eastAsia="en-GB"/>
          <w14:ligatures w14:val="none"/>
        </w:rPr>
        <w:t>Overall, the reduction in operating costs resulted from both effective internal cost management and favourable macroeconomic conditions. Together, these improvements strengthened GSK’s operating margin and positioned the company for sustained financial performance and future growth.</w:t>
      </w:r>
      <w:r w:rsidRPr="00FC12DF">
        <w:rPr>
          <w:rFonts w:ascii="Arial" w:eastAsia="Times New Roman" w:hAnsi="Arial" w:cs="Arial"/>
          <w:color w:val="000000" w:themeColor="text1"/>
          <w:kern w:val="0"/>
          <w:lang w:eastAsia="en-GB"/>
          <w14:ligatures w14:val="none"/>
        </w:rPr>
        <w:t xml:space="preserve"> </w:t>
      </w:r>
    </w:p>
    <w:p w14:paraId="454025B7" w14:textId="18532FA9" w:rsidR="00711968" w:rsidRPr="00FC12DF" w:rsidRDefault="00711968" w:rsidP="008775D2">
      <w:pPr>
        <w:pStyle w:val="Heading1"/>
        <w:rPr>
          <w:rFonts w:ascii="Arial" w:hAnsi="Arial" w:cs="Arial"/>
          <w:b/>
          <w:bCs/>
          <w:color w:val="000000" w:themeColor="text1"/>
          <w:sz w:val="24"/>
          <w:szCs w:val="24"/>
        </w:rPr>
      </w:pPr>
      <w:bookmarkStart w:id="8" w:name="_Toc235150829"/>
      <w:r w:rsidRPr="00FC12DF">
        <w:rPr>
          <w:rFonts w:ascii="Arial" w:hAnsi="Arial" w:cs="Arial"/>
          <w:b/>
          <w:bCs/>
          <w:color w:val="000000" w:themeColor="text1"/>
          <w:sz w:val="24"/>
          <w:szCs w:val="24"/>
        </w:rPr>
        <w:t>4</w:t>
      </w:r>
      <w:r w:rsidR="009E0182" w:rsidRPr="00FC12DF">
        <w:rPr>
          <w:rFonts w:ascii="Arial" w:hAnsi="Arial" w:cs="Arial"/>
          <w:b/>
          <w:bCs/>
          <w:color w:val="000000" w:themeColor="text1"/>
          <w:sz w:val="24"/>
          <w:szCs w:val="24"/>
        </w:rPr>
        <w:t>.</w:t>
      </w:r>
      <w:r w:rsidRPr="00FC12DF">
        <w:rPr>
          <w:rFonts w:ascii="Arial" w:hAnsi="Arial" w:cs="Arial"/>
          <w:b/>
          <w:bCs/>
          <w:color w:val="000000" w:themeColor="text1"/>
          <w:sz w:val="24"/>
          <w:szCs w:val="24"/>
        </w:rPr>
        <w:t xml:space="preserve"> GSK’s Performance Measurement and Decision Making</w:t>
      </w:r>
      <w:bookmarkEnd w:id="8"/>
      <w:r w:rsidRPr="00FC12DF">
        <w:rPr>
          <w:rFonts w:ascii="Arial" w:hAnsi="Arial" w:cs="Arial"/>
          <w:b/>
          <w:bCs/>
          <w:color w:val="000000" w:themeColor="text1"/>
          <w:sz w:val="24"/>
          <w:szCs w:val="24"/>
        </w:rPr>
        <w:t xml:space="preserve"> </w:t>
      </w:r>
    </w:p>
    <w:p w14:paraId="5C021A7C" w14:textId="234C8F9E" w:rsidR="00AE2097" w:rsidRPr="00FC12DF" w:rsidRDefault="00AE2097" w:rsidP="005C7577">
      <w:pPr>
        <w:spacing w:after="0" w:line="360" w:lineRule="auto"/>
        <w:ind w:left="284"/>
        <w:jc w:val="both"/>
        <w:rPr>
          <w:rFonts w:ascii="Arial" w:hAnsi="Arial" w:cs="Arial"/>
          <w:color w:val="000000" w:themeColor="text1"/>
        </w:rPr>
      </w:pPr>
      <w:r w:rsidRPr="00FC12DF">
        <w:rPr>
          <w:rFonts w:ascii="Arial" w:hAnsi="Arial" w:cs="Arial"/>
          <w:color w:val="000000" w:themeColor="text1"/>
        </w:rPr>
        <w:t>Key Performance Indicators, or KPIs, are specific, measurable targets that show if a company, department, or project is on track to meet its main goals. In managing strategy, KPIs give a solid, fact-based way to check how things are going. They help managers decide what to do and make sure daily work supports the company's long-term plans. For GSK, KPIs are crucial for tracking money matters, how well they innovate, their sustainability efforts, and how the company runs overall. This helps them move forward with their goal of being a top biopharmaceutical company (Hennigan, 2024).</w:t>
      </w:r>
    </w:p>
    <w:p w14:paraId="106406AC" w14:textId="77777777" w:rsidR="00DA2A64" w:rsidRPr="00FC12DF" w:rsidRDefault="00DA2A64" w:rsidP="005C7577">
      <w:pPr>
        <w:spacing w:after="0" w:line="360" w:lineRule="auto"/>
        <w:ind w:left="284"/>
        <w:jc w:val="both"/>
        <w:rPr>
          <w:rFonts w:ascii="Arial" w:hAnsi="Arial" w:cs="Arial"/>
          <w:color w:val="000000" w:themeColor="text1"/>
        </w:rPr>
      </w:pPr>
      <w:r w:rsidRPr="00FC12DF">
        <w:rPr>
          <w:rFonts w:ascii="Arial" w:hAnsi="Arial" w:cs="Arial"/>
          <w:color w:val="000000" w:themeColor="text1"/>
        </w:rPr>
        <w:t xml:space="preserve"> </w:t>
      </w:r>
    </w:p>
    <w:p w14:paraId="38EE6D6A" w14:textId="3189F986" w:rsidR="00C95384" w:rsidRPr="00F80B27" w:rsidRDefault="00C95384" w:rsidP="005C7577">
      <w:pPr>
        <w:spacing w:after="0" w:line="360" w:lineRule="auto"/>
        <w:ind w:left="284"/>
        <w:jc w:val="both"/>
        <w:rPr>
          <w:rFonts w:ascii="Arial" w:hAnsi="Arial" w:cs="Arial"/>
          <w:color w:val="000000" w:themeColor="text1"/>
        </w:rPr>
      </w:pPr>
      <w:r w:rsidRPr="00F80B27">
        <w:rPr>
          <w:rFonts w:ascii="Arial" w:hAnsi="Arial" w:cs="Arial"/>
          <w:color w:val="000000" w:themeColor="text1"/>
        </w:rPr>
        <w:t xml:space="preserve">GSK’s 2025 Annual Report outlines several KPIs that illustrate the company’s financial resilience, research output, sustainability progress, and organisational culture. Group Turnover rose to £32.7 billion, reflecting 4% growth at AER and 7% at CER, signalling the company’s continued ability to strengthen its market position and deliver stable revenue. Additionally, Core Operating Profit increased to </w:t>
      </w:r>
      <w:r w:rsidRPr="00F80B27">
        <w:rPr>
          <w:rFonts w:ascii="Arial" w:hAnsi="Arial" w:cs="Arial"/>
          <w:color w:val="000000" w:themeColor="text1"/>
        </w:rPr>
        <w:lastRenderedPageBreak/>
        <w:t>£9.8 billion, an 11% rise at CER, indicating enhanced operational efficiency supported by stronger sales and focused productivity measures (GSK, 2025).</w:t>
      </w:r>
    </w:p>
    <w:p w14:paraId="012A7AB8" w14:textId="77777777" w:rsidR="00DA2A64" w:rsidRPr="00F80B27" w:rsidRDefault="00DA2A64" w:rsidP="005C7577">
      <w:pPr>
        <w:spacing w:after="0" w:line="360" w:lineRule="auto"/>
        <w:ind w:left="284"/>
        <w:jc w:val="both"/>
        <w:rPr>
          <w:rFonts w:ascii="Arial" w:hAnsi="Arial" w:cs="Arial"/>
          <w:color w:val="000000" w:themeColor="text1"/>
        </w:rPr>
      </w:pPr>
      <w:r w:rsidRPr="00F80B27">
        <w:rPr>
          <w:rFonts w:ascii="Arial" w:hAnsi="Arial" w:cs="Arial"/>
          <w:color w:val="000000" w:themeColor="text1"/>
        </w:rPr>
        <w:t>Innovation performance is measured through the R&amp;D Pipeline, which in 2025 included 58 pipeline assets, 17 Phase III or registration programmes, five major approvals, and 14 new collaborations and acquisitions. These non</w:t>
      </w:r>
      <w:r w:rsidRPr="00F80B27">
        <w:rPr>
          <w:rFonts w:ascii="Arial" w:hAnsi="Arial" w:cs="Arial"/>
          <w:color w:val="000000" w:themeColor="text1"/>
        </w:rPr>
        <w:noBreakHyphen/>
        <w:t>financial KPIs indicate strong future revenue potential and sustained investment in biopharmaceutical innovation (Gsk.com, 2025)</w:t>
      </w:r>
    </w:p>
    <w:p w14:paraId="55B282D0" w14:textId="77777777" w:rsidR="00DA2A64" w:rsidRPr="00F80B27" w:rsidRDefault="00DA2A64" w:rsidP="005C7577">
      <w:pPr>
        <w:spacing w:after="0" w:line="360" w:lineRule="auto"/>
        <w:ind w:left="284"/>
        <w:jc w:val="both"/>
        <w:rPr>
          <w:rFonts w:ascii="Arial" w:hAnsi="Arial" w:cs="Arial"/>
          <w:color w:val="000000" w:themeColor="text1"/>
        </w:rPr>
      </w:pPr>
      <w:r w:rsidRPr="00F80B27">
        <w:rPr>
          <w:rFonts w:ascii="Arial" w:hAnsi="Arial" w:cs="Arial"/>
          <w:color w:val="000000" w:themeColor="text1"/>
        </w:rPr>
        <w:t xml:space="preserve"> </w:t>
      </w:r>
    </w:p>
    <w:p w14:paraId="60658432" w14:textId="77777777" w:rsidR="00810300" w:rsidRPr="00F80B27" w:rsidRDefault="00DA2A64" w:rsidP="00BD61A2">
      <w:pPr>
        <w:spacing w:after="0" w:line="360" w:lineRule="auto"/>
        <w:ind w:left="284"/>
        <w:jc w:val="both"/>
        <w:rPr>
          <w:rFonts w:ascii="Arial" w:hAnsi="Arial" w:cs="Arial"/>
          <w:color w:val="000000" w:themeColor="text1"/>
        </w:rPr>
      </w:pPr>
      <w:r w:rsidRPr="00F80B27">
        <w:rPr>
          <w:rFonts w:ascii="Arial" w:hAnsi="Arial" w:cs="Arial"/>
          <w:color w:val="000000" w:themeColor="text1"/>
        </w:rPr>
        <w:t>GSK’s Responsible Business Performance Rating reached 92%, covering sustainability, ethics, product governance, inclusion, and global health</w:t>
      </w:r>
      <w:r w:rsidR="00D90E18" w:rsidRPr="00F80B27">
        <w:rPr>
          <w:rFonts w:ascii="Arial" w:hAnsi="Arial" w:cs="Arial"/>
          <w:color w:val="000000" w:themeColor="text1"/>
        </w:rPr>
        <w:t xml:space="preserve"> </w:t>
      </w:r>
      <w:r w:rsidRPr="00F80B27">
        <w:rPr>
          <w:rFonts w:ascii="Arial" w:hAnsi="Arial" w:cs="Arial"/>
          <w:color w:val="000000" w:themeColor="text1"/>
        </w:rPr>
        <w:t>(Gsk.com, 2025a). The company achieved a 45% reduction in operational carbon emissions from its 2020 baseline, sourced 100% imported renewable electricity, contributed £6 million to the Global Fund through ViiV Healthcare, and supplied 560 million doses to lower</w:t>
      </w:r>
      <w:r w:rsidRPr="00F80B27">
        <w:rPr>
          <w:rFonts w:ascii="Arial" w:hAnsi="Arial" w:cs="Arial"/>
          <w:color w:val="000000" w:themeColor="text1"/>
        </w:rPr>
        <w:noBreakHyphen/>
        <w:t>income countries advancing its goal of reaching 1.3 billion people by 2030 (Potter, 2026). Finally, Employee Engagement remained above 80% for the third consecutive year, reflecting strong organisational culture, motivation, and talent retention (Gsk.com, 2025)</w:t>
      </w:r>
      <w:r w:rsidR="00D90E18" w:rsidRPr="00F80B27">
        <w:rPr>
          <w:rFonts w:ascii="Arial" w:hAnsi="Arial" w:cs="Arial"/>
          <w:color w:val="000000" w:themeColor="text1"/>
        </w:rPr>
        <w:t>.</w:t>
      </w:r>
      <w:r w:rsidRPr="00F80B27">
        <w:rPr>
          <w:rFonts w:ascii="Arial" w:hAnsi="Arial" w:cs="Arial"/>
          <w:color w:val="000000" w:themeColor="text1"/>
        </w:rPr>
        <w:t xml:space="preserve"> </w:t>
      </w:r>
    </w:p>
    <w:p w14:paraId="74DF94D0" w14:textId="1824F34A" w:rsidR="00BD61A2" w:rsidRPr="00F80B27" w:rsidRDefault="00BD61A2" w:rsidP="00BD61A2">
      <w:pPr>
        <w:spacing w:after="0" w:line="360" w:lineRule="auto"/>
        <w:ind w:left="284"/>
        <w:jc w:val="both"/>
        <w:rPr>
          <w:rFonts w:ascii="Arial" w:hAnsi="Arial" w:cs="Arial"/>
          <w:color w:val="000000" w:themeColor="text1"/>
        </w:rPr>
      </w:pPr>
      <w:r w:rsidRPr="00F80B27">
        <w:rPr>
          <w:rFonts w:ascii="Arial" w:hAnsi="Arial" w:cs="Arial"/>
          <w:color w:val="000000" w:themeColor="text1"/>
        </w:rPr>
        <w:t xml:space="preserve"> </w:t>
      </w:r>
    </w:p>
    <w:p w14:paraId="3C515894" w14:textId="4A999112" w:rsidR="00DA2A64" w:rsidRPr="00F80B27" w:rsidRDefault="00810300" w:rsidP="005C7577">
      <w:pPr>
        <w:spacing w:after="0" w:line="360" w:lineRule="auto"/>
        <w:ind w:left="284"/>
        <w:jc w:val="both"/>
        <w:rPr>
          <w:rFonts w:ascii="Arial" w:hAnsi="Arial" w:cs="Arial"/>
          <w:color w:val="000000" w:themeColor="text1"/>
        </w:rPr>
      </w:pPr>
      <w:r w:rsidRPr="00F80B27">
        <w:rPr>
          <w:rFonts w:ascii="Arial" w:hAnsi="Arial" w:cs="Arial"/>
          <w:color w:val="000000" w:themeColor="text1"/>
        </w:rPr>
        <w:t xml:space="preserve"> </w:t>
      </w:r>
    </w:p>
    <w:p w14:paraId="5B1643F5" w14:textId="1C0BA3EB" w:rsidR="00EA3FE9" w:rsidRPr="00F80B27" w:rsidRDefault="00EA3FE9" w:rsidP="005C7577">
      <w:pPr>
        <w:spacing w:after="0" w:line="360" w:lineRule="auto"/>
        <w:ind w:left="284"/>
        <w:jc w:val="both"/>
        <w:rPr>
          <w:rFonts w:ascii="Arial" w:hAnsi="Arial" w:cs="Arial"/>
          <w:color w:val="000000" w:themeColor="text1"/>
        </w:rPr>
      </w:pPr>
      <w:r w:rsidRPr="00F80B27">
        <w:rPr>
          <w:rFonts w:ascii="Arial" w:hAnsi="Arial" w:cs="Arial"/>
          <w:color w:val="000000" w:themeColor="text1"/>
        </w:rPr>
        <w:t>GSK’s 2025 KPIs played a direct role in shaping strategic priorities for the year. Strong financial results in its Specialty Medicines portfolio</w:t>
      </w:r>
      <w:r w:rsidR="00D467DE" w:rsidRPr="00F80B27">
        <w:rPr>
          <w:rFonts w:ascii="Arial" w:hAnsi="Arial" w:cs="Arial"/>
          <w:color w:val="000000" w:themeColor="text1"/>
        </w:rPr>
        <w:t xml:space="preserve"> </w:t>
      </w:r>
      <w:r w:rsidRPr="00F80B27">
        <w:rPr>
          <w:rFonts w:ascii="Arial" w:hAnsi="Arial" w:cs="Arial"/>
          <w:color w:val="000000" w:themeColor="text1"/>
        </w:rPr>
        <w:t>particularly HIV, oncology, and respiratory treatments</w:t>
      </w:r>
      <w:r w:rsidR="00D467DE" w:rsidRPr="00F80B27">
        <w:rPr>
          <w:rFonts w:ascii="Arial" w:hAnsi="Arial" w:cs="Arial"/>
          <w:color w:val="000000" w:themeColor="text1"/>
        </w:rPr>
        <w:t xml:space="preserve"> </w:t>
      </w:r>
      <w:r w:rsidRPr="00F80B27">
        <w:rPr>
          <w:rFonts w:ascii="Arial" w:hAnsi="Arial" w:cs="Arial"/>
          <w:color w:val="000000" w:themeColor="text1"/>
        </w:rPr>
        <w:t>supported increased investment in high</w:t>
      </w:r>
      <w:r w:rsidRPr="00F80B27">
        <w:rPr>
          <w:rFonts w:ascii="Arial" w:hAnsi="Arial" w:cs="Arial"/>
          <w:color w:val="000000" w:themeColor="text1"/>
        </w:rPr>
        <w:noBreakHyphen/>
        <w:t>growth therapeutic areas while reducing dependence on slower</w:t>
      </w:r>
      <w:r w:rsidRPr="00F80B27">
        <w:rPr>
          <w:rFonts w:ascii="Arial" w:hAnsi="Arial" w:cs="Arial"/>
          <w:color w:val="000000" w:themeColor="text1"/>
        </w:rPr>
        <w:noBreakHyphen/>
        <w:t>growth General Medicines. The strength of the R&amp;D pipeline, alongside new partnerships, reinforced continued acquisitions and licensing activity aimed at bolstering late</w:t>
      </w:r>
      <w:r w:rsidRPr="00F80B27">
        <w:rPr>
          <w:rFonts w:ascii="Arial" w:hAnsi="Arial" w:cs="Arial"/>
          <w:color w:val="000000" w:themeColor="text1"/>
        </w:rPr>
        <w:noBreakHyphen/>
        <w:t>stage assets. Productivity insights guided more efficient SG&amp;A spending, allowing GSK to raise R&amp;D investment without broad cost</w:t>
      </w:r>
      <w:r w:rsidRPr="00F80B27">
        <w:rPr>
          <w:rFonts w:ascii="Arial" w:hAnsi="Arial" w:cs="Arial"/>
          <w:color w:val="000000" w:themeColor="text1"/>
        </w:rPr>
        <w:noBreakHyphen/>
        <w:t>cutting. Instead, funding was deliberately redirected toward oncology, vaccines, and other innovative medicines with greater long</w:t>
      </w:r>
      <w:r w:rsidRPr="00F80B27">
        <w:rPr>
          <w:rFonts w:ascii="Arial" w:hAnsi="Arial" w:cs="Arial"/>
          <w:color w:val="000000" w:themeColor="text1"/>
        </w:rPr>
        <w:noBreakHyphen/>
        <w:t>term value potential.</w:t>
      </w:r>
    </w:p>
    <w:p w14:paraId="173035D1" w14:textId="23648286" w:rsidR="00711968" w:rsidRPr="009D580A" w:rsidRDefault="00DA2A64" w:rsidP="009D580A">
      <w:pPr>
        <w:spacing w:after="0" w:line="360" w:lineRule="auto"/>
        <w:ind w:left="284"/>
        <w:jc w:val="both"/>
        <w:rPr>
          <w:rFonts w:ascii="Arial" w:hAnsi="Arial" w:cs="Arial"/>
          <w:color w:val="000000" w:themeColor="text1"/>
        </w:rPr>
      </w:pPr>
      <w:r w:rsidRPr="00F80B27">
        <w:rPr>
          <w:rFonts w:ascii="Arial" w:hAnsi="Arial" w:cs="Arial"/>
          <w:color w:val="000000" w:themeColor="text1"/>
        </w:rPr>
        <w:t>Non</w:t>
      </w:r>
      <w:r w:rsidRPr="00F80B27">
        <w:rPr>
          <w:rFonts w:ascii="Arial" w:hAnsi="Arial" w:cs="Arial"/>
          <w:color w:val="000000" w:themeColor="text1"/>
        </w:rPr>
        <w:noBreakHyphen/>
        <w:t xml:space="preserve">financial KPIs also guided decision making. Sustainability achievements reinforced investment in environmental and global health programmes, while strong employee engagement supported leadership development and cultural initiatives. Together, these KPIs illustrate GSK’s Balanced Scorecard approach, enabling the </w:t>
      </w:r>
      <w:r w:rsidRPr="00F80B27">
        <w:rPr>
          <w:rFonts w:ascii="Arial" w:hAnsi="Arial" w:cs="Arial"/>
          <w:color w:val="000000" w:themeColor="text1"/>
        </w:rPr>
        <w:lastRenderedPageBreak/>
        <w:t>company to balance short</w:t>
      </w:r>
      <w:r w:rsidRPr="00F80B27">
        <w:rPr>
          <w:rFonts w:ascii="Arial" w:hAnsi="Arial" w:cs="Arial"/>
          <w:color w:val="000000" w:themeColor="text1"/>
        </w:rPr>
        <w:noBreakHyphen/>
        <w:t>term profitability with innovation, sustainability, and long</w:t>
      </w:r>
      <w:r w:rsidRPr="00F80B27">
        <w:rPr>
          <w:rFonts w:ascii="Arial" w:hAnsi="Arial" w:cs="Arial"/>
          <w:color w:val="000000" w:themeColor="text1"/>
        </w:rPr>
        <w:noBreakHyphen/>
        <w:t>term shareholder value (Gsk.com, 2025)</w:t>
      </w:r>
      <w:r w:rsidR="00D90E18" w:rsidRPr="00F80B27">
        <w:rPr>
          <w:rFonts w:ascii="Arial" w:hAnsi="Arial" w:cs="Arial"/>
          <w:color w:val="000000" w:themeColor="text1"/>
        </w:rPr>
        <w:t>.</w:t>
      </w:r>
      <w:r w:rsidRPr="00F80B27">
        <w:rPr>
          <w:rFonts w:ascii="Arial" w:hAnsi="Arial" w:cs="Arial"/>
          <w:color w:val="000000" w:themeColor="text1"/>
        </w:rPr>
        <w:t xml:space="preserve"> </w:t>
      </w:r>
    </w:p>
    <w:p w14:paraId="0F410BE3" w14:textId="1E552A11" w:rsidR="0028377A" w:rsidRPr="00FC12DF" w:rsidRDefault="0028377A" w:rsidP="007935A2">
      <w:pPr>
        <w:pStyle w:val="Heading1"/>
        <w:rPr>
          <w:rFonts w:ascii="Arial" w:hAnsi="Arial" w:cs="Arial"/>
          <w:b/>
          <w:bCs/>
          <w:color w:val="000000" w:themeColor="text1"/>
          <w:sz w:val="24"/>
          <w:szCs w:val="24"/>
          <w:lang w:eastAsia="en-GB"/>
        </w:rPr>
      </w:pPr>
      <w:bookmarkStart w:id="9" w:name="_Toc235150830"/>
      <w:r w:rsidRPr="00FC12DF">
        <w:rPr>
          <w:rFonts w:ascii="Arial" w:hAnsi="Arial" w:cs="Arial"/>
          <w:b/>
          <w:bCs/>
          <w:color w:val="000000" w:themeColor="text1"/>
          <w:sz w:val="24"/>
          <w:szCs w:val="24"/>
          <w:lang w:eastAsia="en-GB"/>
        </w:rPr>
        <w:t>5</w:t>
      </w:r>
      <w:r w:rsidR="00B87856" w:rsidRPr="00FC12DF">
        <w:rPr>
          <w:rFonts w:ascii="Arial" w:hAnsi="Arial" w:cs="Arial"/>
          <w:b/>
          <w:bCs/>
          <w:color w:val="000000" w:themeColor="text1"/>
          <w:sz w:val="24"/>
          <w:szCs w:val="24"/>
          <w:lang w:eastAsia="en-GB"/>
        </w:rPr>
        <w:t>.</w:t>
      </w:r>
      <w:r w:rsidRPr="00FC12DF">
        <w:rPr>
          <w:rFonts w:ascii="Arial" w:hAnsi="Arial" w:cs="Arial"/>
          <w:b/>
          <w:bCs/>
          <w:color w:val="000000" w:themeColor="text1"/>
          <w:sz w:val="24"/>
          <w:szCs w:val="24"/>
          <w:lang w:eastAsia="en-GB"/>
        </w:rPr>
        <w:t xml:space="preserve"> GSK's Integration of Sustainability into Financial Decision-Making and </w:t>
      </w:r>
      <w:r w:rsidR="008C25B5" w:rsidRPr="00FC12DF">
        <w:rPr>
          <w:rFonts w:ascii="Arial" w:hAnsi="Arial" w:cs="Arial"/>
          <w:b/>
          <w:bCs/>
          <w:color w:val="000000" w:themeColor="text1"/>
          <w:sz w:val="24"/>
          <w:szCs w:val="24"/>
          <w:lang w:eastAsia="en-GB"/>
        </w:rPr>
        <w:t xml:space="preserve">    </w:t>
      </w:r>
      <w:r w:rsidR="00B65C28" w:rsidRPr="00FC12DF">
        <w:rPr>
          <w:rFonts w:ascii="Arial" w:hAnsi="Arial" w:cs="Arial"/>
          <w:b/>
          <w:bCs/>
          <w:color w:val="000000" w:themeColor="text1"/>
          <w:sz w:val="24"/>
          <w:szCs w:val="24"/>
          <w:lang w:eastAsia="en-GB"/>
        </w:rPr>
        <w:t xml:space="preserve">    </w:t>
      </w:r>
      <w:r w:rsidRPr="00FC12DF">
        <w:rPr>
          <w:rFonts w:ascii="Arial" w:hAnsi="Arial" w:cs="Arial"/>
          <w:b/>
          <w:bCs/>
          <w:color w:val="000000" w:themeColor="text1"/>
          <w:sz w:val="24"/>
          <w:szCs w:val="24"/>
          <w:lang w:eastAsia="en-GB"/>
        </w:rPr>
        <w:t>Ethical Cost Management</w:t>
      </w:r>
      <w:bookmarkEnd w:id="9"/>
    </w:p>
    <w:p w14:paraId="43A587D3" w14:textId="430990A8" w:rsidR="00436F8F" w:rsidRPr="00FC12DF" w:rsidRDefault="00436F8F" w:rsidP="00F87138">
      <w:pPr>
        <w:spacing w:line="360" w:lineRule="auto"/>
        <w:ind w:left="284"/>
        <w:jc w:val="both"/>
        <w:rPr>
          <w:rFonts w:ascii="Arial" w:eastAsia="Times New Roman" w:hAnsi="Arial" w:cs="Arial"/>
          <w:color w:val="000000" w:themeColor="text1"/>
          <w:kern w:val="0"/>
          <w:lang w:eastAsia="en-GB"/>
          <w14:ligatures w14:val="none"/>
        </w:rPr>
      </w:pPr>
      <w:r w:rsidRPr="00FC12DF">
        <w:rPr>
          <w:rFonts w:ascii="Arial" w:eastAsia="Times New Roman" w:hAnsi="Arial" w:cs="Arial"/>
          <w:color w:val="000000" w:themeColor="text1"/>
          <w:kern w:val="0"/>
          <w:lang w:eastAsia="en-GB"/>
          <w14:ligatures w14:val="none"/>
        </w:rPr>
        <w:t xml:space="preserve">GSK integrates its ESG priorities directly into corporate strategy and investment planning, rather than treating sustainability as a standalone responsibility programme. The company’s Responsible Business Performance Rating (RBPR) evaluates outcomes across six core areas: access to healthcare, global health and security, environmental impact, inclusion, ethical conduct, and product governance. In 2025, GSK achieved or surpassed </w:t>
      </w:r>
      <w:r w:rsidRPr="00F80B27">
        <w:rPr>
          <w:rFonts w:ascii="Arial" w:eastAsia="Times New Roman" w:hAnsi="Arial" w:cs="Arial"/>
          <w:color w:val="000000" w:themeColor="text1"/>
          <w:kern w:val="0"/>
          <w:lang w:eastAsia="en-GB"/>
          <w14:ligatures w14:val="none"/>
        </w:rPr>
        <w:t>92%</w:t>
      </w:r>
      <w:r w:rsidRPr="00FC12DF">
        <w:rPr>
          <w:rFonts w:ascii="Arial" w:eastAsia="Times New Roman" w:hAnsi="Arial" w:cs="Arial"/>
          <w:color w:val="000000" w:themeColor="text1"/>
          <w:kern w:val="0"/>
          <w:lang w:eastAsia="en-GB"/>
          <w14:ligatures w14:val="none"/>
        </w:rPr>
        <w:t xml:space="preserve"> of these measures, demonstrating that sustainability performance is tracked and managed with the same rigour as financial results (GSK, 2025).</w:t>
      </w:r>
    </w:p>
    <w:p w14:paraId="652DCB8F" w14:textId="1A02602D" w:rsidR="00F21767" w:rsidRPr="00FC12DF" w:rsidRDefault="0028377A" w:rsidP="000820F9">
      <w:pPr>
        <w:spacing w:line="360" w:lineRule="auto"/>
        <w:ind w:left="284"/>
        <w:jc w:val="both"/>
        <w:rPr>
          <w:rFonts w:ascii="Times New Roman" w:eastAsia="Times New Roman" w:hAnsi="Times New Roman" w:cs="Times New Roman"/>
          <w:color w:val="000000" w:themeColor="text1"/>
          <w:kern w:val="0"/>
          <w:lang w:eastAsia="en-GB"/>
          <w14:ligatures w14:val="none"/>
        </w:rPr>
      </w:pPr>
      <w:r w:rsidRPr="00FC12DF">
        <w:rPr>
          <w:rFonts w:ascii="Arial" w:eastAsia="Times New Roman" w:hAnsi="Arial" w:cs="Arial"/>
          <w:color w:val="000000" w:themeColor="text1"/>
          <w:kern w:val="0"/>
          <w:lang w:eastAsia="en-GB"/>
          <w14:ligatures w14:val="none"/>
        </w:rPr>
        <w:t xml:space="preserve">Furthermore, GSK reported a 14% reduction in Scope 1 and Scope 2 operational carbon emissions in 2025, reflecting continued investment in low-carbon operations and resource efficiency as part of its long-term financial strategy. Climate-related risks are also integrated into enterprise risk management and financial governance through oversight by both Sustainability and Finance committees, ensuring that environmental risks are considered in strategic investment decisions </w:t>
      </w:r>
      <w:r w:rsidRPr="00FC12DF">
        <w:rPr>
          <w:rFonts w:ascii="Arial" w:eastAsia="Times New Roman" w:hAnsi="Arial" w:cs="Arial"/>
          <w:b/>
          <w:bCs/>
          <w:color w:val="000000" w:themeColor="text1"/>
          <w:kern w:val="0"/>
          <w:lang w:eastAsia="en-GB"/>
          <w14:ligatures w14:val="none"/>
        </w:rPr>
        <w:t>(</w:t>
      </w:r>
      <w:r w:rsidRPr="00FC12DF">
        <w:rPr>
          <w:rFonts w:ascii="Arial" w:hAnsi="Arial" w:cs="Arial"/>
          <w:color w:val="000000" w:themeColor="text1"/>
        </w:rPr>
        <w:t>Gsk.com. 2025</w:t>
      </w:r>
      <w:r w:rsidRPr="00FC12DF">
        <w:rPr>
          <w:rFonts w:ascii="Arial" w:eastAsia="Times New Roman" w:hAnsi="Arial" w:cs="Arial"/>
          <w:b/>
          <w:bCs/>
          <w:color w:val="000000" w:themeColor="text1"/>
          <w:kern w:val="0"/>
          <w:lang w:eastAsia="en-GB"/>
          <w14:ligatures w14:val="none"/>
        </w:rPr>
        <w:t>)</w:t>
      </w:r>
      <w:r w:rsidRPr="00FC12DF">
        <w:rPr>
          <w:rFonts w:ascii="Arial" w:eastAsia="Times New Roman" w:hAnsi="Arial" w:cs="Arial"/>
          <w:color w:val="000000" w:themeColor="text1"/>
          <w:kern w:val="0"/>
          <w:lang w:eastAsia="en-GB"/>
          <w14:ligatures w14:val="none"/>
        </w:rPr>
        <w:t xml:space="preserve">. </w:t>
      </w:r>
    </w:p>
    <w:p w14:paraId="513E7C7D" w14:textId="0B83B465" w:rsidR="00F21767" w:rsidRPr="00F21767" w:rsidRDefault="00F21767" w:rsidP="00F21767">
      <w:pPr>
        <w:spacing w:line="360" w:lineRule="auto"/>
        <w:ind w:left="284"/>
        <w:jc w:val="both"/>
        <w:rPr>
          <w:rFonts w:ascii="Arial" w:eastAsia="Times New Roman" w:hAnsi="Arial" w:cs="Arial"/>
          <w:color w:val="000000" w:themeColor="text1"/>
          <w:kern w:val="0"/>
          <w:lang w:eastAsia="en-GB"/>
          <w14:ligatures w14:val="none"/>
        </w:rPr>
      </w:pPr>
      <w:r w:rsidRPr="00F21767">
        <w:rPr>
          <w:rFonts w:ascii="Arial" w:eastAsia="Times New Roman" w:hAnsi="Arial" w:cs="Arial"/>
          <w:color w:val="000000" w:themeColor="text1"/>
          <w:kern w:val="0"/>
          <w:lang w:eastAsia="en-GB"/>
          <w14:ligatures w14:val="none"/>
        </w:rPr>
        <w:t>GSK’s ethical principles shape both its cost management and pricing decisions. As a global pharmaceutical company, it aims to balance commercial performance with fair patient access and the broader benefits its medicines provide to health systems. The firm uses tiered and responsible pricing</w:t>
      </w:r>
      <w:r w:rsidR="00F80B27">
        <w:rPr>
          <w:rFonts w:ascii="Arial" w:eastAsia="Times New Roman" w:hAnsi="Arial" w:cs="Arial"/>
          <w:color w:val="000000" w:themeColor="text1"/>
          <w:kern w:val="0"/>
          <w:lang w:eastAsia="en-GB"/>
          <w14:ligatures w14:val="none"/>
        </w:rPr>
        <w:t xml:space="preserve"> </w:t>
      </w:r>
      <w:r w:rsidRPr="00F21767">
        <w:rPr>
          <w:rFonts w:ascii="Arial" w:eastAsia="Times New Roman" w:hAnsi="Arial" w:cs="Arial"/>
          <w:color w:val="000000" w:themeColor="text1"/>
          <w:kern w:val="0"/>
          <w:lang w:eastAsia="en-GB"/>
          <w14:ligatures w14:val="none"/>
        </w:rPr>
        <w:t>especially for vaccines and essential treatments in low</w:t>
      </w:r>
      <w:r w:rsidRPr="00F21767">
        <w:rPr>
          <w:rFonts w:ascii="Arial" w:eastAsia="Times New Roman" w:hAnsi="Arial" w:cs="Arial"/>
          <w:color w:val="000000" w:themeColor="text1"/>
          <w:kern w:val="0"/>
          <w:lang w:eastAsia="en-GB"/>
          <w14:ligatures w14:val="none"/>
        </w:rPr>
        <w:noBreakHyphen/>
        <w:t xml:space="preserve"> and middle</w:t>
      </w:r>
      <w:r w:rsidRPr="00F21767">
        <w:rPr>
          <w:rFonts w:ascii="Arial" w:eastAsia="Times New Roman" w:hAnsi="Arial" w:cs="Arial"/>
          <w:color w:val="000000" w:themeColor="text1"/>
          <w:kern w:val="0"/>
          <w:lang w:eastAsia="en-GB"/>
          <w14:ligatures w14:val="none"/>
        </w:rPr>
        <w:noBreakHyphen/>
        <w:t>income countries</w:t>
      </w:r>
      <w:r w:rsidR="00F80B27">
        <w:rPr>
          <w:rFonts w:ascii="Arial" w:eastAsia="Times New Roman" w:hAnsi="Arial" w:cs="Arial"/>
          <w:color w:val="000000" w:themeColor="text1"/>
          <w:kern w:val="0"/>
          <w:lang w:eastAsia="en-GB"/>
          <w14:ligatures w14:val="none"/>
        </w:rPr>
        <w:t xml:space="preserve"> </w:t>
      </w:r>
      <w:r w:rsidRPr="00F21767">
        <w:rPr>
          <w:rFonts w:ascii="Arial" w:eastAsia="Times New Roman" w:hAnsi="Arial" w:cs="Arial"/>
          <w:color w:val="000000" w:themeColor="text1"/>
          <w:kern w:val="0"/>
          <w:lang w:eastAsia="en-GB"/>
          <w14:ligatures w14:val="none"/>
        </w:rPr>
        <w:t>and collaborates with partners such as Gavi to expand access. In 2025, GSK supplied 99 million vaccine doses through Gavi, demonstrating how pricing and distribution choices support commercial sustainability and public health goals (GSK, 2025).</w:t>
      </w:r>
    </w:p>
    <w:p w14:paraId="2740FECA" w14:textId="724A80A6" w:rsidR="00BA7F5D" w:rsidRPr="00FC12DF" w:rsidRDefault="00F21767" w:rsidP="009D580A">
      <w:pPr>
        <w:spacing w:line="360" w:lineRule="auto"/>
        <w:ind w:left="284"/>
        <w:jc w:val="both"/>
        <w:rPr>
          <w:rFonts w:ascii="Arial" w:eastAsia="Times New Roman" w:hAnsi="Arial" w:cs="Arial"/>
          <w:color w:val="000000" w:themeColor="text1"/>
          <w:kern w:val="0"/>
          <w:lang w:eastAsia="en-GB"/>
          <w14:ligatures w14:val="none"/>
        </w:rPr>
      </w:pPr>
      <w:r w:rsidRPr="00F21767">
        <w:rPr>
          <w:rFonts w:ascii="Arial" w:eastAsia="Times New Roman" w:hAnsi="Arial" w:cs="Arial"/>
          <w:color w:val="000000" w:themeColor="text1"/>
          <w:kern w:val="0"/>
          <w:lang w:eastAsia="en-GB"/>
          <w14:ligatures w14:val="none"/>
        </w:rPr>
        <w:t xml:space="preserve">Its cost strategy also reflects ethical priorities by maintaining strong investment in research and development while improving productivity rather than reducing innovation funding. This approach ensures responsible cost control without compromising product quality, patient safety, or scientific progress (GSK, 2025). Academic research shows that integrating sustainability and ethical governance </w:t>
      </w:r>
      <w:r w:rsidRPr="00F21767">
        <w:rPr>
          <w:rFonts w:ascii="Arial" w:eastAsia="Times New Roman" w:hAnsi="Arial" w:cs="Arial"/>
          <w:color w:val="000000" w:themeColor="text1"/>
          <w:kern w:val="0"/>
          <w:lang w:eastAsia="en-GB"/>
          <w14:ligatures w14:val="none"/>
        </w:rPr>
        <w:lastRenderedPageBreak/>
        <w:t>into financial decisions strengthens long</w:t>
      </w:r>
      <w:r w:rsidRPr="00F21767">
        <w:rPr>
          <w:rFonts w:ascii="Arial" w:eastAsia="Times New Roman" w:hAnsi="Arial" w:cs="Arial"/>
          <w:color w:val="000000" w:themeColor="text1"/>
          <w:kern w:val="0"/>
          <w:lang w:eastAsia="en-GB"/>
          <w14:ligatures w14:val="none"/>
        </w:rPr>
        <w:noBreakHyphen/>
        <w:t>term resilience and stakeholder trust (Eccles, Lee and Stroehle, 2020), positioning GSK as an example of balanced, sustainable financial management.</w:t>
      </w:r>
    </w:p>
    <w:p w14:paraId="788A169B" w14:textId="246F814E" w:rsidR="005554C1" w:rsidRPr="00FC12DF" w:rsidRDefault="005554C1" w:rsidP="00216FAD">
      <w:pPr>
        <w:pStyle w:val="Heading1"/>
        <w:rPr>
          <w:rFonts w:ascii="Arial" w:eastAsia="Times New Roman" w:hAnsi="Arial" w:cs="Arial"/>
          <w:b/>
          <w:bCs/>
          <w:color w:val="000000" w:themeColor="text1"/>
          <w:kern w:val="0"/>
          <w:sz w:val="24"/>
          <w:szCs w:val="24"/>
          <w:lang w:eastAsia="en-GB"/>
          <w14:ligatures w14:val="none"/>
        </w:rPr>
      </w:pPr>
      <w:bookmarkStart w:id="10" w:name="_Toc235150831"/>
      <w:r w:rsidRPr="00FC12DF">
        <w:rPr>
          <w:rFonts w:ascii="Arial" w:hAnsi="Arial" w:cs="Arial"/>
          <w:b/>
          <w:bCs/>
          <w:color w:val="000000" w:themeColor="text1"/>
          <w:sz w:val="24"/>
          <w:szCs w:val="24"/>
        </w:rPr>
        <w:t>6</w:t>
      </w:r>
      <w:r w:rsidR="00DB1277" w:rsidRPr="00FC12DF">
        <w:rPr>
          <w:rFonts w:ascii="Arial" w:hAnsi="Arial" w:cs="Arial"/>
          <w:b/>
          <w:bCs/>
          <w:color w:val="000000" w:themeColor="text1"/>
          <w:sz w:val="24"/>
          <w:szCs w:val="24"/>
        </w:rPr>
        <w:t>.</w:t>
      </w:r>
      <w:r w:rsidRPr="00FC12DF">
        <w:rPr>
          <w:rFonts w:ascii="Arial" w:hAnsi="Arial" w:cs="Arial"/>
          <w:b/>
          <w:bCs/>
          <w:color w:val="000000" w:themeColor="text1"/>
          <w:sz w:val="24"/>
          <w:szCs w:val="24"/>
        </w:rPr>
        <w:t xml:space="preserve"> Conclusion and Recommendations</w:t>
      </w:r>
      <w:bookmarkEnd w:id="10"/>
      <w:r w:rsidRPr="00FC12DF">
        <w:rPr>
          <w:rFonts w:ascii="Arial" w:hAnsi="Arial" w:cs="Arial"/>
          <w:b/>
          <w:bCs/>
          <w:color w:val="000000" w:themeColor="text1"/>
          <w:sz w:val="24"/>
          <w:szCs w:val="24"/>
        </w:rPr>
        <w:t xml:space="preserve"> </w:t>
      </w:r>
    </w:p>
    <w:p w14:paraId="10236662" w14:textId="17E65769" w:rsidR="00592726" w:rsidRPr="00FC12DF" w:rsidRDefault="00592726" w:rsidP="00CC18CB">
      <w:pPr>
        <w:pStyle w:val="NormalWeb"/>
        <w:spacing w:line="360" w:lineRule="auto"/>
        <w:ind w:left="284"/>
        <w:jc w:val="both"/>
        <w:rPr>
          <w:rFonts w:ascii="Arial" w:hAnsi="Arial" w:cs="Arial"/>
          <w:color w:val="000000" w:themeColor="text1"/>
        </w:rPr>
      </w:pPr>
      <w:r w:rsidRPr="00FC12DF">
        <w:rPr>
          <w:rFonts w:ascii="Arial" w:hAnsi="Arial" w:cs="Arial"/>
          <w:color w:val="000000" w:themeColor="text1"/>
        </w:rPr>
        <w:t>GSK’s 2025 results illustrate a robust, innovation</w:t>
      </w:r>
      <w:r w:rsidRPr="00FC12DF">
        <w:rPr>
          <w:rFonts w:ascii="Arial" w:hAnsi="Arial" w:cs="Arial"/>
          <w:color w:val="000000" w:themeColor="text1"/>
        </w:rPr>
        <w:noBreakHyphen/>
        <w:t>driven operating model supported by solid revenue expansion, disciplined financial management, and sustained investment in high</w:t>
      </w:r>
      <w:r w:rsidRPr="00FC12DF">
        <w:rPr>
          <w:rFonts w:ascii="Arial" w:hAnsi="Arial" w:cs="Arial"/>
          <w:color w:val="000000" w:themeColor="text1"/>
        </w:rPr>
        <w:noBreakHyphen/>
        <w:t>value therapeutic areas. The company’s cost profile</w:t>
      </w:r>
      <w:r w:rsidR="00A32B78" w:rsidRPr="00FC12DF">
        <w:rPr>
          <w:rFonts w:ascii="Arial" w:hAnsi="Arial" w:cs="Arial"/>
          <w:color w:val="000000" w:themeColor="text1"/>
        </w:rPr>
        <w:t xml:space="preserve"> </w:t>
      </w:r>
      <w:r w:rsidRPr="00FC12DF">
        <w:rPr>
          <w:rFonts w:ascii="Arial" w:hAnsi="Arial" w:cs="Arial"/>
          <w:color w:val="000000" w:themeColor="text1"/>
        </w:rPr>
        <w:t>marked by substantial fixed R&amp;D spending and relatively low marginal manufacturing costs</w:t>
      </w:r>
      <w:r w:rsidR="00A32B78" w:rsidRPr="00FC12DF">
        <w:rPr>
          <w:rFonts w:ascii="Arial" w:hAnsi="Arial" w:cs="Arial"/>
          <w:color w:val="000000" w:themeColor="text1"/>
        </w:rPr>
        <w:t xml:space="preserve"> </w:t>
      </w:r>
      <w:r w:rsidRPr="00FC12DF">
        <w:rPr>
          <w:rFonts w:ascii="Arial" w:hAnsi="Arial" w:cs="Arial"/>
          <w:color w:val="000000" w:themeColor="text1"/>
        </w:rPr>
        <w:t>continues to benefit from economies of scale and deliberate resource allocation. Its use of both financial and non</w:t>
      </w:r>
      <w:r w:rsidRPr="00FC12DF">
        <w:rPr>
          <w:rFonts w:ascii="Arial" w:hAnsi="Arial" w:cs="Arial"/>
          <w:color w:val="000000" w:themeColor="text1"/>
        </w:rPr>
        <w:noBreakHyphen/>
        <w:t xml:space="preserve">financial KPIs, including meeting 92% of </w:t>
      </w:r>
      <w:r w:rsidR="002F65DD">
        <w:rPr>
          <w:rFonts w:ascii="Arial" w:hAnsi="Arial" w:cs="Arial"/>
          <w:color w:val="000000" w:themeColor="text1"/>
        </w:rPr>
        <w:t>r</w:t>
      </w:r>
      <w:r w:rsidRPr="00FC12DF">
        <w:rPr>
          <w:rFonts w:ascii="Arial" w:hAnsi="Arial" w:cs="Arial"/>
          <w:color w:val="000000" w:themeColor="text1"/>
        </w:rPr>
        <w:t xml:space="preserve">esponsible </w:t>
      </w:r>
      <w:r w:rsidR="00BC7C33">
        <w:rPr>
          <w:rFonts w:ascii="Arial" w:hAnsi="Arial" w:cs="Arial"/>
          <w:color w:val="000000" w:themeColor="text1"/>
        </w:rPr>
        <w:t>b</w:t>
      </w:r>
      <w:r w:rsidRPr="00FC12DF">
        <w:rPr>
          <w:rFonts w:ascii="Arial" w:hAnsi="Arial" w:cs="Arial"/>
          <w:color w:val="000000" w:themeColor="text1"/>
        </w:rPr>
        <w:t>usiness targets and delivering 99 million vaccine doses through Gavi, highlights GSK’s commitment to ethical governance and long</w:t>
      </w:r>
      <w:r w:rsidRPr="00FC12DF">
        <w:rPr>
          <w:rFonts w:ascii="Arial" w:hAnsi="Arial" w:cs="Arial"/>
          <w:color w:val="000000" w:themeColor="text1"/>
        </w:rPr>
        <w:noBreakHyphen/>
        <w:t xml:space="preserve">term value creation. Collectively, the evidence shows that GSK successfully integrates sustainability, financial </w:t>
      </w:r>
      <w:r w:rsidR="008D2FC0" w:rsidRPr="00FC12DF">
        <w:rPr>
          <w:rFonts w:ascii="Arial" w:hAnsi="Arial" w:cs="Arial"/>
          <w:color w:val="000000" w:themeColor="text1"/>
        </w:rPr>
        <w:t>discipline</w:t>
      </w:r>
      <w:r w:rsidRPr="00FC12DF">
        <w:rPr>
          <w:rFonts w:ascii="Arial" w:hAnsi="Arial" w:cs="Arial"/>
          <w:color w:val="000000" w:themeColor="text1"/>
        </w:rPr>
        <w:t xml:space="preserve">, and strategic planning to strengthen organisational resilience. </w:t>
      </w:r>
    </w:p>
    <w:p w14:paraId="3B532DE8" w14:textId="77777777" w:rsidR="005554C1" w:rsidRPr="00FC12DF" w:rsidRDefault="005554C1" w:rsidP="00F87138">
      <w:pPr>
        <w:pStyle w:val="NormalWeb"/>
        <w:spacing w:line="360" w:lineRule="auto"/>
        <w:jc w:val="both"/>
        <w:rPr>
          <w:rFonts w:ascii="Arial" w:hAnsi="Arial" w:cs="Arial"/>
          <w:color w:val="000000" w:themeColor="text1"/>
        </w:rPr>
      </w:pPr>
      <w:r w:rsidRPr="00FC12DF">
        <w:rPr>
          <w:rStyle w:val="Strong"/>
          <w:rFonts w:ascii="Arial" w:eastAsiaTheme="majorEastAsia" w:hAnsi="Arial" w:cs="Arial"/>
          <w:color w:val="000000" w:themeColor="text1"/>
        </w:rPr>
        <w:t>Recommendations</w:t>
      </w:r>
    </w:p>
    <w:p w14:paraId="7C22F9EF" w14:textId="28B9BBBD" w:rsidR="00E01935" w:rsidRPr="00FC12DF" w:rsidRDefault="005554C1" w:rsidP="00E01935">
      <w:pPr>
        <w:pStyle w:val="NormalWeb"/>
        <w:numPr>
          <w:ilvl w:val="0"/>
          <w:numId w:val="3"/>
        </w:numPr>
        <w:spacing w:line="360" w:lineRule="auto"/>
        <w:jc w:val="both"/>
        <w:rPr>
          <w:rFonts w:ascii="Arial" w:hAnsi="Arial" w:cs="Arial"/>
          <w:color w:val="000000" w:themeColor="text1"/>
        </w:rPr>
      </w:pPr>
      <w:r w:rsidRPr="00FC12DF">
        <w:rPr>
          <w:rStyle w:val="Strong"/>
          <w:rFonts w:ascii="Arial" w:eastAsiaTheme="majorEastAsia" w:hAnsi="Arial" w:cs="Arial"/>
          <w:b w:val="0"/>
          <w:bCs w:val="0"/>
          <w:color w:val="000000" w:themeColor="text1"/>
        </w:rPr>
        <w:t>Adopt ROI</w:t>
      </w:r>
      <w:r w:rsidRPr="00FC12DF">
        <w:rPr>
          <w:rStyle w:val="Strong"/>
          <w:rFonts w:ascii="Arial" w:eastAsiaTheme="majorEastAsia" w:hAnsi="Arial" w:cs="Arial"/>
          <w:b w:val="0"/>
          <w:bCs w:val="0"/>
          <w:color w:val="000000" w:themeColor="text1"/>
        </w:rPr>
        <w:noBreakHyphen/>
        <w:t>driven R&amp;D portfolio optimisation</w:t>
      </w:r>
      <w:r w:rsidRPr="00FC12DF">
        <w:rPr>
          <w:rFonts w:ascii="Arial" w:hAnsi="Arial" w:cs="Arial"/>
          <w:color w:val="000000" w:themeColor="text1"/>
        </w:rPr>
        <w:t xml:space="preserve"> to </w:t>
      </w:r>
      <w:r w:rsidR="00E01935" w:rsidRPr="00FC12DF">
        <w:rPr>
          <w:rFonts w:ascii="Arial" w:hAnsi="Arial" w:cs="Arial"/>
          <w:color w:val="000000" w:themeColor="text1"/>
        </w:rPr>
        <w:t>reinforce investment choices across oncology, HIV, and vaccine development.</w:t>
      </w:r>
    </w:p>
    <w:p w14:paraId="1C4232F8" w14:textId="77777777" w:rsidR="005554C1" w:rsidRPr="00FC12DF" w:rsidRDefault="005554C1" w:rsidP="00F87138">
      <w:pPr>
        <w:pStyle w:val="NormalWeb"/>
        <w:numPr>
          <w:ilvl w:val="0"/>
          <w:numId w:val="3"/>
        </w:numPr>
        <w:spacing w:line="360" w:lineRule="auto"/>
        <w:jc w:val="both"/>
        <w:rPr>
          <w:rFonts w:ascii="Arial" w:hAnsi="Arial" w:cs="Arial"/>
          <w:color w:val="000000" w:themeColor="text1"/>
        </w:rPr>
      </w:pPr>
      <w:r w:rsidRPr="00FC12DF">
        <w:rPr>
          <w:rStyle w:val="Strong"/>
          <w:rFonts w:ascii="Arial" w:eastAsiaTheme="majorEastAsia" w:hAnsi="Arial" w:cs="Arial"/>
          <w:b w:val="0"/>
          <w:bCs w:val="0"/>
          <w:color w:val="000000" w:themeColor="text1"/>
        </w:rPr>
        <w:t>Implement activity</w:t>
      </w:r>
      <w:r w:rsidRPr="00FC12DF">
        <w:rPr>
          <w:rStyle w:val="Strong"/>
          <w:rFonts w:ascii="Arial" w:eastAsiaTheme="majorEastAsia" w:hAnsi="Arial" w:cs="Arial"/>
          <w:b w:val="0"/>
          <w:bCs w:val="0"/>
          <w:color w:val="000000" w:themeColor="text1"/>
        </w:rPr>
        <w:noBreakHyphen/>
        <w:t>based costing</w:t>
      </w:r>
      <w:r w:rsidRPr="00FC12DF">
        <w:rPr>
          <w:rStyle w:val="Strong"/>
          <w:rFonts w:ascii="Arial" w:eastAsiaTheme="majorEastAsia" w:hAnsi="Arial" w:cs="Arial"/>
          <w:color w:val="000000" w:themeColor="text1"/>
        </w:rPr>
        <w:t xml:space="preserve"> </w:t>
      </w:r>
      <w:r w:rsidRPr="00D54F14">
        <w:rPr>
          <w:rStyle w:val="Strong"/>
          <w:rFonts w:ascii="Arial" w:eastAsiaTheme="majorEastAsia" w:hAnsi="Arial" w:cs="Arial"/>
          <w:b w:val="0"/>
          <w:bCs w:val="0"/>
          <w:color w:val="000000" w:themeColor="text1"/>
        </w:rPr>
        <w:t>(ABC)</w:t>
      </w:r>
      <w:r w:rsidRPr="00FC12DF">
        <w:rPr>
          <w:rFonts w:ascii="Arial" w:hAnsi="Arial" w:cs="Arial"/>
          <w:color w:val="000000" w:themeColor="text1"/>
        </w:rPr>
        <w:t xml:space="preserve"> to improve cost visibility across SG&amp;A and manufacturing processes, supporting margin enhancement.</w:t>
      </w:r>
    </w:p>
    <w:p w14:paraId="550EAED2" w14:textId="048FBDFE" w:rsidR="008C0737" w:rsidRPr="00FC12DF" w:rsidRDefault="005554C1" w:rsidP="008C0737">
      <w:pPr>
        <w:pStyle w:val="NormalWeb"/>
        <w:numPr>
          <w:ilvl w:val="0"/>
          <w:numId w:val="3"/>
        </w:numPr>
        <w:spacing w:line="360" w:lineRule="auto"/>
        <w:jc w:val="both"/>
        <w:rPr>
          <w:rFonts w:ascii="Arial" w:hAnsi="Arial" w:cs="Arial"/>
          <w:color w:val="000000" w:themeColor="text1"/>
        </w:rPr>
      </w:pPr>
      <w:r w:rsidRPr="00FC12DF">
        <w:rPr>
          <w:rStyle w:val="Strong"/>
          <w:rFonts w:ascii="Arial" w:eastAsiaTheme="majorEastAsia" w:hAnsi="Arial" w:cs="Arial"/>
          <w:b w:val="0"/>
          <w:bCs w:val="0"/>
          <w:color w:val="000000" w:themeColor="text1"/>
        </w:rPr>
        <w:t>Expand sustainability</w:t>
      </w:r>
      <w:r w:rsidRPr="00FC12DF">
        <w:rPr>
          <w:rStyle w:val="Strong"/>
          <w:rFonts w:ascii="Arial" w:eastAsiaTheme="majorEastAsia" w:hAnsi="Arial" w:cs="Arial"/>
          <w:b w:val="0"/>
          <w:bCs w:val="0"/>
          <w:color w:val="000000" w:themeColor="text1"/>
        </w:rPr>
        <w:noBreakHyphen/>
        <w:t>linked budgeting frameworks</w:t>
      </w:r>
      <w:r w:rsidRPr="00FC12DF">
        <w:rPr>
          <w:rFonts w:ascii="Arial" w:hAnsi="Arial" w:cs="Arial"/>
          <w:color w:val="000000" w:themeColor="text1"/>
        </w:rPr>
        <w:t xml:space="preserve"> to embed carbon</w:t>
      </w:r>
      <w:r w:rsidRPr="00FC12DF">
        <w:rPr>
          <w:rFonts w:ascii="Arial" w:hAnsi="Arial" w:cs="Arial"/>
          <w:color w:val="000000" w:themeColor="text1"/>
        </w:rPr>
        <w:noBreakHyphen/>
        <w:t>reduction targets into financial planning and reinforce progress following the 14% emissions reduction reported in 2025.</w:t>
      </w:r>
    </w:p>
    <w:p w14:paraId="3B165D40" w14:textId="77777777" w:rsidR="008C0737" w:rsidRPr="00FC12DF" w:rsidRDefault="008C0737" w:rsidP="008C0737">
      <w:pPr>
        <w:pStyle w:val="NormalWeb"/>
        <w:spacing w:line="360" w:lineRule="auto"/>
        <w:jc w:val="both"/>
        <w:rPr>
          <w:rFonts w:ascii="Arial" w:hAnsi="Arial" w:cs="Arial"/>
          <w:color w:val="000000" w:themeColor="text1"/>
        </w:rPr>
      </w:pPr>
    </w:p>
    <w:p w14:paraId="3D9E8E6C" w14:textId="77777777" w:rsidR="000C62C3" w:rsidRPr="00FC12DF" w:rsidRDefault="000C62C3" w:rsidP="008C0737">
      <w:pPr>
        <w:pStyle w:val="NormalWeb"/>
        <w:spacing w:line="360" w:lineRule="auto"/>
        <w:jc w:val="both"/>
        <w:rPr>
          <w:rFonts w:ascii="Arial" w:hAnsi="Arial" w:cs="Arial"/>
          <w:color w:val="000000" w:themeColor="text1"/>
        </w:rPr>
      </w:pPr>
    </w:p>
    <w:p w14:paraId="0F051704" w14:textId="77777777" w:rsidR="000C62C3" w:rsidRPr="00FC12DF" w:rsidRDefault="000C62C3" w:rsidP="008C0737">
      <w:pPr>
        <w:pStyle w:val="NormalWeb"/>
        <w:spacing w:line="360" w:lineRule="auto"/>
        <w:jc w:val="both"/>
        <w:rPr>
          <w:rFonts w:ascii="Arial" w:hAnsi="Arial" w:cs="Arial"/>
          <w:color w:val="000000" w:themeColor="text1"/>
        </w:rPr>
      </w:pPr>
    </w:p>
    <w:p w14:paraId="3A9C9333" w14:textId="77777777" w:rsidR="000C62C3" w:rsidRPr="00FC12DF" w:rsidRDefault="000C62C3" w:rsidP="008C0737">
      <w:pPr>
        <w:pStyle w:val="NormalWeb"/>
        <w:spacing w:line="360" w:lineRule="auto"/>
        <w:jc w:val="both"/>
        <w:rPr>
          <w:rFonts w:ascii="Arial" w:hAnsi="Arial" w:cs="Arial"/>
          <w:color w:val="000000" w:themeColor="text1"/>
        </w:rPr>
      </w:pPr>
    </w:p>
    <w:p w14:paraId="0ACD4A38" w14:textId="77777777" w:rsidR="009D580A" w:rsidRPr="00FC12DF" w:rsidRDefault="009D580A" w:rsidP="008C0737">
      <w:pPr>
        <w:pStyle w:val="NormalWeb"/>
        <w:spacing w:line="360" w:lineRule="auto"/>
        <w:jc w:val="both"/>
        <w:rPr>
          <w:rFonts w:ascii="Arial" w:hAnsi="Arial" w:cs="Arial"/>
          <w:color w:val="000000" w:themeColor="text1"/>
        </w:rPr>
      </w:pPr>
    </w:p>
    <w:p w14:paraId="4F0F9A98" w14:textId="1549FCAC" w:rsidR="00C46CC7" w:rsidRPr="00C46CC7" w:rsidRDefault="004C49D5" w:rsidP="00C46CC7">
      <w:pPr>
        <w:pStyle w:val="Heading1"/>
        <w:rPr>
          <w:rFonts w:ascii="Arial" w:hAnsi="Arial" w:cs="Arial"/>
          <w:b/>
          <w:bCs/>
          <w:color w:val="000000" w:themeColor="text1"/>
          <w:sz w:val="24"/>
          <w:szCs w:val="24"/>
        </w:rPr>
      </w:pPr>
      <w:bookmarkStart w:id="11" w:name="_Toc235150832"/>
      <w:r>
        <w:rPr>
          <w:rFonts w:ascii="Arial" w:hAnsi="Arial" w:cs="Arial"/>
          <w:b/>
          <w:bCs/>
          <w:color w:val="000000" w:themeColor="text1"/>
          <w:sz w:val="24"/>
          <w:szCs w:val="24"/>
        </w:rPr>
        <w:lastRenderedPageBreak/>
        <w:t xml:space="preserve">7. </w:t>
      </w:r>
      <w:r w:rsidR="00012927" w:rsidRPr="008C0737">
        <w:rPr>
          <w:rFonts w:ascii="Arial" w:hAnsi="Arial" w:cs="Arial"/>
          <w:b/>
          <w:bCs/>
          <w:color w:val="000000" w:themeColor="text1"/>
          <w:sz w:val="24"/>
          <w:szCs w:val="24"/>
        </w:rPr>
        <w:t>References</w:t>
      </w:r>
      <w:bookmarkEnd w:id="11"/>
      <w:r w:rsidR="00C46CC7" w:rsidRPr="00C73E2D">
        <w:rPr>
          <w:rFonts w:ascii="Arial" w:hAnsi="Arial" w:cs="Arial"/>
        </w:rPr>
        <w:t xml:space="preserve"> </w:t>
      </w:r>
    </w:p>
    <w:p w14:paraId="24AA8DAA" w14:textId="77777777" w:rsidR="00C46CC7" w:rsidRPr="00FC12DF" w:rsidRDefault="00C46CC7" w:rsidP="004C49D5">
      <w:pPr>
        <w:ind w:left="284"/>
        <w:rPr>
          <w:rFonts w:ascii="Arial" w:eastAsia="Times New Roman" w:hAnsi="Arial" w:cs="Arial"/>
          <w:color w:val="000000" w:themeColor="text1"/>
          <w:kern w:val="0"/>
          <w:lang w:eastAsia="en-GB"/>
          <w14:ligatures w14:val="none"/>
        </w:rPr>
      </w:pPr>
      <w:r w:rsidRPr="00FC12DF">
        <w:rPr>
          <w:rFonts w:ascii="Arial" w:eastAsia="Times New Roman" w:hAnsi="Arial" w:cs="Arial"/>
          <w:color w:val="000000" w:themeColor="text1"/>
          <w:kern w:val="0"/>
          <w:lang w:eastAsia="en-GB"/>
          <w14:ligatures w14:val="none"/>
        </w:rPr>
        <w:t xml:space="preserve">CIMA (2023). </w:t>
      </w:r>
      <w:r w:rsidRPr="00FC12DF">
        <w:rPr>
          <w:rFonts w:ascii="Arial" w:eastAsia="Times New Roman" w:hAnsi="Arial" w:cs="Arial"/>
          <w:i/>
          <w:iCs/>
          <w:color w:val="000000" w:themeColor="text1"/>
          <w:kern w:val="0"/>
          <w:lang w:eastAsia="en-GB"/>
          <w14:ligatures w14:val="none"/>
        </w:rPr>
        <w:t>Secure the Future of Your Career in Finance | CIMA</w:t>
      </w:r>
      <w:r w:rsidRPr="00FC12DF">
        <w:rPr>
          <w:rFonts w:ascii="Arial" w:eastAsia="Times New Roman" w:hAnsi="Arial" w:cs="Arial"/>
          <w:color w:val="000000" w:themeColor="text1"/>
          <w:kern w:val="0"/>
          <w:lang w:eastAsia="en-GB"/>
          <w14:ligatures w14:val="none"/>
        </w:rPr>
        <w:t xml:space="preserve">. [online] myfuture.cimaglobal.com. Available at: </w:t>
      </w:r>
      <w:hyperlink r:id="rId12" w:history="1">
        <w:r w:rsidRPr="00FC12DF">
          <w:rPr>
            <w:rStyle w:val="Hyperlink"/>
            <w:rFonts w:ascii="Arial" w:eastAsia="Times New Roman" w:hAnsi="Arial" w:cs="Arial"/>
            <w:color w:val="000000" w:themeColor="text1"/>
            <w:kern w:val="0"/>
            <w:lang w:eastAsia="en-GB"/>
            <w14:ligatures w14:val="none"/>
          </w:rPr>
          <w:t>https://myfuture.cimaglobal.com/starting-a-career-in-management-accounting/</w:t>
        </w:r>
      </w:hyperlink>
      <w:r w:rsidRPr="00FC12DF">
        <w:rPr>
          <w:rFonts w:ascii="Arial" w:eastAsia="Times New Roman" w:hAnsi="Arial" w:cs="Arial"/>
          <w:color w:val="000000" w:themeColor="text1"/>
          <w:kern w:val="0"/>
          <w:lang w:eastAsia="en-GB"/>
          <w14:ligatures w14:val="none"/>
        </w:rPr>
        <w:t xml:space="preserve"> [Accessed 30 Jun. 2026].</w:t>
      </w:r>
    </w:p>
    <w:p w14:paraId="0DB74E87" w14:textId="77777777" w:rsidR="00C46CC7" w:rsidRPr="00FC12DF" w:rsidRDefault="00C46CC7" w:rsidP="004C49D5">
      <w:pPr>
        <w:spacing w:after="0" w:line="240" w:lineRule="auto"/>
        <w:ind w:left="284"/>
        <w:rPr>
          <w:rFonts w:ascii="Arial" w:eastAsia="Times New Roman" w:hAnsi="Arial" w:cs="Arial"/>
          <w:color w:val="000000" w:themeColor="text1"/>
          <w:kern w:val="0"/>
          <w:lang w:eastAsia="en-GB"/>
          <w14:ligatures w14:val="none"/>
        </w:rPr>
      </w:pPr>
      <w:r w:rsidRPr="00FC12DF">
        <w:rPr>
          <w:rFonts w:ascii="Arial" w:hAnsi="Arial" w:cs="Arial"/>
          <w:color w:val="000000" w:themeColor="text1"/>
          <w:shd w:val="clear" w:color="auto" w:fill="FFFFFF"/>
        </w:rPr>
        <w:t>Eccles, R.G., Lee, L.E. and Stroehle, J.C., 2020. The social origins of ESG: An analysis of Innovest and KLD. </w:t>
      </w:r>
      <w:r w:rsidRPr="00FC12DF">
        <w:rPr>
          <w:rFonts w:ascii="Arial" w:hAnsi="Arial" w:cs="Arial"/>
          <w:i/>
          <w:iCs/>
          <w:color w:val="000000" w:themeColor="text1"/>
          <w:shd w:val="clear" w:color="auto" w:fill="FFFFFF"/>
        </w:rPr>
        <w:t>Organization &amp; environment</w:t>
      </w:r>
      <w:r w:rsidRPr="00FC12DF">
        <w:rPr>
          <w:rFonts w:ascii="Arial" w:hAnsi="Arial" w:cs="Arial"/>
          <w:color w:val="000000" w:themeColor="text1"/>
          <w:shd w:val="clear" w:color="auto" w:fill="FFFFFF"/>
        </w:rPr>
        <w:t>, </w:t>
      </w:r>
      <w:r w:rsidRPr="00FC12DF">
        <w:rPr>
          <w:rFonts w:ascii="Arial" w:hAnsi="Arial" w:cs="Arial"/>
          <w:i/>
          <w:iCs/>
          <w:color w:val="000000" w:themeColor="text1"/>
          <w:shd w:val="clear" w:color="auto" w:fill="FFFFFF"/>
        </w:rPr>
        <w:t>33</w:t>
      </w:r>
      <w:r w:rsidRPr="00FC12DF">
        <w:rPr>
          <w:rFonts w:ascii="Arial" w:hAnsi="Arial" w:cs="Arial"/>
          <w:color w:val="000000" w:themeColor="text1"/>
          <w:shd w:val="clear" w:color="auto" w:fill="FFFFFF"/>
        </w:rPr>
        <w:t xml:space="preserve">(4), pp.575-596. </w:t>
      </w:r>
    </w:p>
    <w:p w14:paraId="4C4C444B" w14:textId="77777777" w:rsidR="00C46CC7" w:rsidRPr="00FC12DF" w:rsidRDefault="00C46CC7" w:rsidP="004C49D5">
      <w:pPr>
        <w:pStyle w:val="NormalWeb"/>
        <w:spacing w:after="240" w:line="360" w:lineRule="auto"/>
        <w:ind w:left="284"/>
        <w:rPr>
          <w:rFonts w:ascii="Arial" w:hAnsi="Arial" w:cs="Arial"/>
          <w:color w:val="000000" w:themeColor="text1"/>
        </w:rPr>
      </w:pPr>
      <w:r w:rsidRPr="00FC12DF">
        <w:rPr>
          <w:rFonts w:ascii="Arial" w:hAnsi="Arial" w:cs="Arial"/>
          <w:color w:val="000000" w:themeColor="text1"/>
        </w:rPr>
        <w:t xml:space="preserve">Gsk.com (2025a). </w:t>
      </w:r>
      <w:r w:rsidRPr="00FC12DF">
        <w:rPr>
          <w:rFonts w:ascii="Arial" w:hAnsi="Arial" w:cs="Arial"/>
          <w:i/>
          <w:iCs/>
          <w:color w:val="000000" w:themeColor="text1"/>
        </w:rPr>
        <w:t>Responsible business | GSK</w:t>
      </w:r>
      <w:r w:rsidRPr="00FC12DF">
        <w:rPr>
          <w:rFonts w:ascii="Arial" w:hAnsi="Arial" w:cs="Arial"/>
          <w:color w:val="000000" w:themeColor="text1"/>
        </w:rPr>
        <w:t xml:space="preserve">. [online] Gsk. Available at: </w:t>
      </w:r>
      <w:hyperlink r:id="rId13" w:anchor="ourperformance" w:history="1">
        <w:r w:rsidRPr="00FC12DF">
          <w:rPr>
            <w:rStyle w:val="Hyperlink"/>
            <w:rFonts w:ascii="Arial" w:hAnsi="Arial" w:cs="Arial"/>
            <w:color w:val="000000" w:themeColor="text1"/>
          </w:rPr>
          <w:t>https://www.gsk.com/en-gb/investors/responsible-business/#ourperformance</w:t>
        </w:r>
      </w:hyperlink>
      <w:r w:rsidRPr="00FC12DF">
        <w:rPr>
          <w:rFonts w:ascii="Arial" w:hAnsi="Arial" w:cs="Arial"/>
          <w:color w:val="000000" w:themeColor="text1"/>
        </w:rPr>
        <w:t xml:space="preserve"> [Accessed 13 July 2026]. </w:t>
      </w:r>
    </w:p>
    <w:p w14:paraId="24E4D461" w14:textId="77777777" w:rsidR="00C46CC7" w:rsidRPr="00FC12DF" w:rsidRDefault="00C46CC7" w:rsidP="004C49D5">
      <w:pPr>
        <w:pStyle w:val="NormalWeb"/>
        <w:spacing w:before="0" w:beforeAutospacing="0" w:after="240" w:afterAutospacing="0" w:line="360" w:lineRule="auto"/>
        <w:ind w:left="284"/>
        <w:rPr>
          <w:rFonts w:ascii="Arial" w:hAnsi="Arial" w:cs="Arial"/>
          <w:color w:val="000000" w:themeColor="text1"/>
        </w:rPr>
      </w:pPr>
      <w:r w:rsidRPr="00FC12DF">
        <w:rPr>
          <w:rFonts w:ascii="Arial" w:hAnsi="Arial" w:cs="Arial"/>
          <w:color w:val="000000" w:themeColor="text1"/>
        </w:rPr>
        <w:t xml:space="preserve">Gsk.com. (2025). </w:t>
      </w:r>
      <w:r w:rsidRPr="00FC12DF">
        <w:rPr>
          <w:rFonts w:ascii="Arial" w:hAnsi="Arial" w:cs="Arial"/>
          <w:i/>
          <w:iCs/>
          <w:color w:val="000000" w:themeColor="text1"/>
        </w:rPr>
        <w:t>Annual Report 2025 | GSK</w:t>
      </w:r>
      <w:r w:rsidRPr="00FC12DF">
        <w:rPr>
          <w:rFonts w:ascii="Arial" w:hAnsi="Arial" w:cs="Arial"/>
          <w:color w:val="000000" w:themeColor="text1"/>
        </w:rPr>
        <w:t xml:space="preserve">. [online] Available at: </w:t>
      </w:r>
      <w:hyperlink r:id="rId14" w:history="1">
        <w:r w:rsidRPr="00FC12DF">
          <w:rPr>
            <w:rStyle w:val="Hyperlink"/>
            <w:rFonts w:ascii="Arial" w:hAnsi="Arial" w:cs="Arial"/>
            <w:color w:val="000000" w:themeColor="text1"/>
          </w:rPr>
          <w:t>https://www.gsk.com/en-gb/investors/financial-reports/annual-report-2025/?utm_source</w:t>
        </w:r>
      </w:hyperlink>
      <w:r w:rsidRPr="00FC12DF">
        <w:rPr>
          <w:rFonts w:ascii="Arial" w:hAnsi="Arial" w:cs="Arial"/>
          <w:color w:val="000000" w:themeColor="text1"/>
        </w:rPr>
        <w:t xml:space="preserve"> [Accessed 24 Jun. 2026].</w:t>
      </w:r>
    </w:p>
    <w:p w14:paraId="14EC8998" w14:textId="77777777" w:rsidR="00C46CC7" w:rsidRPr="00FC12DF" w:rsidRDefault="00C46CC7" w:rsidP="004C49D5">
      <w:pPr>
        <w:ind w:left="284"/>
        <w:rPr>
          <w:rFonts w:ascii="Arial" w:eastAsia="Times New Roman" w:hAnsi="Arial" w:cs="Arial"/>
          <w:color w:val="000000" w:themeColor="text1"/>
          <w:kern w:val="0"/>
          <w:lang w:eastAsia="en-GB"/>
          <w14:ligatures w14:val="none"/>
        </w:rPr>
      </w:pPr>
      <w:r w:rsidRPr="00FC12DF">
        <w:rPr>
          <w:rFonts w:ascii="Arial" w:eastAsia="Times New Roman" w:hAnsi="Arial" w:cs="Arial"/>
          <w:color w:val="000000" w:themeColor="text1"/>
          <w:kern w:val="0"/>
          <w:lang w:eastAsia="en-GB"/>
          <w14:ligatures w14:val="none"/>
        </w:rPr>
        <w:t xml:space="preserve">Gsk.com. (2026). </w:t>
      </w:r>
      <w:r w:rsidRPr="00FC12DF">
        <w:rPr>
          <w:rFonts w:ascii="Arial" w:eastAsia="Times New Roman" w:hAnsi="Arial" w:cs="Arial"/>
          <w:i/>
          <w:iCs/>
          <w:color w:val="000000" w:themeColor="text1"/>
          <w:kern w:val="0"/>
          <w:lang w:eastAsia="en-GB"/>
          <w14:ligatures w14:val="none"/>
        </w:rPr>
        <w:t>GSK enters agreement to acquire Nuvalent, Inc. | GSK</w:t>
      </w:r>
      <w:r w:rsidRPr="00FC12DF">
        <w:rPr>
          <w:rFonts w:ascii="Arial" w:eastAsia="Times New Roman" w:hAnsi="Arial" w:cs="Arial"/>
          <w:color w:val="000000" w:themeColor="text1"/>
          <w:kern w:val="0"/>
          <w:lang w:eastAsia="en-GB"/>
          <w14:ligatures w14:val="none"/>
        </w:rPr>
        <w:t xml:space="preserve">. [online] Available at: </w:t>
      </w:r>
      <w:hyperlink r:id="rId15" w:history="1">
        <w:r w:rsidRPr="00FC12DF">
          <w:rPr>
            <w:rStyle w:val="Hyperlink"/>
            <w:rFonts w:ascii="Arial" w:eastAsia="Times New Roman" w:hAnsi="Arial" w:cs="Arial"/>
            <w:color w:val="000000" w:themeColor="text1"/>
            <w:kern w:val="0"/>
            <w:lang w:eastAsia="en-GB"/>
            <w14:ligatures w14:val="none"/>
          </w:rPr>
          <w:t>https://www.gsk.com/en-gb/media/press-releases/gsk-enters-agreement-to-acquire-nuvalent-inc/</w:t>
        </w:r>
      </w:hyperlink>
      <w:r w:rsidRPr="00FC12DF">
        <w:rPr>
          <w:rFonts w:ascii="Arial" w:eastAsia="Times New Roman" w:hAnsi="Arial" w:cs="Arial"/>
          <w:color w:val="000000" w:themeColor="text1"/>
          <w:kern w:val="0"/>
          <w:lang w:eastAsia="en-GB"/>
          <w14:ligatures w14:val="none"/>
        </w:rPr>
        <w:t xml:space="preserve"> [Accessed 30 Jun. 2026].</w:t>
      </w:r>
    </w:p>
    <w:p w14:paraId="51673C3F" w14:textId="77777777" w:rsidR="00C46CC7" w:rsidRPr="00FC12DF" w:rsidRDefault="00C46CC7" w:rsidP="004C49D5">
      <w:pPr>
        <w:pStyle w:val="NormalWeb"/>
        <w:spacing w:before="0" w:beforeAutospacing="0" w:after="240" w:afterAutospacing="0" w:line="360" w:lineRule="auto"/>
        <w:ind w:left="284"/>
        <w:rPr>
          <w:rFonts w:ascii="Arial" w:hAnsi="Arial" w:cs="Arial"/>
          <w:color w:val="000000" w:themeColor="text1"/>
        </w:rPr>
      </w:pPr>
      <w:r w:rsidRPr="00FC12DF">
        <w:rPr>
          <w:rFonts w:ascii="Arial" w:hAnsi="Arial" w:cs="Arial"/>
          <w:color w:val="000000" w:themeColor="text1"/>
        </w:rPr>
        <w:t xml:space="preserve"> Hennigan, L. (2024). </w:t>
      </w:r>
      <w:r w:rsidRPr="00FC12DF">
        <w:rPr>
          <w:rFonts w:ascii="Arial" w:hAnsi="Arial" w:cs="Arial"/>
          <w:i/>
          <w:iCs/>
          <w:color w:val="000000" w:themeColor="text1"/>
        </w:rPr>
        <w:t>What Is A KPI? Definition &amp; Examples</w:t>
      </w:r>
      <w:r w:rsidRPr="00FC12DF">
        <w:rPr>
          <w:rFonts w:ascii="Arial" w:hAnsi="Arial" w:cs="Arial"/>
          <w:color w:val="000000" w:themeColor="text1"/>
        </w:rPr>
        <w:t xml:space="preserve">. [online] Forbes. Available at: </w:t>
      </w:r>
      <w:hyperlink r:id="rId16" w:history="1">
        <w:r w:rsidRPr="00FC12DF">
          <w:rPr>
            <w:rStyle w:val="Hyperlink"/>
            <w:rFonts w:ascii="Arial" w:hAnsi="Arial" w:cs="Arial"/>
            <w:color w:val="000000" w:themeColor="text1"/>
          </w:rPr>
          <w:t>https://www.forbes.com/advisor/business/what-is-a-kpi-definition-examples/</w:t>
        </w:r>
      </w:hyperlink>
      <w:r w:rsidRPr="00FC12DF">
        <w:rPr>
          <w:rFonts w:ascii="Arial" w:hAnsi="Arial" w:cs="Arial"/>
          <w:color w:val="000000" w:themeColor="text1"/>
        </w:rPr>
        <w:t xml:space="preserve"> [Accessed 2 Jul. 2026].</w:t>
      </w:r>
    </w:p>
    <w:p w14:paraId="007F274A" w14:textId="77777777" w:rsidR="00C46CC7" w:rsidRPr="00FC12DF" w:rsidRDefault="00C46CC7" w:rsidP="004C49D5">
      <w:pPr>
        <w:pStyle w:val="NormalWeb"/>
        <w:spacing w:before="0" w:beforeAutospacing="0" w:after="240" w:afterAutospacing="0" w:line="360" w:lineRule="auto"/>
        <w:ind w:left="284"/>
        <w:rPr>
          <w:rFonts w:ascii="Arial" w:hAnsi="Arial" w:cs="Arial"/>
          <w:color w:val="000000" w:themeColor="text1"/>
        </w:rPr>
      </w:pPr>
      <w:r w:rsidRPr="00FC12DF">
        <w:rPr>
          <w:rFonts w:ascii="Arial" w:hAnsi="Arial" w:cs="Arial"/>
          <w:color w:val="000000" w:themeColor="text1"/>
        </w:rPr>
        <w:t xml:space="preserve">IntuitionLabs (2025). </w:t>
      </w:r>
      <w:r w:rsidRPr="00FC12DF">
        <w:rPr>
          <w:rFonts w:ascii="Arial" w:hAnsi="Arial" w:cs="Arial"/>
          <w:i/>
          <w:iCs/>
          <w:color w:val="000000" w:themeColor="text1"/>
        </w:rPr>
        <w:t>Global Pharmaceutical Industry: History and Market Size</w:t>
      </w:r>
      <w:r w:rsidRPr="00FC12DF">
        <w:rPr>
          <w:rFonts w:ascii="Arial" w:hAnsi="Arial" w:cs="Arial"/>
          <w:color w:val="000000" w:themeColor="text1"/>
        </w:rPr>
        <w:t xml:space="preserve">. [online] IntuitionLabs. Available at: </w:t>
      </w:r>
      <w:hyperlink r:id="rId17" w:history="1">
        <w:r w:rsidRPr="00FC12DF">
          <w:rPr>
            <w:rStyle w:val="Hyperlink"/>
            <w:rFonts w:ascii="Arial" w:hAnsi="Arial" w:cs="Arial"/>
            <w:color w:val="000000" w:themeColor="text1"/>
          </w:rPr>
          <w:t>https://intuitionlabs.ai/articles/pharmaceutical-industry-history-market</w:t>
        </w:r>
      </w:hyperlink>
      <w:r w:rsidRPr="00FC12DF">
        <w:rPr>
          <w:rFonts w:ascii="Arial" w:hAnsi="Arial" w:cs="Arial"/>
          <w:color w:val="000000" w:themeColor="text1"/>
        </w:rPr>
        <w:t xml:space="preserve"> [Accessed 18 Jun. 2026].</w:t>
      </w:r>
    </w:p>
    <w:p w14:paraId="2912F2AA" w14:textId="77777777" w:rsidR="00C46CC7" w:rsidRPr="00FC12DF" w:rsidRDefault="00C46CC7" w:rsidP="004C49D5">
      <w:pPr>
        <w:pStyle w:val="NormalWeb"/>
        <w:spacing w:before="0" w:beforeAutospacing="0" w:after="240" w:afterAutospacing="0" w:line="360" w:lineRule="auto"/>
        <w:ind w:left="284"/>
        <w:rPr>
          <w:rFonts w:ascii="Arial" w:hAnsi="Arial" w:cs="Arial"/>
          <w:color w:val="000000" w:themeColor="text1"/>
        </w:rPr>
      </w:pPr>
      <w:r w:rsidRPr="00FC12DF">
        <w:rPr>
          <w:rFonts w:ascii="Arial" w:hAnsi="Arial" w:cs="Arial"/>
          <w:color w:val="000000" w:themeColor="text1"/>
        </w:rPr>
        <w:t xml:space="preserve">Macrotrends, (2026). </w:t>
      </w:r>
      <w:r w:rsidRPr="00FC12DF">
        <w:rPr>
          <w:rFonts w:ascii="Arial" w:hAnsi="Arial" w:cs="Arial"/>
          <w:i/>
          <w:iCs/>
          <w:color w:val="000000" w:themeColor="text1"/>
        </w:rPr>
        <w:t>GSK Operating Expenses 2012-2026 | GSK</w:t>
      </w:r>
      <w:r w:rsidRPr="00FC12DF">
        <w:rPr>
          <w:rFonts w:ascii="Arial" w:hAnsi="Arial" w:cs="Arial"/>
          <w:color w:val="000000" w:themeColor="text1"/>
        </w:rPr>
        <w:t xml:space="preserve">. [online] Tmacrotrends. Available at: </w:t>
      </w:r>
      <w:hyperlink r:id="rId18" w:history="1">
        <w:r w:rsidRPr="00FC12DF">
          <w:rPr>
            <w:rStyle w:val="Hyperlink"/>
            <w:rFonts w:ascii="Arial" w:hAnsi="Arial" w:cs="Arial"/>
            <w:color w:val="000000" w:themeColor="text1"/>
          </w:rPr>
          <w:t>https://www.</w:t>
        </w:r>
        <w:bookmarkStart w:id="12" w:name="_Hlk234845364"/>
        <w:r w:rsidRPr="00FC12DF">
          <w:rPr>
            <w:rStyle w:val="Hyperlink"/>
            <w:rFonts w:ascii="Arial" w:hAnsi="Arial" w:cs="Arial"/>
            <w:color w:val="000000" w:themeColor="text1"/>
          </w:rPr>
          <w:t>macrotrends</w:t>
        </w:r>
        <w:bookmarkEnd w:id="12"/>
        <w:r w:rsidRPr="00FC12DF">
          <w:rPr>
            <w:rStyle w:val="Hyperlink"/>
            <w:rFonts w:ascii="Arial" w:hAnsi="Arial" w:cs="Arial"/>
            <w:color w:val="000000" w:themeColor="text1"/>
          </w:rPr>
          <w:t>.net/stocks/charts/gsk/gsk/operating-expenses?utm</w:t>
        </w:r>
      </w:hyperlink>
      <w:r w:rsidRPr="00FC12DF">
        <w:rPr>
          <w:rFonts w:ascii="Arial" w:hAnsi="Arial" w:cs="Arial"/>
          <w:color w:val="000000" w:themeColor="text1"/>
        </w:rPr>
        <w:t xml:space="preserve"> [Accessed 13 July 2026b].</w:t>
      </w:r>
    </w:p>
    <w:p w14:paraId="56F420C0" w14:textId="77777777" w:rsidR="00C46CC7" w:rsidRPr="00FC12DF" w:rsidRDefault="00C46CC7" w:rsidP="004C49D5">
      <w:pPr>
        <w:pStyle w:val="NormalWeb"/>
        <w:spacing w:before="0" w:beforeAutospacing="0" w:after="240" w:afterAutospacing="0" w:line="360" w:lineRule="auto"/>
        <w:ind w:left="284"/>
        <w:rPr>
          <w:rFonts w:ascii="Arial" w:hAnsi="Arial" w:cs="Arial"/>
          <w:color w:val="000000" w:themeColor="text1"/>
        </w:rPr>
      </w:pPr>
      <w:bookmarkStart w:id="13" w:name="_Hlk234846987"/>
      <w:r w:rsidRPr="00FC12DF">
        <w:rPr>
          <w:rFonts w:ascii="Arial" w:hAnsi="Arial" w:cs="Arial"/>
          <w:color w:val="000000" w:themeColor="text1"/>
        </w:rPr>
        <w:t>Macrotrends, (2026a).</w:t>
      </w:r>
      <w:bookmarkEnd w:id="13"/>
      <w:r w:rsidRPr="00FC12DF">
        <w:rPr>
          <w:rFonts w:ascii="Arial" w:hAnsi="Arial" w:cs="Arial"/>
          <w:color w:val="000000" w:themeColor="text1"/>
        </w:rPr>
        <w:t xml:space="preserve"> </w:t>
      </w:r>
      <w:r w:rsidRPr="00FC12DF">
        <w:rPr>
          <w:rFonts w:ascii="Arial" w:hAnsi="Arial" w:cs="Arial"/>
          <w:i/>
          <w:iCs/>
          <w:color w:val="000000" w:themeColor="text1"/>
        </w:rPr>
        <w:t>GSK SG&amp;A Expenses 2012-2026 | GSK</w:t>
      </w:r>
      <w:r w:rsidRPr="00FC12DF">
        <w:rPr>
          <w:rFonts w:ascii="Arial" w:hAnsi="Arial" w:cs="Arial"/>
          <w:color w:val="000000" w:themeColor="text1"/>
        </w:rPr>
        <w:t xml:space="preserve">. [online] Macrotrends.net. Available at: </w:t>
      </w:r>
      <w:hyperlink r:id="rId19" w:history="1">
        <w:r w:rsidRPr="00FC12DF">
          <w:rPr>
            <w:rStyle w:val="Hyperlink"/>
            <w:rFonts w:ascii="Arial" w:hAnsi="Arial" w:cs="Arial"/>
            <w:color w:val="000000" w:themeColor="text1"/>
          </w:rPr>
          <w:t>https://www.macrotrends.net/stocks/charts/GSK/gsk/selling-general-administrative-expenses</w:t>
        </w:r>
      </w:hyperlink>
      <w:r w:rsidRPr="00FC12DF">
        <w:rPr>
          <w:rFonts w:ascii="Arial" w:hAnsi="Arial" w:cs="Arial"/>
          <w:color w:val="000000" w:themeColor="text1"/>
        </w:rPr>
        <w:t xml:space="preserve"> [Accessed 12 July 2026].</w:t>
      </w:r>
    </w:p>
    <w:p w14:paraId="6E99458B" w14:textId="77777777" w:rsidR="00C46CC7" w:rsidRPr="00FC12DF" w:rsidRDefault="00C46CC7" w:rsidP="004C49D5">
      <w:pPr>
        <w:pStyle w:val="NormalWeb"/>
        <w:spacing w:after="240" w:line="360" w:lineRule="auto"/>
        <w:ind w:left="284"/>
        <w:rPr>
          <w:rFonts w:ascii="Arial" w:hAnsi="Arial" w:cs="Arial"/>
          <w:color w:val="000000" w:themeColor="text1"/>
        </w:rPr>
      </w:pPr>
      <w:r w:rsidRPr="00FC12DF">
        <w:rPr>
          <w:rFonts w:ascii="Arial" w:hAnsi="Arial" w:cs="Arial"/>
          <w:color w:val="000000" w:themeColor="text1"/>
        </w:rPr>
        <w:lastRenderedPageBreak/>
        <w:t xml:space="preserve">Potter, L. (2026). </w:t>
      </w:r>
      <w:r w:rsidRPr="00FC12DF">
        <w:rPr>
          <w:rFonts w:ascii="Arial" w:hAnsi="Arial" w:cs="Arial"/>
          <w:i/>
          <w:iCs/>
          <w:color w:val="000000" w:themeColor="text1"/>
        </w:rPr>
        <w:t>What’s Inside GSK’s 2025 Responsible Business Report?</w:t>
      </w:r>
      <w:r w:rsidRPr="00FC12DF">
        <w:rPr>
          <w:rFonts w:ascii="Arial" w:hAnsi="Arial" w:cs="Arial"/>
          <w:color w:val="000000" w:themeColor="text1"/>
        </w:rPr>
        <w:t xml:space="preserve"> [online] Sustainabilitymag.com. Available at: https://sustainabilitymag.com/news/whats-inside-gsks-2025-responsible-business-report [Accessed 13 July 2026].</w:t>
      </w:r>
    </w:p>
    <w:p w14:paraId="090DDB49" w14:textId="77777777" w:rsidR="00C46CC7" w:rsidRPr="00FC12DF" w:rsidRDefault="00C46CC7" w:rsidP="004C49D5">
      <w:pPr>
        <w:spacing w:before="100" w:beforeAutospacing="1" w:after="100" w:afterAutospacing="1" w:line="240" w:lineRule="auto"/>
        <w:ind w:left="284"/>
        <w:rPr>
          <w:rFonts w:ascii="Arial" w:eastAsia="Times New Roman" w:hAnsi="Arial" w:cs="Arial"/>
          <w:color w:val="000000" w:themeColor="text1"/>
          <w:kern w:val="0"/>
          <w:lang w:eastAsia="en-GB"/>
          <w14:ligatures w14:val="none"/>
        </w:rPr>
      </w:pPr>
      <w:r w:rsidRPr="004C49D5">
        <w:rPr>
          <w:rFonts w:ascii="Arial" w:eastAsia="Times New Roman" w:hAnsi="Arial" w:cs="Arial"/>
          <w:color w:val="000000" w:themeColor="text1"/>
          <w:kern w:val="0"/>
          <w:lang w:eastAsia="en-GB"/>
          <w14:ligatures w14:val="none"/>
        </w:rPr>
        <w:t>PwC (2024)</w:t>
      </w:r>
      <w:r w:rsidRPr="00FC12DF">
        <w:rPr>
          <w:rFonts w:ascii="Arial" w:eastAsia="Times New Roman" w:hAnsi="Arial" w:cs="Arial"/>
          <w:color w:val="000000" w:themeColor="text1"/>
          <w:kern w:val="0"/>
          <w:lang w:eastAsia="en-GB"/>
          <w14:ligatures w14:val="none"/>
        </w:rPr>
        <w:t xml:space="preserve"> </w:t>
      </w:r>
      <w:r w:rsidRPr="00FC12DF">
        <w:rPr>
          <w:rFonts w:ascii="Arial" w:eastAsia="Times New Roman" w:hAnsi="Arial" w:cs="Arial"/>
          <w:i/>
          <w:iCs/>
          <w:color w:val="000000" w:themeColor="text1"/>
          <w:kern w:val="0"/>
          <w:lang w:eastAsia="en-GB"/>
          <w14:ligatures w14:val="none"/>
        </w:rPr>
        <w:t>Pharma 2024: Industry Trends and Strategic Priorities</w:t>
      </w:r>
      <w:r w:rsidRPr="00FC12DF">
        <w:rPr>
          <w:rFonts w:ascii="Arial" w:eastAsia="Times New Roman" w:hAnsi="Arial" w:cs="Arial"/>
          <w:color w:val="000000" w:themeColor="text1"/>
          <w:kern w:val="0"/>
          <w:lang w:eastAsia="en-GB"/>
          <w14:ligatures w14:val="none"/>
        </w:rPr>
        <w:t xml:space="preserve">. PricewaterhouseCoopers. Available at: </w:t>
      </w:r>
      <w:hyperlink r:id="rId20" w:history="1">
        <w:r w:rsidRPr="00FC12DF">
          <w:rPr>
            <w:rStyle w:val="Hyperlink"/>
            <w:rFonts w:ascii="Arial" w:eastAsia="Times New Roman" w:hAnsi="Arial" w:cs="Arial"/>
            <w:color w:val="000000" w:themeColor="text1"/>
            <w:kern w:val="0"/>
            <w:lang w:eastAsia="en-GB"/>
            <w14:ligatures w14:val="none"/>
          </w:rPr>
          <w:t>https://www.pwc.com/gx/en/industries/healthcare.html</w:t>
        </w:r>
      </w:hyperlink>
      <w:r w:rsidRPr="00FC12DF">
        <w:rPr>
          <w:rFonts w:ascii="Arial" w:eastAsia="Times New Roman" w:hAnsi="Arial" w:cs="Arial"/>
          <w:color w:val="000000" w:themeColor="text1"/>
          <w:kern w:val="0"/>
          <w:lang w:eastAsia="en-GB"/>
          <w14:ligatures w14:val="none"/>
        </w:rPr>
        <w:t xml:space="preserve">  (Accessed: 1 July 2026)</w:t>
      </w:r>
    </w:p>
    <w:p w14:paraId="73A247AC" w14:textId="77777777" w:rsidR="00C46CC7" w:rsidRPr="00FC12DF" w:rsidRDefault="00C46CC7" w:rsidP="004C49D5">
      <w:pPr>
        <w:ind w:left="284"/>
        <w:rPr>
          <w:rFonts w:ascii="Arial" w:eastAsia="Times New Roman" w:hAnsi="Arial" w:cs="Arial"/>
          <w:color w:val="000000" w:themeColor="text1"/>
          <w:kern w:val="0"/>
          <w:lang w:eastAsia="en-GB"/>
          <w14:ligatures w14:val="none"/>
        </w:rPr>
      </w:pPr>
      <w:r w:rsidRPr="00FC12DF">
        <w:rPr>
          <w:rFonts w:ascii="Arial" w:eastAsia="Times New Roman" w:hAnsi="Arial" w:cs="Arial"/>
          <w:color w:val="000000" w:themeColor="text1"/>
          <w:kern w:val="0"/>
          <w:lang w:eastAsia="en-GB"/>
          <w14:ligatures w14:val="none"/>
        </w:rPr>
        <w:t xml:space="preserve">ScienceDaily. (2026). </w:t>
      </w:r>
      <w:r w:rsidRPr="00FC12DF">
        <w:rPr>
          <w:rFonts w:ascii="Arial" w:eastAsia="Times New Roman" w:hAnsi="Arial" w:cs="Arial"/>
          <w:i/>
          <w:iCs/>
          <w:color w:val="000000" w:themeColor="text1"/>
          <w:kern w:val="0"/>
          <w:lang w:eastAsia="en-GB"/>
          <w14:ligatures w14:val="none"/>
        </w:rPr>
        <w:t>A global cancer surge is underway and the world is not ready</w:t>
      </w:r>
      <w:r w:rsidRPr="00FC12DF">
        <w:rPr>
          <w:rFonts w:ascii="Arial" w:eastAsia="Times New Roman" w:hAnsi="Arial" w:cs="Arial"/>
          <w:color w:val="000000" w:themeColor="text1"/>
          <w:kern w:val="0"/>
          <w:lang w:eastAsia="en-GB"/>
          <w14:ligatures w14:val="none"/>
        </w:rPr>
        <w:t xml:space="preserve">. [online] Available at: </w:t>
      </w:r>
      <w:hyperlink r:id="rId21" w:history="1">
        <w:r w:rsidRPr="00FC12DF">
          <w:rPr>
            <w:rStyle w:val="Hyperlink"/>
            <w:rFonts w:ascii="Arial" w:eastAsia="Times New Roman" w:hAnsi="Arial" w:cs="Arial"/>
            <w:color w:val="000000" w:themeColor="text1"/>
            <w:kern w:val="0"/>
            <w:lang w:eastAsia="en-GB"/>
            <w14:ligatures w14:val="none"/>
          </w:rPr>
          <w:t>https://www.sciencedaily.com/releases/2026/01/260106224644.htm</w:t>
        </w:r>
      </w:hyperlink>
      <w:r w:rsidRPr="00FC12DF">
        <w:rPr>
          <w:rFonts w:ascii="Arial" w:eastAsia="Times New Roman" w:hAnsi="Arial" w:cs="Arial"/>
          <w:color w:val="000000" w:themeColor="text1"/>
          <w:kern w:val="0"/>
          <w:lang w:eastAsia="en-GB"/>
          <w14:ligatures w14:val="none"/>
        </w:rPr>
        <w:t xml:space="preserve"> [Accessed 30 Jun. 2026].</w:t>
      </w:r>
    </w:p>
    <w:p w14:paraId="33A48E9E" w14:textId="77777777" w:rsidR="00C46CC7" w:rsidRPr="00FC12DF" w:rsidRDefault="00C46CC7" w:rsidP="004C49D5">
      <w:pPr>
        <w:pStyle w:val="NormalWeb"/>
        <w:spacing w:before="0" w:beforeAutospacing="0" w:after="240" w:afterAutospacing="0" w:line="360" w:lineRule="auto"/>
        <w:ind w:left="284"/>
        <w:rPr>
          <w:rFonts w:ascii="Arial" w:hAnsi="Arial" w:cs="Arial"/>
          <w:color w:val="000000" w:themeColor="text1"/>
        </w:rPr>
      </w:pPr>
      <w:r w:rsidRPr="00FC12DF">
        <w:rPr>
          <w:rFonts w:ascii="Arial" w:hAnsi="Arial" w:cs="Arial"/>
          <w:color w:val="000000" w:themeColor="text1"/>
        </w:rPr>
        <w:t xml:space="preserve">Umbrex (2026). </w:t>
      </w:r>
      <w:r w:rsidRPr="00FC12DF">
        <w:rPr>
          <w:rFonts w:ascii="Arial" w:hAnsi="Arial" w:cs="Arial"/>
          <w:i/>
          <w:iCs/>
          <w:color w:val="000000" w:themeColor="text1"/>
        </w:rPr>
        <w:t>GSK Strategy and Business Model</w:t>
      </w:r>
      <w:r w:rsidRPr="00FC12DF">
        <w:rPr>
          <w:rFonts w:ascii="Arial" w:hAnsi="Arial" w:cs="Arial"/>
          <w:color w:val="000000" w:themeColor="text1"/>
        </w:rPr>
        <w:t xml:space="preserve">. [online] Independent Management Consultants. Available at: </w:t>
      </w:r>
      <w:hyperlink r:id="rId22" w:history="1">
        <w:r w:rsidRPr="00FC12DF">
          <w:rPr>
            <w:rStyle w:val="Hyperlink"/>
            <w:rFonts w:ascii="Arial" w:hAnsi="Arial" w:cs="Arial"/>
            <w:color w:val="000000" w:themeColor="text1"/>
          </w:rPr>
          <w:t>https://umbrex.com/resources/company-profiles/glaxosmithkline/</w:t>
        </w:r>
      </w:hyperlink>
      <w:r w:rsidRPr="00FC12DF">
        <w:rPr>
          <w:rFonts w:ascii="Arial" w:hAnsi="Arial" w:cs="Arial"/>
          <w:color w:val="000000" w:themeColor="text1"/>
        </w:rPr>
        <w:t xml:space="preserve"> [Accessed 25 Jun. 2026].</w:t>
      </w:r>
    </w:p>
    <w:p w14:paraId="2A244F90" w14:textId="0BB9FFA7" w:rsidR="00DF66E2" w:rsidRPr="00FC12DF" w:rsidRDefault="00C46CC7" w:rsidP="004C49D5">
      <w:pPr>
        <w:pStyle w:val="NormalWeb"/>
        <w:spacing w:before="0" w:beforeAutospacing="0" w:after="240" w:afterAutospacing="0" w:line="360" w:lineRule="auto"/>
        <w:ind w:left="284"/>
        <w:rPr>
          <w:rFonts w:ascii="Arial" w:hAnsi="Arial" w:cs="Arial"/>
          <w:color w:val="000000" w:themeColor="text1"/>
        </w:rPr>
      </w:pPr>
      <w:r w:rsidRPr="00FC12DF">
        <w:rPr>
          <w:rFonts w:ascii="Arial" w:hAnsi="Arial" w:cs="Arial"/>
          <w:color w:val="000000" w:themeColor="text1"/>
        </w:rPr>
        <w:t xml:space="preserve">Williams, H. (2026). </w:t>
      </w:r>
      <w:r w:rsidRPr="00FC12DF">
        <w:rPr>
          <w:rFonts w:ascii="Arial" w:hAnsi="Arial" w:cs="Arial"/>
          <w:i/>
          <w:iCs/>
          <w:color w:val="000000" w:themeColor="text1"/>
        </w:rPr>
        <w:t>GSK cutting jobs in UK and US as part of ongoing R&amp;D changes</w:t>
      </w:r>
      <w:r w:rsidRPr="00FC12DF">
        <w:rPr>
          <w:rFonts w:ascii="Arial" w:hAnsi="Arial" w:cs="Arial"/>
          <w:color w:val="000000" w:themeColor="text1"/>
        </w:rPr>
        <w:t xml:space="preserve">. [online] Yahoo Finance. Available at: </w:t>
      </w:r>
      <w:hyperlink r:id="rId23" w:history="1">
        <w:r w:rsidRPr="00FC12DF">
          <w:rPr>
            <w:rStyle w:val="Hyperlink"/>
            <w:rFonts w:ascii="Arial" w:hAnsi="Arial" w:cs="Arial"/>
            <w:color w:val="000000" w:themeColor="text1"/>
          </w:rPr>
          <w:t>https://uk.finance.yahoo.com/news/gsk-cutting-jobs-uk-us-143824067.html</w:t>
        </w:r>
      </w:hyperlink>
      <w:r w:rsidRPr="00FC12DF">
        <w:rPr>
          <w:rFonts w:ascii="Arial" w:hAnsi="Arial" w:cs="Arial"/>
          <w:color w:val="000000" w:themeColor="text1"/>
        </w:rPr>
        <w:t xml:space="preserve"> [Accessed 12 July 2026].</w:t>
      </w:r>
    </w:p>
    <w:p w14:paraId="07C7EAF5" w14:textId="77777777" w:rsidR="00356634" w:rsidRPr="00FC12DF" w:rsidRDefault="00356634" w:rsidP="00C73ED8">
      <w:pPr>
        <w:pStyle w:val="NormalWeb"/>
        <w:spacing w:before="0" w:beforeAutospacing="0" w:after="240" w:afterAutospacing="0" w:line="360" w:lineRule="auto"/>
        <w:rPr>
          <w:rFonts w:ascii="Arial" w:hAnsi="Arial" w:cs="Arial"/>
          <w:color w:val="000000" w:themeColor="text1"/>
        </w:rPr>
      </w:pPr>
    </w:p>
    <w:sectPr w:rsidR="00356634" w:rsidRPr="00FC12DF">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35B1B" w14:textId="77777777" w:rsidR="005F67D6" w:rsidRDefault="005F67D6" w:rsidP="005901D4">
      <w:pPr>
        <w:spacing w:after="0" w:line="240" w:lineRule="auto"/>
      </w:pPr>
      <w:r>
        <w:separator/>
      </w:r>
    </w:p>
  </w:endnote>
  <w:endnote w:type="continuationSeparator" w:id="0">
    <w:p w14:paraId="46A4B969" w14:textId="77777777" w:rsidR="005F67D6" w:rsidRDefault="005F67D6" w:rsidP="005901D4">
      <w:pPr>
        <w:spacing w:after="0" w:line="240" w:lineRule="auto"/>
      </w:pPr>
      <w:r>
        <w:continuationSeparator/>
      </w:r>
    </w:p>
  </w:endnote>
  <w:endnote w:type="continuationNotice" w:id="1">
    <w:p w14:paraId="5009DB49" w14:textId="77777777" w:rsidR="005F67D6" w:rsidRDefault="005F67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7B077" w14:textId="77777777" w:rsidR="00C10F93" w:rsidRDefault="00C10F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55829"/>
      <w:docPartObj>
        <w:docPartGallery w:val="Page Numbers (Bottom of Page)"/>
        <w:docPartUnique/>
      </w:docPartObj>
    </w:sdtPr>
    <w:sdtContent>
      <w:sdt>
        <w:sdtPr>
          <w:id w:val="1728636285"/>
          <w:docPartObj>
            <w:docPartGallery w:val="Page Numbers (Top of Page)"/>
            <w:docPartUnique/>
          </w:docPartObj>
        </w:sdtPr>
        <w:sdtContent>
          <w:p w14:paraId="3153AD9B" w14:textId="43D26F0B" w:rsidR="00C10F93" w:rsidRDefault="00C10F93">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9A90A0E" w14:textId="77777777" w:rsidR="00C10F93" w:rsidRDefault="00C10F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7B0BA" w14:textId="77777777" w:rsidR="00C10F93" w:rsidRDefault="00C10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A3458" w14:textId="77777777" w:rsidR="005F67D6" w:rsidRDefault="005F67D6" w:rsidP="005901D4">
      <w:pPr>
        <w:spacing w:after="0" w:line="240" w:lineRule="auto"/>
      </w:pPr>
      <w:r>
        <w:separator/>
      </w:r>
    </w:p>
  </w:footnote>
  <w:footnote w:type="continuationSeparator" w:id="0">
    <w:p w14:paraId="2DD2195F" w14:textId="77777777" w:rsidR="005F67D6" w:rsidRDefault="005F67D6" w:rsidP="005901D4">
      <w:pPr>
        <w:spacing w:after="0" w:line="240" w:lineRule="auto"/>
      </w:pPr>
      <w:r>
        <w:continuationSeparator/>
      </w:r>
    </w:p>
  </w:footnote>
  <w:footnote w:type="continuationNotice" w:id="1">
    <w:p w14:paraId="32951BED" w14:textId="77777777" w:rsidR="005F67D6" w:rsidRDefault="005F67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C2DF0" w14:textId="77777777" w:rsidR="00C10F93" w:rsidRDefault="00C10F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984CD" w14:textId="77777777" w:rsidR="00C10F93" w:rsidRDefault="00C10F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A827D" w14:textId="77777777" w:rsidR="00C10F93" w:rsidRDefault="00C10F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8838DB"/>
    <w:multiLevelType w:val="hybridMultilevel"/>
    <w:tmpl w:val="C1D2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997CEB"/>
    <w:multiLevelType w:val="multilevel"/>
    <w:tmpl w:val="48123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91146FA"/>
    <w:multiLevelType w:val="multilevel"/>
    <w:tmpl w:val="3092A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6369065">
    <w:abstractNumId w:val="0"/>
  </w:num>
  <w:num w:numId="2" w16cid:durableId="1809778246">
    <w:abstractNumId w:val="2"/>
  </w:num>
  <w:num w:numId="3" w16cid:durableId="7378969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927"/>
    <w:rsid w:val="00012927"/>
    <w:rsid w:val="0001781C"/>
    <w:rsid w:val="00020024"/>
    <w:rsid w:val="000239F5"/>
    <w:rsid w:val="00032265"/>
    <w:rsid w:val="00046AB5"/>
    <w:rsid w:val="0005203A"/>
    <w:rsid w:val="000557E2"/>
    <w:rsid w:val="00073054"/>
    <w:rsid w:val="000820F9"/>
    <w:rsid w:val="00082B71"/>
    <w:rsid w:val="00096C94"/>
    <w:rsid w:val="000A5F6E"/>
    <w:rsid w:val="000B468F"/>
    <w:rsid w:val="000C1234"/>
    <w:rsid w:val="000C1B8B"/>
    <w:rsid w:val="000C62C3"/>
    <w:rsid w:val="000F785B"/>
    <w:rsid w:val="00104D47"/>
    <w:rsid w:val="00115F64"/>
    <w:rsid w:val="0012148F"/>
    <w:rsid w:val="001248F3"/>
    <w:rsid w:val="001261BD"/>
    <w:rsid w:val="001312BE"/>
    <w:rsid w:val="00146132"/>
    <w:rsid w:val="00162CA0"/>
    <w:rsid w:val="00164802"/>
    <w:rsid w:val="00173F47"/>
    <w:rsid w:val="00180ACD"/>
    <w:rsid w:val="0019310E"/>
    <w:rsid w:val="001A0029"/>
    <w:rsid w:val="001A436A"/>
    <w:rsid w:val="001A5B20"/>
    <w:rsid w:val="001B406A"/>
    <w:rsid w:val="001B4F04"/>
    <w:rsid w:val="001C00DA"/>
    <w:rsid w:val="001C44A9"/>
    <w:rsid w:val="001D07CB"/>
    <w:rsid w:val="001E6C59"/>
    <w:rsid w:val="001F3D14"/>
    <w:rsid w:val="00200EB6"/>
    <w:rsid w:val="00201AAC"/>
    <w:rsid w:val="002079AF"/>
    <w:rsid w:val="00210E58"/>
    <w:rsid w:val="00216451"/>
    <w:rsid w:val="00216FAD"/>
    <w:rsid w:val="0021742D"/>
    <w:rsid w:val="002278E3"/>
    <w:rsid w:val="00227B7A"/>
    <w:rsid w:val="00235A79"/>
    <w:rsid w:val="002375B0"/>
    <w:rsid w:val="00240D1F"/>
    <w:rsid w:val="002506AD"/>
    <w:rsid w:val="00253074"/>
    <w:rsid w:val="00261D7C"/>
    <w:rsid w:val="00266484"/>
    <w:rsid w:val="00267A3E"/>
    <w:rsid w:val="00274D34"/>
    <w:rsid w:val="002751DE"/>
    <w:rsid w:val="00282FC1"/>
    <w:rsid w:val="0028377A"/>
    <w:rsid w:val="002841A0"/>
    <w:rsid w:val="002854B8"/>
    <w:rsid w:val="00290781"/>
    <w:rsid w:val="0029165D"/>
    <w:rsid w:val="0029633E"/>
    <w:rsid w:val="002969BB"/>
    <w:rsid w:val="00297664"/>
    <w:rsid w:val="002B5076"/>
    <w:rsid w:val="002B611F"/>
    <w:rsid w:val="002C144B"/>
    <w:rsid w:val="002C3793"/>
    <w:rsid w:val="002D098D"/>
    <w:rsid w:val="002D31A8"/>
    <w:rsid w:val="002D6A78"/>
    <w:rsid w:val="002E1AF9"/>
    <w:rsid w:val="002E256B"/>
    <w:rsid w:val="002E364F"/>
    <w:rsid w:val="002E5D34"/>
    <w:rsid w:val="002F22B8"/>
    <w:rsid w:val="002F3AD0"/>
    <w:rsid w:val="002F422C"/>
    <w:rsid w:val="002F50E1"/>
    <w:rsid w:val="002F65DD"/>
    <w:rsid w:val="0031223D"/>
    <w:rsid w:val="00312566"/>
    <w:rsid w:val="003160FD"/>
    <w:rsid w:val="00325516"/>
    <w:rsid w:val="003379E4"/>
    <w:rsid w:val="00342358"/>
    <w:rsid w:val="00345159"/>
    <w:rsid w:val="0035085F"/>
    <w:rsid w:val="00350EE8"/>
    <w:rsid w:val="00352BDE"/>
    <w:rsid w:val="00356634"/>
    <w:rsid w:val="00362672"/>
    <w:rsid w:val="00375E0D"/>
    <w:rsid w:val="003809B9"/>
    <w:rsid w:val="00387522"/>
    <w:rsid w:val="00391019"/>
    <w:rsid w:val="00391718"/>
    <w:rsid w:val="00391F47"/>
    <w:rsid w:val="00393722"/>
    <w:rsid w:val="003A5327"/>
    <w:rsid w:val="003A5430"/>
    <w:rsid w:val="003B5A58"/>
    <w:rsid w:val="003C138A"/>
    <w:rsid w:val="003D4F5D"/>
    <w:rsid w:val="003E36AD"/>
    <w:rsid w:val="004273E7"/>
    <w:rsid w:val="00436F8F"/>
    <w:rsid w:val="004403C4"/>
    <w:rsid w:val="004415CE"/>
    <w:rsid w:val="00442BB2"/>
    <w:rsid w:val="00444990"/>
    <w:rsid w:val="0045120A"/>
    <w:rsid w:val="004571BF"/>
    <w:rsid w:val="00462338"/>
    <w:rsid w:val="004628D4"/>
    <w:rsid w:val="004633F0"/>
    <w:rsid w:val="00474660"/>
    <w:rsid w:val="0047620A"/>
    <w:rsid w:val="004833A1"/>
    <w:rsid w:val="004A0949"/>
    <w:rsid w:val="004A78B5"/>
    <w:rsid w:val="004C49D5"/>
    <w:rsid w:val="004D437D"/>
    <w:rsid w:val="004D5D4F"/>
    <w:rsid w:val="004E6476"/>
    <w:rsid w:val="004E7456"/>
    <w:rsid w:val="004F3EF3"/>
    <w:rsid w:val="0050192A"/>
    <w:rsid w:val="0050619A"/>
    <w:rsid w:val="005104FE"/>
    <w:rsid w:val="005120C2"/>
    <w:rsid w:val="0051407E"/>
    <w:rsid w:val="005149A6"/>
    <w:rsid w:val="00515904"/>
    <w:rsid w:val="005205C8"/>
    <w:rsid w:val="00525EAA"/>
    <w:rsid w:val="00525F1C"/>
    <w:rsid w:val="005275D4"/>
    <w:rsid w:val="0054147A"/>
    <w:rsid w:val="0054171C"/>
    <w:rsid w:val="005437FE"/>
    <w:rsid w:val="00551934"/>
    <w:rsid w:val="005554C1"/>
    <w:rsid w:val="005577FB"/>
    <w:rsid w:val="0056034C"/>
    <w:rsid w:val="00560AE9"/>
    <w:rsid w:val="00571CA3"/>
    <w:rsid w:val="005808B8"/>
    <w:rsid w:val="005901D4"/>
    <w:rsid w:val="00592726"/>
    <w:rsid w:val="005945CB"/>
    <w:rsid w:val="00596F7D"/>
    <w:rsid w:val="005A6572"/>
    <w:rsid w:val="005B408F"/>
    <w:rsid w:val="005B44BB"/>
    <w:rsid w:val="005C23E8"/>
    <w:rsid w:val="005C7577"/>
    <w:rsid w:val="005E48BD"/>
    <w:rsid w:val="005E5F49"/>
    <w:rsid w:val="005E6CF7"/>
    <w:rsid w:val="005F67D6"/>
    <w:rsid w:val="005F754E"/>
    <w:rsid w:val="005F7B85"/>
    <w:rsid w:val="00624792"/>
    <w:rsid w:val="00630531"/>
    <w:rsid w:val="0065689F"/>
    <w:rsid w:val="00657FED"/>
    <w:rsid w:val="00666E75"/>
    <w:rsid w:val="006711C1"/>
    <w:rsid w:val="00673944"/>
    <w:rsid w:val="006779A4"/>
    <w:rsid w:val="0069149E"/>
    <w:rsid w:val="00695313"/>
    <w:rsid w:val="006B15A4"/>
    <w:rsid w:val="006B342F"/>
    <w:rsid w:val="006B3F48"/>
    <w:rsid w:val="006C2DD8"/>
    <w:rsid w:val="006C7131"/>
    <w:rsid w:val="007004C0"/>
    <w:rsid w:val="00701FF9"/>
    <w:rsid w:val="00710205"/>
    <w:rsid w:val="00711968"/>
    <w:rsid w:val="0072675F"/>
    <w:rsid w:val="00732F6B"/>
    <w:rsid w:val="00733F67"/>
    <w:rsid w:val="00734B92"/>
    <w:rsid w:val="00750841"/>
    <w:rsid w:val="00752D25"/>
    <w:rsid w:val="00753B23"/>
    <w:rsid w:val="00754E31"/>
    <w:rsid w:val="00761593"/>
    <w:rsid w:val="007645DF"/>
    <w:rsid w:val="00765091"/>
    <w:rsid w:val="007713B8"/>
    <w:rsid w:val="00790CD8"/>
    <w:rsid w:val="00791FD3"/>
    <w:rsid w:val="00792F02"/>
    <w:rsid w:val="007935A2"/>
    <w:rsid w:val="007B3283"/>
    <w:rsid w:val="007B4D01"/>
    <w:rsid w:val="007B6037"/>
    <w:rsid w:val="007B7E5C"/>
    <w:rsid w:val="007D50CC"/>
    <w:rsid w:val="007D531B"/>
    <w:rsid w:val="007E3A33"/>
    <w:rsid w:val="007F13BB"/>
    <w:rsid w:val="00810300"/>
    <w:rsid w:val="00815600"/>
    <w:rsid w:val="0083158A"/>
    <w:rsid w:val="0083386D"/>
    <w:rsid w:val="008375F3"/>
    <w:rsid w:val="00851B17"/>
    <w:rsid w:val="008540C5"/>
    <w:rsid w:val="0085533F"/>
    <w:rsid w:val="0086718C"/>
    <w:rsid w:val="008775D2"/>
    <w:rsid w:val="008832A1"/>
    <w:rsid w:val="00885F78"/>
    <w:rsid w:val="008879CB"/>
    <w:rsid w:val="008909BD"/>
    <w:rsid w:val="008955DE"/>
    <w:rsid w:val="008A1380"/>
    <w:rsid w:val="008A2A59"/>
    <w:rsid w:val="008B3AC3"/>
    <w:rsid w:val="008B7552"/>
    <w:rsid w:val="008B7784"/>
    <w:rsid w:val="008C0737"/>
    <w:rsid w:val="008C25B5"/>
    <w:rsid w:val="008C41D7"/>
    <w:rsid w:val="008C431E"/>
    <w:rsid w:val="008C46CC"/>
    <w:rsid w:val="008C5F1C"/>
    <w:rsid w:val="008D18A7"/>
    <w:rsid w:val="008D2FC0"/>
    <w:rsid w:val="008D7351"/>
    <w:rsid w:val="008E4570"/>
    <w:rsid w:val="008E5A6E"/>
    <w:rsid w:val="008E7264"/>
    <w:rsid w:val="0090058B"/>
    <w:rsid w:val="00914048"/>
    <w:rsid w:val="00934235"/>
    <w:rsid w:val="0093548D"/>
    <w:rsid w:val="009373ED"/>
    <w:rsid w:val="0094135D"/>
    <w:rsid w:val="00945AB9"/>
    <w:rsid w:val="00952D50"/>
    <w:rsid w:val="00956B4D"/>
    <w:rsid w:val="00956CD6"/>
    <w:rsid w:val="00957F7E"/>
    <w:rsid w:val="00966720"/>
    <w:rsid w:val="00973F15"/>
    <w:rsid w:val="0097791A"/>
    <w:rsid w:val="009828E0"/>
    <w:rsid w:val="00987A47"/>
    <w:rsid w:val="009A674E"/>
    <w:rsid w:val="009A722A"/>
    <w:rsid w:val="009C31D2"/>
    <w:rsid w:val="009C5CC4"/>
    <w:rsid w:val="009C711B"/>
    <w:rsid w:val="009C7734"/>
    <w:rsid w:val="009D580A"/>
    <w:rsid w:val="009E0182"/>
    <w:rsid w:val="009E5B05"/>
    <w:rsid w:val="009E60FE"/>
    <w:rsid w:val="009E7EF8"/>
    <w:rsid w:val="00A012D3"/>
    <w:rsid w:val="00A01CC2"/>
    <w:rsid w:val="00A02A72"/>
    <w:rsid w:val="00A03FD9"/>
    <w:rsid w:val="00A06019"/>
    <w:rsid w:val="00A1516F"/>
    <w:rsid w:val="00A32B78"/>
    <w:rsid w:val="00A40496"/>
    <w:rsid w:val="00A42807"/>
    <w:rsid w:val="00A428DF"/>
    <w:rsid w:val="00A50445"/>
    <w:rsid w:val="00A51D16"/>
    <w:rsid w:val="00A57AC1"/>
    <w:rsid w:val="00A63235"/>
    <w:rsid w:val="00A70BB5"/>
    <w:rsid w:val="00A70FAF"/>
    <w:rsid w:val="00A74AD8"/>
    <w:rsid w:val="00A76EA5"/>
    <w:rsid w:val="00A77A62"/>
    <w:rsid w:val="00A83EFC"/>
    <w:rsid w:val="00A9383E"/>
    <w:rsid w:val="00AA1253"/>
    <w:rsid w:val="00AA2D42"/>
    <w:rsid w:val="00AA79DC"/>
    <w:rsid w:val="00AA7B64"/>
    <w:rsid w:val="00AB47B1"/>
    <w:rsid w:val="00AC1E7F"/>
    <w:rsid w:val="00AC39CB"/>
    <w:rsid w:val="00AC5FF0"/>
    <w:rsid w:val="00AD6334"/>
    <w:rsid w:val="00AE2097"/>
    <w:rsid w:val="00AF10FC"/>
    <w:rsid w:val="00B11E17"/>
    <w:rsid w:val="00B178D2"/>
    <w:rsid w:val="00B21E63"/>
    <w:rsid w:val="00B22204"/>
    <w:rsid w:val="00B25362"/>
    <w:rsid w:val="00B4458B"/>
    <w:rsid w:val="00B462AC"/>
    <w:rsid w:val="00B467C1"/>
    <w:rsid w:val="00B5257A"/>
    <w:rsid w:val="00B60D2B"/>
    <w:rsid w:val="00B63FDB"/>
    <w:rsid w:val="00B65C28"/>
    <w:rsid w:val="00B675BC"/>
    <w:rsid w:val="00B71358"/>
    <w:rsid w:val="00B73FB2"/>
    <w:rsid w:val="00B76CDF"/>
    <w:rsid w:val="00B777F5"/>
    <w:rsid w:val="00B87856"/>
    <w:rsid w:val="00BA2CBF"/>
    <w:rsid w:val="00BA71DE"/>
    <w:rsid w:val="00BA7F5D"/>
    <w:rsid w:val="00BB0CC6"/>
    <w:rsid w:val="00BB3F16"/>
    <w:rsid w:val="00BC2C29"/>
    <w:rsid w:val="00BC4A3C"/>
    <w:rsid w:val="00BC6E1D"/>
    <w:rsid w:val="00BC7223"/>
    <w:rsid w:val="00BC7C33"/>
    <w:rsid w:val="00BD3A12"/>
    <w:rsid w:val="00BD45B8"/>
    <w:rsid w:val="00BD61A2"/>
    <w:rsid w:val="00BE12BC"/>
    <w:rsid w:val="00BE33D6"/>
    <w:rsid w:val="00BF7153"/>
    <w:rsid w:val="00C072CC"/>
    <w:rsid w:val="00C10F93"/>
    <w:rsid w:val="00C1373A"/>
    <w:rsid w:val="00C207D9"/>
    <w:rsid w:val="00C26642"/>
    <w:rsid w:val="00C31C9C"/>
    <w:rsid w:val="00C4170E"/>
    <w:rsid w:val="00C41CAA"/>
    <w:rsid w:val="00C46145"/>
    <w:rsid w:val="00C46CC7"/>
    <w:rsid w:val="00C675F5"/>
    <w:rsid w:val="00C70267"/>
    <w:rsid w:val="00C73031"/>
    <w:rsid w:val="00C73E2D"/>
    <w:rsid w:val="00C73ED8"/>
    <w:rsid w:val="00C7411F"/>
    <w:rsid w:val="00C8520E"/>
    <w:rsid w:val="00C94773"/>
    <w:rsid w:val="00C95384"/>
    <w:rsid w:val="00C97D38"/>
    <w:rsid w:val="00CA614F"/>
    <w:rsid w:val="00CB1EA1"/>
    <w:rsid w:val="00CB2AE2"/>
    <w:rsid w:val="00CB34E9"/>
    <w:rsid w:val="00CC18CB"/>
    <w:rsid w:val="00CF64F7"/>
    <w:rsid w:val="00D02987"/>
    <w:rsid w:val="00D16E5E"/>
    <w:rsid w:val="00D2556F"/>
    <w:rsid w:val="00D316C9"/>
    <w:rsid w:val="00D419CA"/>
    <w:rsid w:val="00D467DE"/>
    <w:rsid w:val="00D53497"/>
    <w:rsid w:val="00D54F14"/>
    <w:rsid w:val="00D56257"/>
    <w:rsid w:val="00D7779F"/>
    <w:rsid w:val="00D82944"/>
    <w:rsid w:val="00D90E18"/>
    <w:rsid w:val="00D91448"/>
    <w:rsid w:val="00D9215A"/>
    <w:rsid w:val="00DA2A64"/>
    <w:rsid w:val="00DA4A72"/>
    <w:rsid w:val="00DB1277"/>
    <w:rsid w:val="00DB2DCF"/>
    <w:rsid w:val="00DB6217"/>
    <w:rsid w:val="00DC3701"/>
    <w:rsid w:val="00DD14E6"/>
    <w:rsid w:val="00DD27A1"/>
    <w:rsid w:val="00DD3535"/>
    <w:rsid w:val="00DD7797"/>
    <w:rsid w:val="00DE15B1"/>
    <w:rsid w:val="00DF08C5"/>
    <w:rsid w:val="00DF66E2"/>
    <w:rsid w:val="00E01935"/>
    <w:rsid w:val="00E01C8E"/>
    <w:rsid w:val="00E11E15"/>
    <w:rsid w:val="00E344D0"/>
    <w:rsid w:val="00E66979"/>
    <w:rsid w:val="00E71EF9"/>
    <w:rsid w:val="00E828CC"/>
    <w:rsid w:val="00E96CB8"/>
    <w:rsid w:val="00E97217"/>
    <w:rsid w:val="00EA09BC"/>
    <w:rsid w:val="00EA3FE9"/>
    <w:rsid w:val="00EA67BF"/>
    <w:rsid w:val="00EB055E"/>
    <w:rsid w:val="00EB38D2"/>
    <w:rsid w:val="00EB647B"/>
    <w:rsid w:val="00EC42AD"/>
    <w:rsid w:val="00EC6732"/>
    <w:rsid w:val="00EC7C61"/>
    <w:rsid w:val="00EE17D1"/>
    <w:rsid w:val="00EE7C39"/>
    <w:rsid w:val="00EF31B7"/>
    <w:rsid w:val="00F06AA5"/>
    <w:rsid w:val="00F149C7"/>
    <w:rsid w:val="00F21767"/>
    <w:rsid w:val="00F27DCF"/>
    <w:rsid w:val="00F3408A"/>
    <w:rsid w:val="00F404BE"/>
    <w:rsid w:val="00F40984"/>
    <w:rsid w:val="00F4560C"/>
    <w:rsid w:val="00F509CF"/>
    <w:rsid w:val="00F620FF"/>
    <w:rsid w:val="00F67B8A"/>
    <w:rsid w:val="00F80B27"/>
    <w:rsid w:val="00F84458"/>
    <w:rsid w:val="00F87138"/>
    <w:rsid w:val="00F9460C"/>
    <w:rsid w:val="00FA60BA"/>
    <w:rsid w:val="00FA71D6"/>
    <w:rsid w:val="00FB5246"/>
    <w:rsid w:val="00FB5C6C"/>
    <w:rsid w:val="00FC12DF"/>
    <w:rsid w:val="00FD089C"/>
    <w:rsid w:val="00FD4FE5"/>
    <w:rsid w:val="00FE2199"/>
    <w:rsid w:val="00FF5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47080"/>
  <w15:chartTrackingRefBased/>
  <w15:docId w15:val="{F6E56DE1-AC06-40B7-BF11-6FE6AAD08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F49"/>
  </w:style>
  <w:style w:type="paragraph" w:styleId="Heading1">
    <w:name w:val="heading 1"/>
    <w:basedOn w:val="Normal"/>
    <w:next w:val="Normal"/>
    <w:link w:val="Heading1Char"/>
    <w:uiPriority w:val="9"/>
    <w:qFormat/>
    <w:rsid w:val="000129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29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9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9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9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9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9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9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9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9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29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9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9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9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9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9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9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927"/>
    <w:rPr>
      <w:rFonts w:eastAsiaTheme="majorEastAsia" w:cstheme="majorBidi"/>
      <w:color w:val="272727" w:themeColor="text1" w:themeTint="D8"/>
    </w:rPr>
  </w:style>
  <w:style w:type="paragraph" w:styleId="Title">
    <w:name w:val="Title"/>
    <w:basedOn w:val="Normal"/>
    <w:next w:val="Normal"/>
    <w:link w:val="TitleChar"/>
    <w:uiPriority w:val="10"/>
    <w:qFormat/>
    <w:rsid w:val="000129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9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9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9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927"/>
    <w:pPr>
      <w:spacing w:before="160"/>
      <w:jc w:val="center"/>
    </w:pPr>
    <w:rPr>
      <w:i/>
      <w:iCs/>
      <w:color w:val="404040" w:themeColor="text1" w:themeTint="BF"/>
    </w:rPr>
  </w:style>
  <w:style w:type="character" w:customStyle="1" w:styleId="QuoteChar">
    <w:name w:val="Quote Char"/>
    <w:basedOn w:val="DefaultParagraphFont"/>
    <w:link w:val="Quote"/>
    <w:uiPriority w:val="29"/>
    <w:rsid w:val="00012927"/>
    <w:rPr>
      <w:i/>
      <w:iCs/>
      <w:color w:val="404040" w:themeColor="text1" w:themeTint="BF"/>
    </w:rPr>
  </w:style>
  <w:style w:type="paragraph" w:styleId="ListParagraph">
    <w:name w:val="List Paragraph"/>
    <w:basedOn w:val="Normal"/>
    <w:uiPriority w:val="34"/>
    <w:qFormat/>
    <w:rsid w:val="00012927"/>
    <w:pPr>
      <w:ind w:left="720"/>
      <w:contextualSpacing/>
    </w:pPr>
  </w:style>
  <w:style w:type="character" w:styleId="IntenseEmphasis">
    <w:name w:val="Intense Emphasis"/>
    <w:basedOn w:val="DefaultParagraphFont"/>
    <w:uiPriority w:val="21"/>
    <w:qFormat/>
    <w:rsid w:val="00012927"/>
    <w:rPr>
      <w:i/>
      <w:iCs/>
      <w:color w:val="0F4761" w:themeColor="accent1" w:themeShade="BF"/>
    </w:rPr>
  </w:style>
  <w:style w:type="paragraph" w:styleId="IntenseQuote">
    <w:name w:val="Intense Quote"/>
    <w:basedOn w:val="Normal"/>
    <w:next w:val="Normal"/>
    <w:link w:val="IntenseQuoteChar"/>
    <w:uiPriority w:val="30"/>
    <w:qFormat/>
    <w:rsid w:val="000129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927"/>
    <w:rPr>
      <w:i/>
      <w:iCs/>
      <w:color w:val="0F4761" w:themeColor="accent1" w:themeShade="BF"/>
    </w:rPr>
  </w:style>
  <w:style w:type="character" w:styleId="IntenseReference">
    <w:name w:val="Intense Reference"/>
    <w:basedOn w:val="DefaultParagraphFont"/>
    <w:uiPriority w:val="32"/>
    <w:qFormat/>
    <w:rsid w:val="00012927"/>
    <w:rPr>
      <w:b/>
      <w:bCs/>
      <w:smallCaps/>
      <w:color w:val="0F4761" w:themeColor="accent1" w:themeShade="BF"/>
      <w:spacing w:val="5"/>
    </w:rPr>
  </w:style>
  <w:style w:type="table" w:styleId="TableGrid">
    <w:name w:val="Table Grid"/>
    <w:basedOn w:val="TableNormal"/>
    <w:uiPriority w:val="39"/>
    <w:rsid w:val="00012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12927"/>
    <w:pPr>
      <w:spacing w:after="0" w:line="240" w:lineRule="auto"/>
    </w:pPr>
  </w:style>
  <w:style w:type="paragraph" w:styleId="NormalWeb">
    <w:name w:val="Normal (Web)"/>
    <w:basedOn w:val="Normal"/>
    <w:uiPriority w:val="99"/>
    <w:unhideWhenUsed/>
    <w:rsid w:val="0001292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012927"/>
    <w:rPr>
      <w:color w:val="0000FF"/>
      <w:u w:val="single"/>
    </w:rPr>
  </w:style>
  <w:style w:type="character" w:styleId="FollowedHyperlink">
    <w:name w:val="FollowedHyperlink"/>
    <w:basedOn w:val="DefaultParagraphFont"/>
    <w:uiPriority w:val="99"/>
    <w:semiHidden/>
    <w:unhideWhenUsed/>
    <w:rsid w:val="00345159"/>
    <w:rPr>
      <w:color w:val="96607D" w:themeColor="followedHyperlink"/>
      <w:u w:val="single"/>
    </w:rPr>
  </w:style>
  <w:style w:type="character" w:styleId="UnresolvedMention">
    <w:name w:val="Unresolved Mention"/>
    <w:basedOn w:val="DefaultParagraphFont"/>
    <w:uiPriority w:val="99"/>
    <w:semiHidden/>
    <w:unhideWhenUsed/>
    <w:rsid w:val="00FE2199"/>
    <w:rPr>
      <w:color w:val="605E5C"/>
      <w:shd w:val="clear" w:color="auto" w:fill="E1DFDD"/>
    </w:rPr>
  </w:style>
  <w:style w:type="character" w:styleId="Strong">
    <w:name w:val="Strong"/>
    <w:basedOn w:val="DefaultParagraphFont"/>
    <w:uiPriority w:val="22"/>
    <w:qFormat/>
    <w:rsid w:val="005554C1"/>
    <w:rPr>
      <w:b/>
      <w:bCs/>
    </w:rPr>
  </w:style>
  <w:style w:type="paragraph" w:styleId="Header">
    <w:name w:val="header"/>
    <w:basedOn w:val="Normal"/>
    <w:link w:val="HeaderChar"/>
    <w:uiPriority w:val="99"/>
    <w:unhideWhenUsed/>
    <w:rsid w:val="005901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1D4"/>
  </w:style>
  <w:style w:type="paragraph" w:styleId="Footer">
    <w:name w:val="footer"/>
    <w:basedOn w:val="Normal"/>
    <w:link w:val="FooterChar"/>
    <w:uiPriority w:val="99"/>
    <w:unhideWhenUsed/>
    <w:rsid w:val="005901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1D4"/>
  </w:style>
  <w:style w:type="paragraph" w:styleId="TOCHeading">
    <w:name w:val="TOC Heading"/>
    <w:basedOn w:val="Heading1"/>
    <w:next w:val="Normal"/>
    <w:uiPriority w:val="39"/>
    <w:unhideWhenUsed/>
    <w:qFormat/>
    <w:rsid w:val="00BA71D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52D25"/>
    <w:pPr>
      <w:spacing w:after="100"/>
    </w:pPr>
  </w:style>
  <w:style w:type="paragraph" w:styleId="TOC2">
    <w:name w:val="toc 2"/>
    <w:basedOn w:val="Normal"/>
    <w:next w:val="Normal"/>
    <w:autoRedefine/>
    <w:uiPriority w:val="39"/>
    <w:unhideWhenUsed/>
    <w:rsid w:val="00752D25"/>
    <w:pPr>
      <w:spacing w:after="100"/>
      <w:ind w:left="240"/>
    </w:pPr>
  </w:style>
  <w:style w:type="character" w:styleId="CommentReference">
    <w:name w:val="annotation reference"/>
    <w:basedOn w:val="DefaultParagraphFont"/>
    <w:uiPriority w:val="99"/>
    <w:semiHidden/>
    <w:unhideWhenUsed/>
    <w:rsid w:val="00D316C9"/>
    <w:rPr>
      <w:sz w:val="16"/>
      <w:szCs w:val="16"/>
    </w:rPr>
  </w:style>
  <w:style w:type="paragraph" w:styleId="CommentText">
    <w:name w:val="annotation text"/>
    <w:basedOn w:val="Normal"/>
    <w:link w:val="CommentTextChar"/>
    <w:uiPriority w:val="99"/>
    <w:semiHidden/>
    <w:unhideWhenUsed/>
    <w:rsid w:val="00D316C9"/>
    <w:pPr>
      <w:spacing w:line="240" w:lineRule="auto"/>
    </w:pPr>
    <w:rPr>
      <w:sz w:val="20"/>
      <w:szCs w:val="20"/>
    </w:rPr>
  </w:style>
  <w:style w:type="character" w:customStyle="1" w:styleId="CommentTextChar">
    <w:name w:val="Comment Text Char"/>
    <w:basedOn w:val="DefaultParagraphFont"/>
    <w:link w:val="CommentText"/>
    <w:uiPriority w:val="99"/>
    <w:semiHidden/>
    <w:rsid w:val="00D316C9"/>
    <w:rPr>
      <w:sz w:val="20"/>
      <w:szCs w:val="20"/>
    </w:rPr>
  </w:style>
  <w:style w:type="paragraph" w:styleId="CommentSubject">
    <w:name w:val="annotation subject"/>
    <w:basedOn w:val="CommentText"/>
    <w:next w:val="CommentText"/>
    <w:link w:val="CommentSubjectChar"/>
    <w:uiPriority w:val="99"/>
    <w:semiHidden/>
    <w:unhideWhenUsed/>
    <w:rsid w:val="00D316C9"/>
    <w:rPr>
      <w:b/>
      <w:bCs/>
    </w:rPr>
  </w:style>
  <w:style w:type="character" w:customStyle="1" w:styleId="CommentSubjectChar">
    <w:name w:val="Comment Subject Char"/>
    <w:basedOn w:val="CommentTextChar"/>
    <w:link w:val="CommentSubject"/>
    <w:uiPriority w:val="99"/>
    <w:semiHidden/>
    <w:rsid w:val="00D316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83038">
      <w:bodyDiv w:val="1"/>
      <w:marLeft w:val="0"/>
      <w:marRight w:val="0"/>
      <w:marTop w:val="0"/>
      <w:marBottom w:val="0"/>
      <w:divBdr>
        <w:top w:val="none" w:sz="0" w:space="0" w:color="auto"/>
        <w:left w:val="none" w:sz="0" w:space="0" w:color="auto"/>
        <w:bottom w:val="none" w:sz="0" w:space="0" w:color="auto"/>
        <w:right w:val="none" w:sz="0" w:space="0" w:color="auto"/>
      </w:divBdr>
    </w:div>
    <w:div w:id="259685929">
      <w:bodyDiv w:val="1"/>
      <w:marLeft w:val="0"/>
      <w:marRight w:val="0"/>
      <w:marTop w:val="0"/>
      <w:marBottom w:val="0"/>
      <w:divBdr>
        <w:top w:val="none" w:sz="0" w:space="0" w:color="auto"/>
        <w:left w:val="none" w:sz="0" w:space="0" w:color="auto"/>
        <w:bottom w:val="none" w:sz="0" w:space="0" w:color="auto"/>
        <w:right w:val="none" w:sz="0" w:space="0" w:color="auto"/>
      </w:divBdr>
    </w:div>
    <w:div w:id="456139988">
      <w:bodyDiv w:val="1"/>
      <w:marLeft w:val="0"/>
      <w:marRight w:val="0"/>
      <w:marTop w:val="0"/>
      <w:marBottom w:val="0"/>
      <w:divBdr>
        <w:top w:val="none" w:sz="0" w:space="0" w:color="auto"/>
        <w:left w:val="none" w:sz="0" w:space="0" w:color="auto"/>
        <w:bottom w:val="none" w:sz="0" w:space="0" w:color="auto"/>
        <w:right w:val="none" w:sz="0" w:space="0" w:color="auto"/>
      </w:divBdr>
    </w:div>
    <w:div w:id="785387504">
      <w:bodyDiv w:val="1"/>
      <w:marLeft w:val="0"/>
      <w:marRight w:val="0"/>
      <w:marTop w:val="0"/>
      <w:marBottom w:val="0"/>
      <w:divBdr>
        <w:top w:val="none" w:sz="0" w:space="0" w:color="auto"/>
        <w:left w:val="none" w:sz="0" w:space="0" w:color="auto"/>
        <w:bottom w:val="none" w:sz="0" w:space="0" w:color="auto"/>
        <w:right w:val="none" w:sz="0" w:space="0" w:color="auto"/>
      </w:divBdr>
      <w:divsChild>
        <w:div w:id="588392612">
          <w:marLeft w:val="0"/>
          <w:marRight w:val="0"/>
          <w:marTop w:val="0"/>
          <w:marBottom w:val="0"/>
          <w:divBdr>
            <w:top w:val="none" w:sz="0" w:space="0" w:color="auto"/>
            <w:left w:val="none" w:sz="0" w:space="0" w:color="auto"/>
            <w:bottom w:val="none" w:sz="0" w:space="0" w:color="auto"/>
            <w:right w:val="none" w:sz="0" w:space="0" w:color="auto"/>
          </w:divBdr>
        </w:div>
      </w:divsChild>
    </w:div>
    <w:div w:id="796214891">
      <w:bodyDiv w:val="1"/>
      <w:marLeft w:val="0"/>
      <w:marRight w:val="0"/>
      <w:marTop w:val="0"/>
      <w:marBottom w:val="0"/>
      <w:divBdr>
        <w:top w:val="none" w:sz="0" w:space="0" w:color="auto"/>
        <w:left w:val="none" w:sz="0" w:space="0" w:color="auto"/>
        <w:bottom w:val="none" w:sz="0" w:space="0" w:color="auto"/>
        <w:right w:val="none" w:sz="0" w:space="0" w:color="auto"/>
      </w:divBdr>
    </w:div>
    <w:div w:id="850098410">
      <w:bodyDiv w:val="1"/>
      <w:marLeft w:val="0"/>
      <w:marRight w:val="0"/>
      <w:marTop w:val="0"/>
      <w:marBottom w:val="0"/>
      <w:divBdr>
        <w:top w:val="none" w:sz="0" w:space="0" w:color="auto"/>
        <w:left w:val="none" w:sz="0" w:space="0" w:color="auto"/>
        <w:bottom w:val="none" w:sz="0" w:space="0" w:color="auto"/>
        <w:right w:val="none" w:sz="0" w:space="0" w:color="auto"/>
      </w:divBdr>
    </w:div>
    <w:div w:id="939407592">
      <w:bodyDiv w:val="1"/>
      <w:marLeft w:val="0"/>
      <w:marRight w:val="0"/>
      <w:marTop w:val="0"/>
      <w:marBottom w:val="0"/>
      <w:divBdr>
        <w:top w:val="none" w:sz="0" w:space="0" w:color="auto"/>
        <w:left w:val="none" w:sz="0" w:space="0" w:color="auto"/>
        <w:bottom w:val="none" w:sz="0" w:space="0" w:color="auto"/>
        <w:right w:val="none" w:sz="0" w:space="0" w:color="auto"/>
      </w:divBdr>
    </w:div>
    <w:div w:id="986981936">
      <w:bodyDiv w:val="1"/>
      <w:marLeft w:val="0"/>
      <w:marRight w:val="0"/>
      <w:marTop w:val="0"/>
      <w:marBottom w:val="0"/>
      <w:divBdr>
        <w:top w:val="none" w:sz="0" w:space="0" w:color="auto"/>
        <w:left w:val="none" w:sz="0" w:space="0" w:color="auto"/>
        <w:bottom w:val="none" w:sz="0" w:space="0" w:color="auto"/>
        <w:right w:val="none" w:sz="0" w:space="0" w:color="auto"/>
      </w:divBdr>
      <w:divsChild>
        <w:div w:id="931745305">
          <w:marLeft w:val="0"/>
          <w:marRight w:val="0"/>
          <w:marTop w:val="0"/>
          <w:marBottom w:val="0"/>
          <w:divBdr>
            <w:top w:val="none" w:sz="0" w:space="0" w:color="auto"/>
            <w:left w:val="none" w:sz="0" w:space="0" w:color="auto"/>
            <w:bottom w:val="none" w:sz="0" w:space="0" w:color="auto"/>
            <w:right w:val="none" w:sz="0" w:space="0" w:color="auto"/>
          </w:divBdr>
        </w:div>
      </w:divsChild>
    </w:div>
    <w:div w:id="1011495549">
      <w:bodyDiv w:val="1"/>
      <w:marLeft w:val="0"/>
      <w:marRight w:val="0"/>
      <w:marTop w:val="0"/>
      <w:marBottom w:val="0"/>
      <w:divBdr>
        <w:top w:val="none" w:sz="0" w:space="0" w:color="auto"/>
        <w:left w:val="none" w:sz="0" w:space="0" w:color="auto"/>
        <w:bottom w:val="none" w:sz="0" w:space="0" w:color="auto"/>
        <w:right w:val="none" w:sz="0" w:space="0" w:color="auto"/>
      </w:divBdr>
      <w:divsChild>
        <w:div w:id="381708577">
          <w:marLeft w:val="0"/>
          <w:marRight w:val="0"/>
          <w:marTop w:val="0"/>
          <w:marBottom w:val="0"/>
          <w:divBdr>
            <w:top w:val="none" w:sz="0" w:space="0" w:color="auto"/>
            <w:left w:val="none" w:sz="0" w:space="0" w:color="auto"/>
            <w:bottom w:val="none" w:sz="0" w:space="0" w:color="auto"/>
            <w:right w:val="none" w:sz="0" w:space="0" w:color="auto"/>
          </w:divBdr>
        </w:div>
      </w:divsChild>
    </w:div>
    <w:div w:id="1038048993">
      <w:bodyDiv w:val="1"/>
      <w:marLeft w:val="0"/>
      <w:marRight w:val="0"/>
      <w:marTop w:val="0"/>
      <w:marBottom w:val="0"/>
      <w:divBdr>
        <w:top w:val="none" w:sz="0" w:space="0" w:color="auto"/>
        <w:left w:val="none" w:sz="0" w:space="0" w:color="auto"/>
        <w:bottom w:val="none" w:sz="0" w:space="0" w:color="auto"/>
        <w:right w:val="none" w:sz="0" w:space="0" w:color="auto"/>
      </w:divBdr>
      <w:divsChild>
        <w:div w:id="497699997">
          <w:marLeft w:val="0"/>
          <w:marRight w:val="0"/>
          <w:marTop w:val="0"/>
          <w:marBottom w:val="0"/>
          <w:divBdr>
            <w:top w:val="none" w:sz="0" w:space="0" w:color="auto"/>
            <w:left w:val="none" w:sz="0" w:space="0" w:color="auto"/>
            <w:bottom w:val="none" w:sz="0" w:space="0" w:color="auto"/>
            <w:right w:val="none" w:sz="0" w:space="0" w:color="auto"/>
          </w:divBdr>
        </w:div>
      </w:divsChild>
    </w:div>
    <w:div w:id="1511289336">
      <w:bodyDiv w:val="1"/>
      <w:marLeft w:val="0"/>
      <w:marRight w:val="0"/>
      <w:marTop w:val="0"/>
      <w:marBottom w:val="0"/>
      <w:divBdr>
        <w:top w:val="none" w:sz="0" w:space="0" w:color="auto"/>
        <w:left w:val="none" w:sz="0" w:space="0" w:color="auto"/>
        <w:bottom w:val="none" w:sz="0" w:space="0" w:color="auto"/>
        <w:right w:val="none" w:sz="0" w:space="0" w:color="auto"/>
      </w:divBdr>
      <w:divsChild>
        <w:div w:id="509293877">
          <w:marLeft w:val="0"/>
          <w:marRight w:val="0"/>
          <w:marTop w:val="0"/>
          <w:marBottom w:val="0"/>
          <w:divBdr>
            <w:top w:val="none" w:sz="0" w:space="0" w:color="auto"/>
            <w:left w:val="none" w:sz="0" w:space="0" w:color="auto"/>
            <w:bottom w:val="none" w:sz="0" w:space="0" w:color="auto"/>
            <w:right w:val="none" w:sz="0" w:space="0" w:color="auto"/>
          </w:divBdr>
          <w:divsChild>
            <w:div w:id="830679444">
              <w:marLeft w:val="0"/>
              <w:marRight w:val="0"/>
              <w:marTop w:val="0"/>
              <w:marBottom w:val="0"/>
              <w:divBdr>
                <w:top w:val="none" w:sz="0" w:space="0" w:color="auto"/>
                <w:left w:val="none" w:sz="0" w:space="0" w:color="auto"/>
                <w:bottom w:val="none" w:sz="0" w:space="0" w:color="auto"/>
                <w:right w:val="none" w:sz="0" w:space="0" w:color="auto"/>
              </w:divBdr>
              <w:divsChild>
                <w:div w:id="17162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989709">
      <w:bodyDiv w:val="1"/>
      <w:marLeft w:val="0"/>
      <w:marRight w:val="0"/>
      <w:marTop w:val="0"/>
      <w:marBottom w:val="0"/>
      <w:divBdr>
        <w:top w:val="none" w:sz="0" w:space="0" w:color="auto"/>
        <w:left w:val="none" w:sz="0" w:space="0" w:color="auto"/>
        <w:bottom w:val="none" w:sz="0" w:space="0" w:color="auto"/>
        <w:right w:val="none" w:sz="0" w:space="0" w:color="auto"/>
      </w:divBdr>
      <w:divsChild>
        <w:div w:id="1583952085">
          <w:marLeft w:val="0"/>
          <w:marRight w:val="0"/>
          <w:marTop w:val="0"/>
          <w:marBottom w:val="0"/>
          <w:divBdr>
            <w:top w:val="none" w:sz="0" w:space="0" w:color="auto"/>
            <w:left w:val="none" w:sz="0" w:space="0" w:color="auto"/>
            <w:bottom w:val="none" w:sz="0" w:space="0" w:color="auto"/>
            <w:right w:val="none" w:sz="0" w:space="0" w:color="auto"/>
          </w:divBdr>
        </w:div>
      </w:divsChild>
    </w:div>
    <w:div w:id="1707177967">
      <w:bodyDiv w:val="1"/>
      <w:marLeft w:val="0"/>
      <w:marRight w:val="0"/>
      <w:marTop w:val="0"/>
      <w:marBottom w:val="0"/>
      <w:divBdr>
        <w:top w:val="none" w:sz="0" w:space="0" w:color="auto"/>
        <w:left w:val="none" w:sz="0" w:space="0" w:color="auto"/>
        <w:bottom w:val="none" w:sz="0" w:space="0" w:color="auto"/>
        <w:right w:val="none" w:sz="0" w:space="0" w:color="auto"/>
      </w:divBdr>
    </w:div>
    <w:div w:id="1844391950">
      <w:bodyDiv w:val="1"/>
      <w:marLeft w:val="0"/>
      <w:marRight w:val="0"/>
      <w:marTop w:val="0"/>
      <w:marBottom w:val="0"/>
      <w:divBdr>
        <w:top w:val="none" w:sz="0" w:space="0" w:color="auto"/>
        <w:left w:val="none" w:sz="0" w:space="0" w:color="auto"/>
        <w:bottom w:val="none" w:sz="0" w:space="0" w:color="auto"/>
        <w:right w:val="none" w:sz="0" w:space="0" w:color="auto"/>
      </w:divBdr>
    </w:div>
    <w:div w:id="192480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sk.com/en-gb/investors/responsible-business/" TargetMode="External"/><Relationship Id="rId18" Type="http://schemas.openxmlformats.org/officeDocument/2006/relationships/hyperlink" Target="https://www.macrotrends.net/stocks/charts/gsk/gsk/operating-expenses?ut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sciencedaily.com/releases/2026/01/260106224644.htm" TargetMode="External"/><Relationship Id="rId7" Type="http://schemas.openxmlformats.org/officeDocument/2006/relationships/endnotes" Target="endnotes.xml"/><Relationship Id="rId12" Type="http://schemas.openxmlformats.org/officeDocument/2006/relationships/hyperlink" Target="https://myfuture.cimaglobal.com/starting-a-career-in-management-accounting/" TargetMode="External"/><Relationship Id="rId17" Type="http://schemas.openxmlformats.org/officeDocument/2006/relationships/hyperlink" Target="https://intuitionlabs.ai/articles/pharmaceutical-industry-history-market"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forbes.com/advisor/business/what-is-a-kpi-definition-examples/" TargetMode="External"/><Relationship Id="rId20" Type="http://schemas.openxmlformats.org/officeDocument/2006/relationships/hyperlink" Target="https://www.pwc.com/gx/en/industries/healthcare.htm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sk.com/en-gb/media/press-releases/gsk-enters-agreement-to-acquire-nuvalent-inc/" TargetMode="External"/><Relationship Id="rId23" Type="http://schemas.openxmlformats.org/officeDocument/2006/relationships/hyperlink" Target="https://uk.finance.yahoo.com/news/gsk-cutting-jobs-uk-us-143824067.html" TargetMode="External"/><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yperlink" Target="https://www.macrotrends.net/stocks/charts/GSK/gsk/selling-general-administrative-expense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sk.com/en-gb/investors/financial-reports/annual-report-2025/?utm_source" TargetMode="External"/><Relationship Id="rId22" Type="http://schemas.openxmlformats.org/officeDocument/2006/relationships/hyperlink" Target="https://umbrex.com/resources/company-profiles/glaxosmithkline/"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DCD02-6A78-4C10-8DE3-1EA439D7B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3191</Words>
  <Characters>18194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 Keanene</dc:creator>
  <cp:keywords/>
  <dc:description/>
  <cp:lastModifiedBy>Badru Keanene</cp:lastModifiedBy>
  <cp:revision>4</cp:revision>
  <dcterms:created xsi:type="dcterms:W3CDTF">2026-07-17T02:24:00Z</dcterms:created>
  <dcterms:modified xsi:type="dcterms:W3CDTF">2026-07-17T02:25:00Z</dcterms:modified>
</cp:coreProperties>
</file>