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8B4BA61" w14:textId="77777777" w:rsidR="00B322E0" w:rsidRDefault="009E6830">
      <w:pPr>
        <w:jc w:val="center"/>
        <w:rPr>
          <w:b/>
          <w:i/>
          <w:color w:val="auto"/>
          <w:sz w:val="88"/>
          <w:szCs w:val="88"/>
        </w:rPr>
      </w:pPr>
      <w:r>
        <w:rPr>
          <w:b/>
          <w:i/>
          <w:color w:val="auto"/>
          <w:sz w:val="88"/>
          <w:szCs w:val="88"/>
        </w:rPr>
        <w:tab/>
      </w:r>
    </w:p>
    <w:p w14:paraId="785F09AE" w14:textId="77777777" w:rsidR="00410CBD" w:rsidRPr="00752C57" w:rsidRDefault="00410CBD">
      <w:pPr>
        <w:jc w:val="center"/>
        <w:rPr>
          <w:b/>
          <w:i/>
          <w:color w:val="auto"/>
          <w:sz w:val="88"/>
          <w:szCs w:val="8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8817"/>
      </w:tblGrid>
      <w:tr w:rsidR="00656B94" w:rsidRPr="00C23109" w14:paraId="59F8ACB2" w14:textId="77777777" w:rsidTr="00410CBD">
        <w:trPr>
          <w:trHeight w:val="692"/>
        </w:trPr>
        <w:tc>
          <w:tcPr>
            <w:tcW w:w="2048" w:type="dxa"/>
          </w:tcPr>
          <w:p w14:paraId="71034E5F" w14:textId="77777777" w:rsidR="00656B94" w:rsidRPr="00C23109" w:rsidRDefault="00656B94" w:rsidP="00F80D70">
            <w:pPr>
              <w:rPr>
                <w:b/>
                <w:i/>
              </w:rPr>
            </w:pPr>
            <w:r w:rsidRPr="00C23109">
              <w:rPr>
                <w:b/>
                <w:i/>
              </w:rPr>
              <w:t>Module</w:t>
            </w:r>
          </w:p>
        </w:tc>
        <w:tc>
          <w:tcPr>
            <w:tcW w:w="7347" w:type="dxa"/>
          </w:tcPr>
          <w:p w14:paraId="26E27D96" w14:textId="77777777" w:rsidR="00656B94" w:rsidRPr="00C23109" w:rsidRDefault="00EB1617" w:rsidP="00F80D70">
            <w:r w:rsidRPr="00EB1617">
              <w:t>Introduction to Physiology</w:t>
            </w:r>
          </w:p>
        </w:tc>
      </w:tr>
      <w:tr w:rsidR="00656B94" w:rsidRPr="00C23109" w14:paraId="18D4C940" w14:textId="77777777" w:rsidTr="00410CBD">
        <w:trPr>
          <w:trHeight w:val="717"/>
        </w:trPr>
        <w:tc>
          <w:tcPr>
            <w:tcW w:w="2048" w:type="dxa"/>
          </w:tcPr>
          <w:p w14:paraId="34061443" w14:textId="77777777" w:rsidR="00656B94" w:rsidRPr="00C23109" w:rsidRDefault="00656B94" w:rsidP="00F80D70">
            <w:pPr>
              <w:rPr>
                <w:b/>
                <w:i/>
              </w:rPr>
            </w:pPr>
            <w:r w:rsidRPr="00C23109">
              <w:rPr>
                <w:b/>
                <w:i/>
              </w:rPr>
              <w:t>Module Code</w:t>
            </w:r>
          </w:p>
        </w:tc>
        <w:tc>
          <w:tcPr>
            <w:tcW w:w="7347" w:type="dxa"/>
          </w:tcPr>
          <w:p w14:paraId="6037C40A" w14:textId="77777777" w:rsidR="00656B94" w:rsidRDefault="00EB1617" w:rsidP="00EB1617">
            <w:r w:rsidRPr="00EB1617">
              <w:t xml:space="preserve">BMHP5023 </w:t>
            </w:r>
          </w:p>
          <w:p w14:paraId="684421E2" w14:textId="2AB467F4" w:rsidR="006C1493" w:rsidRPr="00C23109" w:rsidRDefault="006C1493" w:rsidP="00EB1617">
            <w:r>
              <w:t>Component 1</w:t>
            </w:r>
          </w:p>
        </w:tc>
      </w:tr>
      <w:tr w:rsidR="00656B94" w:rsidRPr="00C23109" w14:paraId="6C1CF341" w14:textId="77777777" w:rsidTr="00410CBD">
        <w:trPr>
          <w:trHeight w:val="692"/>
        </w:trPr>
        <w:tc>
          <w:tcPr>
            <w:tcW w:w="2048" w:type="dxa"/>
          </w:tcPr>
          <w:p w14:paraId="3639502D" w14:textId="77777777" w:rsidR="00656B94" w:rsidRPr="00C23109" w:rsidRDefault="00656B94" w:rsidP="00F80D70">
            <w:pPr>
              <w:rPr>
                <w:b/>
                <w:i/>
              </w:rPr>
            </w:pPr>
            <w:r w:rsidRPr="00C23109">
              <w:rPr>
                <w:b/>
                <w:i/>
              </w:rPr>
              <w:t xml:space="preserve">Student Name/ ID </w:t>
            </w:r>
          </w:p>
        </w:tc>
        <w:tc>
          <w:tcPr>
            <w:tcW w:w="7347" w:type="dxa"/>
          </w:tcPr>
          <w:p w14:paraId="424CDF37" w14:textId="77777777" w:rsidR="00656B94" w:rsidRDefault="005B12DF" w:rsidP="00F80D70">
            <w:r>
              <w:t xml:space="preserve">Sehrash Ali </w:t>
            </w:r>
          </w:p>
          <w:p w14:paraId="4FC5A377" w14:textId="0229956E" w:rsidR="005B12DF" w:rsidRPr="00C23109" w:rsidRDefault="005B12DF" w:rsidP="00F80D70">
            <w:r>
              <w:t>2440353</w:t>
            </w:r>
          </w:p>
        </w:tc>
      </w:tr>
      <w:tr w:rsidR="00656B94" w:rsidRPr="00C23109" w14:paraId="43C8EDA4" w14:textId="77777777" w:rsidTr="00410CBD">
        <w:trPr>
          <w:trHeight w:val="692"/>
        </w:trPr>
        <w:tc>
          <w:tcPr>
            <w:tcW w:w="2048" w:type="dxa"/>
          </w:tcPr>
          <w:p w14:paraId="2DACFB73" w14:textId="77777777" w:rsidR="00656B94" w:rsidRPr="00C23109" w:rsidRDefault="00656B94" w:rsidP="00F80D70">
            <w:pPr>
              <w:rPr>
                <w:b/>
                <w:i/>
              </w:rPr>
            </w:pPr>
            <w:r w:rsidRPr="00C23109">
              <w:rPr>
                <w:b/>
                <w:i/>
              </w:rPr>
              <w:t>Assignment Title</w:t>
            </w:r>
          </w:p>
        </w:tc>
        <w:tc>
          <w:tcPr>
            <w:tcW w:w="7347" w:type="dxa"/>
          </w:tcPr>
          <w:p w14:paraId="603747C3" w14:textId="77777777" w:rsidR="00656B94" w:rsidRPr="00C23109" w:rsidRDefault="00EB1617" w:rsidP="00F80D70">
            <w:r w:rsidRPr="00EB1617">
              <w:t>A Critical Analysis of Respiratory Anatomy and Physiology, Pathophysiology, Routine Monitoring and Evidence-Based Management</w:t>
            </w:r>
          </w:p>
        </w:tc>
      </w:tr>
      <w:tr w:rsidR="00656B94" w:rsidRPr="00C23109" w14:paraId="33323B30" w14:textId="77777777" w:rsidTr="00410CBD">
        <w:trPr>
          <w:trHeight w:val="692"/>
        </w:trPr>
        <w:tc>
          <w:tcPr>
            <w:tcW w:w="2048" w:type="dxa"/>
          </w:tcPr>
          <w:p w14:paraId="0E517257" w14:textId="77777777" w:rsidR="00656B94" w:rsidRPr="00C23109" w:rsidRDefault="00656B94" w:rsidP="00F80D70">
            <w:pPr>
              <w:rPr>
                <w:b/>
                <w:i/>
              </w:rPr>
            </w:pPr>
            <w:r w:rsidRPr="00C23109">
              <w:rPr>
                <w:b/>
                <w:i/>
              </w:rPr>
              <w:t>Submission Date</w:t>
            </w:r>
          </w:p>
        </w:tc>
        <w:tc>
          <w:tcPr>
            <w:tcW w:w="7347" w:type="dxa"/>
          </w:tcPr>
          <w:p w14:paraId="659C2B33" w14:textId="2282DB57" w:rsidR="00656B94" w:rsidRPr="00C23109" w:rsidRDefault="006C1493" w:rsidP="00F80D70">
            <w:r>
              <w:t>21</w:t>
            </w:r>
            <w:r w:rsidRPr="006C1493">
              <w:rPr>
                <w:vertAlign w:val="superscript"/>
              </w:rPr>
              <w:t>st</w:t>
            </w:r>
            <w:r>
              <w:rPr>
                <w:vertAlign w:val="superscript"/>
              </w:rPr>
              <w:t xml:space="preserve"> October 2026</w:t>
            </w:r>
          </w:p>
        </w:tc>
      </w:tr>
    </w:tbl>
    <w:p w14:paraId="29157D5A" w14:textId="77777777" w:rsidR="00793373" w:rsidRPr="00752C57" w:rsidRDefault="009C2D59">
      <w:pPr>
        <w:jc w:val="center"/>
        <w:rPr>
          <w:b/>
          <w:i/>
          <w:color w:val="auto"/>
          <w:sz w:val="72"/>
          <w:szCs w:val="72"/>
        </w:rPr>
      </w:pPr>
      <w:r w:rsidRPr="00752C57">
        <w:rPr>
          <w:b/>
          <w:bCs/>
          <w:i/>
          <w:color w:val="auto"/>
          <w:sz w:val="72"/>
          <w:szCs w:val="72"/>
        </w:rPr>
        <w:t> </w:t>
      </w:r>
      <w:r w:rsidR="00B57A65" w:rsidRPr="00752C57">
        <w:rPr>
          <w:b/>
          <w:i/>
          <w:color w:val="auto"/>
          <w:sz w:val="72"/>
          <w:szCs w:val="72"/>
        </w:rPr>
        <w:t xml:space="preserve"> </w:t>
      </w:r>
    </w:p>
    <w:p w14:paraId="3876A22A" w14:textId="77777777" w:rsidR="00793373" w:rsidRPr="00752C57" w:rsidRDefault="00793373">
      <w:pPr>
        <w:pStyle w:val="ContentsHeading"/>
        <w:pageBreakBefore/>
        <w:rPr>
          <w:color w:val="auto"/>
        </w:rPr>
      </w:pPr>
      <w:r w:rsidRPr="00752C57">
        <w:rPr>
          <w:color w:val="auto"/>
        </w:rPr>
        <w:t>Table of Contents</w:t>
      </w:r>
    </w:p>
    <w:p w14:paraId="3A37EF23" w14:textId="77777777" w:rsidR="00DB1F6A" w:rsidRDefault="00793373">
      <w:pPr>
        <w:pStyle w:val="TOC1"/>
        <w:rPr>
          <w:rFonts w:asciiTheme="minorHAnsi" w:eastAsiaTheme="minorEastAsia" w:hAnsiTheme="minorHAnsi" w:cstheme="minorBidi"/>
          <w:noProof/>
          <w:color w:val="auto"/>
          <w:sz w:val="22"/>
          <w:lang w:eastAsia="en-GB"/>
        </w:rPr>
      </w:pPr>
      <w:r w:rsidRPr="00752C57">
        <w:rPr>
          <w:rFonts w:cs="Times New Roman"/>
          <w:color w:val="auto"/>
        </w:rPr>
        <w:fldChar w:fldCharType="begin"/>
      </w:r>
      <w:r w:rsidRPr="00752C57">
        <w:rPr>
          <w:rFonts w:cs="Times New Roman"/>
          <w:color w:val="auto"/>
        </w:rPr>
        <w:instrText xml:space="preserve"> TOC \f \o "1-9" \o "1-9" </w:instrText>
      </w:r>
      <w:r w:rsidRPr="00752C57">
        <w:rPr>
          <w:rFonts w:cs="Times New Roman"/>
          <w:color w:val="auto"/>
        </w:rPr>
        <w:fldChar w:fldCharType="separate"/>
      </w:r>
      <w:r w:rsidR="00DB1F6A">
        <w:rPr>
          <w:noProof/>
        </w:rPr>
        <w:t>Introduction</w:t>
      </w:r>
      <w:r w:rsidR="00DB1F6A">
        <w:rPr>
          <w:noProof/>
        </w:rPr>
        <w:tab/>
      </w:r>
      <w:r w:rsidR="00DB1F6A">
        <w:rPr>
          <w:noProof/>
        </w:rPr>
        <w:fldChar w:fldCharType="begin"/>
      </w:r>
      <w:r w:rsidR="00DB1F6A">
        <w:rPr>
          <w:noProof/>
        </w:rPr>
        <w:instrText xml:space="preserve"> PAGEREF _Toc242547529 \h </w:instrText>
      </w:r>
      <w:r w:rsidR="00DB1F6A">
        <w:rPr>
          <w:noProof/>
        </w:rPr>
      </w:r>
      <w:r w:rsidR="00DB1F6A">
        <w:rPr>
          <w:noProof/>
        </w:rPr>
        <w:fldChar w:fldCharType="separate"/>
      </w:r>
      <w:r w:rsidR="00DB1F6A">
        <w:rPr>
          <w:noProof/>
        </w:rPr>
        <w:t>3</w:t>
      </w:r>
      <w:r w:rsidR="00DB1F6A">
        <w:rPr>
          <w:noProof/>
        </w:rPr>
        <w:fldChar w:fldCharType="end"/>
      </w:r>
    </w:p>
    <w:p w14:paraId="0EDDEF4E" w14:textId="77777777" w:rsidR="00DB1F6A" w:rsidRDefault="00DB1F6A">
      <w:pPr>
        <w:pStyle w:val="TOC1"/>
        <w:rPr>
          <w:rFonts w:asciiTheme="minorHAnsi" w:eastAsiaTheme="minorEastAsia" w:hAnsiTheme="minorHAnsi" w:cstheme="minorBidi"/>
          <w:noProof/>
          <w:color w:val="auto"/>
          <w:sz w:val="22"/>
          <w:lang w:eastAsia="en-GB"/>
        </w:rPr>
      </w:pPr>
      <w:r>
        <w:rPr>
          <w:noProof/>
        </w:rPr>
        <w:t>Pulmonary gas exchange</w:t>
      </w:r>
      <w:r>
        <w:rPr>
          <w:noProof/>
        </w:rPr>
        <w:tab/>
      </w:r>
      <w:r>
        <w:rPr>
          <w:noProof/>
        </w:rPr>
        <w:fldChar w:fldCharType="begin"/>
      </w:r>
      <w:r>
        <w:rPr>
          <w:noProof/>
        </w:rPr>
        <w:instrText xml:space="preserve"> PAGEREF _Toc242547530 \h </w:instrText>
      </w:r>
      <w:r>
        <w:rPr>
          <w:noProof/>
        </w:rPr>
      </w:r>
      <w:r>
        <w:rPr>
          <w:noProof/>
        </w:rPr>
        <w:fldChar w:fldCharType="separate"/>
      </w:r>
      <w:r>
        <w:rPr>
          <w:noProof/>
        </w:rPr>
        <w:t>3</w:t>
      </w:r>
      <w:r>
        <w:rPr>
          <w:noProof/>
        </w:rPr>
        <w:fldChar w:fldCharType="end"/>
      </w:r>
    </w:p>
    <w:p w14:paraId="733231CA" w14:textId="77777777" w:rsidR="00DB1F6A" w:rsidRDefault="00DB1F6A">
      <w:pPr>
        <w:pStyle w:val="TOC1"/>
        <w:rPr>
          <w:rFonts w:asciiTheme="minorHAnsi" w:eastAsiaTheme="minorEastAsia" w:hAnsiTheme="minorHAnsi" w:cstheme="minorBidi"/>
          <w:noProof/>
          <w:color w:val="auto"/>
          <w:sz w:val="22"/>
          <w:lang w:eastAsia="en-GB"/>
        </w:rPr>
      </w:pPr>
      <w:r>
        <w:rPr>
          <w:noProof/>
        </w:rPr>
        <w:t>Respiratory anatomy and mechanical respiration</w:t>
      </w:r>
      <w:r>
        <w:rPr>
          <w:noProof/>
        </w:rPr>
        <w:tab/>
      </w:r>
      <w:r>
        <w:rPr>
          <w:noProof/>
        </w:rPr>
        <w:fldChar w:fldCharType="begin"/>
      </w:r>
      <w:r>
        <w:rPr>
          <w:noProof/>
        </w:rPr>
        <w:instrText xml:space="preserve"> PAGEREF _Toc242547531 \h </w:instrText>
      </w:r>
      <w:r>
        <w:rPr>
          <w:noProof/>
        </w:rPr>
      </w:r>
      <w:r>
        <w:rPr>
          <w:noProof/>
        </w:rPr>
        <w:fldChar w:fldCharType="separate"/>
      </w:r>
      <w:r>
        <w:rPr>
          <w:noProof/>
        </w:rPr>
        <w:t>4</w:t>
      </w:r>
      <w:r>
        <w:rPr>
          <w:noProof/>
        </w:rPr>
        <w:fldChar w:fldCharType="end"/>
      </w:r>
    </w:p>
    <w:p w14:paraId="67AD03E6" w14:textId="77777777" w:rsidR="00DB1F6A" w:rsidRDefault="00DB1F6A">
      <w:pPr>
        <w:pStyle w:val="TOC1"/>
        <w:rPr>
          <w:rFonts w:asciiTheme="minorHAnsi" w:eastAsiaTheme="minorEastAsia" w:hAnsiTheme="minorHAnsi" w:cstheme="minorBidi"/>
          <w:noProof/>
          <w:color w:val="auto"/>
          <w:sz w:val="22"/>
          <w:lang w:eastAsia="en-GB"/>
        </w:rPr>
      </w:pPr>
      <w:r>
        <w:rPr>
          <w:noProof/>
        </w:rPr>
        <w:t>Asthma pathophysiology and respiratory impairment</w:t>
      </w:r>
      <w:r>
        <w:rPr>
          <w:noProof/>
        </w:rPr>
        <w:tab/>
      </w:r>
      <w:r>
        <w:rPr>
          <w:noProof/>
        </w:rPr>
        <w:fldChar w:fldCharType="begin"/>
      </w:r>
      <w:r>
        <w:rPr>
          <w:noProof/>
        </w:rPr>
        <w:instrText xml:space="preserve"> PAGEREF _Toc242547532 \h </w:instrText>
      </w:r>
      <w:r>
        <w:rPr>
          <w:noProof/>
        </w:rPr>
      </w:r>
      <w:r>
        <w:rPr>
          <w:noProof/>
        </w:rPr>
        <w:fldChar w:fldCharType="separate"/>
      </w:r>
      <w:r>
        <w:rPr>
          <w:noProof/>
        </w:rPr>
        <w:t>5</w:t>
      </w:r>
      <w:r>
        <w:rPr>
          <w:noProof/>
        </w:rPr>
        <w:fldChar w:fldCharType="end"/>
      </w:r>
    </w:p>
    <w:p w14:paraId="737B6F96" w14:textId="77777777" w:rsidR="00DB1F6A" w:rsidRDefault="00DB1F6A">
      <w:pPr>
        <w:pStyle w:val="TOC1"/>
        <w:rPr>
          <w:rFonts w:asciiTheme="minorHAnsi" w:eastAsiaTheme="minorEastAsia" w:hAnsiTheme="minorHAnsi" w:cstheme="minorBidi"/>
          <w:noProof/>
          <w:color w:val="auto"/>
          <w:sz w:val="22"/>
          <w:lang w:eastAsia="en-GB"/>
        </w:rPr>
      </w:pPr>
      <w:r>
        <w:rPr>
          <w:noProof/>
        </w:rPr>
        <w:t>Respiratory monitoring and routine data</w:t>
      </w:r>
      <w:r>
        <w:rPr>
          <w:noProof/>
        </w:rPr>
        <w:tab/>
      </w:r>
      <w:r>
        <w:rPr>
          <w:noProof/>
        </w:rPr>
        <w:fldChar w:fldCharType="begin"/>
      </w:r>
      <w:r>
        <w:rPr>
          <w:noProof/>
        </w:rPr>
        <w:instrText xml:space="preserve"> PAGEREF _Toc242547533 \h </w:instrText>
      </w:r>
      <w:r>
        <w:rPr>
          <w:noProof/>
        </w:rPr>
      </w:r>
      <w:r>
        <w:rPr>
          <w:noProof/>
        </w:rPr>
        <w:fldChar w:fldCharType="separate"/>
      </w:r>
      <w:r>
        <w:rPr>
          <w:noProof/>
        </w:rPr>
        <w:t>6</w:t>
      </w:r>
      <w:r>
        <w:rPr>
          <w:noProof/>
        </w:rPr>
        <w:fldChar w:fldCharType="end"/>
      </w:r>
    </w:p>
    <w:p w14:paraId="6174AFF2" w14:textId="77777777" w:rsidR="00DB1F6A" w:rsidRDefault="00DB1F6A">
      <w:pPr>
        <w:pStyle w:val="TOC1"/>
        <w:rPr>
          <w:rFonts w:asciiTheme="minorHAnsi" w:eastAsiaTheme="minorEastAsia" w:hAnsiTheme="minorHAnsi" w:cstheme="minorBidi"/>
          <w:noProof/>
          <w:color w:val="auto"/>
          <w:sz w:val="22"/>
          <w:lang w:eastAsia="en-GB"/>
        </w:rPr>
      </w:pPr>
      <w:r>
        <w:rPr>
          <w:noProof/>
        </w:rPr>
        <w:t>Evidence-based lifestyle and self-management recommendations</w:t>
      </w:r>
      <w:r>
        <w:rPr>
          <w:noProof/>
        </w:rPr>
        <w:tab/>
      </w:r>
      <w:r>
        <w:rPr>
          <w:noProof/>
        </w:rPr>
        <w:fldChar w:fldCharType="begin"/>
      </w:r>
      <w:r>
        <w:rPr>
          <w:noProof/>
        </w:rPr>
        <w:instrText xml:space="preserve"> PAGEREF _Toc242547534 \h </w:instrText>
      </w:r>
      <w:r>
        <w:rPr>
          <w:noProof/>
        </w:rPr>
      </w:r>
      <w:r>
        <w:rPr>
          <w:noProof/>
        </w:rPr>
        <w:fldChar w:fldCharType="separate"/>
      </w:r>
      <w:r>
        <w:rPr>
          <w:noProof/>
        </w:rPr>
        <w:t>7</w:t>
      </w:r>
      <w:r>
        <w:rPr>
          <w:noProof/>
        </w:rPr>
        <w:fldChar w:fldCharType="end"/>
      </w:r>
    </w:p>
    <w:p w14:paraId="548ECAAD" w14:textId="77777777" w:rsidR="00DB1F6A" w:rsidRDefault="00DB1F6A">
      <w:pPr>
        <w:pStyle w:val="TOC1"/>
        <w:rPr>
          <w:rFonts w:asciiTheme="minorHAnsi" w:eastAsiaTheme="minorEastAsia" w:hAnsiTheme="minorHAnsi" w:cstheme="minorBidi"/>
          <w:noProof/>
          <w:color w:val="auto"/>
          <w:sz w:val="22"/>
          <w:lang w:eastAsia="en-GB"/>
        </w:rPr>
      </w:pPr>
      <w:r>
        <w:rPr>
          <w:noProof/>
        </w:rPr>
        <w:t>Conclusion</w:t>
      </w:r>
      <w:r>
        <w:rPr>
          <w:noProof/>
        </w:rPr>
        <w:tab/>
      </w:r>
      <w:r>
        <w:rPr>
          <w:noProof/>
        </w:rPr>
        <w:fldChar w:fldCharType="begin"/>
      </w:r>
      <w:r>
        <w:rPr>
          <w:noProof/>
        </w:rPr>
        <w:instrText xml:space="preserve"> PAGEREF _Toc242547535 \h </w:instrText>
      </w:r>
      <w:r>
        <w:rPr>
          <w:noProof/>
        </w:rPr>
      </w:r>
      <w:r>
        <w:rPr>
          <w:noProof/>
        </w:rPr>
        <w:fldChar w:fldCharType="separate"/>
      </w:r>
      <w:r>
        <w:rPr>
          <w:noProof/>
        </w:rPr>
        <w:t>8</w:t>
      </w:r>
      <w:r>
        <w:rPr>
          <w:noProof/>
        </w:rPr>
        <w:fldChar w:fldCharType="end"/>
      </w:r>
    </w:p>
    <w:p w14:paraId="0502410B" w14:textId="77777777" w:rsidR="00DB1F6A" w:rsidRDefault="00DB1F6A">
      <w:pPr>
        <w:pStyle w:val="TOC1"/>
        <w:rPr>
          <w:rFonts w:asciiTheme="minorHAnsi" w:eastAsiaTheme="minorEastAsia" w:hAnsiTheme="minorHAnsi" w:cstheme="minorBidi"/>
          <w:noProof/>
          <w:color w:val="auto"/>
          <w:sz w:val="22"/>
          <w:lang w:eastAsia="en-GB"/>
        </w:rPr>
      </w:pPr>
      <w:r>
        <w:rPr>
          <w:noProof/>
        </w:rPr>
        <w:t>References</w:t>
      </w:r>
      <w:r>
        <w:rPr>
          <w:noProof/>
        </w:rPr>
        <w:tab/>
      </w:r>
      <w:r>
        <w:rPr>
          <w:noProof/>
        </w:rPr>
        <w:fldChar w:fldCharType="begin"/>
      </w:r>
      <w:r>
        <w:rPr>
          <w:noProof/>
        </w:rPr>
        <w:instrText xml:space="preserve"> PAGEREF _Toc242547536 \h </w:instrText>
      </w:r>
      <w:r>
        <w:rPr>
          <w:noProof/>
        </w:rPr>
      </w:r>
      <w:r>
        <w:rPr>
          <w:noProof/>
        </w:rPr>
        <w:fldChar w:fldCharType="separate"/>
      </w:r>
      <w:r>
        <w:rPr>
          <w:noProof/>
        </w:rPr>
        <w:t>10</w:t>
      </w:r>
      <w:r>
        <w:rPr>
          <w:noProof/>
        </w:rPr>
        <w:fldChar w:fldCharType="end"/>
      </w:r>
    </w:p>
    <w:p w14:paraId="4285EF94" w14:textId="77777777" w:rsidR="005901D0" w:rsidRPr="00752C57" w:rsidRDefault="00793373" w:rsidP="005901D0">
      <w:pPr>
        <w:pStyle w:val="TOC1"/>
        <w:rPr>
          <w:rFonts w:cs="Times New Roman"/>
          <w:color w:val="auto"/>
          <w:szCs w:val="24"/>
        </w:rPr>
      </w:pPr>
      <w:r w:rsidRPr="00752C57">
        <w:rPr>
          <w:rFonts w:cs="Times New Roman"/>
          <w:color w:val="auto"/>
        </w:rPr>
        <w:fldChar w:fldCharType="end"/>
      </w:r>
    </w:p>
    <w:p w14:paraId="2744DD87" w14:textId="77777777" w:rsidR="00793373" w:rsidRPr="00DB1F6A" w:rsidRDefault="00DB1F6A" w:rsidP="00DB1F6A">
      <w:pPr>
        <w:jc w:val="center"/>
        <w:rPr>
          <w:b/>
          <w:color w:val="auto"/>
          <w:sz w:val="28"/>
          <w:szCs w:val="24"/>
        </w:rPr>
      </w:pPr>
      <w:r w:rsidRPr="00DB1F6A">
        <w:rPr>
          <w:b/>
          <w:color w:val="auto"/>
          <w:sz w:val="28"/>
          <w:szCs w:val="24"/>
        </w:rPr>
        <w:t>List of Tables</w:t>
      </w:r>
    </w:p>
    <w:p w14:paraId="17F358F1" w14:textId="77777777" w:rsidR="00DB1F6A" w:rsidRDefault="00DB1F6A">
      <w:pPr>
        <w:pStyle w:val="TableofFigures"/>
        <w:tabs>
          <w:tab w:val="right" w:leader="dot" w:pos="9350"/>
        </w:tabs>
        <w:rPr>
          <w:rFonts w:asciiTheme="minorHAnsi" w:eastAsiaTheme="minorEastAsia" w:hAnsiTheme="minorHAnsi" w:cstheme="minorBidi"/>
          <w:noProof/>
          <w:color w:val="auto"/>
          <w:sz w:val="22"/>
          <w:lang w:eastAsia="en-GB"/>
        </w:rPr>
      </w:pPr>
      <w:r>
        <w:rPr>
          <w:color w:val="auto"/>
          <w:szCs w:val="24"/>
        </w:rPr>
        <w:fldChar w:fldCharType="begin"/>
      </w:r>
      <w:r>
        <w:rPr>
          <w:color w:val="auto"/>
          <w:szCs w:val="24"/>
        </w:rPr>
        <w:instrText xml:space="preserve"> TOC \h \z \c "Table" </w:instrText>
      </w:r>
      <w:r>
        <w:rPr>
          <w:color w:val="auto"/>
          <w:szCs w:val="24"/>
        </w:rPr>
        <w:fldChar w:fldCharType="separate"/>
      </w:r>
      <w:hyperlink w:anchor="_Toc242547545" w:history="1">
        <w:r w:rsidRPr="000B3963">
          <w:rPr>
            <w:rStyle w:val="Hyperlink"/>
            <w:noProof/>
          </w:rPr>
          <w:t>Table 1: Relationship between respiratory structure, function and asthma-related impairment</w:t>
        </w:r>
        <w:r>
          <w:rPr>
            <w:noProof/>
            <w:webHidden/>
          </w:rPr>
          <w:tab/>
        </w:r>
        <w:r>
          <w:rPr>
            <w:noProof/>
            <w:webHidden/>
          </w:rPr>
          <w:fldChar w:fldCharType="begin"/>
        </w:r>
        <w:r>
          <w:rPr>
            <w:noProof/>
            <w:webHidden/>
          </w:rPr>
          <w:instrText xml:space="preserve"> PAGEREF _Toc242547545 \h </w:instrText>
        </w:r>
        <w:r>
          <w:rPr>
            <w:noProof/>
            <w:webHidden/>
          </w:rPr>
        </w:r>
        <w:r>
          <w:rPr>
            <w:noProof/>
            <w:webHidden/>
          </w:rPr>
          <w:fldChar w:fldCharType="separate"/>
        </w:r>
        <w:r>
          <w:rPr>
            <w:noProof/>
            <w:webHidden/>
          </w:rPr>
          <w:t>4</w:t>
        </w:r>
        <w:r>
          <w:rPr>
            <w:noProof/>
            <w:webHidden/>
          </w:rPr>
          <w:fldChar w:fldCharType="end"/>
        </w:r>
      </w:hyperlink>
    </w:p>
    <w:p w14:paraId="6DA7C14E" w14:textId="77777777" w:rsidR="00DB1F6A" w:rsidRDefault="00DB1F6A">
      <w:pPr>
        <w:pStyle w:val="TableofFigures"/>
        <w:tabs>
          <w:tab w:val="right" w:leader="dot" w:pos="9350"/>
        </w:tabs>
        <w:rPr>
          <w:rFonts w:asciiTheme="minorHAnsi" w:eastAsiaTheme="minorEastAsia" w:hAnsiTheme="minorHAnsi" w:cstheme="minorBidi"/>
          <w:noProof/>
          <w:color w:val="auto"/>
          <w:sz w:val="22"/>
          <w:lang w:eastAsia="en-GB"/>
        </w:rPr>
      </w:pPr>
      <w:hyperlink w:anchor="_Toc242547546" w:history="1">
        <w:r w:rsidRPr="000B3963">
          <w:rPr>
            <w:rStyle w:val="Hyperlink"/>
            <w:noProof/>
          </w:rPr>
          <w:t>Table 2: Routine asthma data: value, limitation and appropriate interpretation</w:t>
        </w:r>
        <w:r>
          <w:rPr>
            <w:noProof/>
            <w:webHidden/>
          </w:rPr>
          <w:tab/>
        </w:r>
        <w:r>
          <w:rPr>
            <w:noProof/>
            <w:webHidden/>
          </w:rPr>
          <w:fldChar w:fldCharType="begin"/>
        </w:r>
        <w:r>
          <w:rPr>
            <w:noProof/>
            <w:webHidden/>
          </w:rPr>
          <w:instrText xml:space="preserve"> PAGEREF _Toc242547546 \h </w:instrText>
        </w:r>
        <w:r>
          <w:rPr>
            <w:noProof/>
            <w:webHidden/>
          </w:rPr>
        </w:r>
        <w:r>
          <w:rPr>
            <w:noProof/>
            <w:webHidden/>
          </w:rPr>
          <w:fldChar w:fldCharType="separate"/>
        </w:r>
        <w:r>
          <w:rPr>
            <w:noProof/>
            <w:webHidden/>
          </w:rPr>
          <w:t>7</w:t>
        </w:r>
        <w:r>
          <w:rPr>
            <w:noProof/>
            <w:webHidden/>
          </w:rPr>
          <w:fldChar w:fldCharType="end"/>
        </w:r>
      </w:hyperlink>
    </w:p>
    <w:p w14:paraId="57AFD089" w14:textId="77777777" w:rsidR="00DB1F6A" w:rsidRPr="00752C57" w:rsidRDefault="00DB1F6A">
      <w:pPr>
        <w:rPr>
          <w:color w:val="auto"/>
          <w:szCs w:val="24"/>
        </w:rPr>
      </w:pPr>
      <w:r>
        <w:rPr>
          <w:color w:val="auto"/>
          <w:szCs w:val="24"/>
        </w:rPr>
        <w:fldChar w:fldCharType="end"/>
      </w:r>
    </w:p>
    <w:p w14:paraId="0EDFF3B6" w14:textId="77777777" w:rsidR="00FA3835" w:rsidRPr="00752C57" w:rsidRDefault="00FA3835">
      <w:pPr>
        <w:rPr>
          <w:color w:val="auto"/>
          <w:szCs w:val="24"/>
        </w:rPr>
      </w:pPr>
    </w:p>
    <w:p w14:paraId="40953BB9" w14:textId="77777777" w:rsidR="00FA3835" w:rsidRPr="00752C57" w:rsidRDefault="00FA3835">
      <w:pPr>
        <w:rPr>
          <w:color w:val="auto"/>
          <w:szCs w:val="24"/>
        </w:rPr>
      </w:pPr>
    </w:p>
    <w:p w14:paraId="3821014C" w14:textId="77777777" w:rsidR="0093725C" w:rsidRDefault="006407FE" w:rsidP="00F623A0">
      <w:pPr>
        <w:pStyle w:val="Heading1"/>
        <w:ind w:left="0" w:firstLine="0"/>
      </w:pPr>
      <w:r w:rsidRPr="00752C57">
        <w:br w:type="page"/>
      </w:r>
      <w:bookmarkStart w:id="0" w:name="_Toc242547529"/>
      <w:r w:rsidR="00607926" w:rsidRPr="00752C57">
        <w:t>Introduction</w:t>
      </w:r>
      <w:bookmarkEnd w:id="0"/>
    </w:p>
    <w:p w14:paraId="653B9953" w14:textId="77777777" w:rsidR="00EB1617" w:rsidRDefault="00846D69" w:rsidP="00EB1617">
      <w:r w:rsidRPr="00846D69">
        <w:t>Asthma is a multi-faceted chronic disease that encompasses the airways with symptom variability as well as variable expiratory airway obstruction. Symptoms such as wheezing, cough, chest tightness, and shortness of breath occur because of the cumulative effect of several causes including airway inflammation, airway hyper-responsiveness, and contraction of airway smooth muscles. Symptoms and obstruction vary among individuals and even with time. Consequently, asthma should not be viewed as a homogenous disease (Global Initiative for Asthma, 2024).</w:t>
      </w:r>
    </w:p>
    <w:p w14:paraId="3A75E164" w14:textId="77777777" w:rsidR="00EB1617" w:rsidRDefault="00EB1617" w:rsidP="00EB1617">
      <w:r>
        <w:tab/>
      </w:r>
      <w:r w:rsidR="00846D69" w:rsidRPr="00846D69">
        <w:t>Adolescence is considered a proper time for prevention since at this age individuals become more independent, there are peer influences and the change of their social environment which can result in their greater vulnerability to cigarette smoke, emissions from e-cigarettes, and respiratory infections, as well as their compliance with treatment. In England, asthma was diagnosed by the primary care register in 6.6% of people aged six or older in 2024/25 which shows how significant the disease is concerning services provision although it does not represent the prevalence rate among adolescents (Department of Health and Social Care, 2026). It is vital to separate risk factors and triggers of asthma development.</w:t>
      </w:r>
    </w:p>
    <w:p w14:paraId="575483CE" w14:textId="77777777" w:rsidR="00EB1617" w:rsidRDefault="00EB1617" w:rsidP="00EB1617">
      <w:r>
        <w:tab/>
      </w:r>
      <w:r w:rsidRPr="00EB1617">
        <w:t>In this paper, there is a critical discussion of respiratory physiology and mechanics of breathing, pulmonary gas exchange, asthma physiology, as well as respiratory information and treatments for adolescents. The core idea is that safer management of the condition relies on bridging physiological knowledge and proper monitoring and treatment.</w:t>
      </w:r>
    </w:p>
    <w:p w14:paraId="605164CE" w14:textId="77777777" w:rsidR="00F20E70" w:rsidRDefault="00F20E70" w:rsidP="00F20E70">
      <w:pPr>
        <w:pStyle w:val="Heading1"/>
      </w:pPr>
      <w:bookmarkStart w:id="1" w:name="_Toc242547530"/>
      <w:r>
        <w:t>Pulmonary gas exchange</w:t>
      </w:r>
      <w:bookmarkEnd w:id="1"/>
    </w:p>
    <w:p w14:paraId="2D950D0D" w14:textId="77777777" w:rsidR="00F20E70" w:rsidRDefault="00846D69" w:rsidP="00F20E70">
      <w:r w:rsidRPr="00846D69">
        <w:t xml:space="preserve">The alveoli are air-filled chambers that have a thin membrane wall adjacent to the pulmonary capillaries. The alveoli play an essential role in the process of gas exchange because they are large in number, have short diffusion distance and good blood supply. </w:t>
      </w:r>
      <w:r w:rsidR="009E6830" w:rsidRPr="009E6830">
        <w:t xml:space="preserve">Oxygen travels from the alveoli to the blood because of the pressure difference between the two. The oxygen in the blood gets carried through the </w:t>
      </w:r>
      <w:r w:rsidR="0092031F" w:rsidRPr="009E6830">
        <w:t>haemoglobin</w:t>
      </w:r>
      <w:r w:rsidR="009E6830" w:rsidRPr="009E6830">
        <w:t xml:space="preserve"> in the blood. Carbon dioxide leaves the blood and goes to the alveoli in its gaseous state.</w:t>
      </w:r>
    </w:p>
    <w:p w14:paraId="4A2279DF" w14:textId="77777777" w:rsidR="00F20E70" w:rsidRPr="00F20E70" w:rsidRDefault="00F20E70" w:rsidP="00F20E70">
      <w:r>
        <w:tab/>
      </w:r>
      <w:r w:rsidRPr="00F20E70">
        <w:t>In asthma, the narrowed airways lead to an uneven ventilation. There are some alveoli that get less new air compared to their blood supply leading to ventilation perfusion mismatch and may reduce oxygenation in the arterial blood during an acute attack. Retention of carbon dioxide is a possibility when there is obstruction and respiratory fatigue to a large degree, but it is not supposed to be regarded as something that always happens in mil</w:t>
      </w:r>
      <w:r w:rsidR="001C7522">
        <w:t>d asthma.</w:t>
      </w:r>
    </w:p>
    <w:p w14:paraId="27AA4B29" w14:textId="77777777" w:rsidR="00F20E70" w:rsidRDefault="00F20E70" w:rsidP="00F20E70">
      <w:pPr>
        <w:pStyle w:val="Caption"/>
        <w:keepNext/>
        <w:jc w:val="center"/>
      </w:pPr>
      <w:bookmarkStart w:id="2" w:name="_Toc242547545"/>
      <w:r>
        <w:t xml:space="preserve">Table </w:t>
      </w:r>
      <w:r w:rsidR="00716195">
        <w:fldChar w:fldCharType="begin"/>
      </w:r>
      <w:r w:rsidR="00716195">
        <w:instrText xml:space="preserve"> SEQ Table \* ARABIC </w:instrText>
      </w:r>
      <w:r w:rsidR="00716195">
        <w:fldChar w:fldCharType="separate"/>
      </w:r>
      <w:r w:rsidR="00A64D2F">
        <w:rPr>
          <w:noProof/>
        </w:rPr>
        <w:t>1</w:t>
      </w:r>
      <w:r w:rsidR="00716195">
        <w:rPr>
          <w:noProof/>
        </w:rPr>
        <w:fldChar w:fldCharType="end"/>
      </w:r>
      <w:r>
        <w:t xml:space="preserve">: </w:t>
      </w:r>
      <w:r w:rsidRPr="004745A3">
        <w:t>Relationship between respiratory structure, function and asthma-related impairment</w:t>
      </w:r>
      <w:bookmarkEnd w:id="2"/>
    </w:p>
    <w:tbl>
      <w:tblPr>
        <w:tblStyle w:val="GridTable4-Accent2"/>
        <w:tblW w:w="0" w:type="auto"/>
        <w:tblLook w:val="04A0" w:firstRow="1" w:lastRow="0" w:firstColumn="1" w:lastColumn="0" w:noHBand="0" w:noVBand="1"/>
      </w:tblPr>
      <w:tblGrid>
        <w:gridCol w:w="3143"/>
        <w:gridCol w:w="3091"/>
        <w:gridCol w:w="3116"/>
      </w:tblGrid>
      <w:tr w:rsidR="00F20E70" w:rsidRPr="00F20E70" w14:paraId="12F695EA" w14:textId="77777777" w:rsidTr="001C7522">
        <w:trPr>
          <w:cnfStyle w:val="100000000000" w:firstRow="1" w:lastRow="0" w:firstColumn="0" w:lastColumn="0" w:oddVBand="0" w:evenVBand="0" w:oddHBand="0"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3143" w:type="dxa"/>
            <w:hideMark/>
          </w:tcPr>
          <w:p w14:paraId="4B1233FE" w14:textId="77777777" w:rsidR="00F20E70" w:rsidRPr="00F20E70" w:rsidRDefault="00F20E70" w:rsidP="00F20E70">
            <w:pPr>
              <w:rPr>
                <w:lang w:val="en-US"/>
              </w:rPr>
            </w:pPr>
            <w:r w:rsidRPr="00F20E70">
              <w:rPr>
                <w:lang w:val="en-US"/>
              </w:rPr>
              <w:t>Structure/process</w:t>
            </w:r>
          </w:p>
        </w:tc>
        <w:tc>
          <w:tcPr>
            <w:tcW w:w="3091" w:type="dxa"/>
            <w:hideMark/>
          </w:tcPr>
          <w:p w14:paraId="146177C9" w14:textId="77777777" w:rsidR="00F20E70" w:rsidRPr="00F20E70" w:rsidRDefault="00F20E70" w:rsidP="00F20E70">
            <w:pPr>
              <w:cnfStyle w:val="100000000000" w:firstRow="1" w:lastRow="0" w:firstColumn="0" w:lastColumn="0" w:oddVBand="0" w:evenVBand="0" w:oddHBand="0" w:evenHBand="0" w:firstRowFirstColumn="0" w:firstRowLastColumn="0" w:lastRowFirstColumn="0" w:lastRowLastColumn="0"/>
              <w:rPr>
                <w:lang w:val="en-US"/>
              </w:rPr>
            </w:pPr>
            <w:r w:rsidRPr="00F20E70">
              <w:rPr>
                <w:lang w:val="en-US"/>
              </w:rPr>
              <w:t>Normal function</w:t>
            </w:r>
          </w:p>
        </w:tc>
        <w:tc>
          <w:tcPr>
            <w:tcW w:w="3116" w:type="dxa"/>
            <w:hideMark/>
          </w:tcPr>
          <w:p w14:paraId="7A3D0BB2" w14:textId="77777777" w:rsidR="00F20E70" w:rsidRPr="00F20E70" w:rsidRDefault="00F20E70" w:rsidP="00F20E70">
            <w:pPr>
              <w:cnfStyle w:val="100000000000" w:firstRow="1" w:lastRow="0" w:firstColumn="0" w:lastColumn="0" w:oddVBand="0" w:evenVBand="0" w:oddHBand="0" w:evenHBand="0" w:firstRowFirstColumn="0" w:firstRowLastColumn="0" w:lastRowFirstColumn="0" w:lastRowLastColumn="0"/>
              <w:rPr>
                <w:lang w:val="en-US"/>
              </w:rPr>
            </w:pPr>
            <w:r w:rsidRPr="00F20E70">
              <w:rPr>
                <w:lang w:val="en-US"/>
              </w:rPr>
              <w:t>Relevance to asthma</w:t>
            </w:r>
          </w:p>
        </w:tc>
      </w:tr>
      <w:tr w:rsidR="00F20E70" w:rsidRPr="00F20E70" w14:paraId="7F8671D2" w14:textId="77777777" w:rsidTr="001C7522">
        <w:trPr>
          <w:cnfStyle w:val="000000100000" w:firstRow="0" w:lastRow="0" w:firstColumn="0" w:lastColumn="0" w:oddVBand="0" w:evenVBand="0" w:oddHBand="1" w:evenHBand="0" w:firstRowFirstColumn="0" w:firstRowLastColumn="0" w:lastRowFirstColumn="0" w:lastRowLastColumn="0"/>
          <w:trHeight w:val="1974"/>
        </w:trPr>
        <w:tc>
          <w:tcPr>
            <w:cnfStyle w:val="001000000000" w:firstRow="0" w:lastRow="0" w:firstColumn="1" w:lastColumn="0" w:oddVBand="0" w:evenVBand="0" w:oddHBand="0" w:evenHBand="0" w:firstRowFirstColumn="0" w:firstRowLastColumn="0" w:lastRowFirstColumn="0" w:lastRowLastColumn="0"/>
            <w:tcW w:w="3143" w:type="dxa"/>
            <w:hideMark/>
          </w:tcPr>
          <w:p w14:paraId="18E1FB37" w14:textId="77777777" w:rsidR="00F20E70" w:rsidRPr="00F20E70" w:rsidRDefault="00F20E70" w:rsidP="00F20E70">
            <w:pPr>
              <w:rPr>
                <w:lang w:val="en-US"/>
              </w:rPr>
            </w:pPr>
            <w:r w:rsidRPr="00F20E70">
              <w:rPr>
                <w:lang w:val="en-US"/>
              </w:rPr>
              <w:t>Bronchi and bronchioles</w:t>
            </w:r>
          </w:p>
        </w:tc>
        <w:tc>
          <w:tcPr>
            <w:tcW w:w="3091" w:type="dxa"/>
            <w:hideMark/>
          </w:tcPr>
          <w:p w14:paraId="306F3237" w14:textId="77777777" w:rsidR="00F20E70" w:rsidRPr="00F20E70" w:rsidRDefault="00F20E70" w:rsidP="00B45310">
            <w:pPr>
              <w:cnfStyle w:val="000000100000" w:firstRow="0" w:lastRow="0" w:firstColumn="0" w:lastColumn="0" w:oddVBand="0" w:evenVBand="0" w:oddHBand="1" w:evenHBand="0" w:firstRowFirstColumn="0" w:firstRowLastColumn="0" w:lastRowFirstColumn="0" w:lastRowLastColumn="0"/>
              <w:rPr>
                <w:lang w:val="en-US"/>
              </w:rPr>
            </w:pPr>
            <w:r w:rsidRPr="00F20E70">
              <w:rPr>
                <w:lang w:val="en-US"/>
              </w:rPr>
              <w:t>Conduct air</w:t>
            </w:r>
            <w:r w:rsidR="00B45310">
              <w:rPr>
                <w:lang w:val="en-US"/>
              </w:rPr>
              <w:t>,</w:t>
            </w:r>
            <w:r w:rsidRPr="00F20E70">
              <w:rPr>
                <w:lang w:val="en-US"/>
              </w:rPr>
              <w:t xml:space="preserve"> smooth muscle regulates calibre.</w:t>
            </w:r>
          </w:p>
        </w:tc>
        <w:tc>
          <w:tcPr>
            <w:tcW w:w="3116" w:type="dxa"/>
            <w:hideMark/>
          </w:tcPr>
          <w:p w14:paraId="34E63B87" w14:textId="77777777" w:rsidR="00F20E70" w:rsidRPr="00F20E70" w:rsidRDefault="00F20E70" w:rsidP="00F20E70">
            <w:pPr>
              <w:cnfStyle w:val="000000100000" w:firstRow="0" w:lastRow="0" w:firstColumn="0" w:lastColumn="0" w:oddVBand="0" w:evenVBand="0" w:oddHBand="1" w:evenHBand="0" w:firstRowFirstColumn="0" w:firstRowLastColumn="0" w:lastRowFirstColumn="0" w:lastRowLastColumn="0"/>
              <w:rPr>
                <w:lang w:val="en-US"/>
              </w:rPr>
            </w:pPr>
            <w:r w:rsidRPr="00F20E70">
              <w:rPr>
                <w:lang w:val="en-US"/>
              </w:rPr>
              <w:t>Inflammation, muscle contraction and oedema narrow the lumen and increase resistance.</w:t>
            </w:r>
          </w:p>
        </w:tc>
      </w:tr>
      <w:tr w:rsidR="00F20E70" w:rsidRPr="00F20E70" w14:paraId="2A51922C" w14:textId="77777777" w:rsidTr="001C7522">
        <w:trPr>
          <w:trHeight w:val="1974"/>
        </w:trPr>
        <w:tc>
          <w:tcPr>
            <w:cnfStyle w:val="001000000000" w:firstRow="0" w:lastRow="0" w:firstColumn="1" w:lastColumn="0" w:oddVBand="0" w:evenVBand="0" w:oddHBand="0" w:evenHBand="0" w:firstRowFirstColumn="0" w:firstRowLastColumn="0" w:lastRowFirstColumn="0" w:lastRowLastColumn="0"/>
            <w:tcW w:w="3143" w:type="dxa"/>
            <w:hideMark/>
          </w:tcPr>
          <w:p w14:paraId="63C985F0" w14:textId="77777777" w:rsidR="00F20E70" w:rsidRPr="00F20E70" w:rsidRDefault="00F20E70" w:rsidP="00F20E70">
            <w:pPr>
              <w:rPr>
                <w:lang w:val="en-US"/>
              </w:rPr>
            </w:pPr>
            <w:r w:rsidRPr="00F20E70">
              <w:rPr>
                <w:lang w:val="en-US"/>
              </w:rPr>
              <w:t>Diaphragm and intercostal muscles</w:t>
            </w:r>
          </w:p>
        </w:tc>
        <w:tc>
          <w:tcPr>
            <w:tcW w:w="3091" w:type="dxa"/>
            <w:hideMark/>
          </w:tcPr>
          <w:p w14:paraId="452443BF" w14:textId="77777777" w:rsidR="00F20E70" w:rsidRPr="00F20E70" w:rsidRDefault="00F20E70" w:rsidP="00F20E70">
            <w:pPr>
              <w:cnfStyle w:val="000000000000" w:firstRow="0" w:lastRow="0" w:firstColumn="0" w:lastColumn="0" w:oddVBand="0" w:evenVBand="0" w:oddHBand="0" w:evenHBand="0" w:firstRowFirstColumn="0" w:firstRowLastColumn="0" w:lastRowFirstColumn="0" w:lastRowLastColumn="0"/>
              <w:rPr>
                <w:lang w:val="en-US"/>
              </w:rPr>
            </w:pPr>
            <w:r w:rsidRPr="00F20E70">
              <w:rPr>
                <w:lang w:val="en-US"/>
              </w:rPr>
              <w:t>Change thoracic volume to create pressure gradients for ventilation.</w:t>
            </w:r>
          </w:p>
        </w:tc>
        <w:tc>
          <w:tcPr>
            <w:tcW w:w="3116" w:type="dxa"/>
            <w:hideMark/>
          </w:tcPr>
          <w:p w14:paraId="1B47BE05" w14:textId="77777777" w:rsidR="00F20E70" w:rsidRPr="00F20E70" w:rsidRDefault="00F20E70" w:rsidP="00B45310">
            <w:pPr>
              <w:cnfStyle w:val="000000000000" w:firstRow="0" w:lastRow="0" w:firstColumn="0" w:lastColumn="0" w:oddVBand="0" w:evenVBand="0" w:oddHBand="0" w:evenHBand="0" w:firstRowFirstColumn="0" w:firstRowLastColumn="0" w:lastRowFirstColumn="0" w:lastRowLastColumn="0"/>
              <w:rPr>
                <w:lang w:val="en-US"/>
              </w:rPr>
            </w:pPr>
            <w:r w:rsidRPr="00F20E70">
              <w:rPr>
                <w:lang w:val="en-US"/>
              </w:rPr>
              <w:t>Increased breathing effort may be required during obstruction</w:t>
            </w:r>
            <w:r w:rsidR="00B45310">
              <w:rPr>
                <w:lang w:val="en-US"/>
              </w:rPr>
              <w:t>,</w:t>
            </w:r>
            <w:r w:rsidRPr="00F20E70">
              <w:rPr>
                <w:lang w:val="en-US"/>
              </w:rPr>
              <w:t xml:space="preserve"> fatigue is concerning in severe attacks.</w:t>
            </w:r>
          </w:p>
        </w:tc>
      </w:tr>
      <w:tr w:rsidR="00F20E70" w:rsidRPr="00F20E70" w14:paraId="641CD06F" w14:textId="77777777" w:rsidTr="001C7522">
        <w:trPr>
          <w:cnfStyle w:val="000000100000" w:firstRow="0" w:lastRow="0" w:firstColumn="0" w:lastColumn="0" w:oddVBand="0" w:evenVBand="0" w:oddHBand="1" w:evenHBand="0" w:firstRowFirstColumn="0" w:firstRowLastColumn="0" w:lastRowFirstColumn="0" w:lastRowLastColumn="0"/>
          <w:trHeight w:val="1974"/>
        </w:trPr>
        <w:tc>
          <w:tcPr>
            <w:cnfStyle w:val="001000000000" w:firstRow="0" w:lastRow="0" w:firstColumn="1" w:lastColumn="0" w:oddVBand="0" w:evenVBand="0" w:oddHBand="0" w:evenHBand="0" w:firstRowFirstColumn="0" w:firstRowLastColumn="0" w:lastRowFirstColumn="0" w:lastRowLastColumn="0"/>
            <w:tcW w:w="3143" w:type="dxa"/>
            <w:hideMark/>
          </w:tcPr>
          <w:p w14:paraId="166158FC" w14:textId="77777777" w:rsidR="00F20E70" w:rsidRPr="00F20E70" w:rsidRDefault="00F20E70" w:rsidP="00F20E70">
            <w:pPr>
              <w:rPr>
                <w:lang w:val="en-US"/>
              </w:rPr>
            </w:pPr>
            <w:r w:rsidRPr="00F20E70">
              <w:rPr>
                <w:lang w:val="en-US"/>
              </w:rPr>
              <w:t>Alveoli and pulmonary capillaries</w:t>
            </w:r>
          </w:p>
        </w:tc>
        <w:tc>
          <w:tcPr>
            <w:tcW w:w="3091" w:type="dxa"/>
            <w:hideMark/>
          </w:tcPr>
          <w:p w14:paraId="2F9F7B76" w14:textId="77777777" w:rsidR="00F20E70" w:rsidRPr="00F20E70" w:rsidRDefault="0092031F" w:rsidP="00F20E70">
            <w:pPr>
              <w:cnfStyle w:val="000000100000" w:firstRow="0" w:lastRow="0" w:firstColumn="0" w:lastColumn="0" w:oddVBand="0" w:evenVBand="0" w:oddHBand="1" w:evenHBand="0" w:firstRowFirstColumn="0" w:firstRowLastColumn="0" w:lastRowFirstColumn="0" w:lastRowLastColumn="0"/>
              <w:rPr>
                <w:lang w:val="en-US"/>
              </w:rPr>
            </w:pPr>
            <w:r w:rsidRPr="0092031F">
              <w:rPr>
                <w:lang w:val="en-US"/>
              </w:rPr>
              <w:t>Promote the passage of oxygen to blood and carbon dioxide to alveoli.</w:t>
            </w:r>
          </w:p>
        </w:tc>
        <w:tc>
          <w:tcPr>
            <w:tcW w:w="3116" w:type="dxa"/>
            <w:hideMark/>
          </w:tcPr>
          <w:p w14:paraId="14503563" w14:textId="77777777" w:rsidR="00F20E70" w:rsidRPr="00F20E70" w:rsidRDefault="0092031F" w:rsidP="00F20E70">
            <w:pPr>
              <w:cnfStyle w:val="000000100000" w:firstRow="0" w:lastRow="0" w:firstColumn="0" w:lastColumn="0" w:oddVBand="0" w:evenVBand="0" w:oddHBand="1" w:evenHBand="0" w:firstRowFirstColumn="0" w:firstRowLastColumn="0" w:lastRowFirstColumn="0" w:lastRowLastColumn="0"/>
              <w:rPr>
                <w:lang w:val="en-US"/>
              </w:rPr>
            </w:pPr>
            <w:r w:rsidRPr="0092031F">
              <w:rPr>
                <w:lang w:val="en-US"/>
              </w:rPr>
              <w:t>In addition, uneven ventilation leads to ventilation-perfusion mismatch during a severe exacerbation.</w:t>
            </w:r>
          </w:p>
        </w:tc>
      </w:tr>
    </w:tbl>
    <w:p w14:paraId="40751860" w14:textId="77777777" w:rsidR="00EB1617" w:rsidRDefault="00EB1617" w:rsidP="00EB1617">
      <w:pPr>
        <w:pStyle w:val="Heading1"/>
      </w:pPr>
      <w:bookmarkStart w:id="3" w:name="_Toc242547531"/>
      <w:r>
        <w:t>Respiratory anatomy and mechanical respiration</w:t>
      </w:r>
      <w:bookmarkEnd w:id="3"/>
    </w:p>
    <w:p w14:paraId="673503D9" w14:textId="77777777" w:rsidR="00EB1617" w:rsidRDefault="0052081E" w:rsidP="00EB1617">
      <w:r w:rsidRPr="0052081E">
        <w:t>The respiratory system has two main components, namely, the upper respiratory system and the lower respiratory system. The nose and nasal cavities heat, filter, and moisten the air. On the other hand, the pharynx and larynx deliver air to the trachea. The trachea divides into bronchi, which further divide into bronchioles. The cartilage ensures that the air passage is kept open, while smooth muscles of bronchiole walls regulate the airway diameter. Conducting zone allows the passage of air, whereas respiratory zone consisting of alveolar ducts and alveoli performs the gaseous exchange.</w:t>
      </w:r>
    </w:p>
    <w:p w14:paraId="77E18807" w14:textId="77777777" w:rsidR="00EB1617" w:rsidRDefault="00EB1617" w:rsidP="00EB1617">
      <w:r>
        <w:tab/>
      </w:r>
      <w:r w:rsidRPr="00EB1617">
        <w:t>In mechanical breathing, the gradients in pressure occur due to changes in the size of the thorax. Inspiration involves the contraction of the diaphragm to make it flat and contraction of the external intercostals to lift the ribs. As a result, the volume of the thorax increases and intrapulmonary pressure decreases to become less than the atmospheric pressure and the flow of air occurs inward. In quiet expiration, there is relaxation of the respiratory muscles and reduction in the volume of lungs because of the elastic recoil.</w:t>
      </w:r>
    </w:p>
    <w:p w14:paraId="222C5979" w14:textId="77777777" w:rsidR="00EB1617" w:rsidRDefault="00EB1617" w:rsidP="00EB1617">
      <w:r>
        <w:tab/>
      </w:r>
      <w:r w:rsidRPr="00EB1617">
        <w:t xml:space="preserve">With such an increase in resistance to airflow associated with reduction in diameter of the airways, even slight inflammation or smooth muscle contraction will be enough to block air flow through these passages. Narrowing usually occurs more prominently during exhalation, because at this point, intrathoracic pressure acts to compress intrathoracic airways. </w:t>
      </w:r>
    </w:p>
    <w:p w14:paraId="1A714436" w14:textId="77777777" w:rsidR="00EB1617" w:rsidRPr="00EB1617" w:rsidRDefault="00EB1617" w:rsidP="00EB1617">
      <w:pPr>
        <w:numPr>
          <w:ilvl w:val="0"/>
          <w:numId w:val="1"/>
        </w:numPr>
        <w:tabs>
          <w:tab w:val="clear" w:pos="0"/>
        </w:tabs>
        <w:rPr>
          <w:b/>
          <w:bCs/>
          <w:lang w:val="en-US"/>
        </w:rPr>
      </w:pPr>
      <w:r w:rsidRPr="00EB1617">
        <w:rPr>
          <w:b/>
          <w:bCs/>
          <w:lang w:val="en-US"/>
        </w:rPr>
        <w:t>Pulmonary gas exchange</w:t>
      </w:r>
    </w:p>
    <w:p w14:paraId="06528983" w14:textId="77777777" w:rsidR="00EB1617" w:rsidRPr="00EB1617" w:rsidRDefault="00EB1617" w:rsidP="00EB1617">
      <w:pPr>
        <w:rPr>
          <w:lang w:val="en-US"/>
        </w:rPr>
      </w:pPr>
      <w:r w:rsidRPr="00EB1617">
        <w:rPr>
          <w:lang w:val="en-US"/>
        </w:rPr>
        <w:t>The alveoli are air sacs having a very thin wall and are located close to the pulmonary capillaries. The large surface area, short diffusion distance, and profuse blood supply of the alveoli help in efficient gas exchange. The oxygen present in the alveolar air diffuses into the capillary blood because of its high partial pressure, while carbon dioxide diffused from the blood to the alveoli due to its lower partial pressure in the blood.</w:t>
      </w:r>
    </w:p>
    <w:p w14:paraId="27721B6B" w14:textId="77777777" w:rsidR="00037655" w:rsidRPr="00037655" w:rsidRDefault="00EB1617" w:rsidP="00EB1617">
      <w:pPr>
        <w:rPr>
          <w:lang w:val="en-US"/>
        </w:rPr>
      </w:pPr>
      <w:r>
        <w:rPr>
          <w:lang w:val="en-US"/>
        </w:rPr>
        <w:tab/>
      </w:r>
      <w:r w:rsidR="00037655" w:rsidRPr="00037655">
        <w:rPr>
          <w:lang w:val="en-US"/>
        </w:rPr>
        <w:t>As a result of airway constriction in patients with asthma, ventilation becomes uneven, whereby some alveoli have an imbalance between fresh air intake and blood supply, resulting in the development of a ventilation-perfusion mismatch which may lead to poor oxygenation of the arteries during acute exacerbation. Carbon dioxide buildup results from the degree of obstruction and fatigue, but it is not a necessary condition in cases of mild asthma. The clinical significance of this condition will depend on the extent of the obstruction and how ventilation is distributed in the body.</w:t>
      </w:r>
    </w:p>
    <w:p w14:paraId="5F928D85" w14:textId="77777777" w:rsidR="00037655" w:rsidRDefault="00037655" w:rsidP="00037655">
      <w:pPr>
        <w:pStyle w:val="Heading1"/>
      </w:pPr>
      <w:bookmarkStart w:id="4" w:name="_Toc242547532"/>
      <w:r>
        <w:t>Asthma pathophysiology and respiratory impairment</w:t>
      </w:r>
      <w:bookmarkEnd w:id="4"/>
    </w:p>
    <w:p w14:paraId="144C0342" w14:textId="77777777" w:rsidR="00037655" w:rsidRDefault="00037655" w:rsidP="00037655">
      <w:r w:rsidRPr="00037655">
        <w:t>There are inflammatory airways along with high responsiveness to external factors involved in asthma. In case of many patients, type 2 inflammatory pathways are responsible for eosinophilic inflammation, mucus secretion, an</w:t>
      </w:r>
      <w:r>
        <w:t>d bronchial hyperresponsiveness,</w:t>
      </w:r>
      <w:r w:rsidRPr="00037655">
        <w:t xml:space="preserve"> nonetheless, asthma is not homogenous biologically, and thus, not all patients have the same inflammatory response pattern. Hence, an important description of asthma should not consider one immune pathway applicable to everyone. In case of susceptible airways, exposure to any allergen, smoke, or infection may trigger inflammatory and epithelial responses, leading to mediator release and constrict</w:t>
      </w:r>
      <w:r>
        <w:t xml:space="preserve">ion of bronchial smooth muscles </w:t>
      </w:r>
      <w:r w:rsidR="001B549D" w:rsidRPr="001B549D">
        <w:t>(Lambrecht, Ahmed and Hammad, 2025)</w:t>
      </w:r>
      <w:r>
        <w:t>.</w:t>
      </w:r>
    </w:p>
    <w:p w14:paraId="4325A995" w14:textId="77777777" w:rsidR="00037655" w:rsidRDefault="00037655" w:rsidP="00037655">
      <w:r>
        <w:tab/>
      </w:r>
      <w:r w:rsidRPr="00037655">
        <w:t>These three interplay with each other</w:t>
      </w:r>
      <w:r w:rsidR="00B45310">
        <w:t>,</w:t>
      </w:r>
      <w:r w:rsidRPr="00037655">
        <w:t xml:space="preserve"> bronchoconstriction causes reduced airway diameter, while mucosal edema leads to the thickening of the airways, while mucus hypersecretion may cause blockage of the airway lumen. </w:t>
      </w:r>
      <w:r w:rsidR="0052081E" w:rsidRPr="0052081E">
        <w:t>This will mean that there will be high resistance, low expiratory airflow and hence breathing effort will be more. Air trapping occurs due to low expiratory airflow, leading to tightness in the chest and difficulties in breathing.</w:t>
      </w:r>
      <w:r w:rsidR="00846D69" w:rsidRPr="00846D69">
        <w:t xml:space="preserve"> </w:t>
      </w:r>
      <w:r w:rsidR="0052081E" w:rsidRPr="00846D69">
        <w:t>Remodelling</w:t>
      </w:r>
      <w:r w:rsidR="00846D69" w:rsidRPr="00846D69">
        <w:t xml:space="preserve"> of the airways may happen due to inflammation and/or poor control in some patients, leading to partial reversibility in those patients. But not all adolescents have irreversibility of obstruction.</w:t>
      </w:r>
    </w:p>
    <w:p w14:paraId="16E79239" w14:textId="77777777" w:rsidR="00846D69" w:rsidRDefault="00037655" w:rsidP="00037655">
      <w:r>
        <w:tab/>
      </w:r>
      <w:r w:rsidR="00846D69" w:rsidRPr="00846D69">
        <w:t>The tobacco smoke produces irritants, which may trigger respiratory problems, while smoking is associated with management of asthma. From the information synthesi</w:t>
      </w:r>
      <w:r w:rsidR="00F84F6E">
        <w:t>s</w:t>
      </w:r>
      <w:r w:rsidR="00846D69" w:rsidRPr="00846D69">
        <w:t xml:space="preserve">ed, it may be asserted that the exposures to combustible tobacco and e-cigarettes should be taken into account when assessing the impact on asthma outcomes at various levels of certainty of each exposure and outcome type (Agache et al., 2024). Vaping is another type of exposure, not a safe alternative to fresh air because the aerosol content varies depending on the kind of vaping product and fluid used. </w:t>
      </w:r>
      <w:r w:rsidR="00FF05B7" w:rsidRPr="00FF05B7">
        <w:t>According to the findings of a meta-analysis of 10 cross-sectional studies including 483,948 secondary school students, e-cigarettes increased the risk of developing asthma (OR 1.31, 95% CI 1.22-1.42), whereas current use increased the risk even more (OR 1.36, 95% CI 1.26-1.48).</w:t>
      </w:r>
    </w:p>
    <w:p w14:paraId="4CE1470F" w14:textId="77777777" w:rsidR="00EB1617" w:rsidRDefault="00037655" w:rsidP="00037655">
      <w:r>
        <w:t xml:space="preserve"> </w:t>
      </w:r>
      <w:r>
        <w:tab/>
      </w:r>
      <w:r w:rsidRPr="00037655">
        <w:t xml:space="preserve">These findings have no implications of causation due to the cross-sectional nature of the evidence included (Li et al., 2022). Exacerbations may also be caused by respiratory infections, although the exposure will not lead to the same outcomes in each teen since a pediatric study from the emergency department indicated that viral infection and allergy had implications for symptom severity </w:t>
      </w:r>
      <w:r w:rsidR="00673B48" w:rsidRPr="00673B48">
        <w:t>(Dinwiddie et al., 2022)</w:t>
      </w:r>
      <w:r w:rsidRPr="00037655">
        <w:t>.</w:t>
      </w:r>
    </w:p>
    <w:p w14:paraId="796FE6AF" w14:textId="77777777" w:rsidR="00BF3FEB" w:rsidRDefault="00BF3FEB" w:rsidP="00BF3FEB">
      <w:pPr>
        <w:pStyle w:val="Heading1"/>
      </w:pPr>
      <w:bookmarkStart w:id="5" w:name="_Toc242547533"/>
      <w:r>
        <w:t>Respiratory monitoring and routine data</w:t>
      </w:r>
      <w:bookmarkEnd w:id="5"/>
    </w:p>
    <w:p w14:paraId="54F1B86A" w14:textId="77777777" w:rsidR="00BF3FEB" w:rsidRDefault="00BF3FEB" w:rsidP="00BF3FEB">
      <w:r w:rsidRPr="00BF3FEB">
        <w:t>The peak expiratory flow rate (PEF) represents the highest speed of forced exhalation measured with a peak flow meter. If necessary from a clinical point of view, measurement of multiple PEF rates against an individual's personal best will help to detect a decrease in expiratory flow. Symptom scores contribute information on night waking, activity restrictions, coughing, wheezing, and shortness of breath. It is also important to evaluate regular reliever use, compliance with treatment, use of inhalers, frequency of asthma exacerbations, and visits to the emergency room.</w:t>
      </w:r>
    </w:p>
    <w:p w14:paraId="583CA97A" w14:textId="77777777" w:rsidR="00BF3FEB" w:rsidRDefault="00BF3FEB" w:rsidP="00BF3FEB">
      <w:r>
        <w:tab/>
      </w:r>
      <w:r w:rsidRPr="00BF3FEB">
        <w:t>Data are helpful only if they affect decision-making appropriately. Declining values of PEF may require some action in accordance with a written personali</w:t>
      </w:r>
      <w:r w:rsidR="002B02C8">
        <w:t>s</w:t>
      </w:r>
      <w:r w:rsidRPr="00BF3FEB">
        <w:t>ed asthma action plan and review from the clinical perspective</w:t>
      </w:r>
      <w:r w:rsidR="00B45310">
        <w:t>,</w:t>
      </w:r>
      <w:r w:rsidRPr="00BF3FEB">
        <w:t xml:space="preserve"> trends may also provide information about a reaction to therapy. However, PEF is technique-dependent and may be influenced by variability in devices and teaching. Symptom data are also subjective and may be underreported in case adolescents normali</w:t>
      </w:r>
      <w:r w:rsidR="002B02C8">
        <w:t>s</w:t>
      </w:r>
      <w:r w:rsidRPr="00BF3FEB">
        <w:t xml:space="preserve">e breathlessness or do not want to look different from other peers. Electronic diaries and notifications might increase compliance but evidence for digital interventions is scarce because of heterogeneity in study designs, limited follow-ups and description of intervention elements </w:t>
      </w:r>
      <w:r w:rsidR="002439DD" w:rsidRPr="002439DD">
        <w:t>(van Buul et al., 2020)</w:t>
      </w:r>
      <w:r w:rsidRPr="00BF3FEB">
        <w:t>.</w:t>
      </w:r>
    </w:p>
    <w:p w14:paraId="2A3E8789" w14:textId="77777777" w:rsidR="00A64D2F" w:rsidRPr="00A64D2F" w:rsidRDefault="00BF3FEB" w:rsidP="00A64D2F">
      <w:r>
        <w:tab/>
      </w:r>
      <w:r w:rsidRPr="00BF3FEB">
        <w:t>PEF measurement on a routine basis is not essential for every asthmatic patient. The frequency should depend on clinical requirements and should be viewed along with other symptoms. It is stated that at present in the UK, there is a requirement of control status, use of relievers, days off work/school, exacerbation history, treatment compliance and proper usage of inhalers</w:t>
      </w:r>
      <w:r w:rsidR="00B45310">
        <w:t>,</w:t>
      </w:r>
      <w:r w:rsidRPr="00BF3FEB">
        <w:t xml:space="preserve"> personali</w:t>
      </w:r>
      <w:r w:rsidR="002B02C8">
        <w:t>s</w:t>
      </w:r>
      <w:r w:rsidRPr="00BF3FEB">
        <w:t xml:space="preserve">ed management education and planning are recommended </w:t>
      </w:r>
      <w:r w:rsidR="00CB6D37" w:rsidRPr="00CB6D37">
        <w:t>(National Institute for Health and Care Excellence, 2024)</w:t>
      </w:r>
      <w:r w:rsidRPr="00BF3FEB">
        <w:t xml:space="preserve">. </w:t>
      </w:r>
    </w:p>
    <w:p w14:paraId="3BE260EC" w14:textId="77777777" w:rsidR="00A64D2F" w:rsidRDefault="00A64D2F" w:rsidP="00A64D2F">
      <w:pPr>
        <w:pStyle w:val="Caption"/>
        <w:keepNext/>
        <w:jc w:val="center"/>
      </w:pPr>
      <w:bookmarkStart w:id="6" w:name="_Toc242547546"/>
      <w:r>
        <w:t xml:space="preserve">Table </w:t>
      </w:r>
      <w:r w:rsidR="00716195">
        <w:fldChar w:fldCharType="begin"/>
      </w:r>
      <w:r w:rsidR="00716195">
        <w:instrText xml:space="preserve"> SEQ Table \* ARABIC </w:instrText>
      </w:r>
      <w:r w:rsidR="00716195">
        <w:fldChar w:fldCharType="separate"/>
      </w:r>
      <w:r>
        <w:rPr>
          <w:noProof/>
        </w:rPr>
        <w:t>2</w:t>
      </w:r>
      <w:r w:rsidR="00716195">
        <w:rPr>
          <w:noProof/>
        </w:rPr>
        <w:fldChar w:fldCharType="end"/>
      </w:r>
      <w:r>
        <w:t xml:space="preserve">: </w:t>
      </w:r>
      <w:r w:rsidRPr="00E1632C">
        <w:t>Routine asthma data: value, limitation and appropriate interpretation</w:t>
      </w:r>
      <w:bookmarkEnd w:id="6"/>
    </w:p>
    <w:tbl>
      <w:tblPr>
        <w:tblStyle w:val="GridTable4-Accent4"/>
        <w:tblW w:w="0" w:type="auto"/>
        <w:tblLook w:val="04A0" w:firstRow="1" w:lastRow="0" w:firstColumn="1" w:lastColumn="0" w:noHBand="0" w:noVBand="1"/>
      </w:tblPr>
      <w:tblGrid>
        <w:gridCol w:w="3077"/>
        <w:gridCol w:w="3063"/>
        <w:gridCol w:w="3089"/>
      </w:tblGrid>
      <w:tr w:rsidR="00A64D2F" w:rsidRPr="00A64D2F" w14:paraId="1561605E" w14:textId="77777777" w:rsidTr="001C7522">
        <w:trPr>
          <w:cnfStyle w:val="100000000000" w:firstRow="1" w:lastRow="0" w:firstColumn="0" w:lastColumn="0" w:oddVBand="0" w:evenVBand="0" w:oddHBand="0"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3077" w:type="dxa"/>
          </w:tcPr>
          <w:p w14:paraId="76AD0284" w14:textId="77777777" w:rsidR="00A64D2F" w:rsidRPr="00A64D2F" w:rsidRDefault="00A64D2F" w:rsidP="00A64D2F">
            <w:pPr>
              <w:rPr>
                <w:lang w:val="en-US"/>
              </w:rPr>
            </w:pPr>
            <w:r w:rsidRPr="00A64D2F">
              <w:rPr>
                <w:lang w:val="en-US"/>
              </w:rPr>
              <w:t>Data source</w:t>
            </w:r>
          </w:p>
        </w:tc>
        <w:tc>
          <w:tcPr>
            <w:tcW w:w="3063" w:type="dxa"/>
          </w:tcPr>
          <w:p w14:paraId="6646786A" w14:textId="77777777" w:rsidR="00A64D2F" w:rsidRPr="00A64D2F" w:rsidRDefault="00A64D2F" w:rsidP="00A64D2F">
            <w:pPr>
              <w:cnfStyle w:val="100000000000" w:firstRow="1" w:lastRow="0" w:firstColumn="0" w:lastColumn="0" w:oddVBand="0" w:evenVBand="0" w:oddHBand="0" w:evenHBand="0" w:firstRowFirstColumn="0" w:firstRowLastColumn="0" w:lastRowFirstColumn="0" w:lastRowLastColumn="0"/>
              <w:rPr>
                <w:lang w:val="en-US"/>
              </w:rPr>
            </w:pPr>
            <w:r w:rsidRPr="00A64D2F">
              <w:rPr>
                <w:lang w:val="en-US"/>
              </w:rPr>
              <w:t>Potential value</w:t>
            </w:r>
          </w:p>
        </w:tc>
        <w:tc>
          <w:tcPr>
            <w:tcW w:w="3089" w:type="dxa"/>
          </w:tcPr>
          <w:p w14:paraId="38865B17" w14:textId="77777777" w:rsidR="00A64D2F" w:rsidRPr="00A64D2F" w:rsidRDefault="00A64D2F" w:rsidP="00A64D2F">
            <w:pPr>
              <w:cnfStyle w:val="100000000000" w:firstRow="1" w:lastRow="0" w:firstColumn="0" w:lastColumn="0" w:oddVBand="0" w:evenVBand="0" w:oddHBand="0" w:evenHBand="0" w:firstRowFirstColumn="0" w:firstRowLastColumn="0" w:lastRowFirstColumn="0" w:lastRowLastColumn="0"/>
              <w:rPr>
                <w:lang w:val="en-US"/>
              </w:rPr>
            </w:pPr>
            <w:r w:rsidRPr="00A64D2F">
              <w:rPr>
                <w:lang w:val="en-US"/>
              </w:rPr>
              <w:t>Critical limitation / response</w:t>
            </w:r>
          </w:p>
        </w:tc>
      </w:tr>
      <w:tr w:rsidR="00A64D2F" w:rsidRPr="00A64D2F" w14:paraId="391AECFB" w14:textId="77777777" w:rsidTr="001C7522">
        <w:trPr>
          <w:cnfStyle w:val="000000100000" w:firstRow="0" w:lastRow="0" w:firstColumn="0" w:lastColumn="0" w:oddVBand="0" w:evenVBand="0" w:oddHBand="1" w:evenHBand="0" w:firstRowFirstColumn="0" w:firstRowLastColumn="0" w:lastRowFirstColumn="0" w:lastRowLastColumn="0"/>
          <w:trHeight w:val="1571"/>
        </w:trPr>
        <w:tc>
          <w:tcPr>
            <w:cnfStyle w:val="001000000000" w:firstRow="0" w:lastRow="0" w:firstColumn="1" w:lastColumn="0" w:oddVBand="0" w:evenVBand="0" w:oddHBand="0" w:evenHBand="0" w:firstRowFirstColumn="0" w:firstRowLastColumn="0" w:lastRowFirstColumn="0" w:lastRowLastColumn="0"/>
            <w:tcW w:w="3077" w:type="dxa"/>
          </w:tcPr>
          <w:p w14:paraId="53BAB5E9" w14:textId="77777777" w:rsidR="00A64D2F" w:rsidRPr="00A64D2F" w:rsidRDefault="00A64D2F" w:rsidP="00A64D2F">
            <w:pPr>
              <w:rPr>
                <w:lang w:val="en-US"/>
              </w:rPr>
            </w:pPr>
            <w:r w:rsidRPr="00A64D2F">
              <w:rPr>
                <w:lang w:val="en-US"/>
              </w:rPr>
              <w:t>PEF trend, where indicated</w:t>
            </w:r>
          </w:p>
        </w:tc>
        <w:tc>
          <w:tcPr>
            <w:tcW w:w="3063" w:type="dxa"/>
          </w:tcPr>
          <w:p w14:paraId="3CE19B97" w14:textId="77777777" w:rsidR="00A64D2F" w:rsidRPr="00A64D2F" w:rsidRDefault="00A64D2F" w:rsidP="00A64D2F">
            <w:pPr>
              <w:cnfStyle w:val="000000100000" w:firstRow="0" w:lastRow="0" w:firstColumn="0" w:lastColumn="0" w:oddVBand="0" w:evenVBand="0" w:oddHBand="1" w:evenHBand="0" w:firstRowFirstColumn="0" w:firstRowLastColumn="0" w:lastRowFirstColumn="0" w:lastRowLastColumn="0"/>
              <w:rPr>
                <w:lang w:val="en-US"/>
              </w:rPr>
            </w:pPr>
            <w:r w:rsidRPr="00A64D2F">
              <w:rPr>
                <w:lang w:val="en-US"/>
              </w:rPr>
              <w:t>May identify a decline from personal best and support an action plan.</w:t>
            </w:r>
          </w:p>
        </w:tc>
        <w:tc>
          <w:tcPr>
            <w:tcW w:w="3089" w:type="dxa"/>
          </w:tcPr>
          <w:p w14:paraId="361AB192" w14:textId="77777777" w:rsidR="00A64D2F" w:rsidRPr="00A64D2F" w:rsidRDefault="00A64D2F" w:rsidP="00B45310">
            <w:pPr>
              <w:cnfStyle w:val="000000100000" w:firstRow="0" w:lastRow="0" w:firstColumn="0" w:lastColumn="0" w:oddVBand="0" w:evenVBand="0" w:oddHBand="1" w:evenHBand="0" w:firstRowFirstColumn="0" w:firstRowLastColumn="0" w:lastRowFirstColumn="0" w:lastRowLastColumn="0"/>
              <w:rPr>
                <w:lang w:val="en-US"/>
              </w:rPr>
            </w:pPr>
            <w:r w:rsidRPr="00A64D2F">
              <w:rPr>
                <w:lang w:val="en-US"/>
              </w:rPr>
              <w:t>Effort- and technique-dependent</w:t>
            </w:r>
            <w:r w:rsidR="00B45310">
              <w:rPr>
                <w:lang w:val="en-US"/>
              </w:rPr>
              <w:t>,</w:t>
            </w:r>
            <w:r w:rsidRPr="00A64D2F">
              <w:rPr>
                <w:lang w:val="en-US"/>
              </w:rPr>
              <w:t xml:space="preserve"> interpret with symptoms and clinical advice.</w:t>
            </w:r>
          </w:p>
        </w:tc>
      </w:tr>
      <w:tr w:rsidR="00A64D2F" w:rsidRPr="00A64D2F" w14:paraId="58A33EEB" w14:textId="77777777" w:rsidTr="001C7522">
        <w:trPr>
          <w:trHeight w:val="1552"/>
        </w:trPr>
        <w:tc>
          <w:tcPr>
            <w:cnfStyle w:val="001000000000" w:firstRow="0" w:lastRow="0" w:firstColumn="1" w:lastColumn="0" w:oddVBand="0" w:evenVBand="0" w:oddHBand="0" w:evenHBand="0" w:firstRowFirstColumn="0" w:firstRowLastColumn="0" w:lastRowFirstColumn="0" w:lastRowLastColumn="0"/>
            <w:tcW w:w="3077" w:type="dxa"/>
          </w:tcPr>
          <w:p w14:paraId="590222D6" w14:textId="77777777" w:rsidR="00A64D2F" w:rsidRPr="00A64D2F" w:rsidRDefault="00A64D2F" w:rsidP="00A64D2F">
            <w:pPr>
              <w:rPr>
                <w:lang w:val="en-US"/>
              </w:rPr>
            </w:pPr>
            <w:r w:rsidRPr="00A64D2F">
              <w:rPr>
                <w:lang w:val="en-US"/>
              </w:rPr>
              <w:t>Symptoms and night waking</w:t>
            </w:r>
          </w:p>
        </w:tc>
        <w:tc>
          <w:tcPr>
            <w:tcW w:w="3063" w:type="dxa"/>
          </w:tcPr>
          <w:p w14:paraId="41FF5AC9" w14:textId="77777777" w:rsidR="00A64D2F" w:rsidRPr="00A64D2F" w:rsidRDefault="00A64D2F" w:rsidP="00A64D2F">
            <w:pPr>
              <w:cnfStyle w:val="000000000000" w:firstRow="0" w:lastRow="0" w:firstColumn="0" w:lastColumn="0" w:oddVBand="0" w:evenVBand="0" w:oddHBand="0" w:evenHBand="0" w:firstRowFirstColumn="0" w:firstRowLastColumn="0" w:lastRowFirstColumn="0" w:lastRowLastColumn="0"/>
              <w:rPr>
                <w:lang w:val="en-US"/>
              </w:rPr>
            </w:pPr>
            <w:r w:rsidRPr="00A64D2F">
              <w:rPr>
                <w:lang w:val="en-US"/>
              </w:rPr>
              <w:t>Captures lived experience and effects on sleep or activity.</w:t>
            </w:r>
          </w:p>
        </w:tc>
        <w:tc>
          <w:tcPr>
            <w:tcW w:w="3089" w:type="dxa"/>
          </w:tcPr>
          <w:p w14:paraId="7C4AB233" w14:textId="77777777" w:rsidR="00A64D2F" w:rsidRPr="00A64D2F" w:rsidRDefault="00A64D2F" w:rsidP="00B45310">
            <w:pPr>
              <w:cnfStyle w:val="000000000000" w:firstRow="0" w:lastRow="0" w:firstColumn="0" w:lastColumn="0" w:oddVBand="0" w:evenVBand="0" w:oddHBand="0" w:evenHBand="0" w:firstRowFirstColumn="0" w:firstRowLastColumn="0" w:lastRowFirstColumn="0" w:lastRowLastColumn="0"/>
              <w:rPr>
                <w:lang w:val="en-US"/>
              </w:rPr>
            </w:pPr>
            <w:r w:rsidRPr="00A64D2F">
              <w:rPr>
                <w:lang w:val="en-US"/>
              </w:rPr>
              <w:t>Subjective and may be normalised or under-reported</w:t>
            </w:r>
            <w:r w:rsidR="00B45310">
              <w:rPr>
                <w:lang w:val="en-US"/>
              </w:rPr>
              <w:t>,</w:t>
            </w:r>
            <w:r w:rsidRPr="00A64D2F">
              <w:rPr>
                <w:lang w:val="en-US"/>
              </w:rPr>
              <w:t xml:space="preserve"> ask specific questions.</w:t>
            </w:r>
          </w:p>
        </w:tc>
      </w:tr>
      <w:tr w:rsidR="00A64D2F" w:rsidRPr="00A64D2F" w14:paraId="78A34F94" w14:textId="77777777" w:rsidTr="001C7522">
        <w:trPr>
          <w:cnfStyle w:val="000000100000" w:firstRow="0" w:lastRow="0" w:firstColumn="0" w:lastColumn="0" w:oddVBand="0" w:evenVBand="0" w:oddHBand="1" w:evenHBand="0" w:firstRowFirstColumn="0" w:firstRowLastColumn="0" w:lastRowFirstColumn="0" w:lastRowLastColumn="0"/>
          <w:trHeight w:val="1571"/>
        </w:trPr>
        <w:tc>
          <w:tcPr>
            <w:cnfStyle w:val="001000000000" w:firstRow="0" w:lastRow="0" w:firstColumn="1" w:lastColumn="0" w:oddVBand="0" w:evenVBand="0" w:oddHBand="0" w:evenHBand="0" w:firstRowFirstColumn="0" w:firstRowLastColumn="0" w:lastRowFirstColumn="0" w:lastRowLastColumn="0"/>
            <w:tcW w:w="3077" w:type="dxa"/>
          </w:tcPr>
          <w:p w14:paraId="09B1A8E6" w14:textId="77777777" w:rsidR="00A64D2F" w:rsidRPr="00A64D2F" w:rsidRDefault="00A64D2F" w:rsidP="00A64D2F">
            <w:pPr>
              <w:rPr>
                <w:lang w:val="en-US"/>
              </w:rPr>
            </w:pPr>
            <w:r w:rsidRPr="00A64D2F">
              <w:rPr>
                <w:lang w:val="en-US"/>
              </w:rPr>
              <w:t>Reliever use and exacerbation history</w:t>
            </w:r>
          </w:p>
        </w:tc>
        <w:tc>
          <w:tcPr>
            <w:tcW w:w="3063" w:type="dxa"/>
          </w:tcPr>
          <w:p w14:paraId="7FA925C4" w14:textId="77777777" w:rsidR="00A64D2F" w:rsidRPr="00A64D2F" w:rsidRDefault="00A64D2F" w:rsidP="00A64D2F">
            <w:pPr>
              <w:cnfStyle w:val="000000100000" w:firstRow="0" w:lastRow="0" w:firstColumn="0" w:lastColumn="0" w:oddVBand="0" w:evenVBand="0" w:oddHBand="1" w:evenHBand="0" w:firstRowFirstColumn="0" w:firstRowLastColumn="0" w:lastRowFirstColumn="0" w:lastRowLastColumn="0"/>
              <w:rPr>
                <w:lang w:val="en-US"/>
              </w:rPr>
            </w:pPr>
            <w:r w:rsidRPr="00A64D2F">
              <w:rPr>
                <w:lang w:val="en-US"/>
              </w:rPr>
              <w:t>May indicate poor control or increased risk and inform review.</w:t>
            </w:r>
          </w:p>
        </w:tc>
        <w:tc>
          <w:tcPr>
            <w:tcW w:w="3089" w:type="dxa"/>
          </w:tcPr>
          <w:p w14:paraId="171AC279" w14:textId="77777777" w:rsidR="00A64D2F" w:rsidRPr="00A64D2F" w:rsidRDefault="00A64D2F" w:rsidP="00B45310">
            <w:pPr>
              <w:cnfStyle w:val="000000100000" w:firstRow="0" w:lastRow="0" w:firstColumn="0" w:lastColumn="0" w:oddVBand="0" w:evenVBand="0" w:oddHBand="1" w:evenHBand="0" w:firstRowFirstColumn="0" w:firstRowLastColumn="0" w:lastRowFirstColumn="0" w:lastRowLastColumn="0"/>
              <w:rPr>
                <w:lang w:val="en-US"/>
              </w:rPr>
            </w:pPr>
            <w:r w:rsidRPr="00A64D2F">
              <w:rPr>
                <w:lang w:val="en-US"/>
              </w:rPr>
              <w:t>Requires accurate recall and context</w:t>
            </w:r>
            <w:r w:rsidR="00B45310">
              <w:rPr>
                <w:lang w:val="en-US"/>
              </w:rPr>
              <w:t>,</w:t>
            </w:r>
            <w:r w:rsidRPr="00A64D2F">
              <w:rPr>
                <w:lang w:val="en-US"/>
              </w:rPr>
              <w:t xml:space="preserve"> assess adherence and prescribed regimen.</w:t>
            </w:r>
          </w:p>
        </w:tc>
      </w:tr>
      <w:tr w:rsidR="00A64D2F" w:rsidRPr="00A64D2F" w14:paraId="6D3F800E" w14:textId="77777777" w:rsidTr="001C7522">
        <w:trPr>
          <w:trHeight w:val="1552"/>
        </w:trPr>
        <w:tc>
          <w:tcPr>
            <w:cnfStyle w:val="001000000000" w:firstRow="0" w:lastRow="0" w:firstColumn="1" w:lastColumn="0" w:oddVBand="0" w:evenVBand="0" w:oddHBand="0" w:evenHBand="0" w:firstRowFirstColumn="0" w:firstRowLastColumn="0" w:lastRowFirstColumn="0" w:lastRowLastColumn="0"/>
            <w:tcW w:w="3077" w:type="dxa"/>
          </w:tcPr>
          <w:p w14:paraId="2C30E6BD" w14:textId="77777777" w:rsidR="00A64D2F" w:rsidRPr="00A64D2F" w:rsidRDefault="00A64D2F" w:rsidP="00A64D2F">
            <w:pPr>
              <w:rPr>
                <w:lang w:val="en-US"/>
              </w:rPr>
            </w:pPr>
            <w:r w:rsidRPr="00A64D2F">
              <w:rPr>
                <w:lang w:val="en-US"/>
              </w:rPr>
              <w:t>Inhaler technique and adherence review</w:t>
            </w:r>
          </w:p>
        </w:tc>
        <w:tc>
          <w:tcPr>
            <w:tcW w:w="3063" w:type="dxa"/>
          </w:tcPr>
          <w:p w14:paraId="6B10B1CE" w14:textId="77777777" w:rsidR="00A64D2F" w:rsidRPr="00A64D2F" w:rsidRDefault="00A64D2F" w:rsidP="00A64D2F">
            <w:pPr>
              <w:cnfStyle w:val="000000000000" w:firstRow="0" w:lastRow="0" w:firstColumn="0" w:lastColumn="0" w:oddVBand="0" w:evenVBand="0" w:oddHBand="0" w:evenHBand="0" w:firstRowFirstColumn="0" w:firstRowLastColumn="0" w:lastRowFirstColumn="0" w:lastRowLastColumn="0"/>
              <w:rPr>
                <w:lang w:val="en-US"/>
              </w:rPr>
            </w:pPr>
            <w:r w:rsidRPr="00A64D2F">
              <w:rPr>
                <w:lang w:val="en-US"/>
              </w:rPr>
              <w:t>Identifies modifiable barriers to effective treatment delivery.</w:t>
            </w:r>
          </w:p>
        </w:tc>
        <w:tc>
          <w:tcPr>
            <w:tcW w:w="3089" w:type="dxa"/>
          </w:tcPr>
          <w:p w14:paraId="7A82212C" w14:textId="77777777" w:rsidR="00A64D2F" w:rsidRPr="00A64D2F" w:rsidRDefault="00A64D2F" w:rsidP="00B45310">
            <w:pPr>
              <w:cnfStyle w:val="000000000000" w:firstRow="0" w:lastRow="0" w:firstColumn="0" w:lastColumn="0" w:oddVBand="0" w:evenVBand="0" w:oddHBand="0" w:evenHBand="0" w:firstRowFirstColumn="0" w:firstRowLastColumn="0" w:lastRowFirstColumn="0" w:lastRowLastColumn="0"/>
              <w:rPr>
                <w:lang w:val="en-US"/>
              </w:rPr>
            </w:pPr>
            <w:r w:rsidRPr="00A64D2F">
              <w:rPr>
                <w:lang w:val="en-US"/>
              </w:rPr>
              <w:t>A single demonstration may not reflect routine use</w:t>
            </w:r>
            <w:r w:rsidR="00B45310">
              <w:rPr>
                <w:lang w:val="en-US"/>
              </w:rPr>
              <w:t>,</w:t>
            </w:r>
            <w:r w:rsidRPr="00A64D2F">
              <w:rPr>
                <w:lang w:val="en-US"/>
              </w:rPr>
              <w:t xml:space="preserve"> reassess and use teach-back.</w:t>
            </w:r>
          </w:p>
        </w:tc>
      </w:tr>
    </w:tbl>
    <w:p w14:paraId="382088A8" w14:textId="77777777" w:rsidR="00BF3FEB" w:rsidRDefault="00BF3FEB" w:rsidP="00BF3FEB">
      <w:pPr>
        <w:pStyle w:val="Heading1"/>
      </w:pPr>
      <w:bookmarkStart w:id="7" w:name="_Toc242547534"/>
      <w:r>
        <w:t>Evidence-based lifestyle and self-management recommendations</w:t>
      </w:r>
      <w:bookmarkEnd w:id="7"/>
    </w:p>
    <w:p w14:paraId="53275A57" w14:textId="77777777" w:rsidR="00BF3FEB" w:rsidRDefault="00BF3FEB" w:rsidP="00BF3FEB">
      <w:r w:rsidRPr="00BF3FEB">
        <w:t>To begin with, adolescents should receive encouragement to stay away from tobacco smoke, quit smoking when they are smokers and refrain from vaping. The physiological basis behind this is the need to minimi</w:t>
      </w:r>
      <w:r w:rsidR="002B02C8">
        <w:t>s</w:t>
      </w:r>
      <w:r w:rsidRPr="00BF3FEB">
        <w:t xml:space="preserve">e airway irritation exposure and not the hope that quitting alone will cure asthma. Information should be given in a private manner where necessary, non-judgmental and related to age-based smoking cessation counseling. The clinicians should inquire about their first-hand and secondhand exposure, and not assume their existence. </w:t>
      </w:r>
    </w:p>
    <w:p w14:paraId="27C1961F" w14:textId="77777777" w:rsidR="00BF3FEB" w:rsidRDefault="00BF3FEB" w:rsidP="00BF3FEB">
      <w:r>
        <w:tab/>
      </w:r>
      <w:r w:rsidRPr="00BF3FEB">
        <w:t>The second topic to cover would be prevention of infections in general and how to manage specific triggers. Hygiene, self-isolation when highly infectious, and immuni</w:t>
      </w:r>
      <w:r w:rsidR="002B02C8">
        <w:t>s</w:t>
      </w:r>
      <w:r w:rsidRPr="00BF3FEB">
        <w:t>ation for eligible adolescents will help avoid some risks of infections, but not all exacerbations can be prevented. Triggers should be identified clinically, not by applying overly strict avoidance approaches. Avoidance of any activity, in p</w:t>
      </w:r>
      <w:r w:rsidR="004F12F6">
        <w:t>articular, is counterproductive</w:t>
      </w:r>
      <w:r w:rsidRPr="00BF3FEB">
        <w:t xml:space="preserve"> activity is usually encouraged in case of controlled asthma and the patient experiences exercise-induced attacks.</w:t>
      </w:r>
    </w:p>
    <w:p w14:paraId="48A8E6EC" w14:textId="77777777" w:rsidR="00BF3FEB" w:rsidRDefault="00BF3FEB" w:rsidP="00BF3FEB">
      <w:r>
        <w:tab/>
      </w:r>
      <w:r w:rsidRPr="00BF3FEB">
        <w:t>Thirdly, the proper use of safe medication is essential. Adolescents should be given instructions on how to use the inhaler and should have a teach back session for their technique. They should be told what the purposes of preventers and relievers are. A personali</w:t>
      </w:r>
      <w:r w:rsidR="002B02C8">
        <w:t>s</w:t>
      </w:r>
      <w:r w:rsidRPr="00BF3FEB">
        <w:t xml:space="preserve">ed written action plan should detail the normal management of their asthma, the indicators that the condition is deteriorating, and when they need to seek help immediately. In a systematic review of the assessment of self-management in adolescents with asthma, it was noted that there is variation in the method used </w:t>
      </w:r>
      <w:r w:rsidR="00D47FE8" w:rsidRPr="00D47FE8">
        <w:t>(Isik et al., 2023)</w:t>
      </w:r>
      <w:r w:rsidRPr="00BF3FEB">
        <w:t>.</w:t>
      </w:r>
    </w:p>
    <w:p w14:paraId="12AFC667" w14:textId="77777777" w:rsidR="00BF3FEB" w:rsidRDefault="00BF3FEB" w:rsidP="00BF3FEB">
      <w:r>
        <w:tab/>
      </w:r>
      <w:r w:rsidR="00846D69" w:rsidRPr="00846D69">
        <w:t>Fourth, the development process of the adolescents must be considered during the creation of the educational program. The consensus decision-making, motivational interviewing, and methods for undetected use of the inhalers may become useful tools for resolving problems with their use. Technology can be employed to track the symptoms, however, it cannot be an alternative for medical examination and give those adolescents who have problems with connectivity, privacy, and working with computers an advantage. There is not enough literature regarding new methods: for instance, the only usability study conducted in 2025 was done by 13 adolescents on the mobile application for asthma action plan (He et al., 2025).</w:t>
      </w:r>
    </w:p>
    <w:p w14:paraId="7C5B08A6" w14:textId="77777777" w:rsidR="00BF3FEB" w:rsidRDefault="00BF3FEB" w:rsidP="00BF3FEB">
      <w:pPr>
        <w:pStyle w:val="Heading1"/>
      </w:pPr>
      <w:bookmarkStart w:id="8" w:name="_Toc242547535"/>
      <w:r>
        <w:t>Conclusion</w:t>
      </w:r>
      <w:bookmarkEnd w:id="8"/>
    </w:p>
    <w:p w14:paraId="4B67C117" w14:textId="77777777" w:rsidR="00BF3FEB" w:rsidRDefault="00846D69" w:rsidP="00BF3FEB">
      <w:r w:rsidRPr="00846D69">
        <w:t>The case of asthma serves to demonstrate well the effects of respiratory system structure on physiology. Asthma results in airway inflammation, constriction, and mucus accumulation, causing a narrowing of airways and increasing the resistance and, in some cases, inadequate ventilation. Triggers for asthma can be smoking, vaping, or respiratory infection. Nevertheless, people have different reactions to these triggers.</w:t>
      </w:r>
    </w:p>
    <w:p w14:paraId="666761B3" w14:textId="77777777" w:rsidR="00BF3FEB" w:rsidRDefault="00BF3FEB" w:rsidP="00BF3FEB">
      <w:r>
        <w:tab/>
      </w:r>
      <w:r w:rsidRPr="00BF3FEB">
        <w:t>The regular data collection of symptoms, and clinically justified PEF trends could help in detecting deterioration and informed assessment, but neither the figures nor any digital documentation is to be used as a standalone tool. What will work best is a combination of proper understanding of the physiology of asthma, along with the correct treatment regimen, checking for the technique of using inhalers, individuali</w:t>
      </w:r>
      <w:r w:rsidR="002B02C8">
        <w:t>s</w:t>
      </w:r>
      <w:r w:rsidRPr="00BF3FEB">
        <w:t>ed plan, trigger minimi</w:t>
      </w:r>
      <w:r w:rsidR="002B02C8">
        <w:t>s</w:t>
      </w:r>
      <w:r w:rsidRPr="00BF3FEB">
        <w:t xml:space="preserve">ation, and adolescent-focused education. </w:t>
      </w:r>
    </w:p>
    <w:p w14:paraId="271C01C5" w14:textId="77777777" w:rsidR="00F20E70" w:rsidRDefault="00F20E70" w:rsidP="00BF3FEB"/>
    <w:p w14:paraId="787CB210" w14:textId="77777777" w:rsidR="001C7522" w:rsidRDefault="001C7522">
      <w:pPr>
        <w:suppressAutoHyphens w:val="0"/>
        <w:spacing w:line="240" w:lineRule="auto"/>
        <w:jc w:val="left"/>
      </w:pPr>
      <w:r>
        <w:br w:type="page"/>
      </w:r>
    </w:p>
    <w:p w14:paraId="62C8054C" w14:textId="77777777" w:rsidR="00F20E70" w:rsidRDefault="001C7522" w:rsidP="001C7522">
      <w:pPr>
        <w:pStyle w:val="Heading1"/>
      </w:pPr>
      <w:bookmarkStart w:id="9" w:name="_Toc242547536"/>
      <w:r>
        <w:t>References</w:t>
      </w:r>
      <w:bookmarkEnd w:id="9"/>
    </w:p>
    <w:p w14:paraId="2E802D9F" w14:textId="77777777" w:rsidR="00FE2F99" w:rsidRPr="00FE2F99" w:rsidRDefault="00FE2F99" w:rsidP="004F48FC">
      <w:pPr>
        <w:suppressAutoHyphens w:val="0"/>
        <w:spacing w:line="240" w:lineRule="auto"/>
        <w:ind w:left="567" w:hanging="567"/>
        <w:rPr>
          <w:rFonts w:eastAsia="Times New Roman"/>
          <w:color w:val="auto"/>
          <w:szCs w:val="24"/>
          <w:lang w:eastAsia="en-GB"/>
        </w:rPr>
      </w:pPr>
      <w:r w:rsidRPr="00FE2F99">
        <w:rPr>
          <w:rFonts w:eastAsia="Times New Roman"/>
          <w:color w:val="auto"/>
          <w:szCs w:val="24"/>
          <w:lang w:eastAsia="en-GB"/>
        </w:rPr>
        <w:t xml:space="preserve">Agache, I., Ricci‐Cabello, I., Canelo‐Aybar, C., Annesi‐Maesano, I., Cecchi, L., Biagioni, B., Chung, K.F., D’Amato, G., Damialis, A., del Giacco, S., De Las Vecillas, L., Dominguez‐Ortega, J., Galán, C., Gilles, S., Giovannini, M., Holgate, S., Jeebhay, M., Nadeau, K., Papadopoulos, N., Quirce, S., Sastre, J., Traidl‐Hoffmann, C., Walusiak‐Skorupa, J., Salazar, J., Sousa‐Pinto, B., Colom, M., Fiol‐deRoque, M.A., Gorreto López, L., Malih, N., Moro, L., Pardo, M.G., Pazo, P.G., Campos, R.Z., Saletti‐Cuesta, L., Akdis, M., Alonso‐Coello, P., Jutel, M. and Akdis, C.A. (2024). The impact of exposure to tobacco smoke and e‐cigarettes on asthma‐related outcomes: Systematic review informing the EAACI guidelines on environmental science for allergic diseases and asthma. </w:t>
      </w:r>
      <w:r w:rsidRPr="00FE2F99">
        <w:rPr>
          <w:rFonts w:eastAsia="Times New Roman"/>
          <w:i/>
          <w:iCs/>
          <w:color w:val="auto"/>
          <w:szCs w:val="24"/>
          <w:lang w:eastAsia="en-GB"/>
        </w:rPr>
        <w:t>Allergy</w:t>
      </w:r>
      <w:r w:rsidRPr="00FE2F99">
        <w:rPr>
          <w:rFonts w:eastAsia="Times New Roman"/>
          <w:color w:val="auto"/>
          <w:szCs w:val="24"/>
          <w:lang w:eastAsia="en-GB"/>
        </w:rPr>
        <w:t xml:space="preserve">, 79(9), pp.2346–2365. </w:t>
      </w:r>
      <w:r>
        <w:rPr>
          <w:rFonts w:eastAsia="Times New Roman"/>
          <w:color w:val="auto"/>
          <w:szCs w:val="24"/>
          <w:lang w:eastAsia="en-GB"/>
        </w:rPr>
        <w:t xml:space="preserve">doi: </w:t>
      </w:r>
      <w:hyperlink r:id="rId8" w:history="1">
        <w:r w:rsidRPr="009655D5">
          <w:rPr>
            <w:rStyle w:val="Hyperlink"/>
            <w:rFonts w:eastAsia="Times New Roman"/>
            <w:szCs w:val="24"/>
            <w:lang w:eastAsia="en-GB"/>
          </w:rPr>
          <w:t>https://doi.org/10.1111/all.16151</w:t>
        </w:r>
      </w:hyperlink>
      <w:r w:rsidRPr="00FE2F99">
        <w:rPr>
          <w:rFonts w:eastAsia="Times New Roman"/>
          <w:color w:val="auto"/>
          <w:szCs w:val="24"/>
          <w:lang w:eastAsia="en-GB"/>
        </w:rPr>
        <w:t>.</w:t>
      </w:r>
      <w:r>
        <w:rPr>
          <w:rFonts w:eastAsia="Times New Roman"/>
          <w:color w:val="auto"/>
          <w:szCs w:val="24"/>
          <w:lang w:eastAsia="en-GB"/>
        </w:rPr>
        <w:t xml:space="preserve"> </w:t>
      </w:r>
    </w:p>
    <w:p w14:paraId="0662EDA7" w14:textId="77777777" w:rsidR="00FE2F99" w:rsidRPr="00FE2F99" w:rsidRDefault="00FE2F99" w:rsidP="004F48FC">
      <w:pPr>
        <w:suppressAutoHyphens w:val="0"/>
        <w:spacing w:line="240" w:lineRule="auto"/>
        <w:ind w:left="567" w:hanging="567"/>
        <w:rPr>
          <w:rFonts w:eastAsia="Times New Roman"/>
          <w:color w:val="auto"/>
          <w:szCs w:val="24"/>
          <w:lang w:eastAsia="en-GB"/>
        </w:rPr>
      </w:pPr>
      <w:r w:rsidRPr="00FE2F99">
        <w:rPr>
          <w:rFonts w:eastAsia="Times New Roman"/>
          <w:color w:val="auto"/>
          <w:szCs w:val="24"/>
          <w:lang w:eastAsia="en-GB"/>
        </w:rPr>
        <w:t xml:space="preserve">Department of Health and Social Care (2026). </w:t>
      </w:r>
      <w:r w:rsidRPr="00FE2F99">
        <w:rPr>
          <w:rFonts w:eastAsia="Times New Roman"/>
          <w:i/>
          <w:iCs/>
          <w:color w:val="auto"/>
          <w:szCs w:val="24"/>
          <w:lang w:eastAsia="en-GB"/>
        </w:rPr>
        <w:t>Respiratory disease in England</w:t>
      </w:r>
      <w:r w:rsidRPr="00FE2F99">
        <w:rPr>
          <w:rFonts w:eastAsia="Times New Roman"/>
          <w:color w:val="auto"/>
          <w:szCs w:val="24"/>
          <w:lang w:eastAsia="en-GB"/>
        </w:rPr>
        <w:t xml:space="preserve">. [online] fingertips.phe.org.uk. Available at: </w:t>
      </w:r>
      <w:hyperlink r:id="rId9" w:history="1">
        <w:r w:rsidRPr="009655D5">
          <w:rPr>
            <w:rStyle w:val="Hyperlink"/>
            <w:rFonts w:eastAsia="Times New Roman"/>
            <w:szCs w:val="24"/>
            <w:lang w:eastAsia="en-GB"/>
          </w:rPr>
          <w:t>https://fingertips.phe.org.uk/static-reports/health-trends-in-england/England/respiratory_disease.html</w:t>
        </w:r>
      </w:hyperlink>
      <w:r w:rsidRPr="00FE2F99">
        <w:rPr>
          <w:rFonts w:eastAsia="Times New Roman"/>
          <w:color w:val="auto"/>
          <w:szCs w:val="24"/>
          <w:lang w:eastAsia="en-GB"/>
        </w:rPr>
        <w:t>.</w:t>
      </w:r>
      <w:r>
        <w:rPr>
          <w:rFonts w:eastAsia="Times New Roman"/>
          <w:color w:val="auto"/>
          <w:szCs w:val="24"/>
          <w:lang w:eastAsia="en-GB"/>
        </w:rPr>
        <w:t xml:space="preserve"> </w:t>
      </w:r>
    </w:p>
    <w:p w14:paraId="1C43DEAF" w14:textId="77777777" w:rsidR="00FE2F99" w:rsidRPr="00FE2F99" w:rsidRDefault="00FE2F99" w:rsidP="004F48FC">
      <w:pPr>
        <w:suppressAutoHyphens w:val="0"/>
        <w:spacing w:line="240" w:lineRule="auto"/>
        <w:ind w:left="567" w:hanging="567"/>
        <w:rPr>
          <w:rFonts w:eastAsia="Times New Roman"/>
          <w:color w:val="auto"/>
          <w:szCs w:val="24"/>
          <w:lang w:eastAsia="en-GB"/>
        </w:rPr>
      </w:pPr>
      <w:r w:rsidRPr="00FE2F99">
        <w:rPr>
          <w:rFonts w:eastAsia="Times New Roman"/>
          <w:color w:val="auto"/>
          <w:szCs w:val="24"/>
          <w:lang w:eastAsia="en-GB"/>
        </w:rPr>
        <w:t xml:space="preserve">Dinwiddie, D.L., Kaukis, N., Pham, S., Hardin, O., Stoner, A.N., Kincaid, J.C., Caid, K., Kirkpatrick, C., Pomeroy, K., Putt, C., Schwalm, K.C., Thompson, T.M., Storm, E., Perry, T.T. and Kennedy, J.L. (2022). Viral infection and allergy status impact severity of asthma symptoms in children with asthma exacerbations. </w:t>
      </w:r>
      <w:r w:rsidRPr="00FE2F99">
        <w:rPr>
          <w:rFonts w:eastAsia="Times New Roman"/>
          <w:i/>
          <w:iCs/>
          <w:color w:val="auto"/>
          <w:szCs w:val="24"/>
          <w:lang w:eastAsia="en-GB"/>
        </w:rPr>
        <w:t>Annals of Allergy, Asthma &amp; Immunology</w:t>
      </w:r>
      <w:r w:rsidRPr="00FE2F99">
        <w:rPr>
          <w:rFonts w:eastAsia="Times New Roman"/>
          <w:color w:val="auto"/>
          <w:szCs w:val="24"/>
          <w:lang w:eastAsia="en-GB"/>
        </w:rPr>
        <w:t xml:space="preserve">, 129(3), pp.319–326.e3. </w:t>
      </w:r>
      <w:r>
        <w:rPr>
          <w:rFonts w:eastAsia="Times New Roman"/>
          <w:color w:val="auto"/>
          <w:szCs w:val="24"/>
          <w:lang w:eastAsia="en-GB"/>
        </w:rPr>
        <w:t xml:space="preserve">doi: </w:t>
      </w:r>
      <w:hyperlink r:id="rId10" w:history="1">
        <w:r w:rsidRPr="009655D5">
          <w:rPr>
            <w:rStyle w:val="Hyperlink"/>
            <w:rFonts w:eastAsia="Times New Roman"/>
            <w:szCs w:val="24"/>
            <w:lang w:eastAsia="en-GB"/>
          </w:rPr>
          <w:t>https://doi.org/10.1016/j.anai.2022.06.017</w:t>
        </w:r>
      </w:hyperlink>
      <w:r w:rsidRPr="00FE2F99">
        <w:rPr>
          <w:rFonts w:eastAsia="Times New Roman"/>
          <w:color w:val="auto"/>
          <w:szCs w:val="24"/>
          <w:lang w:eastAsia="en-GB"/>
        </w:rPr>
        <w:t>.</w:t>
      </w:r>
      <w:r>
        <w:rPr>
          <w:rFonts w:eastAsia="Times New Roman"/>
          <w:color w:val="auto"/>
          <w:szCs w:val="24"/>
          <w:lang w:eastAsia="en-GB"/>
        </w:rPr>
        <w:t xml:space="preserve"> </w:t>
      </w:r>
    </w:p>
    <w:p w14:paraId="72C2B032" w14:textId="77777777" w:rsidR="00FE2F99" w:rsidRPr="00FE2F99" w:rsidRDefault="00FE2F99" w:rsidP="004F48FC">
      <w:pPr>
        <w:suppressAutoHyphens w:val="0"/>
        <w:spacing w:line="240" w:lineRule="auto"/>
        <w:ind w:left="567" w:hanging="567"/>
        <w:rPr>
          <w:rFonts w:eastAsia="Times New Roman"/>
          <w:color w:val="auto"/>
          <w:szCs w:val="24"/>
          <w:lang w:eastAsia="en-GB"/>
        </w:rPr>
      </w:pPr>
      <w:r w:rsidRPr="00FE2F99">
        <w:rPr>
          <w:rFonts w:eastAsia="Times New Roman"/>
          <w:color w:val="auto"/>
          <w:szCs w:val="24"/>
          <w:lang w:eastAsia="en-GB"/>
        </w:rPr>
        <w:t xml:space="preserve">Global Initiative for Asthma (2024). </w:t>
      </w:r>
      <w:r w:rsidRPr="00FE2F99">
        <w:rPr>
          <w:rFonts w:eastAsia="Times New Roman"/>
          <w:i/>
          <w:iCs/>
          <w:color w:val="auto"/>
          <w:szCs w:val="24"/>
          <w:lang w:eastAsia="en-GB"/>
        </w:rPr>
        <w:t>Global initiative for asthma - GINA</w:t>
      </w:r>
      <w:r w:rsidRPr="00FE2F99">
        <w:rPr>
          <w:rFonts w:eastAsia="Times New Roman"/>
          <w:color w:val="auto"/>
          <w:szCs w:val="24"/>
          <w:lang w:eastAsia="en-GB"/>
        </w:rPr>
        <w:t xml:space="preserve">. [online] Global Initiative for Asthma - GINA. Available at: </w:t>
      </w:r>
      <w:hyperlink r:id="rId11" w:history="1">
        <w:r w:rsidRPr="009655D5">
          <w:rPr>
            <w:rStyle w:val="Hyperlink"/>
            <w:rFonts w:eastAsia="Times New Roman"/>
            <w:szCs w:val="24"/>
            <w:lang w:eastAsia="en-GB"/>
          </w:rPr>
          <w:t>https://ginasthma.org/</w:t>
        </w:r>
      </w:hyperlink>
      <w:r w:rsidRPr="00FE2F99">
        <w:rPr>
          <w:rFonts w:eastAsia="Times New Roman"/>
          <w:color w:val="auto"/>
          <w:szCs w:val="24"/>
          <w:lang w:eastAsia="en-GB"/>
        </w:rPr>
        <w:t>.</w:t>
      </w:r>
      <w:r>
        <w:rPr>
          <w:rFonts w:eastAsia="Times New Roman"/>
          <w:color w:val="auto"/>
          <w:szCs w:val="24"/>
          <w:lang w:eastAsia="en-GB"/>
        </w:rPr>
        <w:t xml:space="preserve"> </w:t>
      </w:r>
    </w:p>
    <w:p w14:paraId="31EE5917" w14:textId="77777777" w:rsidR="00FE2F99" w:rsidRPr="00FE2F99" w:rsidRDefault="00FE2F99" w:rsidP="004F48FC">
      <w:pPr>
        <w:suppressAutoHyphens w:val="0"/>
        <w:spacing w:line="240" w:lineRule="auto"/>
        <w:ind w:left="567" w:hanging="567"/>
        <w:rPr>
          <w:rFonts w:eastAsia="Times New Roman"/>
          <w:color w:val="auto"/>
          <w:szCs w:val="24"/>
          <w:lang w:eastAsia="en-GB"/>
        </w:rPr>
      </w:pPr>
      <w:r w:rsidRPr="00FE2F99">
        <w:rPr>
          <w:rFonts w:eastAsia="Times New Roman"/>
          <w:color w:val="auto"/>
          <w:szCs w:val="24"/>
          <w:lang w:eastAsia="en-GB"/>
        </w:rPr>
        <w:t xml:space="preserve">He, X., Bian, J., Berlinski, A., Guo, Y., Simmons, A.L., Marshall, S.A., Greene, C.J., Brown, R.H., Turner, J. and Perry, T.T. (2025). Mobile health app for adolescent asthma self-management: Development and usability study of the pulmonary education and knowledge mobile asthma action plan. </w:t>
      </w:r>
      <w:r w:rsidRPr="00FE2F99">
        <w:rPr>
          <w:rFonts w:eastAsia="Times New Roman"/>
          <w:i/>
          <w:iCs/>
          <w:color w:val="auto"/>
          <w:szCs w:val="24"/>
          <w:lang w:eastAsia="en-GB"/>
        </w:rPr>
        <w:t>JMIR Formative Research</w:t>
      </w:r>
      <w:r w:rsidRPr="00FE2F99">
        <w:rPr>
          <w:rFonts w:eastAsia="Times New Roman"/>
          <w:color w:val="auto"/>
          <w:szCs w:val="24"/>
          <w:lang w:eastAsia="en-GB"/>
        </w:rPr>
        <w:t xml:space="preserve">, 9, pp.e64212-e64212. </w:t>
      </w:r>
      <w:r>
        <w:rPr>
          <w:rFonts w:eastAsia="Times New Roman"/>
          <w:color w:val="auto"/>
          <w:szCs w:val="24"/>
          <w:lang w:eastAsia="en-GB"/>
        </w:rPr>
        <w:t xml:space="preserve">doi: </w:t>
      </w:r>
      <w:hyperlink r:id="rId12" w:history="1">
        <w:r w:rsidRPr="009655D5">
          <w:rPr>
            <w:rStyle w:val="Hyperlink"/>
            <w:rFonts w:eastAsia="Times New Roman"/>
            <w:szCs w:val="24"/>
            <w:lang w:eastAsia="en-GB"/>
          </w:rPr>
          <w:t>https://doi.org/10.2196/64212</w:t>
        </w:r>
      </w:hyperlink>
      <w:r w:rsidRPr="00FE2F99">
        <w:rPr>
          <w:rFonts w:eastAsia="Times New Roman"/>
          <w:color w:val="auto"/>
          <w:szCs w:val="24"/>
          <w:lang w:eastAsia="en-GB"/>
        </w:rPr>
        <w:t>.</w:t>
      </w:r>
      <w:r>
        <w:rPr>
          <w:rFonts w:eastAsia="Times New Roman"/>
          <w:color w:val="auto"/>
          <w:szCs w:val="24"/>
          <w:lang w:eastAsia="en-GB"/>
        </w:rPr>
        <w:t xml:space="preserve"> </w:t>
      </w:r>
    </w:p>
    <w:p w14:paraId="1FDC82A0" w14:textId="77777777" w:rsidR="00FE2F99" w:rsidRPr="00FE2F99" w:rsidRDefault="00FE2F99" w:rsidP="004F48FC">
      <w:pPr>
        <w:suppressAutoHyphens w:val="0"/>
        <w:spacing w:line="240" w:lineRule="auto"/>
        <w:ind w:left="567" w:hanging="567"/>
        <w:rPr>
          <w:rFonts w:eastAsia="Times New Roman"/>
          <w:color w:val="auto"/>
          <w:szCs w:val="24"/>
          <w:lang w:eastAsia="en-GB"/>
        </w:rPr>
      </w:pPr>
      <w:r w:rsidRPr="00FE2F99">
        <w:rPr>
          <w:rFonts w:eastAsia="Times New Roman"/>
          <w:color w:val="auto"/>
          <w:szCs w:val="24"/>
          <w:lang w:eastAsia="en-GB"/>
        </w:rPr>
        <w:t xml:space="preserve">Isik, E., Mack, G., Sockrider, M.M., Fredland, N.M. and Shegog, R. (2023). Assessing available adolescent self-reported measures for asthma management: A systematic literature review. </w:t>
      </w:r>
      <w:r w:rsidRPr="00FE2F99">
        <w:rPr>
          <w:rFonts w:eastAsia="Times New Roman"/>
          <w:i/>
          <w:iCs/>
          <w:color w:val="auto"/>
          <w:szCs w:val="24"/>
          <w:lang w:eastAsia="en-GB"/>
        </w:rPr>
        <w:t>Pediatric Allergy, Immunology, and Pulmonology</w:t>
      </w:r>
      <w:r w:rsidRPr="00FE2F99">
        <w:rPr>
          <w:rFonts w:eastAsia="Times New Roman"/>
          <w:color w:val="auto"/>
          <w:szCs w:val="24"/>
          <w:lang w:eastAsia="en-GB"/>
        </w:rPr>
        <w:t xml:space="preserve">, 36(3), pp.69–89. </w:t>
      </w:r>
      <w:r>
        <w:rPr>
          <w:rFonts w:eastAsia="Times New Roman"/>
          <w:color w:val="auto"/>
          <w:szCs w:val="24"/>
          <w:lang w:eastAsia="en-GB"/>
        </w:rPr>
        <w:t xml:space="preserve">doi: </w:t>
      </w:r>
      <w:hyperlink r:id="rId13" w:history="1">
        <w:r w:rsidRPr="009655D5">
          <w:rPr>
            <w:rStyle w:val="Hyperlink"/>
            <w:rFonts w:eastAsia="Times New Roman"/>
            <w:szCs w:val="24"/>
            <w:lang w:eastAsia="en-GB"/>
          </w:rPr>
          <w:t>https://doi.org/10.1089/ped.2023.0071</w:t>
        </w:r>
      </w:hyperlink>
      <w:r w:rsidRPr="00FE2F99">
        <w:rPr>
          <w:rFonts w:eastAsia="Times New Roman"/>
          <w:color w:val="auto"/>
          <w:szCs w:val="24"/>
          <w:lang w:eastAsia="en-GB"/>
        </w:rPr>
        <w:t>.</w:t>
      </w:r>
      <w:r>
        <w:rPr>
          <w:rFonts w:eastAsia="Times New Roman"/>
          <w:color w:val="auto"/>
          <w:szCs w:val="24"/>
          <w:lang w:eastAsia="en-GB"/>
        </w:rPr>
        <w:t xml:space="preserve"> </w:t>
      </w:r>
    </w:p>
    <w:p w14:paraId="698C0199" w14:textId="77777777" w:rsidR="00FE2F99" w:rsidRPr="00FE2F99" w:rsidRDefault="00FE2F99" w:rsidP="004F48FC">
      <w:pPr>
        <w:suppressAutoHyphens w:val="0"/>
        <w:spacing w:line="240" w:lineRule="auto"/>
        <w:ind w:left="567" w:hanging="567"/>
        <w:rPr>
          <w:rFonts w:eastAsia="Times New Roman"/>
          <w:color w:val="auto"/>
          <w:szCs w:val="24"/>
          <w:lang w:eastAsia="en-GB"/>
        </w:rPr>
      </w:pPr>
      <w:r w:rsidRPr="00FE2F99">
        <w:rPr>
          <w:rFonts w:eastAsia="Times New Roman"/>
          <w:color w:val="auto"/>
          <w:szCs w:val="24"/>
          <w:lang w:eastAsia="en-GB"/>
        </w:rPr>
        <w:t xml:space="preserve">Lambrecht, B.N., Ahmed, E. and Hammad, H. (2025). The immunology of asthma. </w:t>
      </w:r>
      <w:r w:rsidRPr="00FE2F99">
        <w:rPr>
          <w:rFonts w:eastAsia="Times New Roman"/>
          <w:i/>
          <w:iCs/>
          <w:color w:val="auto"/>
          <w:szCs w:val="24"/>
          <w:lang w:eastAsia="en-GB"/>
        </w:rPr>
        <w:t>Nature Immunology</w:t>
      </w:r>
      <w:r w:rsidRPr="00FE2F99">
        <w:rPr>
          <w:rFonts w:eastAsia="Times New Roman"/>
          <w:color w:val="auto"/>
          <w:szCs w:val="24"/>
          <w:lang w:eastAsia="en-GB"/>
        </w:rPr>
        <w:t xml:space="preserve">. </w:t>
      </w:r>
      <w:r>
        <w:rPr>
          <w:rFonts w:eastAsia="Times New Roman"/>
          <w:color w:val="auto"/>
          <w:szCs w:val="24"/>
          <w:lang w:eastAsia="en-GB"/>
        </w:rPr>
        <w:t xml:space="preserve">doi: </w:t>
      </w:r>
      <w:hyperlink r:id="rId14" w:history="1">
        <w:r w:rsidRPr="009655D5">
          <w:rPr>
            <w:rStyle w:val="Hyperlink"/>
            <w:rFonts w:eastAsia="Times New Roman"/>
            <w:szCs w:val="24"/>
            <w:lang w:eastAsia="en-GB"/>
          </w:rPr>
          <w:t>https://doi.org/10.1038/s41590-025-02212-9</w:t>
        </w:r>
      </w:hyperlink>
      <w:r w:rsidRPr="00FE2F99">
        <w:rPr>
          <w:rFonts w:eastAsia="Times New Roman"/>
          <w:color w:val="auto"/>
          <w:szCs w:val="24"/>
          <w:lang w:eastAsia="en-GB"/>
        </w:rPr>
        <w:t>.</w:t>
      </w:r>
      <w:r>
        <w:rPr>
          <w:rFonts w:eastAsia="Times New Roman"/>
          <w:color w:val="auto"/>
          <w:szCs w:val="24"/>
          <w:lang w:eastAsia="en-GB"/>
        </w:rPr>
        <w:t xml:space="preserve"> </w:t>
      </w:r>
    </w:p>
    <w:p w14:paraId="3B2643BE" w14:textId="77777777" w:rsidR="00FE2F99" w:rsidRPr="00FE2F99" w:rsidRDefault="00FE2F99" w:rsidP="004F48FC">
      <w:pPr>
        <w:suppressAutoHyphens w:val="0"/>
        <w:spacing w:line="240" w:lineRule="auto"/>
        <w:ind w:left="567" w:hanging="567"/>
        <w:rPr>
          <w:rFonts w:eastAsia="Times New Roman"/>
          <w:color w:val="auto"/>
          <w:szCs w:val="24"/>
          <w:lang w:eastAsia="en-GB"/>
        </w:rPr>
      </w:pPr>
      <w:r w:rsidRPr="00FE2F99">
        <w:rPr>
          <w:rFonts w:eastAsia="Times New Roman"/>
          <w:color w:val="auto"/>
          <w:szCs w:val="24"/>
          <w:lang w:eastAsia="en-GB"/>
        </w:rPr>
        <w:t xml:space="preserve">Li, X., Zhang, Y., Zhang, R., Chen, F., Shao, L. and Zhang, L. (2022). Association between e-cigarettes and asthma in adolescents: A systematic review and meta-analysis. </w:t>
      </w:r>
      <w:r w:rsidRPr="00FE2F99">
        <w:rPr>
          <w:rFonts w:eastAsia="Times New Roman"/>
          <w:i/>
          <w:iCs/>
          <w:color w:val="auto"/>
          <w:szCs w:val="24"/>
          <w:lang w:eastAsia="en-GB"/>
        </w:rPr>
        <w:t>American Journal of Preventive Medicine</w:t>
      </w:r>
      <w:r w:rsidRPr="00FE2F99">
        <w:rPr>
          <w:rFonts w:eastAsia="Times New Roman"/>
          <w:color w:val="auto"/>
          <w:szCs w:val="24"/>
          <w:lang w:eastAsia="en-GB"/>
        </w:rPr>
        <w:t xml:space="preserve">, 62(6), pp.953–960. </w:t>
      </w:r>
      <w:r>
        <w:rPr>
          <w:rFonts w:eastAsia="Times New Roman"/>
          <w:color w:val="auto"/>
          <w:szCs w:val="24"/>
          <w:lang w:eastAsia="en-GB"/>
        </w:rPr>
        <w:t xml:space="preserve">doi: </w:t>
      </w:r>
      <w:hyperlink r:id="rId15" w:history="1">
        <w:r w:rsidRPr="009655D5">
          <w:rPr>
            <w:rStyle w:val="Hyperlink"/>
            <w:rFonts w:eastAsia="Times New Roman"/>
            <w:szCs w:val="24"/>
            <w:lang w:eastAsia="en-GB"/>
          </w:rPr>
          <w:t>https://doi.org/10.1016/j.amepre.2022.01.015</w:t>
        </w:r>
      </w:hyperlink>
      <w:r w:rsidRPr="00FE2F99">
        <w:rPr>
          <w:rFonts w:eastAsia="Times New Roman"/>
          <w:color w:val="auto"/>
          <w:szCs w:val="24"/>
          <w:lang w:eastAsia="en-GB"/>
        </w:rPr>
        <w:t>.</w:t>
      </w:r>
      <w:r>
        <w:rPr>
          <w:rFonts w:eastAsia="Times New Roman"/>
          <w:color w:val="auto"/>
          <w:szCs w:val="24"/>
          <w:lang w:eastAsia="en-GB"/>
        </w:rPr>
        <w:t xml:space="preserve"> </w:t>
      </w:r>
    </w:p>
    <w:p w14:paraId="46019ED9" w14:textId="77777777" w:rsidR="00FE2F99" w:rsidRPr="00FE2F99" w:rsidRDefault="00FE2F99" w:rsidP="004F48FC">
      <w:pPr>
        <w:suppressAutoHyphens w:val="0"/>
        <w:spacing w:line="240" w:lineRule="auto"/>
        <w:ind w:left="567" w:hanging="567"/>
        <w:rPr>
          <w:rFonts w:eastAsia="Times New Roman"/>
          <w:color w:val="auto"/>
          <w:szCs w:val="24"/>
          <w:lang w:eastAsia="en-GB"/>
        </w:rPr>
      </w:pPr>
      <w:r w:rsidRPr="00FE2F99">
        <w:rPr>
          <w:rFonts w:eastAsia="Times New Roman"/>
          <w:color w:val="auto"/>
          <w:szCs w:val="24"/>
          <w:lang w:eastAsia="en-GB"/>
        </w:rPr>
        <w:t xml:space="preserve">National Institute for Health and Care Excellence (2024). </w:t>
      </w:r>
      <w:r w:rsidRPr="00FE2F99">
        <w:rPr>
          <w:rFonts w:eastAsia="Times New Roman"/>
          <w:i/>
          <w:iCs/>
          <w:color w:val="auto"/>
          <w:szCs w:val="24"/>
          <w:lang w:eastAsia="en-GB"/>
        </w:rPr>
        <w:t>Overview | asthma: Diagnosis, monitoring and chronic Asthma Management (BTS, Nice, sign) | guidance | NICE</w:t>
      </w:r>
      <w:r w:rsidRPr="00FE2F99">
        <w:rPr>
          <w:rFonts w:eastAsia="Times New Roman"/>
          <w:color w:val="auto"/>
          <w:szCs w:val="24"/>
          <w:lang w:eastAsia="en-GB"/>
        </w:rPr>
        <w:t xml:space="preserve">. [online] Nice.org.uk. Available at: </w:t>
      </w:r>
      <w:hyperlink r:id="rId16" w:history="1">
        <w:r w:rsidRPr="009655D5">
          <w:rPr>
            <w:rStyle w:val="Hyperlink"/>
            <w:rFonts w:eastAsia="Times New Roman"/>
            <w:szCs w:val="24"/>
            <w:lang w:eastAsia="en-GB"/>
          </w:rPr>
          <w:t>https://www.nice.org.uk/guidance/NG245</w:t>
        </w:r>
      </w:hyperlink>
      <w:r w:rsidRPr="00FE2F99">
        <w:rPr>
          <w:rFonts w:eastAsia="Times New Roman"/>
          <w:color w:val="auto"/>
          <w:szCs w:val="24"/>
          <w:lang w:eastAsia="en-GB"/>
        </w:rPr>
        <w:t>.</w:t>
      </w:r>
      <w:r>
        <w:rPr>
          <w:rFonts w:eastAsia="Times New Roman"/>
          <w:color w:val="auto"/>
          <w:szCs w:val="24"/>
          <w:lang w:eastAsia="en-GB"/>
        </w:rPr>
        <w:t xml:space="preserve"> </w:t>
      </w:r>
    </w:p>
    <w:p w14:paraId="4737C7F8" w14:textId="77777777" w:rsidR="00FE2F99" w:rsidRPr="00FE2F99" w:rsidRDefault="00FE2F99" w:rsidP="004F48FC">
      <w:pPr>
        <w:suppressAutoHyphens w:val="0"/>
        <w:spacing w:line="240" w:lineRule="auto"/>
        <w:ind w:left="567" w:hanging="567"/>
        <w:rPr>
          <w:rFonts w:eastAsia="Times New Roman"/>
          <w:color w:val="auto"/>
          <w:szCs w:val="24"/>
          <w:lang w:eastAsia="en-GB"/>
        </w:rPr>
      </w:pPr>
      <w:r w:rsidRPr="00FE2F99">
        <w:rPr>
          <w:rFonts w:eastAsia="Times New Roman"/>
          <w:color w:val="auto"/>
          <w:szCs w:val="24"/>
          <w:lang w:eastAsia="en-GB"/>
        </w:rPr>
        <w:t xml:space="preserve">van Buul, A.R., Kasteleyn, M.J., Arends, J.M., Shi, T., Kelly, D.P., Chavannes, N.H. and Meijer, E. (2020). eHealth only interventions and blended interventions to support self-management in adolescents with asthma: A systematic review. </w:t>
      </w:r>
      <w:r w:rsidRPr="00FE2F99">
        <w:rPr>
          <w:rFonts w:eastAsia="Times New Roman"/>
          <w:i/>
          <w:iCs/>
          <w:color w:val="auto"/>
          <w:szCs w:val="24"/>
          <w:lang w:eastAsia="en-GB"/>
        </w:rPr>
        <w:t>Clinical eHealth</w:t>
      </w:r>
      <w:r w:rsidRPr="00FE2F99">
        <w:rPr>
          <w:rFonts w:eastAsia="Times New Roman"/>
          <w:color w:val="auto"/>
          <w:szCs w:val="24"/>
          <w:lang w:eastAsia="en-GB"/>
        </w:rPr>
        <w:t xml:space="preserve">, 3. </w:t>
      </w:r>
      <w:r>
        <w:rPr>
          <w:rFonts w:eastAsia="Times New Roman"/>
          <w:color w:val="auto"/>
          <w:szCs w:val="24"/>
          <w:lang w:eastAsia="en-GB"/>
        </w:rPr>
        <w:t xml:space="preserve">doi: </w:t>
      </w:r>
      <w:hyperlink r:id="rId17" w:history="1">
        <w:r w:rsidRPr="009655D5">
          <w:rPr>
            <w:rStyle w:val="Hyperlink"/>
            <w:rFonts w:eastAsia="Times New Roman"/>
            <w:szCs w:val="24"/>
            <w:lang w:eastAsia="en-GB"/>
          </w:rPr>
          <w:t>https://doi.org/10.1016/j.ceh.2020.06.001</w:t>
        </w:r>
      </w:hyperlink>
      <w:r w:rsidRPr="00FE2F99">
        <w:rPr>
          <w:rFonts w:eastAsia="Times New Roman"/>
          <w:color w:val="auto"/>
          <w:szCs w:val="24"/>
          <w:lang w:eastAsia="en-GB"/>
        </w:rPr>
        <w:t>.</w:t>
      </w:r>
      <w:r>
        <w:rPr>
          <w:rFonts w:eastAsia="Times New Roman"/>
          <w:color w:val="auto"/>
          <w:szCs w:val="24"/>
          <w:lang w:eastAsia="en-GB"/>
        </w:rPr>
        <w:t xml:space="preserve"> </w:t>
      </w:r>
    </w:p>
    <w:p w14:paraId="41FF4677" w14:textId="77777777" w:rsidR="001C7522" w:rsidRPr="001C7522" w:rsidRDefault="001C7522" w:rsidP="001C7522"/>
    <w:sectPr w:rsidR="001C7522" w:rsidRPr="001C7522">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61C22" w14:textId="77777777" w:rsidR="00716195" w:rsidRDefault="00716195" w:rsidP="00A87747">
      <w:pPr>
        <w:spacing w:line="240" w:lineRule="auto"/>
      </w:pPr>
      <w:r>
        <w:separator/>
      </w:r>
    </w:p>
  </w:endnote>
  <w:endnote w:type="continuationSeparator" w:id="0">
    <w:p w14:paraId="7B4AA193" w14:textId="77777777" w:rsidR="00716195" w:rsidRDefault="00716195" w:rsidP="00A87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roid Sans">
    <w:charset w:val="80"/>
    <w:family w:val="auto"/>
    <w:pitch w:val="variable"/>
  </w:font>
  <w:font w:name="OpenSymbol">
    <w:altName w:val="Arial Unicode MS"/>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DejaVu Sans">
    <w:altName w:val="MS Gothic"/>
    <w:charset w:val="80"/>
    <w:family w:val="auto"/>
    <w:pitch w:val="variable"/>
  </w:font>
  <w:font w:name="Cambria">
    <w:panose1 w:val="02040503050406030204"/>
    <w:charset w:val="00"/>
    <w:family w:val="roman"/>
    <w:pitch w:val="variable"/>
    <w:sig w:usb0="E00006FF" w:usb1="420024FF" w:usb2="02000000" w:usb3="00000000" w:csb0="0000019F" w:csb1="00000000"/>
  </w:font>
  <w:font w:name="Tinos">
    <w:altName w:val="MS Gothic"/>
    <w:charset w:val="80"/>
    <w:family w:val="roman"/>
    <w:pitch w:val="variable"/>
  </w:font>
  <w:font w:name="DejaVu Sans Mono">
    <w:charset w:val="80"/>
    <w:family w:val="moder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85CC4" w14:textId="77777777" w:rsidR="005B12DF" w:rsidRDefault="005B12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65B1B" w14:textId="77777777" w:rsidR="00A87747" w:rsidRDefault="00A87747">
    <w:pPr>
      <w:pStyle w:val="Footer"/>
      <w:jc w:val="center"/>
    </w:pPr>
    <w:r>
      <w:fldChar w:fldCharType="begin"/>
    </w:r>
    <w:r>
      <w:instrText xml:space="preserve"> PAGE   \* MERGEFORMAT </w:instrText>
    </w:r>
    <w:r>
      <w:fldChar w:fldCharType="separate"/>
    </w:r>
    <w:r w:rsidR="00DB1F6A">
      <w:rPr>
        <w:noProof/>
      </w:rPr>
      <w:t>2</w:t>
    </w:r>
    <w:r>
      <w:rPr>
        <w:noProof/>
      </w:rPr>
      <w:fldChar w:fldCharType="end"/>
    </w:r>
  </w:p>
  <w:p w14:paraId="40A1F027" w14:textId="77777777" w:rsidR="00A87747" w:rsidRDefault="00A877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95A14" w14:textId="77777777" w:rsidR="005B12DF" w:rsidRDefault="005B12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C3BE3" w14:textId="77777777" w:rsidR="00716195" w:rsidRDefault="00716195" w:rsidP="00A87747">
      <w:pPr>
        <w:spacing w:line="240" w:lineRule="auto"/>
      </w:pPr>
      <w:r>
        <w:separator/>
      </w:r>
    </w:p>
  </w:footnote>
  <w:footnote w:type="continuationSeparator" w:id="0">
    <w:p w14:paraId="0AE6D820" w14:textId="77777777" w:rsidR="00716195" w:rsidRDefault="00716195" w:rsidP="00A877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53E3F" w14:textId="77777777" w:rsidR="005B12DF" w:rsidRDefault="005B12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8973B" w14:textId="77777777" w:rsidR="005B12DF" w:rsidRDefault="005B12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55FC6" w14:textId="77777777" w:rsidR="005B12DF" w:rsidRDefault="005B12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C16FAC"/>
    <w:multiLevelType w:val="hybridMultilevel"/>
    <w:tmpl w:val="BBD6A784"/>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223342E"/>
    <w:multiLevelType w:val="hybridMultilevel"/>
    <w:tmpl w:val="1B8886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6A754E0"/>
    <w:multiLevelType w:val="hybridMultilevel"/>
    <w:tmpl w:val="2BCA31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3D63B8E"/>
    <w:multiLevelType w:val="hybridMultilevel"/>
    <w:tmpl w:val="DE7A84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49A1246"/>
    <w:multiLevelType w:val="hybridMultilevel"/>
    <w:tmpl w:val="6EC2A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F00D24"/>
    <w:multiLevelType w:val="multilevel"/>
    <w:tmpl w:val="AC666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734712"/>
    <w:multiLevelType w:val="hybridMultilevel"/>
    <w:tmpl w:val="83C83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0A5D14"/>
    <w:multiLevelType w:val="hybridMultilevel"/>
    <w:tmpl w:val="16B0A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A95D68"/>
    <w:multiLevelType w:val="hybridMultilevel"/>
    <w:tmpl w:val="CEE2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68222D"/>
    <w:multiLevelType w:val="hybridMultilevel"/>
    <w:tmpl w:val="B2B2C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E162E4"/>
    <w:multiLevelType w:val="hybridMultilevel"/>
    <w:tmpl w:val="2D4AEA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B5D5B67"/>
    <w:multiLevelType w:val="hybridMultilevel"/>
    <w:tmpl w:val="850ECF0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2FC00F71"/>
    <w:multiLevelType w:val="hybridMultilevel"/>
    <w:tmpl w:val="3D3443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07A64A0"/>
    <w:multiLevelType w:val="hybridMultilevel"/>
    <w:tmpl w:val="32427C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D077094"/>
    <w:multiLevelType w:val="hybridMultilevel"/>
    <w:tmpl w:val="7054DA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2382EFF"/>
    <w:multiLevelType w:val="hybridMultilevel"/>
    <w:tmpl w:val="4C1C35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23E0B20"/>
    <w:multiLevelType w:val="hybridMultilevel"/>
    <w:tmpl w:val="E4AE93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3DA3416"/>
    <w:multiLevelType w:val="hybridMultilevel"/>
    <w:tmpl w:val="ED94DCC2"/>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4C3012BA"/>
    <w:multiLevelType w:val="hybridMultilevel"/>
    <w:tmpl w:val="507E7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057060"/>
    <w:multiLevelType w:val="hybridMultilevel"/>
    <w:tmpl w:val="DC6836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51E86E9B"/>
    <w:multiLevelType w:val="hybridMultilevel"/>
    <w:tmpl w:val="D9DC6A2A"/>
    <w:lvl w:ilvl="0" w:tplc="6A187440">
      <w:start w:val="1"/>
      <w:numFmt w:val="bullet"/>
      <w:lvlText w:val="•"/>
      <w:lvlJc w:val="left"/>
      <w:pPr>
        <w:tabs>
          <w:tab w:val="num" w:pos="720"/>
        </w:tabs>
        <w:ind w:left="720" w:hanging="360"/>
      </w:pPr>
      <w:rPr>
        <w:rFonts w:ascii="Arial" w:hAnsi="Arial" w:hint="default"/>
      </w:rPr>
    </w:lvl>
    <w:lvl w:ilvl="1" w:tplc="4F82AF94" w:tentative="1">
      <w:start w:val="1"/>
      <w:numFmt w:val="bullet"/>
      <w:lvlText w:val="•"/>
      <w:lvlJc w:val="left"/>
      <w:pPr>
        <w:tabs>
          <w:tab w:val="num" w:pos="1440"/>
        </w:tabs>
        <w:ind w:left="1440" w:hanging="360"/>
      </w:pPr>
      <w:rPr>
        <w:rFonts w:ascii="Arial" w:hAnsi="Arial" w:hint="default"/>
      </w:rPr>
    </w:lvl>
    <w:lvl w:ilvl="2" w:tplc="54CEB2D8" w:tentative="1">
      <w:start w:val="1"/>
      <w:numFmt w:val="bullet"/>
      <w:lvlText w:val="•"/>
      <w:lvlJc w:val="left"/>
      <w:pPr>
        <w:tabs>
          <w:tab w:val="num" w:pos="2160"/>
        </w:tabs>
        <w:ind w:left="2160" w:hanging="360"/>
      </w:pPr>
      <w:rPr>
        <w:rFonts w:ascii="Arial" w:hAnsi="Arial" w:hint="default"/>
      </w:rPr>
    </w:lvl>
    <w:lvl w:ilvl="3" w:tplc="AAEA6156" w:tentative="1">
      <w:start w:val="1"/>
      <w:numFmt w:val="bullet"/>
      <w:lvlText w:val="•"/>
      <w:lvlJc w:val="left"/>
      <w:pPr>
        <w:tabs>
          <w:tab w:val="num" w:pos="2880"/>
        </w:tabs>
        <w:ind w:left="2880" w:hanging="360"/>
      </w:pPr>
      <w:rPr>
        <w:rFonts w:ascii="Arial" w:hAnsi="Arial" w:hint="default"/>
      </w:rPr>
    </w:lvl>
    <w:lvl w:ilvl="4" w:tplc="A4FAA4F0" w:tentative="1">
      <w:start w:val="1"/>
      <w:numFmt w:val="bullet"/>
      <w:lvlText w:val="•"/>
      <w:lvlJc w:val="left"/>
      <w:pPr>
        <w:tabs>
          <w:tab w:val="num" w:pos="3600"/>
        </w:tabs>
        <w:ind w:left="3600" w:hanging="360"/>
      </w:pPr>
      <w:rPr>
        <w:rFonts w:ascii="Arial" w:hAnsi="Arial" w:hint="default"/>
      </w:rPr>
    </w:lvl>
    <w:lvl w:ilvl="5" w:tplc="32100022" w:tentative="1">
      <w:start w:val="1"/>
      <w:numFmt w:val="bullet"/>
      <w:lvlText w:val="•"/>
      <w:lvlJc w:val="left"/>
      <w:pPr>
        <w:tabs>
          <w:tab w:val="num" w:pos="4320"/>
        </w:tabs>
        <w:ind w:left="4320" w:hanging="360"/>
      </w:pPr>
      <w:rPr>
        <w:rFonts w:ascii="Arial" w:hAnsi="Arial" w:hint="default"/>
      </w:rPr>
    </w:lvl>
    <w:lvl w:ilvl="6" w:tplc="79787F26" w:tentative="1">
      <w:start w:val="1"/>
      <w:numFmt w:val="bullet"/>
      <w:lvlText w:val="•"/>
      <w:lvlJc w:val="left"/>
      <w:pPr>
        <w:tabs>
          <w:tab w:val="num" w:pos="5040"/>
        </w:tabs>
        <w:ind w:left="5040" w:hanging="360"/>
      </w:pPr>
      <w:rPr>
        <w:rFonts w:ascii="Arial" w:hAnsi="Arial" w:hint="default"/>
      </w:rPr>
    </w:lvl>
    <w:lvl w:ilvl="7" w:tplc="5AE8D476" w:tentative="1">
      <w:start w:val="1"/>
      <w:numFmt w:val="bullet"/>
      <w:lvlText w:val="•"/>
      <w:lvlJc w:val="left"/>
      <w:pPr>
        <w:tabs>
          <w:tab w:val="num" w:pos="5760"/>
        </w:tabs>
        <w:ind w:left="5760" w:hanging="360"/>
      </w:pPr>
      <w:rPr>
        <w:rFonts w:ascii="Arial" w:hAnsi="Arial" w:hint="default"/>
      </w:rPr>
    </w:lvl>
    <w:lvl w:ilvl="8" w:tplc="4A561D3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05D271A"/>
    <w:multiLevelType w:val="hybridMultilevel"/>
    <w:tmpl w:val="D38E8CC0"/>
    <w:lvl w:ilvl="0" w:tplc="78C21A4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63AC0ABA"/>
    <w:multiLevelType w:val="hybridMultilevel"/>
    <w:tmpl w:val="8EC24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286114"/>
    <w:multiLevelType w:val="hybridMultilevel"/>
    <w:tmpl w:val="43127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602BD6"/>
    <w:multiLevelType w:val="hybridMultilevel"/>
    <w:tmpl w:val="E304AD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67E92AA1"/>
    <w:multiLevelType w:val="hybridMultilevel"/>
    <w:tmpl w:val="3398C5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695F2BA5"/>
    <w:multiLevelType w:val="hybridMultilevel"/>
    <w:tmpl w:val="07DCF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EE3B27"/>
    <w:multiLevelType w:val="hybridMultilevel"/>
    <w:tmpl w:val="E23E0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DF338A4"/>
    <w:multiLevelType w:val="multilevel"/>
    <w:tmpl w:val="49187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9114460">
    <w:abstractNumId w:val="0"/>
  </w:num>
  <w:num w:numId="2" w16cid:durableId="1151210961">
    <w:abstractNumId w:val="1"/>
  </w:num>
  <w:num w:numId="3" w16cid:durableId="110825964">
    <w:abstractNumId w:val="10"/>
  </w:num>
  <w:num w:numId="4" w16cid:durableId="1682581608">
    <w:abstractNumId w:val="25"/>
  </w:num>
  <w:num w:numId="5" w16cid:durableId="1954750365">
    <w:abstractNumId w:val="9"/>
  </w:num>
  <w:num w:numId="6" w16cid:durableId="238172326">
    <w:abstractNumId w:val="24"/>
  </w:num>
  <w:num w:numId="7" w16cid:durableId="2116434333">
    <w:abstractNumId w:val="29"/>
  </w:num>
  <w:num w:numId="8" w16cid:durableId="665935832">
    <w:abstractNumId w:val="20"/>
  </w:num>
  <w:num w:numId="9" w16cid:durableId="1041780809">
    <w:abstractNumId w:val="6"/>
  </w:num>
  <w:num w:numId="10" w16cid:durableId="733970122">
    <w:abstractNumId w:val="17"/>
  </w:num>
  <w:num w:numId="11" w16cid:durableId="741682252">
    <w:abstractNumId w:val="21"/>
  </w:num>
  <w:num w:numId="12" w16cid:durableId="1855917792">
    <w:abstractNumId w:val="12"/>
  </w:num>
  <w:num w:numId="13" w16cid:durableId="1932734659">
    <w:abstractNumId w:val="4"/>
  </w:num>
  <w:num w:numId="14" w16cid:durableId="396365510">
    <w:abstractNumId w:val="18"/>
  </w:num>
  <w:num w:numId="15" w16cid:durableId="1912545840">
    <w:abstractNumId w:val="5"/>
  </w:num>
  <w:num w:numId="16" w16cid:durableId="728265200">
    <w:abstractNumId w:val="23"/>
  </w:num>
  <w:num w:numId="17" w16cid:durableId="560139549">
    <w:abstractNumId w:val="3"/>
  </w:num>
  <w:num w:numId="18" w16cid:durableId="71465729">
    <w:abstractNumId w:val="19"/>
  </w:num>
  <w:num w:numId="19" w16cid:durableId="8068935">
    <w:abstractNumId w:val="2"/>
  </w:num>
  <w:num w:numId="20" w16cid:durableId="152182645">
    <w:abstractNumId w:val="27"/>
  </w:num>
  <w:num w:numId="21" w16cid:durableId="208802332">
    <w:abstractNumId w:val="14"/>
  </w:num>
  <w:num w:numId="22" w16cid:durableId="1199053987">
    <w:abstractNumId w:val="13"/>
  </w:num>
  <w:num w:numId="23" w16cid:durableId="1931697856">
    <w:abstractNumId w:val="26"/>
  </w:num>
  <w:num w:numId="24" w16cid:durableId="2016108370">
    <w:abstractNumId w:val="30"/>
  </w:num>
  <w:num w:numId="25" w16cid:durableId="81534273">
    <w:abstractNumId w:val="7"/>
  </w:num>
  <w:num w:numId="26" w16cid:durableId="1119302578">
    <w:abstractNumId w:val="16"/>
  </w:num>
  <w:num w:numId="27" w16cid:durableId="690031476">
    <w:abstractNumId w:val="15"/>
  </w:num>
  <w:num w:numId="28" w16cid:durableId="1553424391">
    <w:abstractNumId w:val="22"/>
  </w:num>
  <w:num w:numId="29" w16cid:durableId="478886398">
    <w:abstractNumId w:val="8"/>
  </w:num>
  <w:num w:numId="30" w16cid:durableId="1116214616">
    <w:abstractNumId w:val="28"/>
  </w:num>
  <w:num w:numId="31" w16cid:durableId="94564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EyNbcwNTM0BXKMLJV0lIJTi4sz8/NACgwNawGiZSaALQAAAA=="/>
  </w:docVars>
  <w:rsids>
    <w:rsidRoot w:val="008D09FF"/>
    <w:rsid w:val="000143B4"/>
    <w:rsid w:val="000157F7"/>
    <w:rsid w:val="000169FC"/>
    <w:rsid w:val="00026F62"/>
    <w:rsid w:val="0003210E"/>
    <w:rsid w:val="00033E1E"/>
    <w:rsid w:val="00037655"/>
    <w:rsid w:val="00043DD1"/>
    <w:rsid w:val="00044E03"/>
    <w:rsid w:val="00051B13"/>
    <w:rsid w:val="0005499F"/>
    <w:rsid w:val="00073CCE"/>
    <w:rsid w:val="00077B6D"/>
    <w:rsid w:val="000824D7"/>
    <w:rsid w:val="0009752E"/>
    <w:rsid w:val="000A0300"/>
    <w:rsid w:val="000A2736"/>
    <w:rsid w:val="000A693F"/>
    <w:rsid w:val="000B55F1"/>
    <w:rsid w:val="000B7C25"/>
    <w:rsid w:val="000C54FA"/>
    <w:rsid w:val="000D13F2"/>
    <w:rsid w:val="000D1E89"/>
    <w:rsid w:val="000D5F91"/>
    <w:rsid w:val="000E3657"/>
    <w:rsid w:val="000E5B1D"/>
    <w:rsid w:val="000E7C63"/>
    <w:rsid w:val="000F7A29"/>
    <w:rsid w:val="0010080F"/>
    <w:rsid w:val="001127EC"/>
    <w:rsid w:val="00115FA2"/>
    <w:rsid w:val="0011725C"/>
    <w:rsid w:val="0012311E"/>
    <w:rsid w:val="00124129"/>
    <w:rsid w:val="00131CE2"/>
    <w:rsid w:val="00135FA8"/>
    <w:rsid w:val="0014081F"/>
    <w:rsid w:val="0014236D"/>
    <w:rsid w:val="001543C4"/>
    <w:rsid w:val="00155DFF"/>
    <w:rsid w:val="00171AB7"/>
    <w:rsid w:val="00172354"/>
    <w:rsid w:val="001959E7"/>
    <w:rsid w:val="001A2386"/>
    <w:rsid w:val="001A6CE4"/>
    <w:rsid w:val="001B148D"/>
    <w:rsid w:val="001B293F"/>
    <w:rsid w:val="001B2B71"/>
    <w:rsid w:val="001B3DA5"/>
    <w:rsid w:val="001B549D"/>
    <w:rsid w:val="001C4B30"/>
    <w:rsid w:val="001C6C19"/>
    <w:rsid w:val="001C7522"/>
    <w:rsid w:val="001C7C69"/>
    <w:rsid w:val="001D1CAC"/>
    <w:rsid w:val="001D46FF"/>
    <w:rsid w:val="001F2F9D"/>
    <w:rsid w:val="002037AB"/>
    <w:rsid w:val="00203ADA"/>
    <w:rsid w:val="00207BF7"/>
    <w:rsid w:val="0021152B"/>
    <w:rsid w:val="00214B85"/>
    <w:rsid w:val="002157B6"/>
    <w:rsid w:val="002439DD"/>
    <w:rsid w:val="00245957"/>
    <w:rsid w:val="00245FD9"/>
    <w:rsid w:val="0024714F"/>
    <w:rsid w:val="00251842"/>
    <w:rsid w:val="00255300"/>
    <w:rsid w:val="00267D0D"/>
    <w:rsid w:val="00273F83"/>
    <w:rsid w:val="002923C2"/>
    <w:rsid w:val="0029461D"/>
    <w:rsid w:val="002A218E"/>
    <w:rsid w:val="002B02C8"/>
    <w:rsid w:val="002B1C88"/>
    <w:rsid w:val="002B6D16"/>
    <w:rsid w:val="002C58C6"/>
    <w:rsid w:val="002C5976"/>
    <w:rsid w:val="002C5AFE"/>
    <w:rsid w:val="002C5DF6"/>
    <w:rsid w:val="002D5608"/>
    <w:rsid w:val="002E2445"/>
    <w:rsid w:val="002F3715"/>
    <w:rsid w:val="002F4531"/>
    <w:rsid w:val="002F4C8F"/>
    <w:rsid w:val="00306373"/>
    <w:rsid w:val="003347F4"/>
    <w:rsid w:val="003407C3"/>
    <w:rsid w:val="00341F1F"/>
    <w:rsid w:val="00352949"/>
    <w:rsid w:val="00353F33"/>
    <w:rsid w:val="00354A83"/>
    <w:rsid w:val="003559FD"/>
    <w:rsid w:val="00355AA6"/>
    <w:rsid w:val="0035740A"/>
    <w:rsid w:val="00363625"/>
    <w:rsid w:val="003644F3"/>
    <w:rsid w:val="00371215"/>
    <w:rsid w:val="0037352A"/>
    <w:rsid w:val="00377720"/>
    <w:rsid w:val="00380505"/>
    <w:rsid w:val="00390787"/>
    <w:rsid w:val="003915E6"/>
    <w:rsid w:val="003A21CE"/>
    <w:rsid w:val="003B2223"/>
    <w:rsid w:val="003D2B08"/>
    <w:rsid w:val="003D6472"/>
    <w:rsid w:val="003E3CE3"/>
    <w:rsid w:val="003F2920"/>
    <w:rsid w:val="003F321A"/>
    <w:rsid w:val="003F546F"/>
    <w:rsid w:val="003F58CF"/>
    <w:rsid w:val="003F652C"/>
    <w:rsid w:val="003F6A34"/>
    <w:rsid w:val="004001C6"/>
    <w:rsid w:val="0040516B"/>
    <w:rsid w:val="00406F8A"/>
    <w:rsid w:val="00410CBD"/>
    <w:rsid w:val="004118BC"/>
    <w:rsid w:val="00412D04"/>
    <w:rsid w:val="00426EFB"/>
    <w:rsid w:val="004275E6"/>
    <w:rsid w:val="00430271"/>
    <w:rsid w:val="0043392D"/>
    <w:rsid w:val="00435F23"/>
    <w:rsid w:val="00454D5E"/>
    <w:rsid w:val="00455304"/>
    <w:rsid w:val="00460545"/>
    <w:rsid w:val="0046208D"/>
    <w:rsid w:val="0047293C"/>
    <w:rsid w:val="00480840"/>
    <w:rsid w:val="004836C4"/>
    <w:rsid w:val="0049537E"/>
    <w:rsid w:val="0049557D"/>
    <w:rsid w:val="00496C57"/>
    <w:rsid w:val="004A17F2"/>
    <w:rsid w:val="004A42D9"/>
    <w:rsid w:val="004A6F78"/>
    <w:rsid w:val="004A78C8"/>
    <w:rsid w:val="004B2DC1"/>
    <w:rsid w:val="004B6253"/>
    <w:rsid w:val="004B637E"/>
    <w:rsid w:val="004D5B16"/>
    <w:rsid w:val="004D5BFC"/>
    <w:rsid w:val="004E44CC"/>
    <w:rsid w:val="004F12F6"/>
    <w:rsid w:val="004F372C"/>
    <w:rsid w:val="004F48FC"/>
    <w:rsid w:val="00500202"/>
    <w:rsid w:val="005007FB"/>
    <w:rsid w:val="005025FB"/>
    <w:rsid w:val="0050612C"/>
    <w:rsid w:val="00514B64"/>
    <w:rsid w:val="00514C27"/>
    <w:rsid w:val="0052081E"/>
    <w:rsid w:val="005244D0"/>
    <w:rsid w:val="00526156"/>
    <w:rsid w:val="00526B25"/>
    <w:rsid w:val="00531793"/>
    <w:rsid w:val="005363C9"/>
    <w:rsid w:val="00545BE1"/>
    <w:rsid w:val="005466F4"/>
    <w:rsid w:val="00556141"/>
    <w:rsid w:val="005575BB"/>
    <w:rsid w:val="00563005"/>
    <w:rsid w:val="00565E1A"/>
    <w:rsid w:val="00572E0C"/>
    <w:rsid w:val="00583DDF"/>
    <w:rsid w:val="005901D0"/>
    <w:rsid w:val="00591D3F"/>
    <w:rsid w:val="00592304"/>
    <w:rsid w:val="005955CD"/>
    <w:rsid w:val="005978A5"/>
    <w:rsid w:val="00597C27"/>
    <w:rsid w:val="005A4881"/>
    <w:rsid w:val="005B12DF"/>
    <w:rsid w:val="005B1D0F"/>
    <w:rsid w:val="005B3892"/>
    <w:rsid w:val="005C2B38"/>
    <w:rsid w:val="005C6F1F"/>
    <w:rsid w:val="005C729D"/>
    <w:rsid w:val="005C740A"/>
    <w:rsid w:val="005D49B9"/>
    <w:rsid w:val="005F292C"/>
    <w:rsid w:val="0060463A"/>
    <w:rsid w:val="00607926"/>
    <w:rsid w:val="0061173B"/>
    <w:rsid w:val="00615B24"/>
    <w:rsid w:val="006166FE"/>
    <w:rsid w:val="00621B9C"/>
    <w:rsid w:val="006237FB"/>
    <w:rsid w:val="006302B6"/>
    <w:rsid w:val="006407FE"/>
    <w:rsid w:val="006438EC"/>
    <w:rsid w:val="006475FF"/>
    <w:rsid w:val="00654A6E"/>
    <w:rsid w:val="00656B94"/>
    <w:rsid w:val="00661773"/>
    <w:rsid w:val="0066496D"/>
    <w:rsid w:val="00671F66"/>
    <w:rsid w:val="00673B48"/>
    <w:rsid w:val="00674A76"/>
    <w:rsid w:val="00682A76"/>
    <w:rsid w:val="00682D74"/>
    <w:rsid w:val="00684916"/>
    <w:rsid w:val="006948E8"/>
    <w:rsid w:val="00697727"/>
    <w:rsid w:val="006A724A"/>
    <w:rsid w:val="006B65D2"/>
    <w:rsid w:val="006C1493"/>
    <w:rsid w:val="006C51DB"/>
    <w:rsid w:val="006C5469"/>
    <w:rsid w:val="006C5728"/>
    <w:rsid w:val="006D07E0"/>
    <w:rsid w:val="006D6837"/>
    <w:rsid w:val="006D7C5E"/>
    <w:rsid w:val="006E177F"/>
    <w:rsid w:val="00705F33"/>
    <w:rsid w:val="007130F3"/>
    <w:rsid w:val="00716195"/>
    <w:rsid w:val="00720A6F"/>
    <w:rsid w:val="0072548E"/>
    <w:rsid w:val="00732B9B"/>
    <w:rsid w:val="00746466"/>
    <w:rsid w:val="0074789A"/>
    <w:rsid w:val="007515C4"/>
    <w:rsid w:val="00752C57"/>
    <w:rsid w:val="0075424F"/>
    <w:rsid w:val="00755616"/>
    <w:rsid w:val="00755E7B"/>
    <w:rsid w:val="007626C2"/>
    <w:rsid w:val="00764092"/>
    <w:rsid w:val="00772400"/>
    <w:rsid w:val="007739F9"/>
    <w:rsid w:val="00777727"/>
    <w:rsid w:val="00781B1F"/>
    <w:rsid w:val="007847BC"/>
    <w:rsid w:val="00784EBE"/>
    <w:rsid w:val="00793373"/>
    <w:rsid w:val="00796A0C"/>
    <w:rsid w:val="007B6BA5"/>
    <w:rsid w:val="007C0686"/>
    <w:rsid w:val="007C1004"/>
    <w:rsid w:val="007C3193"/>
    <w:rsid w:val="007D0A05"/>
    <w:rsid w:val="007D1B17"/>
    <w:rsid w:val="007D4E7D"/>
    <w:rsid w:val="007D6079"/>
    <w:rsid w:val="007E5D62"/>
    <w:rsid w:val="007E61B3"/>
    <w:rsid w:val="007E79B8"/>
    <w:rsid w:val="007F543B"/>
    <w:rsid w:val="007F5B80"/>
    <w:rsid w:val="007F654B"/>
    <w:rsid w:val="00813D9D"/>
    <w:rsid w:val="00814EE5"/>
    <w:rsid w:val="0082293E"/>
    <w:rsid w:val="0083045C"/>
    <w:rsid w:val="0083094A"/>
    <w:rsid w:val="008309B1"/>
    <w:rsid w:val="00831ABD"/>
    <w:rsid w:val="00841350"/>
    <w:rsid w:val="00846D69"/>
    <w:rsid w:val="00853117"/>
    <w:rsid w:val="008645D9"/>
    <w:rsid w:val="0087207B"/>
    <w:rsid w:val="00872FDC"/>
    <w:rsid w:val="00884801"/>
    <w:rsid w:val="008934D6"/>
    <w:rsid w:val="008A4FEE"/>
    <w:rsid w:val="008A5AAC"/>
    <w:rsid w:val="008B1D5E"/>
    <w:rsid w:val="008B6785"/>
    <w:rsid w:val="008C4464"/>
    <w:rsid w:val="008C5894"/>
    <w:rsid w:val="008C6FA9"/>
    <w:rsid w:val="008D09FF"/>
    <w:rsid w:val="008E6B1D"/>
    <w:rsid w:val="008F29E6"/>
    <w:rsid w:val="00900DD5"/>
    <w:rsid w:val="009022FD"/>
    <w:rsid w:val="0090744C"/>
    <w:rsid w:val="009125AD"/>
    <w:rsid w:val="00913FA1"/>
    <w:rsid w:val="00914249"/>
    <w:rsid w:val="009172DB"/>
    <w:rsid w:val="0092031F"/>
    <w:rsid w:val="00924407"/>
    <w:rsid w:val="00932737"/>
    <w:rsid w:val="0093725C"/>
    <w:rsid w:val="00941F56"/>
    <w:rsid w:val="0094548E"/>
    <w:rsid w:val="00956173"/>
    <w:rsid w:val="009561AE"/>
    <w:rsid w:val="00957CD0"/>
    <w:rsid w:val="00963740"/>
    <w:rsid w:val="00964B2F"/>
    <w:rsid w:val="00970C40"/>
    <w:rsid w:val="00975F56"/>
    <w:rsid w:val="009812B8"/>
    <w:rsid w:val="00982038"/>
    <w:rsid w:val="00991B22"/>
    <w:rsid w:val="00993BA5"/>
    <w:rsid w:val="009A205A"/>
    <w:rsid w:val="009A2AD5"/>
    <w:rsid w:val="009B08FC"/>
    <w:rsid w:val="009B0B1B"/>
    <w:rsid w:val="009B2391"/>
    <w:rsid w:val="009B53D8"/>
    <w:rsid w:val="009C2D59"/>
    <w:rsid w:val="009D18F1"/>
    <w:rsid w:val="009D1961"/>
    <w:rsid w:val="009D507B"/>
    <w:rsid w:val="009D7AE7"/>
    <w:rsid w:val="009E0198"/>
    <w:rsid w:val="009E22EF"/>
    <w:rsid w:val="009E31A5"/>
    <w:rsid w:val="009E6830"/>
    <w:rsid w:val="009F0254"/>
    <w:rsid w:val="00A008EC"/>
    <w:rsid w:val="00A0522A"/>
    <w:rsid w:val="00A06682"/>
    <w:rsid w:val="00A2542B"/>
    <w:rsid w:val="00A31089"/>
    <w:rsid w:val="00A60F2E"/>
    <w:rsid w:val="00A62491"/>
    <w:rsid w:val="00A630B9"/>
    <w:rsid w:val="00A64D2F"/>
    <w:rsid w:val="00A64F25"/>
    <w:rsid w:val="00A654E6"/>
    <w:rsid w:val="00A7011E"/>
    <w:rsid w:val="00A70CE1"/>
    <w:rsid w:val="00A73945"/>
    <w:rsid w:val="00A75675"/>
    <w:rsid w:val="00A801A0"/>
    <w:rsid w:val="00A82125"/>
    <w:rsid w:val="00A87747"/>
    <w:rsid w:val="00A90D99"/>
    <w:rsid w:val="00A9411B"/>
    <w:rsid w:val="00A954C7"/>
    <w:rsid w:val="00A97BE1"/>
    <w:rsid w:val="00AA470E"/>
    <w:rsid w:val="00AB326F"/>
    <w:rsid w:val="00AB5583"/>
    <w:rsid w:val="00AB5B5E"/>
    <w:rsid w:val="00AB73A8"/>
    <w:rsid w:val="00AC3A95"/>
    <w:rsid w:val="00AC52A2"/>
    <w:rsid w:val="00AD0E28"/>
    <w:rsid w:val="00AD2CBF"/>
    <w:rsid w:val="00AD2D58"/>
    <w:rsid w:val="00AD58AA"/>
    <w:rsid w:val="00AD7F58"/>
    <w:rsid w:val="00AE6BC8"/>
    <w:rsid w:val="00AF1F9B"/>
    <w:rsid w:val="00AF526C"/>
    <w:rsid w:val="00AF6143"/>
    <w:rsid w:val="00B01FD5"/>
    <w:rsid w:val="00B024B4"/>
    <w:rsid w:val="00B026C3"/>
    <w:rsid w:val="00B06232"/>
    <w:rsid w:val="00B07228"/>
    <w:rsid w:val="00B07373"/>
    <w:rsid w:val="00B10DA3"/>
    <w:rsid w:val="00B14771"/>
    <w:rsid w:val="00B179C2"/>
    <w:rsid w:val="00B17B92"/>
    <w:rsid w:val="00B20612"/>
    <w:rsid w:val="00B24C3C"/>
    <w:rsid w:val="00B2519F"/>
    <w:rsid w:val="00B313E9"/>
    <w:rsid w:val="00B31E9D"/>
    <w:rsid w:val="00B3225F"/>
    <w:rsid w:val="00B322E0"/>
    <w:rsid w:val="00B34CA4"/>
    <w:rsid w:val="00B45310"/>
    <w:rsid w:val="00B462F2"/>
    <w:rsid w:val="00B465CF"/>
    <w:rsid w:val="00B46E41"/>
    <w:rsid w:val="00B51613"/>
    <w:rsid w:val="00B560EB"/>
    <w:rsid w:val="00B56352"/>
    <w:rsid w:val="00B57A65"/>
    <w:rsid w:val="00B61DB0"/>
    <w:rsid w:val="00B61FED"/>
    <w:rsid w:val="00B671A3"/>
    <w:rsid w:val="00B702BF"/>
    <w:rsid w:val="00B7065F"/>
    <w:rsid w:val="00B71230"/>
    <w:rsid w:val="00B74848"/>
    <w:rsid w:val="00B87943"/>
    <w:rsid w:val="00B91486"/>
    <w:rsid w:val="00B97BB3"/>
    <w:rsid w:val="00BA2FDA"/>
    <w:rsid w:val="00BA45F5"/>
    <w:rsid w:val="00BA67AD"/>
    <w:rsid w:val="00BC0402"/>
    <w:rsid w:val="00BC3B3A"/>
    <w:rsid w:val="00BD180E"/>
    <w:rsid w:val="00BD411F"/>
    <w:rsid w:val="00BE6EAE"/>
    <w:rsid w:val="00BF1BF5"/>
    <w:rsid w:val="00BF3FEB"/>
    <w:rsid w:val="00BF4E4E"/>
    <w:rsid w:val="00BF5CCF"/>
    <w:rsid w:val="00BF6034"/>
    <w:rsid w:val="00C00C12"/>
    <w:rsid w:val="00C106CE"/>
    <w:rsid w:val="00C14BE6"/>
    <w:rsid w:val="00C24BF1"/>
    <w:rsid w:val="00C41329"/>
    <w:rsid w:val="00C42CEC"/>
    <w:rsid w:val="00C433FF"/>
    <w:rsid w:val="00C47BCC"/>
    <w:rsid w:val="00C52007"/>
    <w:rsid w:val="00C53CCD"/>
    <w:rsid w:val="00C57D30"/>
    <w:rsid w:val="00C66F95"/>
    <w:rsid w:val="00C73ADD"/>
    <w:rsid w:val="00C74D7D"/>
    <w:rsid w:val="00C8258E"/>
    <w:rsid w:val="00C8669D"/>
    <w:rsid w:val="00C8743A"/>
    <w:rsid w:val="00C919FB"/>
    <w:rsid w:val="00CA59F2"/>
    <w:rsid w:val="00CB18BE"/>
    <w:rsid w:val="00CB6D37"/>
    <w:rsid w:val="00CC3413"/>
    <w:rsid w:val="00CC671B"/>
    <w:rsid w:val="00CD2539"/>
    <w:rsid w:val="00CE4E4E"/>
    <w:rsid w:val="00CE5BDB"/>
    <w:rsid w:val="00CF15D8"/>
    <w:rsid w:val="00CF5F42"/>
    <w:rsid w:val="00D20ECD"/>
    <w:rsid w:val="00D2166C"/>
    <w:rsid w:val="00D23569"/>
    <w:rsid w:val="00D30910"/>
    <w:rsid w:val="00D35421"/>
    <w:rsid w:val="00D4151E"/>
    <w:rsid w:val="00D444CD"/>
    <w:rsid w:val="00D47FE8"/>
    <w:rsid w:val="00D50037"/>
    <w:rsid w:val="00D73C7F"/>
    <w:rsid w:val="00D81130"/>
    <w:rsid w:val="00D942AF"/>
    <w:rsid w:val="00D9463B"/>
    <w:rsid w:val="00DA3189"/>
    <w:rsid w:val="00DA3A21"/>
    <w:rsid w:val="00DA5D0B"/>
    <w:rsid w:val="00DB19D0"/>
    <w:rsid w:val="00DB1F6A"/>
    <w:rsid w:val="00DB5216"/>
    <w:rsid w:val="00DC13DA"/>
    <w:rsid w:val="00DC49BD"/>
    <w:rsid w:val="00DC5F06"/>
    <w:rsid w:val="00DD45E3"/>
    <w:rsid w:val="00DD6A76"/>
    <w:rsid w:val="00DE0958"/>
    <w:rsid w:val="00DE64C4"/>
    <w:rsid w:val="00DF037E"/>
    <w:rsid w:val="00DF2060"/>
    <w:rsid w:val="00DF6304"/>
    <w:rsid w:val="00E000B9"/>
    <w:rsid w:val="00E039C5"/>
    <w:rsid w:val="00E03A4B"/>
    <w:rsid w:val="00E27145"/>
    <w:rsid w:val="00E315EE"/>
    <w:rsid w:val="00E33AC0"/>
    <w:rsid w:val="00E37264"/>
    <w:rsid w:val="00E41AB6"/>
    <w:rsid w:val="00E5396E"/>
    <w:rsid w:val="00E61475"/>
    <w:rsid w:val="00E62EF6"/>
    <w:rsid w:val="00E71F36"/>
    <w:rsid w:val="00E811C1"/>
    <w:rsid w:val="00E859FA"/>
    <w:rsid w:val="00E85B3F"/>
    <w:rsid w:val="00E90A5A"/>
    <w:rsid w:val="00E928CA"/>
    <w:rsid w:val="00E94410"/>
    <w:rsid w:val="00E9780D"/>
    <w:rsid w:val="00EA0745"/>
    <w:rsid w:val="00EA2106"/>
    <w:rsid w:val="00EA7C96"/>
    <w:rsid w:val="00EB02D9"/>
    <w:rsid w:val="00EB0C0B"/>
    <w:rsid w:val="00EB1549"/>
    <w:rsid w:val="00EB1617"/>
    <w:rsid w:val="00EB32F9"/>
    <w:rsid w:val="00EB6093"/>
    <w:rsid w:val="00EB7981"/>
    <w:rsid w:val="00EC3B38"/>
    <w:rsid w:val="00EC3CED"/>
    <w:rsid w:val="00EC74AE"/>
    <w:rsid w:val="00ED6A6B"/>
    <w:rsid w:val="00EE04C1"/>
    <w:rsid w:val="00EE2BBA"/>
    <w:rsid w:val="00EE58F1"/>
    <w:rsid w:val="00EF0350"/>
    <w:rsid w:val="00F05440"/>
    <w:rsid w:val="00F10C64"/>
    <w:rsid w:val="00F16569"/>
    <w:rsid w:val="00F17CBC"/>
    <w:rsid w:val="00F20E70"/>
    <w:rsid w:val="00F31831"/>
    <w:rsid w:val="00F320B3"/>
    <w:rsid w:val="00F35020"/>
    <w:rsid w:val="00F42555"/>
    <w:rsid w:val="00F52B0E"/>
    <w:rsid w:val="00F71CCB"/>
    <w:rsid w:val="00F80D70"/>
    <w:rsid w:val="00F84F6E"/>
    <w:rsid w:val="00FA1905"/>
    <w:rsid w:val="00FA3835"/>
    <w:rsid w:val="00FB012C"/>
    <w:rsid w:val="00FB44DD"/>
    <w:rsid w:val="00FB5913"/>
    <w:rsid w:val="00FB636C"/>
    <w:rsid w:val="00FD08F7"/>
    <w:rsid w:val="00FE007F"/>
    <w:rsid w:val="00FE1106"/>
    <w:rsid w:val="00FE22D5"/>
    <w:rsid w:val="00FE2AD0"/>
    <w:rsid w:val="00FE2F99"/>
    <w:rsid w:val="00FE3A7A"/>
    <w:rsid w:val="00FE5D8F"/>
    <w:rsid w:val="00FF05B7"/>
    <w:rsid w:val="00FF574F"/>
    <w:rsid w:val="00FF5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8A563BA"/>
  <w15:chartTrackingRefBased/>
  <w15:docId w15:val="{244C03BB-C201-42E7-B33D-E7F425737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rsid w:val="00813D9D"/>
    <w:pPr>
      <w:keepNext/>
      <w:keepLines/>
      <w:numPr>
        <w:ilvl w:val="1"/>
        <w:numId w:val="1"/>
      </w:numPr>
      <w:spacing w:before="113"/>
      <w:outlineLvl w:val="1"/>
    </w:pPr>
    <w:rPr>
      <w:rFonts w:eastAsia="Times New Roman"/>
      <w:b/>
      <w:bCs/>
      <w:szCs w:val="26"/>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4z2">
    <w:name w:val="WW8Num4z2"/>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
    <w:name w:val="WW-Default Paragraph Font"/>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uiPriority w:val="22"/>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uiPriority w:val="99"/>
    <w:pPr>
      <w:spacing w:line="100" w:lineRule="atLeast"/>
    </w:pPr>
    <w:rPr>
      <w:szCs w:val="24"/>
    </w:rPr>
  </w:style>
  <w:style w:type="paragraph" w:customStyle="1" w:styleId="Heading10">
    <w:name w:val="Heading 10"/>
    <w:basedOn w:val="Heading"/>
    <w:next w:val="BodyText"/>
    <w:pPr>
      <w:numPr>
        <w:numId w:val="2"/>
      </w:numPr>
    </w:pPr>
    <w:rPr>
      <w:b/>
      <w:bCs/>
      <w:sz w:val="21"/>
      <w:szCs w:val="21"/>
    </w:rPr>
  </w:style>
  <w:style w:type="table" w:styleId="TableGrid">
    <w:name w:val="Table Grid"/>
    <w:basedOn w:val="TableNormal"/>
    <w:uiPriority w:val="39"/>
    <w:rsid w:val="006D6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65E1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Emphasis">
    <w:name w:val="Emphasis"/>
    <w:uiPriority w:val="20"/>
    <w:qFormat/>
    <w:rsid w:val="00454D5E"/>
    <w:rPr>
      <w:i/>
      <w:iCs/>
    </w:rPr>
  </w:style>
  <w:style w:type="paragraph" w:customStyle="1" w:styleId="Default">
    <w:name w:val="Default"/>
    <w:rsid w:val="003407C3"/>
    <w:pPr>
      <w:autoSpaceDE w:val="0"/>
      <w:autoSpaceDN w:val="0"/>
      <w:adjustRightInd w:val="0"/>
    </w:pPr>
    <w:rPr>
      <w:rFonts w:ascii="Arial" w:hAnsi="Arial" w:cs="Arial"/>
      <w:color w:val="000000"/>
      <w:sz w:val="24"/>
      <w:szCs w:val="24"/>
      <w:lang w:val="en-IN" w:eastAsia="en-IN"/>
    </w:rPr>
  </w:style>
  <w:style w:type="character" w:customStyle="1" w:styleId="UnresolvedMention1">
    <w:name w:val="Unresolved Mention1"/>
    <w:uiPriority w:val="99"/>
    <w:semiHidden/>
    <w:unhideWhenUsed/>
    <w:rsid w:val="003F6A34"/>
    <w:rPr>
      <w:color w:val="605E5C"/>
      <w:shd w:val="clear" w:color="auto" w:fill="E1DFDD"/>
    </w:rPr>
  </w:style>
  <w:style w:type="paragraph" w:styleId="TableofFigures">
    <w:name w:val="table of figures"/>
    <w:basedOn w:val="Normal"/>
    <w:next w:val="Normal"/>
    <w:uiPriority w:val="99"/>
    <w:unhideWhenUsed/>
    <w:rsid w:val="00DE64C4"/>
  </w:style>
  <w:style w:type="character" w:styleId="FollowedHyperlink">
    <w:name w:val="FollowedHyperlink"/>
    <w:uiPriority w:val="99"/>
    <w:semiHidden/>
    <w:unhideWhenUsed/>
    <w:rsid w:val="00171AB7"/>
    <w:rPr>
      <w:color w:val="954F72"/>
      <w:u w:val="single"/>
    </w:rPr>
  </w:style>
  <w:style w:type="table" w:styleId="GridTable4-Accent4">
    <w:name w:val="Grid Table 4 Accent 4"/>
    <w:basedOn w:val="TableNormal"/>
    <w:uiPriority w:val="49"/>
    <w:rsid w:val="00172354"/>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2">
    <w:name w:val="Grid Table 4 Accent 2"/>
    <w:basedOn w:val="TableNormal"/>
    <w:uiPriority w:val="49"/>
    <w:rsid w:val="00172354"/>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050">
      <w:bodyDiv w:val="1"/>
      <w:marLeft w:val="0"/>
      <w:marRight w:val="0"/>
      <w:marTop w:val="0"/>
      <w:marBottom w:val="0"/>
      <w:divBdr>
        <w:top w:val="none" w:sz="0" w:space="0" w:color="auto"/>
        <w:left w:val="none" w:sz="0" w:space="0" w:color="auto"/>
        <w:bottom w:val="none" w:sz="0" w:space="0" w:color="auto"/>
        <w:right w:val="none" w:sz="0" w:space="0" w:color="auto"/>
      </w:divBdr>
    </w:div>
    <w:div w:id="3480001">
      <w:bodyDiv w:val="1"/>
      <w:marLeft w:val="0"/>
      <w:marRight w:val="0"/>
      <w:marTop w:val="0"/>
      <w:marBottom w:val="0"/>
      <w:divBdr>
        <w:top w:val="none" w:sz="0" w:space="0" w:color="auto"/>
        <w:left w:val="none" w:sz="0" w:space="0" w:color="auto"/>
        <w:bottom w:val="none" w:sz="0" w:space="0" w:color="auto"/>
        <w:right w:val="none" w:sz="0" w:space="0" w:color="auto"/>
      </w:divBdr>
    </w:div>
    <w:div w:id="25718191">
      <w:bodyDiv w:val="1"/>
      <w:marLeft w:val="0"/>
      <w:marRight w:val="0"/>
      <w:marTop w:val="0"/>
      <w:marBottom w:val="0"/>
      <w:divBdr>
        <w:top w:val="none" w:sz="0" w:space="0" w:color="auto"/>
        <w:left w:val="none" w:sz="0" w:space="0" w:color="auto"/>
        <w:bottom w:val="none" w:sz="0" w:space="0" w:color="auto"/>
        <w:right w:val="none" w:sz="0" w:space="0" w:color="auto"/>
      </w:divBdr>
    </w:div>
    <w:div w:id="61753856">
      <w:bodyDiv w:val="1"/>
      <w:marLeft w:val="0"/>
      <w:marRight w:val="0"/>
      <w:marTop w:val="0"/>
      <w:marBottom w:val="0"/>
      <w:divBdr>
        <w:top w:val="none" w:sz="0" w:space="0" w:color="auto"/>
        <w:left w:val="none" w:sz="0" w:space="0" w:color="auto"/>
        <w:bottom w:val="none" w:sz="0" w:space="0" w:color="auto"/>
        <w:right w:val="none" w:sz="0" w:space="0" w:color="auto"/>
      </w:divBdr>
    </w:div>
    <w:div w:id="90056786">
      <w:bodyDiv w:val="1"/>
      <w:marLeft w:val="0"/>
      <w:marRight w:val="0"/>
      <w:marTop w:val="0"/>
      <w:marBottom w:val="0"/>
      <w:divBdr>
        <w:top w:val="none" w:sz="0" w:space="0" w:color="auto"/>
        <w:left w:val="none" w:sz="0" w:space="0" w:color="auto"/>
        <w:bottom w:val="none" w:sz="0" w:space="0" w:color="auto"/>
        <w:right w:val="none" w:sz="0" w:space="0" w:color="auto"/>
      </w:divBdr>
    </w:div>
    <w:div w:id="133911487">
      <w:bodyDiv w:val="1"/>
      <w:marLeft w:val="0"/>
      <w:marRight w:val="0"/>
      <w:marTop w:val="0"/>
      <w:marBottom w:val="0"/>
      <w:divBdr>
        <w:top w:val="none" w:sz="0" w:space="0" w:color="auto"/>
        <w:left w:val="none" w:sz="0" w:space="0" w:color="auto"/>
        <w:bottom w:val="none" w:sz="0" w:space="0" w:color="auto"/>
        <w:right w:val="none" w:sz="0" w:space="0" w:color="auto"/>
      </w:divBdr>
    </w:div>
    <w:div w:id="277374233">
      <w:bodyDiv w:val="1"/>
      <w:marLeft w:val="0"/>
      <w:marRight w:val="0"/>
      <w:marTop w:val="0"/>
      <w:marBottom w:val="0"/>
      <w:divBdr>
        <w:top w:val="none" w:sz="0" w:space="0" w:color="auto"/>
        <w:left w:val="none" w:sz="0" w:space="0" w:color="auto"/>
        <w:bottom w:val="none" w:sz="0" w:space="0" w:color="auto"/>
        <w:right w:val="none" w:sz="0" w:space="0" w:color="auto"/>
      </w:divBdr>
      <w:divsChild>
        <w:div w:id="882207191">
          <w:marLeft w:val="0"/>
          <w:marRight w:val="0"/>
          <w:marTop w:val="0"/>
          <w:marBottom w:val="0"/>
          <w:divBdr>
            <w:top w:val="none" w:sz="0" w:space="0" w:color="auto"/>
            <w:left w:val="none" w:sz="0" w:space="0" w:color="auto"/>
            <w:bottom w:val="none" w:sz="0" w:space="0" w:color="auto"/>
            <w:right w:val="none" w:sz="0" w:space="0" w:color="auto"/>
          </w:divBdr>
        </w:div>
      </w:divsChild>
    </w:div>
    <w:div w:id="334915502">
      <w:bodyDiv w:val="1"/>
      <w:marLeft w:val="0"/>
      <w:marRight w:val="0"/>
      <w:marTop w:val="0"/>
      <w:marBottom w:val="0"/>
      <w:divBdr>
        <w:top w:val="none" w:sz="0" w:space="0" w:color="auto"/>
        <w:left w:val="none" w:sz="0" w:space="0" w:color="auto"/>
        <w:bottom w:val="none" w:sz="0" w:space="0" w:color="auto"/>
        <w:right w:val="none" w:sz="0" w:space="0" w:color="auto"/>
      </w:divBdr>
    </w:div>
    <w:div w:id="362362471">
      <w:bodyDiv w:val="1"/>
      <w:marLeft w:val="0"/>
      <w:marRight w:val="0"/>
      <w:marTop w:val="0"/>
      <w:marBottom w:val="0"/>
      <w:divBdr>
        <w:top w:val="none" w:sz="0" w:space="0" w:color="auto"/>
        <w:left w:val="none" w:sz="0" w:space="0" w:color="auto"/>
        <w:bottom w:val="none" w:sz="0" w:space="0" w:color="auto"/>
        <w:right w:val="none" w:sz="0" w:space="0" w:color="auto"/>
      </w:divBdr>
    </w:div>
    <w:div w:id="362749758">
      <w:bodyDiv w:val="1"/>
      <w:marLeft w:val="0"/>
      <w:marRight w:val="0"/>
      <w:marTop w:val="0"/>
      <w:marBottom w:val="0"/>
      <w:divBdr>
        <w:top w:val="none" w:sz="0" w:space="0" w:color="auto"/>
        <w:left w:val="none" w:sz="0" w:space="0" w:color="auto"/>
        <w:bottom w:val="none" w:sz="0" w:space="0" w:color="auto"/>
        <w:right w:val="none" w:sz="0" w:space="0" w:color="auto"/>
      </w:divBdr>
    </w:div>
    <w:div w:id="405222852">
      <w:bodyDiv w:val="1"/>
      <w:marLeft w:val="0"/>
      <w:marRight w:val="0"/>
      <w:marTop w:val="0"/>
      <w:marBottom w:val="0"/>
      <w:divBdr>
        <w:top w:val="none" w:sz="0" w:space="0" w:color="auto"/>
        <w:left w:val="none" w:sz="0" w:space="0" w:color="auto"/>
        <w:bottom w:val="none" w:sz="0" w:space="0" w:color="auto"/>
        <w:right w:val="none" w:sz="0" w:space="0" w:color="auto"/>
      </w:divBdr>
    </w:div>
    <w:div w:id="412974138">
      <w:bodyDiv w:val="1"/>
      <w:marLeft w:val="0"/>
      <w:marRight w:val="0"/>
      <w:marTop w:val="0"/>
      <w:marBottom w:val="0"/>
      <w:divBdr>
        <w:top w:val="none" w:sz="0" w:space="0" w:color="auto"/>
        <w:left w:val="none" w:sz="0" w:space="0" w:color="auto"/>
        <w:bottom w:val="none" w:sz="0" w:space="0" w:color="auto"/>
        <w:right w:val="none" w:sz="0" w:space="0" w:color="auto"/>
      </w:divBdr>
    </w:div>
    <w:div w:id="448669286">
      <w:bodyDiv w:val="1"/>
      <w:marLeft w:val="0"/>
      <w:marRight w:val="0"/>
      <w:marTop w:val="0"/>
      <w:marBottom w:val="0"/>
      <w:divBdr>
        <w:top w:val="none" w:sz="0" w:space="0" w:color="auto"/>
        <w:left w:val="none" w:sz="0" w:space="0" w:color="auto"/>
        <w:bottom w:val="none" w:sz="0" w:space="0" w:color="auto"/>
        <w:right w:val="none" w:sz="0" w:space="0" w:color="auto"/>
      </w:divBdr>
    </w:div>
    <w:div w:id="450053533">
      <w:bodyDiv w:val="1"/>
      <w:marLeft w:val="0"/>
      <w:marRight w:val="0"/>
      <w:marTop w:val="0"/>
      <w:marBottom w:val="0"/>
      <w:divBdr>
        <w:top w:val="none" w:sz="0" w:space="0" w:color="auto"/>
        <w:left w:val="none" w:sz="0" w:space="0" w:color="auto"/>
        <w:bottom w:val="none" w:sz="0" w:space="0" w:color="auto"/>
        <w:right w:val="none" w:sz="0" w:space="0" w:color="auto"/>
      </w:divBdr>
    </w:div>
    <w:div w:id="502277651">
      <w:bodyDiv w:val="1"/>
      <w:marLeft w:val="0"/>
      <w:marRight w:val="0"/>
      <w:marTop w:val="0"/>
      <w:marBottom w:val="0"/>
      <w:divBdr>
        <w:top w:val="none" w:sz="0" w:space="0" w:color="auto"/>
        <w:left w:val="none" w:sz="0" w:space="0" w:color="auto"/>
        <w:bottom w:val="none" w:sz="0" w:space="0" w:color="auto"/>
        <w:right w:val="none" w:sz="0" w:space="0" w:color="auto"/>
      </w:divBdr>
      <w:divsChild>
        <w:div w:id="535122477">
          <w:marLeft w:val="360"/>
          <w:marRight w:val="0"/>
          <w:marTop w:val="200"/>
          <w:marBottom w:val="0"/>
          <w:divBdr>
            <w:top w:val="none" w:sz="0" w:space="0" w:color="auto"/>
            <w:left w:val="none" w:sz="0" w:space="0" w:color="auto"/>
            <w:bottom w:val="none" w:sz="0" w:space="0" w:color="auto"/>
            <w:right w:val="none" w:sz="0" w:space="0" w:color="auto"/>
          </w:divBdr>
        </w:div>
      </w:divsChild>
    </w:div>
    <w:div w:id="506095419">
      <w:bodyDiv w:val="1"/>
      <w:marLeft w:val="0"/>
      <w:marRight w:val="0"/>
      <w:marTop w:val="0"/>
      <w:marBottom w:val="0"/>
      <w:divBdr>
        <w:top w:val="none" w:sz="0" w:space="0" w:color="auto"/>
        <w:left w:val="none" w:sz="0" w:space="0" w:color="auto"/>
        <w:bottom w:val="none" w:sz="0" w:space="0" w:color="auto"/>
        <w:right w:val="none" w:sz="0" w:space="0" w:color="auto"/>
      </w:divBdr>
    </w:div>
    <w:div w:id="529027566">
      <w:bodyDiv w:val="1"/>
      <w:marLeft w:val="0"/>
      <w:marRight w:val="0"/>
      <w:marTop w:val="0"/>
      <w:marBottom w:val="0"/>
      <w:divBdr>
        <w:top w:val="none" w:sz="0" w:space="0" w:color="auto"/>
        <w:left w:val="none" w:sz="0" w:space="0" w:color="auto"/>
        <w:bottom w:val="none" w:sz="0" w:space="0" w:color="auto"/>
        <w:right w:val="none" w:sz="0" w:space="0" w:color="auto"/>
      </w:divBdr>
    </w:div>
    <w:div w:id="550385395">
      <w:bodyDiv w:val="1"/>
      <w:marLeft w:val="0"/>
      <w:marRight w:val="0"/>
      <w:marTop w:val="0"/>
      <w:marBottom w:val="0"/>
      <w:divBdr>
        <w:top w:val="none" w:sz="0" w:space="0" w:color="auto"/>
        <w:left w:val="none" w:sz="0" w:space="0" w:color="auto"/>
        <w:bottom w:val="none" w:sz="0" w:space="0" w:color="auto"/>
        <w:right w:val="none" w:sz="0" w:space="0" w:color="auto"/>
      </w:divBdr>
    </w:div>
    <w:div w:id="619726067">
      <w:bodyDiv w:val="1"/>
      <w:marLeft w:val="0"/>
      <w:marRight w:val="0"/>
      <w:marTop w:val="0"/>
      <w:marBottom w:val="0"/>
      <w:divBdr>
        <w:top w:val="none" w:sz="0" w:space="0" w:color="auto"/>
        <w:left w:val="none" w:sz="0" w:space="0" w:color="auto"/>
        <w:bottom w:val="none" w:sz="0" w:space="0" w:color="auto"/>
        <w:right w:val="none" w:sz="0" w:space="0" w:color="auto"/>
      </w:divBdr>
    </w:div>
    <w:div w:id="626080961">
      <w:bodyDiv w:val="1"/>
      <w:marLeft w:val="0"/>
      <w:marRight w:val="0"/>
      <w:marTop w:val="0"/>
      <w:marBottom w:val="0"/>
      <w:divBdr>
        <w:top w:val="none" w:sz="0" w:space="0" w:color="auto"/>
        <w:left w:val="none" w:sz="0" w:space="0" w:color="auto"/>
        <w:bottom w:val="none" w:sz="0" w:space="0" w:color="auto"/>
        <w:right w:val="none" w:sz="0" w:space="0" w:color="auto"/>
      </w:divBdr>
    </w:div>
    <w:div w:id="644162709">
      <w:bodyDiv w:val="1"/>
      <w:marLeft w:val="0"/>
      <w:marRight w:val="0"/>
      <w:marTop w:val="0"/>
      <w:marBottom w:val="0"/>
      <w:divBdr>
        <w:top w:val="none" w:sz="0" w:space="0" w:color="auto"/>
        <w:left w:val="none" w:sz="0" w:space="0" w:color="auto"/>
        <w:bottom w:val="none" w:sz="0" w:space="0" w:color="auto"/>
        <w:right w:val="none" w:sz="0" w:space="0" w:color="auto"/>
      </w:divBdr>
    </w:div>
    <w:div w:id="644774838">
      <w:bodyDiv w:val="1"/>
      <w:marLeft w:val="0"/>
      <w:marRight w:val="0"/>
      <w:marTop w:val="0"/>
      <w:marBottom w:val="0"/>
      <w:divBdr>
        <w:top w:val="none" w:sz="0" w:space="0" w:color="auto"/>
        <w:left w:val="none" w:sz="0" w:space="0" w:color="auto"/>
        <w:bottom w:val="none" w:sz="0" w:space="0" w:color="auto"/>
        <w:right w:val="none" w:sz="0" w:space="0" w:color="auto"/>
      </w:divBdr>
    </w:div>
    <w:div w:id="663555211">
      <w:bodyDiv w:val="1"/>
      <w:marLeft w:val="0"/>
      <w:marRight w:val="0"/>
      <w:marTop w:val="0"/>
      <w:marBottom w:val="0"/>
      <w:divBdr>
        <w:top w:val="none" w:sz="0" w:space="0" w:color="auto"/>
        <w:left w:val="none" w:sz="0" w:space="0" w:color="auto"/>
        <w:bottom w:val="none" w:sz="0" w:space="0" w:color="auto"/>
        <w:right w:val="none" w:sz="0" w:space="0" w:color="auto"/>
      </w:divBdr>
    </w:div>
    <w:div w:id="679698435">
      <w:bodyDiv w:val="1"/>
      <w:marLeft w:val="0"/>
      <w:marRight w:val="0"/>
      <w:marTop w:val="0"/>
      <w:marBottom w:val="0"/>
      <w:divBdr>
        <w:top w:val="none" w:sz="0" w:space="0" w:color="auto"/>
        <w:left w:val="none" w:sz="0" w:space="0" w:color="auto"/>
        <w:bottom w:val="none" w:sz="0" w:space="0" w:color="auto"/>
        <w:right w:val="none" w:sz="0" w:space="0" w:color="auto"/>
      </w:divBdr>
      <w:divsChild>
        <w:div w:id="1256282703">
          <w:marLeft w:val="0"/>
          <w:marRight w:val="0"/>
          <w:marTop w:val="0"/>
          <w:marBottom w:val="0"/>
          <w:divBdr>
            <w:top w:val="single" w:sz="2" w:space="0" w:color="auto"/>
            <w:left w:val="single" w:sz="2" w:space="0" w:color="auto"/>
            <w:bottom w:val="single" w:sz="2" w:space="0" w:color="auto"/>
            <w:right w:val="single" w:sz="2" w:space="0" w:color="auto"/>
          </w:divBdr>
        </w:div>
      </w:divsChild>
    </w:div>
    <w:div w:id="685012795">
      <w:bodyDiv w:val="1"/>
      <w:marLeft w:val="0"/>
      <w:marRight w:val="0"/>
      <w:marTop w:val="0"/>
      <w:marBottom w:val="0"/>
      <w:divBdr>
        <w:top w:val="none" w:sz="0" w:space="0" w:color="auto"/>
        <w:left w:val="none" w:sz="0" w:space="0" w:color="auto"/>
        <w:bottom w:val="none" w:sz="0" w:space="0" w:color="auto"/>
        <w:right w:val="none" w:sz="0" w:space="0" w:color="auto"/>
      </w:divBdr>
    </w:div>
    <w:div w:id="752245274">
      <w:bodyDiv w:val="1"/>
      <w:marLeft w:val="0"/>
      <w:marRight w:val="0"/>
      <w:marTop w:val="0"/>
      <w:marBottom w:val="0"/>
      <w:divBdr>
        <w:top w:val="none" w:sz="0" w:space="0" w:color="auto"/>
        <w:left w:val="none" w:sz="0" w:space="0" w:color="auto"/>
        <w:bottom w:val="none" w:sz="0" w:space="0" w:color="auto"/>
        <w:right w:val="none" w:sz="0" w:space="0" w:color="auto"/>
      </w:divBdr>
    </w:div>
    <w:div w:id="793016470">
      <w:bodyDiv w:val="1"/>
      <w:marLeft w:val="0"/>
      <w:marRight w:val="0"/>
      <w:marTop w:val="0"/>
      <w:marBottom w:val="0"/>
      <w:divBdr>
        <w:top w:val="none" w:sz="0" w:space="0" w:color="auto"/>
        <w:left w:val="none" w:sz="0" w:space="0" w:color="auto"/>
        <w:bottom w:val="none" w:sz="0" w:space="0" w:color="auto"/>
        <w:right w:val="none" w:sz="0" w:space="0" w:color="auto"/>
      </w:divBdr>
    </w:div>
    <w:div w:id="795491876">
      <w:bodyDiv w:val="1"/>
      <w:marLeft w:val="0"/>
      <w:marRight w:val="0"/>
      <w:marTop w:val="0"/>
      <w:marBottom w:val="0"/>
      <w:divBdr>
        <w:top w:val="none" w:sz="0" w:space="0" w:color="auto"/>
        <w:left w:val="none" w:sz="0" w:space="0" w:color="auto"/>
        <w:bottom w:val="none" w:sz="0" w:space="0" w:color="auto"/>
        <w:right w:val="none" w:sz="0" w:space="0" w:color="auto"/>
      </w:divBdr>
    </w:div>
    <w:div w:id="832067041">
      <w:bodyDiv w:val="1"/>
      <w:marLeft w:val="0"/>
      <w:marRight w:val="0"/>
      <w:marTop w:val="0"/>
      <w:marBottom w:val="0"/>
      <w:divBdr>
        <w:top w:val="none" w:sz="0" w:space="0" w:color="auto"/>
        <w:left w:val="none" w:sz="0" w:space="0" w:color="auto"/>
        <w:bottom w:val="none" w:sz="0" w:space="0" w:color="auto"/>
        <w:right w:val="none" w:sz="0" w:space="0" w:color="auto"/>
      </w:divBdr>
    </w:div>
    <w:div w:id="835419115">
      <w:bodyDiv w:val="1"/>
      <w:marLeft w:val="0"/>
      <w:marRight w:val="0"/>
      <w:marTop w:val="0"/>
      <w:marBottom w:val="0"/>
      <w:divBdr>
        <w:top w:val="none" w:sz="0" w:space="0" w:color="auto"/>
        <w:left w:val="none" w:sz="0" w:space="0" w:color="auto"/>
        <w:bottom w:val="none" w:sz="0" w:space="0" w:color="auto"/>
        <w:right w:val="none" w:sz="0" w:space="0" w:color="auto"/>
      </w:divBdr>
    </w:div>
    <w:div w:id="840581698">
      <w:bodyDiv w:val="1"/>
      <w:marLeft w:val="0"/>
      <w:marRight w:val="0"/>
      <w:marTop w:val="0"/>
      <w:marBottom w:val="0"/>
      <w:divBdr>
        <w:top w:val="none" w:sz="0" w:space="0" w:color="auto"/>
        <w:left w:val="none" w:sz="0" w:space="0" w:color="auto"/>
        <w:bottom w:val="none" w:sz="0" w:space="0" w:color="auto"/>
        <w:right w:val="none" w:sz="0" w:space="0" w:color="auto"/>
      </w:divBdr>
    </w:div>
    <w:div w:id="847019412">
      <w:bodyDiv w:val="1"/>
      <w:marLeft w:val="0"/>
      <w:marRight w:val="0"/>
      <w:marTop w:val="0"/>
      <w:marBottom w:val="0"/>
      <w:divBdr>
        <w:top w:val="none" w:sz="0" w:space="0" w:color="auto"/>
        <w:left w:val="none" w:sz="0" w:space="0" w:color="auto"/>
        <w:bottom w:val="none" w:sz="0" w:space="0" w:color="auto"/>
        <w:right w:val="none" w:sz="0" w:space="0" w:color="auto"/>
      </w:divBdr>
    </w:div>
    <w:div w:id="918755828">
      <w:bodyDiv w:val="1"/>
      <w:marLeft w:val="0"/>
      <w:marRight w:val="0"/>
      <w:marTop w:val="0"/>
      <w:marBottom w:val="0"/>
      <w:divBdr>
        <w:top w:val="none" w:sz="0" w:space="0" w:color="auto"/>
        <w:left w:val="none" w:sz="0" w:space="0" w:color="auto"/>
        <w:bottom w:val="none" w:sz="0" w:space="0" w:color="auto"/>
        <w:right w:val="none" w:sz="0" w:space="0" w:color="auto"/>
      </w:divBdr>
    </w:div>
    <w:div w:id="944116165">
      <w:bodyDiv w:val="1"/>
      <w:marLeft w:val="0"/>
      <w:marRight w:val="0"/>
      <w:marTop w:val="0"/>
      <w:marBottom w:val="0"/>
      <w:divBdr>
        <w:top w:val="none" w:sz="0" w:space="0" w:color="auto"/>
        <w:left w:val="none" w:sz="0" w:space="0" w:color="auto"/>
        <w:bottom w:val="none" w:sz="0" w:space="0" w:color="auto"/>
        <w:right w:val="none" w:sz="0" w:space="0" w:color="auto"/>
      </w:divBdr>
    </w:div>
    <w:div w:id="959801426">
      <w:bodyDiv w:val="1"/>
      <w:marLeft w:val="0"/>
      <w:marRight w:val="0"/>
      <w:marTop w:val="0"/>
      <w:marBottom w:val="0"/>
      <w:divBdr>
        <w:top w:val="none" w:sz="0" w:space="0" w:color="auto"/>
        <w:left w:val="none" w:sz="0" w:space="0" w:color="auto"/>
        <w:bottom w:val="none" w:sz="0" w:space="0" w:color="auto"/>
        <w:right w:val="none" w:sz="0" w:space="0" w:color="auto"/>
      </w:divBdr>
    </w:div>
    <w:div w:id="1002782473">
      <w:bodyDiv w:val="1"/>
      <w:marLeft w:val="0"/>
      <w:marRight w:val="0"/>
      <w:marTop w:val="0"/>
      <w:marBottom w:val="0"/>
      <w:divBdr>
        <w:top w:val="none" w:sz="0" w:space="0" w:color="auto"/>
        <w:left w:val="none" w:sz="0" w:space="0" w:color="auto"/>
        <w:bottom w:val="none" w:sz="0" w:space="0" w:color="auto"/>
        <w:right w:val="none" w:sz="0" w:space="0" w:color="auto"/>
      </w:divBdr>
    </w:div>
    <w:div w:id="1014723283">
      <w:bodyDiv w:val="1"/>
      <w:marLeft w:val="0"/>
      <w:marRight w:val="0"/>
      <w:marTop w:val="0"/>
      <w:marBottom w:val="0"/>
      <w:divBdr>
        <w:top w:val="none" w:sz="0" w:space="0" w:color="auto"/>
        <w:left w:val="none" w:sz="0" w:space="0" w:color="auto"/>
        <w:bottom w:val="none" w:sz="0" w:space="0" w:color="auto"/>
        <w:right w:val="none" w:sz="0" w:space="0" w:color="auto"/>
      </w:divBdr>
    </w:div>
    <w:div w:id="1062560502">
      <w:bodyDiv w:val="1"/>
      <w:marLeft w:val="0"/>
      <w:marRight w:val="0"/>
      <w:marTop w:val="0"/>
      <w:marBottom w:val="0"/>
      <w:divBdr>
        <w:top w:val="none" w:sz="0" w:space="0" w:color="auto"/>
        <w:left w:val="none" w:sz="0" w:space="0" w:color="auto"/>
        <w:bottom w:val="none" w:sz="0" w:space="0" w:color="auto"/>
        <w:right w:val="none" w:sz="0" w:space="0" w:color="auto"/>
      </w:divBdr>
    </w:div>
    <w:div w:id="1109396689">
      <w:bodyDiv w:val="1"/>
      <w:marLeft w:val="0"/>
      <w:marRight w:val="0"/>
      <w:marTop w:val="0"/>
      <w:marBottom w:val="0"/>
      <w:divBdr>
        <w:top w:val="none" w:sz="0" w:space="0" w:color="auto"/>
        <w:left w:val="none" w:sz="0" w:space="0" w:color="auto"/>
        <w:bottom w:val="none" w:sz="0" w:space="0" w:color="auto"/>
        <w:right w:val="none" w:sz="0" w:space="0" w:color="auto"/>
      </w:divBdr>
    </w:div>
    <w:div w:id="1145195551">
      <w:bodyDiv w:val="1"/>
      <w:marLeft w:val="0"/>
      <w:marRight w:val="0"/>
      <w:marTop w:val="0"/>
      <w:marBottom w:val="0"/>
      <w:divBdr>
        <w:top w:val="none" w:sz="0" w:space="0" w:color="auto"/>
        <w:left w:val="none" w:sz="0" w:space="0" w:color="auto"/>
        <w:bottom w:val="none" w:sz="0" w:space="0" w:color="auto"/>
        <w:right w:val="none" w:sz="0" w:space="0" w:color="auto"/>
      </w:divBdr>
    </w:div>
    <w:div w:id="1164008691">
      <w:bodyDiv w:val="1"/>
      <w:marLeft w:val="0"/>
      <w:marRight w:val="0"/>
      <w:marTop w:val="0"/>
      <w:marBottom w:val="0"/>
      <w:divBdr>
        <w:top w:val="none" w:sz="0" w:space="0" w:color="auto"/>
        <w:left w:val="none" w:sz="0" w:space="0" w:color="auto"/>
        <w:bottom w:val="none" w:sz="0" w:space="0" w:color="auto"/>
        <w:right w:val="none" w:sz="0" w:space="0" w:color="auto"/>
      </w:divBdr>
    </w:div>
    <w:div w:id="1169566260">
      <w:bodyDiv w:val="1"/>
      <w:marLeft w:val="0"/>
      <w:marRight w:val="0"/>
      <w:marTop w:val="0"/>
      <w:marBottom w:val="0"/>
      <w:divBdr>
        <w:top w:val="none" w:sz="0" w:space="0" w:color="auto"/>
        <w:left w:val="none" w:sz="0" w:space="0" w:color="auto"/>
        <w:bottom w:val="none" w:sz="0" w:space="0" w:color="auto"/>
        <w:right w:val="none" w:sz="0" w:space="0" w:color="auto"/>
      </w:divBdr>
    </w:div>
    <w:div w:id="1200626338">
      <w:bodyDiv w:val="1"/>
      <w:marLeft w:val="0"/>
      <w:marRight w:val="0"/>
      <w:marTop w:val="0"/>
      <w:marBottom w:val="0"/>
      <w:divBdr>
        <w:top w:val="none" w:sz="0" w:space="0" w:color="auto"/>
        <w:left w:val="none" w:sz="0" w:space="0" w:color="auto"/>
        <w:bottom w:val="none" w:sz="0" w:space="0" w:color="auto"/>
        <w:right w:val="none" w:sz="0" w:space="0" w:color="auto"/>
      </w:divBdr>
    </w:div>
    <w:div w:id="1204832596">
      <w:bodyDiv w:val="1"/>
      <w:marLeft w:val="0"/>
      <w:marRight w:val="0"/>
      <w:marTop w:val="0"/>
      <w:marBottom w:val="0"/>
      <w:divBdr>
        <w:top w:val="none" w:sz="0" w:space="0" w:color="auto"/>
        <w:left w:val="none" w:sz="0" w:space="0" w:color="auto"/>
        <w:bottom w:val="none" w:sz="0" w:space="0" w:color="auto"/>
        <w:right w:val="none" w:sz="0" w:space="0" w:color="auto"/>
      </w:divBdr>
    </w:div>
    <w:div w:id="1209104299">
      <w:bodyDiv w:val="1"/>
      <w:marLeft w:val="0"/>
      <w:marRight w:val="0"/>
      <w:marTop w:val="0"/>
      <w:marBottom w:val="0"/>
      <w:divBdr>
        <w:top w:val="none" w:sz="0" w:space="0" w:color="auto"/>
        <w:left w:val="none" w:sz="0" w:space="0" w:color="auto"/>
        <w:bottom w:val="none" w:sz="0" w:space="0" w:color="auto"/>
        <w:right w:val="none" w:sz="0" w:space="0" w:color="auto"/>
      </w:divBdr>
    </w:div>
    <w:div w:id="1209224600">
      <w:bodyDiv w:val="1"/>
      <w:marLeft w:val="0"/>
      <w:marRight w:val="0"/>
      <w:marTop w:val="0"/>
      <w:marBottom w:val="0"/>
      <w:divBdr>
        <w:top w:val="none" w:sz="0" w:space="0" w:color="auto"/>
        <w:left w:val="none" w:sz="0" w:space="0" w:color="auto"/>
        <w:bottom w:val="none" w:sz="0" w:space="0" w:color="auto"/>
        <w:right w:val="none" w:sz="0" w:space="0" w:color="auto"/>
      </w:divBdr>
    </w:div>
    <w:div w:id="1217741506">
      <w:bodyDiv w:val="1"/>
      <w:marLeft w:val="0"/>
      <w:marRight w:val="0"/>
      <w:marTop w:val="0"/>
      <w:marBottom w:val="0"/>
      <w:divBdr>
        <w:top w:val="none" w:sz="0" w:space="0" w:color="auto"/>
        <w:left w:val="none" w:sz="0" w:space="0" w:color="auto"/>
        <w:bottom w:val="none" w:sz="0" w:space="0" w:color="auto"/>
        <w:right w:val="none" w:sz="0" w:space="0" w:color="auto"/>
      </w:divBdr>
    </w:div>
    <w:div w:id="1228539334">
      <w:bodyDiv w:val="1"/>
      <w:marLeft w:val="0"/>
      <w:marRight w:val="0"/>
      <w:marTop w:val="0"/>
      <w:marBottom w:val="0"/>
      <w:divBdr>
        <w:top w:val="none" w:sz="0" w:space="0" w:color="auto"/>
        <w:left w:val="none" w:sz="0" w:space="0" w:color="auto"/>
        <w:bottom w:val="none" w:sz="0" w:space="0" w:color="auto"/>
        <w:right w:val="none" w:sz="0" w:space="0" w:color="auto"/>
      </w:divBdr>
    </w:div>
    <w:div w:id="1231766102">
      <w:bodyDiv w:val="1"/>
      <w:marLeft w:val="0"/>
      <w:marRight w:val="0"/>
      <w:marTop w:val="0"/>
      <w:marBottom w:val="0"/>
      <w:divBdr>
        <w:top w:val="none" w:sz="0" w:space="0" w:color="auto"/>
        <w:left w:val="none" w:sz="0" w:space="0" w:color="auto"/>
        <w:bottom w:val="none" w:sz="0" w:space="0" w:color="auto"/>
        <w:right w:val="none" w:sz="0" w:space="0" w:color="auto"/>
      </w:divBdr>
    </w:div>
    <w:div w:id="1239365145">
      <w:bodyDiv w:val="1"/>
      <w:marLeft w:val="0"/>
      <w:marRight w:val="0"/>
      <w:marTop w:val="0"/>
      <w:marBottom w:val="0"/>
      <w:divBdr>
        <w:top w:val="none" w:sz="0" w:space="0" w:color="auto"/>
        <w:left w:val="none" w:sz="0" w:space="0" w:color="auto"/>
        <w:bottom w:val="none" w:sz="0" w:space="0" w:color="auto"/>
        <w:right w:val="none" w:sz="0" w:space="0" w:color="auto"/>
      </w:divBdr>
    </w:div>
    <w:div w:id="1242179531">
      <w:bodyDiv w:val="1"/>
      <w:marLeft w:val="0"/>
      <w:marRight w:val="0"/>
      <w:marTop w:val="0"/>
      <w:marBottom w:val="0"/>
      <w:divBdr>
        <w:top w:val="none" w:sz="0" w:space="0" w:color="auto"/>
        <w:left w:val="none" w:sz="0" w:space="0" w:color="auto"/>
        <w:bottom w:val="none" w:sz="0" w:space="0" w:color="auto"/>
        <w:right w:val="none" w:sz="0" w:space="0" w:color="auto"/>
      </w:divBdr>
    </w:div>
    <w:div w:id="1354309091">
      <w:bodyDiv w:val="1"/>
      <w:marLeft w:val="0"/>
      <w:marRight w:val="0"/>
      <w:marTop w:val="0"/>
      <w:marBottom w:val="0"/>
      <w:divBdr>
        <w:top w:val="none" w:sz="0" w:space="0" w:color="auto"/>
        <w:left w:val="none" w:sz="0" w:space="0" w:color="auto"/>
        <w:bottom w:val="none" w:sz="0" w:space="0" w:color="auto"/>
        <w:right w:val="none" w:sz="0" w:space="0" w:color="auto"/>
      </w:divBdr>
    </w:div>
    <w:div w:id="1425613073">
      <w:bodyDiv w:val="1"/>
      <w:marLeft w:val="0"/>
      <w:marRight w:val="0"/>
      <w:marTop w:val="0"/>
      <w:marBottom w:val="0"/>
      <w:divBdr>
        <w:top w:val="none" w:sz="0" w:space="0" w:color="auto"/>
        <w:left w:val="none" w:sz="0" w:space="0" w:color="auto"/>
        <w:bottom w:val="none" w:sz="0" w:space="0" w:color="auto"/>
        <w:right w:val="none" w:sz="0" w:space="0" w:color="auto"/>
      </w:divBdr>
    </w:div>
    <w:div w:id="1429424442">
      <w:bodyDiv w:val="1"/>
      <w:marLeft w:val="0"/>
      <w:marRight w:val="0"/>
      <w:marTop w:val="0"/>
      <w:marBottom w:val="0"/>
      <w:divBdr>
        <w:top w:val="none" w:sz="0" w:space="0" w:color="auto"/>
        <w:left w:val="none" w:sz="0" w:space="0" w:color="auto"/>
        <w:bottom w:val="none" w:sz="0" w:space="0" w:color="auto"/>
        <w:right w:val="none" w:sz="0" w:space="0" w:color="auto"/>
      </w:divBdr>
    </w:div>
    <w:div w:id="1490756570">
      <w:bodyDiv w:val="1"/>
      <w:marLeft w:val="0"/>
      <w:marRight w:val="0"/>
      <w:marTop w:val="0"/>
      <w:marBottom w:val="0"/>
      <w:divBdr>
        <w:top w:val="none" w:sz="0" w:space="0" w:color="auto"/>
        <w:left w:val="none" w:sz="0" w:space="0" w:color="auto"/>
        <w:bottom w:val="none" w:sz="0" w:space="0" w:color="auto"/>
        <w:right w:val="none" w:sz="0" w:space="0" w:color="auto"/>
      </w:divBdr>
    </w:div>
    <w:div w:id="1498879922">
      <w:bodyDiv w:val="1"/>
      <w:marLeft w:val="0"/>
      <w:marRight w:val="0"/>
      <w:marTop w:val="0"/>
      <w:marBottom w:val="0"/>
      <w:divBdr>
        <w:top w:val="none" w:sz="0" w:space="0" w:color="auto"/>
        <w:left w:val="none" w:sz="0" w:space="0" w:color="auto"/>
        <w:bottom w:val="none" w:sz="0" w:space="0" w:color="auto"/>
        <w:right w:val="none" w:sz="0" w:space="0" w:color="auto"/>
      </w:divBdr>
    </w:div>
    <w:div w:id="1518421665">
      <w:bodyDiv w:val="1"/>
      <w:marLeft w:val="0"/>
      <w:marRight w:val="0"/>
      <w:marTop w:val="0"/>
      <w:marBottom w:val="0"/>
      <w:divBdr>
        <w:top w:val="none" w:sz="0" w:space="0" w:color="auto"/>
        <w:left w:val="none" w:sz="0" w:space="0" w:color="auto"/>
        <w:bottom w:val="none" w:sz="0" w:space="0" w:color="auto"/>
        <w:right w:val="none" w:sz="0" w:space="0" w:color="auto"/>
      </w:divBdr>
    </w:div>
    <w:div w:id="1518545213">
      <w:bodyDiv w:val="1"/>
      <w:marLeft w:val="0"/>
      <w:marRight w:val="0"/>
      <w:marTop w:val="0"/>
      <w:marBottom w:val="0"/>
      <w:divBdr>
        <w:top w:val="none" w:sz="0" w:space="0" w:color="auto"/>
        <w:left w:val="none" w:sz="0" w:space="0" w:color="auto"/>
        <w:bottom w:val="none" w:sz="0" w:space="0" w:color="auto"/>
        <w:right w:val="none" w:sz="0" w:space="0" w:color="auto"/>
      </w:divBdr>
    </w:div>
    <w:div w:id="1532953601">
      <w:bodyDiv w:val="1"/>
      <w:marLeft w:val="0"/>
      <w:marRight w:val="0"/>
      <w:marTop w:val="0"/>
      <w:marBottom w:val="0"/>
      <w:divBdr>
        <w:top w:val="none" w:sz="0" w:space="0" w:color="auto"/>
        <w:left w:val="none" w:sz="0" w:space="0" w:color="auto"/>
        <w:bottom w:val="none" w:sz="0" w:space="0" w:color="auto"/>
        <w:right w:val="none" w:sz="0" w:space="0" w:color="auto"/>
      </w:divBdr>
    </w:div>
    <w:div w:id="1546019076">
      <w:bodyDiv w:val="1"/>
      <w:marLeft w:val="0"/>
      <w:marRight w:val="0"/>
      <w:marTop w:val="0"/>
      <w:marBottom w:val="0"/>
      <w:divBdr>
        <w:top w:val="none" w:sz="0" w:space="0" w:color="auto"/>
        <w:left w:val="none" w:sz="0" w:space="0" w:color="auto"/>
        <w:bottom w:val="none" w:sz="0" w:space="0" w:color="auto"/>
        <w:right w:val="none" w:sz="0" w:space="0" w:color="auto"/>
      </w:divBdr>
    </w:div>
    <w:div w:id="1566993298">
      <w:bodyDiv w:val="1"/>
      <w:marLeft w:val="0"/>
      <w:marRight w:val="0"/>
      <w:marTop w:val="0"/>
      <w:marBottom w:val="0"/>
      <w:divBdr>
        <w:top w:val="none" w:sz="0" w:space="0" w:color="auto"/>
        <w:left w:val="none" w:sz="0" w:space="0" w:color="auto"/>
        <w:bottom w:val="none" w:sz="0" w:space="0" w:color="auto"/>
        <w:right w:val="none" w:sz="0" w:space="0" w:color="auto"/>
      </w:divBdr>
    </w:div>
    <w:div w:id="1583026936">
      <w:bodyDiv w:val="1"/>
      <w:marLeft w:val="0"/>
      <w:marRight w:val="0"/>
      <w:marTop w:val="0"/>
      <w:marBottom w:val="0"/>
      <w:divBdr>
        <w:top w:val="none" w:sz="0" w:space="0" w:color="auto"/>
        <w:left w:val="none" w:sz="0" w:space="0" w:color="auto"/>
        <w:bottom w:val="none" w:sz="0" w:space="0" w:color="auto"/>
        <w:right w:val="none" w:sz="0" w:space="0" w:color="auto"/>
      </w:divBdr>
    </w:div>
    <w:div w:id="1598169926">
      <w:bodyDiv w:val="1"/>
      <w:marLeft w:val="0"/>
      <w:marRight w:val="0"/>
      <w:marTop w:val="0"/>
      <w:marBottom w:val="0"/>
      <w:divBdr>
        <w:top w:val="none" w:sz="0" w:space="0" w:color="auto"/>
        <w:left w:val="none" w:sz="0" w:space="0" w:color="auto"/>
        <w:bottom w:val="none" w:sz="0" w:space="0" w:color="auto"/>
        <w:right w:val="none" w:sz="0" w:space="0" w:color="auto"/>
      </w:divBdr>
    </w:div>
    <w:div w:id="1614900917">
      <w:bodyDiv w:val="1"/>
      <w:marLeft w:val="0"/>
      <w:marRight w:val="0"/>
      <w:marTop w:val="0"/>
      <w:marBottom w:val="0"/>
      <w:divBdr>
        <w:top w:val="none" w:sz="0" w:space="0" w:color="auto"/>
        <w:left w:val="none" w:sz="0" w:space="0" w:color="auto"/>
        <w:bottom w:val="none" w:sz="0" w:space="0" w:color="auto"/>
        <w:right w:val="none" w:sz="0" w:space="0" w:color="auto"/>
      </w:divBdr>
    </w:div>
    <w:div w:id="1622228798">
      <w:bodyDiv w:val="1"/>
      <w:marLeft w:val="0"/>
      <w:marRight w:val="0"/>
      <w:marTop w:val="0"/>
      <w:marBottom w:val="0"/>
      <w:divBdr>
        <w:top w:val="none" w:sz="0" w:space="0" w:color="auto"/>
        <w:left w:val="none" w:sz="0" w:space="0" w:color="auto"/>
        <w:bottom w:val="none" w:sz="0" w:space="0" w:color="auto"/>
        <w:right w:val="none" w:sz="0" w:space="0" w:color="auto"/>
      </w:divBdr>
    </w:div>
    <w:div w:id="1622566785">
      <w:bodyDiv w:val="1"/>
      <w:marLeft w:val="0"/>
      <w:marRight w:val="0"/>
      <w:marTop w:val="0"/>
      <w:marBottom w:val="0"/>
      <w:divBdr>
        <w:top w:val="none" w:sz="0" w:space="0" w:color="auto"/>
        <w:left w:val="none" w:sz="0" w:space="0" w:color="auto"/>
        <w:bottom w:val="none" w:sz="0" w:space="0" w:color="auto"/>
        <w:right w:val="none" w:sz="0" w:space="0" w:color="auto"/>
      </w:divBdr>
    </w:div>
    <w:div w:id="1629316290">
      <w:bodyDiv w:val="1"/>
      <w:marLeft w:val="0"/>
      <w:marRight w:val="0"/>
      <w:marTop w:val="0"/>
      <w:marBottom w:val="0"/>
      <w:divBdr>
        <w:top w:val="none" w:sz="0" w:space="0" w:color="auto"/>
        <w:left w:val="none" w:sz="0" w:space="0" w:color="auto"/>
        <w:bottom w:val="none" w:sz="0" w:space="0" w:color="auto"/>
        <w:right w:val="none" w:sz="0" w:space="0" w:color="auto"/>
      </w:divBdr>
    </w:div>
    <w:div w:id="1652171986">
      <w:bodyDiv w:val="1"/>
      <w:marLeft w:val="0"/>
      <w:marRight w:val="0"/>
      <w:marTop w:val="0"/>
      <w:marBottom w:val="0"/>
      <w:divBdr>
        <w:top w:val="none" w:sz="0" w:space="0" w:color="auto"/>
        <w:left w:val="none" w:sz="0" w:space="0" w:color="auto"/>
        <w:bottom w:val="none" w:sz="0" w:space="0" w:color="auto"/>
        <w:right w:val="none" w:sz="0" w:space="0" w:color="auto"/>
      </w:divBdr>
    </w:div>
    <w:div w:id="1701392356">
      <w:bodyDiv w:val="1"/>
      <w:marLeft w:val="0"/>
      <w:marRight w:val="0"/>
      <w:marTop w:val="0"/>
      <w:marBottom w:val="0"/>
      <w:divBdr>
        <w:top w:val="none" w:sz="0" w:space="0" w:color="auto"/>
        <w:left w:val="none" w:sz="0" w:space="0" w:color="auto"/>
        <w:bottom w:val="none" w:sz="0" w:space="0" w:color="auto"/>
        <w:right w:val="none" w:sz="0" w:space="0" w:color="auto"/>
      </w:divBdr>
    </w:div>
    <w:div w:id="1703238031">
      <w:bodyDiv w:val="1"/>
      <w:marLeft w:val="0"/>
      <w:marRight w:val="0"/>
      <w:marTop w:val="0"/>
      <w:marBottom w:val="0"/>
      <w:divBdr>
        <w:top w:val="none" w:sz="0" w:space="0" w:color="auto"/>
        <w:left w:val="none" w:sz="0" w:space="0" w:color="auto"/>
        <w:bottom w:val="none" w:sz="0" w:space="0" w:color="auto"/>
        <w:right w:val="none" w:sz="0" w:space="0" w:color="auto"/>
      </w:divBdr>
    </w:div>
    <w:div w:id="1705397548">
      <w:bodyDiv w:val="1"/>
      <w:marLeft w:val="0"/>
      <w:marRight w:val="0"/>
      <w:marTop w:val="0"/>
      <w:marBottom w:val="0"/>
      <w:divBdr>
        <w:top w:val="none" w:sz="0" w:space="0" w:color="auto"/>
        <w:left w:val="none" w:sz="0" w:space="0" w:color="auto"/>
        <w:bottom w:val="none" w:sz="0" w:space="0" w:color="auto"/>
        <w:right w:val="none" w:sz="0" w:space="0" w:color="auto"/>
      </w:divBdr>
    </w:div>
    <w:div w:id="1730037801">
      <w:bodyDiv w:val="1"/>
      <w:marLeft w:val="0"/>
      <w:marRight w:val="0"/>
      <w:marTop w:val="0"/>
      <w:marBottom w:val="0"/>
      <w:divBdr>
        <w:top w:val="none" w:sz="0" w:space="0" w:color="auto"/>
        <w:left w:val="none" w:sz="0" w:space="0" w:color="auto"/>
        <w:bottom w:val="none" w:sz="0" w:space="0" w:color="auto"/>
        <w:right w:val="none" w:sz="0" w:space="0" w:color="auto"/>
      </w:divBdr>
    </w:div>
    <w:div w:id="1751463434">
      <w:bodyDiv w:val="1"/>
      <w:marLeft w:val="0"/>
      <w:marRight w:val="0"/>
      <w:marTop w:val="0"/>
      <w:marBottom w:val="0"/>
      <w:divBdr>
        <w:top w:val="none" w:sz="0" w:space="0" w:color="auto"/>
        <w:left w:val="none" w:sz="0" w:space="0" w:color="auto"/>
        <w:bottom w:val="none" w:sz="0" w:space="0" w:color="auto"/>
        <w:right w:val="none" w:sz="0" w:space="0" w:color="auto"/>
      </w:divBdr>
    </w:div>
    <w:div w:id="1779713990">
      <w:bodyDiv w:val="1"/>
      <w:marLeft w:val="0"/>
      <w:marRight w:val="0"/>
      <w:marTop w:val="0"/>
      <w:marBottom w:val="0"/>
      <w:divBdr>
        <w:top w:val="none" w:sz="0" w:space="0" w:color="auto"/>
        <w:left w:val="none" w:sz="0" w:space="0" w:color="auto"/>
        <w:bottom w:val="none" w:sz="0" w:space="0" w:color="auto"/>
        <w:right w:val="none" w:sz="0" w:space="0" w:color="auto"/>
      </w:divBdr>
    </w:div>
    <w:div w:id="1780445217">
      <w:bodyDiv w:val="1"/>
      <w:marLeft w:val="0"/>
      <w:marRight w:val="0"/>
      <w:marTop w:val="0"/>
      <w:marBottom w:val="0"/>
      <w:divBdr>
        <w:top w:val="none" w:sz="0" w:space="0" w:color="auto"/>
        <w:left w:val="none" w:sz="0" w:space="0" w:color="auto"/>
        <w:bottom w:val="none" w:sz="0" w:space="0" w:color="auto"/>
        <w:right w:val="none" w:sz="0" w:space="0" w:color="auto"/>
      </w:divBdr>
    </w:div>
    <w:div w:id="1877547287">
      <w:bodyDiv w:val="1"/>
      <w:marLeft w:val="0"/>
      <w:marRight w:val="0"/>
      <w:marTop w:val="0"/>
      <w:marBottom w:val="0"/>
      <w:divBdr>
        <w:top w:val="none" w:sz="0" w:space="0" w:color="auto"/>
        <w:left w:val="none" w:sz="0" w:space="0" w:color="auto"/>
        <w:bottom w:val="none" w:sz="0" w:space="0" w:color="auto"/>
        <w:right w:val="none" w:sz="0" w:space="0" w:color="auto"/>
      </w:divBdr>
    </w:div>
    <w:div w:id="1892423825">
      <w:bodyDiv w:val="1"/>
      <w:marLeft w:val="0"/>
      <w:marRight w:val="0"/>
      <w:marTop w:val="0"/>
      <w:marBottom w:val="0"/>
      <w:divBdr>
        <w:top w:val="none" w:sz="0" w:space="0" w:color="auto"/>
        <w:left w:val="none" w:sz="0" w:space="0" w:color="auto"/>
        <w:bottom w:val="none" w:sz="0" w:space="0" w:color="auto"/>
        <w:right w:val="none" w:sz="0" w:space="0" w:color="auto"/>
      </w:divBdr>
    </w:div>
    <w:div w:id="1972901013">
      <w:bodyDiv w:val="1"/>
      <w:marLeft w:val="0"/>
      <w:marRight w:val="0"/>
      <w:marTop w:val="0"/>
      <w:marBottom w:val="0"/>
      <w:divBdr>
        <w:top w:val="none" w:sz="0" w:space="0" w:color="auto"/>
        <w:left w:val="none" w:sz="0" w:space="0" w:color="auto"/>
        <w:bottom w:val="none" w:sz="0" w:space="0" w:color="auto"/>
        <w:right w:val="none" w:sz="0" w:space="0" w:color="auto"/>
      </w:divBdr>
    </w:div>
    <w:div w:id="1992977990">
      <w:bodyDiv w:val="1"/>
      <w:marLeft w:val="0"/>
      <w:marRight w:val="0"/>
      <w:marTop w:val="0"/>
      <w:marBottom w:val="0"/>
      <w:divBdr>
        <w:top w:val="none" w:sz="0" w:space="0" w:color="auto"/>
        <w:left w:val="none" w:sz="0" w:space="0" w:color="auto"/>
        <w:bottom w:val="none" w:sz="0" w:space="0" w:color="auto"/>
        <w:right w:val="none" w:sz="0" w:space="0" w:color="auto"/>
      </w:divBdr>
    </w:div>
    <w:div w:id="1993177853">
      <w:bodyDiv w:val="1"/>
      <w:marLeft w:val="0"/>
      <w:marRight w:val="0"/>
      <w:marTop w:val="0"/>
      <w:marBottom w:val="0"/>
      <w:divBdr>
        <w:top w:val="none" w:sz="0" w:space="0" w:color="auto"/>
        <w:left w:val="none" w:sz="0" w:space="0" w:color="auto"/>
        <w:bottom w:val="none" w:sz="0" w:space="0" w:color="auto"/>
        <w:right w:val="none" w:sz="0" w:space="0" w:color="auto"/>
      </w:divBdr>
    </w:div>
    <w:div w:id="2120172446">
      <w:bodyDiv w:val="1"/>
      <w:marLeft w:val="0"/>
      <w:marRight w:val="0"/>
      <w:marTop w:val="0"/>
      <w:marBottom w:val="0"/>
      <w:divBdr>
        <w:top w:val="none" w:sz="0" w:space="0" w:color="auto"/>
        <w:left w:val="none" w:sz="0" w:space="0" w:color="auto"/>
        <w:bottom w:val="none" w:sz="0" w:space="0" w:color="auto"/>
        <w:right w:val="none" w:sz="0" w:space="0" w:color="auto"/>
      </w:divBdr>
    </w:div>
    <w:div w:id="213427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all.16151" TargetMode="External" /><Relationship Id="rId13" Type="http://schemas.openxmlformats.org/officeDocument/2006/relationships/hyperlink" Target="https://doi.org/10.1089/ped.2023.0071" TargetMode="External" /><Relationship Id="rId18" Type="http://schemas.openxmlformats.org/officeDocument/2006/relationships/header" Target="header1.xml" /><Relationship Id="rId3" Type="http://schemas.openxmlformats.org/officeDocument/2006/relationships/styles" Target="styles.xml" /><Relationship Id="rId21" Type="http://schemas.openxmlformats.org/officeDocument/2006/relationships/footer" Target="footer2.xml" /><Relationship Id="rId7" Type="http://schemas.openxmlformats.org/officeDocument/2006/relationships/endnotes" Target="endnotes.xml" /><Relationship Id="rId12" Type="http://schemas.openxmlformats.org/officeDocument/2006/relationships/hyperlink" Target="https://doi.org/10.2196/64212" TargetMode="External" /><Relationship Id="rId17" Type="http://schemas.openxmlformats.org/officeDocument/2006/relationships/hyperlink" Target="https://doi.org/10.1016/j.ceh.2020.06.001" TargetMode="External"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www.nice.org.uk/guidance/NG245"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ginasthma.org/" TargetMode="External"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doi.org/10.1016/j.amepre.2022.01.015" TargetMode="External" /><Relationship Id="rId23" Type="http://schemas.openxmlformats.org/officeDocument/2006/relationships/footer" Target="footer3.xml" /><Relationship Id="rId10" Type="http://schemas.openxmlformats.org/officeDocument/2006/relationships/hyperlink" Target="https://doi.org/10.1016/j.anai.2022.06.017" TargetMode="External" /><Relationship Id="rId19"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yperlink" Target="https://fingertips.phe.org.uk/static-reports/health-trends-in-england/England/respiratory_disease.html" TargetMode="External" /><Relationship Id="rId14" Type="http://schemas.openxmlformats.org/officeDocument/2006/relationships/hyperlink" Target="https://doi.org/10.1038/s41590-025-02212-9" TargetMode="External" /><Relationship Id="rId22"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C8D09-EA38-49F8-B6E8-964229D6CAB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2974</Words>
  <Characters>16952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Safa khan</cp:lastModifiedBy>
  <cp:revision>2</cp:revision>
  <cp:lastPrinted>1900-01-01T00:00:00Z</cp:lastPrinted>
  <dcterms:created xsi:type="dcterms:W3CDTF">2026-10-21T08:58:00Z</dcterms:created>
  <dcterms:modified xsi:type="dcterms:W3CDTF">2026-10-21T08:58:00Z</dcterms:modified>
</cp:coreProperties>
</file>