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Pr="00B977FE" w:rsidRDefault="00B977FE" w:rsidP="00B977FE">
      <w:pPr>
        <w:spacing w:line="360" w:lineRule="auto"/>
        <w:rPr>
          <w:rFonts w:ascii="Arial" w:eastAsia="Calibri" w:hAnsi="Arial" w:cs="Arial"/>
          <w:b/>
          <w:bCs/>
          <w:sz w:val="24"/>
          <w:szCs w:val="24"/>
        </w:rPr>
      </w:pPr>
      <w:r>
        <w:rPr>
          <w:rFonts w:ascii="Arial" w:eastAsia="Calibri" w:hAnsi="Arial" w:cs="Arial"/>
          <w:b/>
          <w:bCs/>
          <w:sz w:val="24"/>
          <w:szCs w:val="24"/>
        </w:rPr>
        <w:t>Student Name: Hayley James                       Student Number: 2016250</w:t>
      </w: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Pr="00B977FE" w:rsidRDefault="00B977FE" w:rsidP="00B977FE">
      <w:pPr>
        <w:spacing w:line="360" w:lineRule="auto"/>
        <w:rPr>
          <w:rFonts w:ascii="Arial" w:hAnsi="Arial" w:cs="Arial"/>
          <w:sz w:val="24"/>
          <w:szCs w:val="24"/>
          <w:u w:val="single"/>
        </w:rPr>
      </w:pPr>
      <w:r w:rsidRPr="00B977FE">
        <w:rPr>
          <w:rFonts w:ascii="Arial" w:eastAsia="Calibri" w:hAnsi="Arial" w:cs="Arial"/>
          <w:b/>
          <w:bCs/>
          <w:sz w:val="24"/>
          <w:szCs w:val="24"/>
          <w:u w:val="single"/>
        </w:rPr>
        <w:t xml:space="preserve">Essay 1: </w:t>
      </w:r>
      <w:r w:rsidRPr="00B977FE">
        <w:rPr>
          <w:rFonts w:ascii="Arial" w:eastAsia="Calibri" w:hAnsi="Arial" w:cs="Arial"/>
          <w:b/>
          <w:bCs/>
          <w:sz w:val="24"/>
          <w:szCs w:val="24"/>
          <w:u w:val="single"/>
        </w:rPr>
        <w:t>Understanding the role of Constable/Maintaining Professional Standards</w:t>
      </w:r>
      <w:r w:rsidRPr="00B977FE">
        <w:rPr>
          <w:rFonts w:ascii="Arial" w:eastAsia="Calibri" w:hAnsi="Arial" w:cs="Arial"/>
          <w:b/>
          <w:bCs/>
          <w:sz w:val="24"/>
          <w:szCs w:val="24"/>
          <w:u w:val="single"/>
        </w:rPr>
        <w:t>.</w:t>
      </w:r>
    </w:p>
    <w:p w:rsidR="00B977FE" w:rsidRPr="00B977FE" w:rsidRDefault="00B977FE" w:rsidP="00B977FE">
      <w:pPr>
        <w:spacing w:line="360" w:lineRule="auto"/>
        <w:rPr>
          <w:rFonts w:ascii="Arial" w:eastAsia="Calibri" w:hAnsi="Arial" w:cs="Arial"/>
          <w:sz w:val="24"/>
          <w:szCs w:val="24"/>
        </w:rPr>
      </w:pPr>
    </w:p>
    <w:p w:rsidR="00B977FE" w:rsidRPr="00B977FE" w:rsidRDefault="00B977FE" w:rsidP="00B977FE">
      <w:pPr>
        <w:spacing w:line="360" w:lineRule="auto"/>
        <w:rPr>
          <w:rFonts w:ascii="Arial" w:eastAsia="Calibri" w:hAnsi="Arial" w:cs="Arial"/>
          <w:b/>
          <w:sz w:val="24"/>
          <w:szCs w:val="24"/>
          <w:u w:val="single"/>
        </w:rPr>
      </w:pPr>
      <w:r w:rsidRPr="00B977FE">
        <w:rPr>
          <w:rFonts w:ascii="Arial" w:eastAsia="Calibri" w:hAnsi="Arial" w:cs="Arial"/>
          <w:b/>
          <w:sz w:val="24"/>
          <w:szCs w:val="24"/>
          <w:u w:val="single"/>
        </w:rPr>
        <w:t xml:space="preserve">Critically evaluate the concept of ‘the professionalisation of the police service’ considering how ‘Maintaining Professional Standards’ ‘ethical and inclusive’ and ‘coaching and mentoring’ approaches contribute to this. </w:t>
      </w:r>
    </w:p>
    <w:p w:rsidR="00B977FE" w:rsidRPr="00B977FE" w:rsidRDefault="00B977FE" w:rsidP="00B977FE">
      <w:pPr>
        <w:spacing w:line="360" w:lineRule="auto"/>
        <w:rPr>
          <w:rFonts w:ascii="Arial" w:hAnsi="Arial" w:cs="Arial"/>
          <w:b/>
          <w:sz w:val="24"/>
          <w:szCs w:val="24"/>
          <w:u w:val="single"/>
        </w:rPr>
      </w:pPr>
    </w:p>
    <w:p w:rsidR="00B977FE" w:rsidRPr="00B977FE" w:rsidRDefault="00B977FE" w:rsidP="00B977FE">
      <w:pPr>
        <w:spacing w:line="360" w:lineRule="auto"/>
        <w:rPr>
          <w:rFonts w:ascii="Arial" w:hAnsi="Arial" w:cs="Arial"/>
          <w:b/>
          <w:sz w:val="24"/>
          <w:szCs w:val="24"/>
          <w:u w:val="single"/>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A profession can be defined as an organized undertaking characterized by a body of specialized knowledge acquired through extensive education, a set of formal internal standards and ethical guidelines that tend to hold the members of the profession accountable to one another and the community/entity/institution they serve (Siegfried, 1989).  In relation to the police, professionalism requires that police officers possess a great deal of specialized knowledge and that they adhere to organizational standards and ethics as set forth by the pro</w:t>
      </w:r>
      <w:r w:rsidR="000E00F2">
        <w:rPr>
          <w:rFonts w:ascii="Arial" w:hAnsi="Arial" w:cs="Arial"/>
          <w:sz w:val="24"/>
          <w:szCs w:val="24"/>
        </w:rPr>
        <w:t>fession</w:t>
      </w:r>
      <w:r w:rsidRPr="00B977FE">
        <w:rPr>
          <w:rFonts w:ascii="Arial" w:hAnsi="Arial" w:cs="Arial"/>
          <w:sz w:val="24"/>
          <w:szCs w:val="24"/>
        </w:rPr>
        <w:t xml:space="preserve"> (Siegfried, 1989).  Within this essay I will critically evaluate the concept of professionalism of the police service, particularly focussing on how the maintenance of professional standards, coaching and mentoring, and ethical and inclusive approaches can contribute to professionalism.</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Professionalism in the police demands the diligent performance of duties.  However Sunahara (2004) argues that it can</w:t>
      </w:r>
      <w:r w:rsidR="000E00F2">
        <w:rPr>
          <w:rFonts w:ascii="Arial" w:hAnsi="Arial" w:cs="Arial"/>
          <w:sz w:val="24"/>
          <w:szCs w:val="24"/>
        </w:rPr>
        <w:t xml:space="preserve"> be harder to work ethically within</w:t>
      </w:r>
      <w:r w:rsidRPr="00B977FE">
        <w:rPr>
          <w:rFonts w:ascii="Arial" w:hAnsi="Arial" w:cs="Arial"/>
          <w:sz w:val="24"/>
          <w:szCs w:val="24"/>
        </w:rPr>
        <w:t xml:space="preserve"> the police force because the environment is hostile and that temptation, insults and threats are more common place, therefore acting ethically poses a greater challenge.    Also due to this and the fact that in recent years there has been multiple catastrophes which has resulted in poor public performance of the police (Lumsden, 2017), there has been a demand for a clear reform in policing.  </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lastRenderedPageBreak/>
        <w:t>Due to the need to restructure the development, training and recruitment of officers one of the strategies developed in an attempt to improve this has resulted in a partnership being created between higher education facilities and police practitioners with a key focus on refining, developing and improving working practice (Lumsden, 2017).  This follows the footsteps of nursing and medical education as the gold ideals to follow that would move the police away from a service which acts professionally to one that is a professional service (White and Heslop, 2021).</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The current entry routes into policing are now the: Police Constable Degree Apprenticeship (PCDA), Degree Holder Entry Programme (DHEP) and the pre-join degree.  The PCDA involves three years of study in combination with operational work and participants obtain a degree in Professional Policing at the end.  The DHEP involves 2 years of study in combination with operational work and participants achieve a diploma in Professional Policing Practice.  The pre-join degree means participants have completed a degree in policing studies from approved universities.  The College of Policing (2020) claim that entry into policing by at least the PCDA method will provide officers with deeper knowledge and develop critical thinkers and reflective learners within the force.  However research by Rydberg and Terrill (2010) claims that there is a lack of evidence to demonstrate that a degree leads to better desired outcomes and argues that the idea that officers who were educated to a degree level would perform better than officers who are not educated to degree level were based on intuition and were not supported by empirical research (Rydberg and Terrill, 2010).</w:t>
      </w:r>
    </w:p>
    <w:p w:rsidR="00B977FE" w:rsidRPr="00B977FE" w:rsidRDefault="00B977FE" w:rsidP="00B977FE">
      <w:pPr>
        <w:spacing w:line="360" w:lineRule="auto"/>
        <w:jc w:val="center"/>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 xml:space="preserve">During training to become a police officer there is a time when participants are mentored and coached by a more experienced police officer.   Hansman (2000) quoted Caffarella (1993) and defined a mentoring relationship as intense caring relationships in which persons with more experience, work with less experienced persons to promote both professional and personal development.  The findings from studies by (Higgins &amp; Thomas, 2001: Noe, Greenberger and Wong, 2002: both cited in Johnson, 2007) on mentoring participation have identified a variety of benefits for both employees and organizations. Some of the most important benefits were: (a) career advancement, (b) career success, (c) job satisfaction, (d) organizational commitment, (e) competence, (f) achievement, (g) self-esteem, (h) retention, and (i) </w:t>
      </w:r>
      <w:r w:rsidRPr="00B977FE">
        <w:rPr>
          <w:rFonts w:ascii="Arial" w:hAnsi="Arial" w:cs="Arial"/>
          <w:sz w:val="24"/>
          <w:szCs w:val="24"/>
        </w:rPr>
        <w:lastRenderedPageBreak/>
        <w:t>diversity.   A study by Valencia (2009) claims that mentoring is vital for the law enforcement community.  Another benefit of mentoring highlighted by the Gloucestershire police is that mentoring assists  in disseminating organisational values and culture (Moore, 2011)  When officers are given independent operation status they have full independence on the on the actions and powers they utilise.  By having coaching and mentoring it can help officers maintain a high professional standard, including aspects of ethics and inclusion.</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Sieg</w:t>
      </w:r>
      <w:r w:rsidR="006D2D5D">
        <w:rPr>
          <w:rFonts w:ascii="Arial" w:hAnsi="Arial" w:cs="Arial"/>
          <w:sz w:val="24"/>
          <w:szCs w:val="24"/>
        </w:rPr>
        <w:t>f</w:t>
      </w:r>
      <w:r w:rsidRPr="00B977FE">
        <w:rPr>
          <w:rFonts w:ascii="Arial" w:hAnsi="Arial" w:cs="Arial"/>
          <w:sz w:val="24"/>
          <w:szCs w:val="24"/>
        </w:rPr>
        <w:t>ried’s</w:t>
      </w:r>
      <w:r w:rsidR="006D2D5D">
        <w:rPr>
          <w:rFonts w:ascii="Arial" w:hAnsi="Arial" w:cs="Arial"/>
          <w:sz w:val="24"/>
          <w:szCs w:val="24"/>
        </w:rPr>
        <w:t xml:space="preserve"> (1989)</w:t>
      </w:r>
      <w:r w:rsidRPr="00B977FE">
        <w:rPr>
          <w:rFonts w:ascii="Arial" w:hAnsi="Arial" w:cs="Arial"/>
          <w:sz w:val="24"/>
          <w:szCs w:val="24"/>
        </w:rPr>
        <w:t xml:space="preserve"> earlier definition of professionalism included a set of formal internal standards and ethical guidelines that tend to hold the members of the profession accountable to one another and the community/entity/institution they serve.  The police force have their own Code of Ethics.  This was produced by the College of Policing in 2014 in its role as the professional body for policing.  It sets and defines the exemplary standards of behaviour for everyone who works in policing (College of Policing, 2022).  To help everyone in policing make decisions and to provide a framework in which decisions can be examined and challenged the police service has adopted a single National Decision Making model.  The Model has at its centre the Code of Ethics, as a touchstone for all decision making. Using this model encourages officers to act in accordance with the Code (College of Policing, 2014).  Officers are provided with training to use this model, this is to ensure that all decisions have at its fundamental core the code of ethics in policing.</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 xml:space="preserve">Overall there has been discrepancy into the professionalism of the police.   Studies have shown that a college degree is associated with higher job satisfaction, better communication skills, better job performance and greater promotion potential, among other benefits (Bumgarner, 2002).  However this desire for formal education has been argued as a report by Bayley and Bittner (1984) discussed that officers see the role as one which you develop as a craft entirely through experiences, and due to this the view of professional is disregarded by serving officers.  Also Loftus and Price (2016) found that officers demonstrated moderate to high attitudinal levels of professionalism, regardless of educational background.  This is supported by research by Shernock (1992) where they discovered that college education does not enhance the professional behaviour of police or change their perspective towards their clients.   Mentoring is a valuable tool for officers, however the mentor would </w:t>
      </w:r>
      <w:r w:rsidRPr="00B977FE">
        <w:rPr>
          <w:rFonts w:ascii="Arial" w:hAnsi="Arial" w:cs="Arial"/>
          <w:sz w:val="24"/>
          <w:szCs w:val="24"/>
        </w:rPr>
        <w:lastRenderedPageBreak/>
        <w:t>need to be ethical and police by following the code of effects otherwise it could have a potential detrimental effect on the officer that is being mentored.  By highlighting and providing training to officers regarding the code of ethics and the use of the National Decision Making model it can give officers the tools that they need to shape how they police ethically and professionally, making their own informed decisions, as research by Paoline &amp; Terrill (2007) claim that policing is best learned on the job and of all the necessary performance skills are developed by handling the various situations that arise in policing.</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Word count: 1094</w:t>
      </w:r>
    </w:p>
    <w:p w:rsidR="00B977FE" w:rsidRPr="00B977FE" w:rsidRDefault="00B977FE" w:rsidP="00B977FE">
      <w:pPr>
        <w:spacing w:line="360" w:lineRule="auto"/>
        <w:rPr>
          <w:rFonts w:ascii="Arial" w:eastAsia="Calibri" w:hAnsi="Arial" w:cs="Arial"/>
          <w:sz w:val="24"/>
          <w:szCs w:val="24"/>
        </w:rPr>
      </w:pPr>
    </w:p>
    <w:p w:rsidR="00B977FE" w:rsidRP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Default="00B977FE" w:rsidP="00B977FE">
      <w:pPr>
        <w:spacing w:line="360" w:lineRule="auto"/>
        <w:rPr>
          <w:rFonts w:ascii="Arial" w:eastAsia="Calibri" w:hAnsi="Arial" w:cs="Arial"/>
          <w:b/>
          <w:sz w:val="24"/>
          <w:szCs w:val="24"/>
          <w:u w:val="single"/>
        </w:rPr>
      </w:pPr>
    </w:p>
    <w:p w:rsidR="00B977FE" w:rsidRPr="00B977FE" w:rsidRDefault="00B977FE" w:rsidP="00B977FE">
      <w:pPr>
        <w:spacing w:line="360" w:lineRule="auto"/>
        <w:rPr>
          <w:rFonts w:ascii="Arial" w:hAnsi="Arial" w:cs="Arial"/>
          <w:b/>
          <w:sz w:val="24"/>
          <w:szCs w:val="24"/>
          <w:u w:val="single"/>
        </w:rPr>
      </w:pPr>
      <w:r w:rsidRPr="00B977FE">
        <w:rPr>
          <w:rFonts w:ascii="Arial" w:eastAsia="Calibri" w:hAnsi="Arial" w:cs="Arial"/>
          <w:b/>
          <w:sz w:val="24"/>
          <w:szCs w:val="24"/>
          <w:u w:val="single"/>
        </w:rPr>
        <w:lastRenderedPageBreak/>
        <w:t xml:space="preserve">Essay 2: </w:t>
      </w:r>
      <w:r w:rsidR="006D2D5D">
        <w:rPr>
          <w:rFonts w:ascii="Arial" w:eastAsia="Calibri" w:hAnsi="Arial" w:cs="Arial"/>
          <w:b/>
          <w:sz w:val="24"/>
          <w:szCs w:val="24"/>
          <w:u w:val="single"/>
        </w:rPr>
        <w:t xml:space="preserve"> </w:t>
      </w:r>
      <w:r w:rsidRPr="00B977FE">
        <w:rPr>
          <w:rFonts w:ascii="Arial" w:eastAsia="Calibri" w:hAnsi="Arial" w:cs="Arial"/>
          <w:b/>
          <w:sz w:val="24"/>
          <w:szCs w:val="24"/>
          <w:u w:val="single"/>
        </w:rPr>
        <w:t xml:space="preserve">Critically evaluate the role of the police in </w:t>
      </w:r>
      <w:r w:rsidRPr="00B977FE">
        <w:rPr>
          <w:rFonts w:ascii="Arial" w:eastAsia="Arial" w:hAnsi="Arial" w:cs="Arial"/>
          <w:b/>
          <w:sz w:val="24"/>
          <w:szCs w:val="24"/>
          <w:u w:val="single"/>
        </w:rPr>
        <w:t>r</w:t>
      </w:r>
      <w:r w:rsidRPr="00B977FE">
        <w:rPr>
          <w:rFonts w:ascii="Arial" w:eastAsia="Arial" w:hAnsi="Arial" w:cs="Arial"/>
          <w:b/>
          <w:sz w:val="24"/>
          <w:szCs w:val="24"/>
          <w:u w:val="single"/>
        </w:rPr>
        <w:t>esponse policing (public perception and critical/major incidents)</w:t>
      </w:r>
    </w:p>
    <w:p w:rsidR="00B977FE" w:rsidRPr="00B977FE" w:rsidRDefault="00B977FE" w:rsidP="00B977FE">
      <w:pPr>
        <w:spacing w:line="360" w:lineRule="auto"/>
        <w:rPr>
          <w:rFonts w:ascii="Arial" w:hAnsi="Arial" w:cs="Arial"/>
          <w:color w:val="2A2A2A"/>
          <w:sz w:val="24"/>
          <w:szCs w:val="24"/>
          <w:shd w:val="clear" w:color="auto" w:fill="FFFFFF"/>
        </w:rPr>
      </w:pP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Response policing is used to describe the teams of police officers that respond to emergency and non-emergency calls from members of the public (College of policing, 2020). Response officers will often be the first police officer many members of the public come in to contact with. While responding to incidents is their primary role, in doing this they will also protect the public, proactively patrol their communities, manage critical incidents, communicate with vulnerable people, apply conflict management techniques, give emergency first aid and much more (College of policing, 2020).   As response officers are normally the officers have the public will have the most contact with it is important to examine the public perception of them.  This is because the police serve the public.  Within this assignment I will critically evaluate the public perceptions of response policing, with a particular focus being on the police respond to critical and major incidents.</w:t>
      </w:r>
    </w:p>
    <w:p w:rsidR="00B977FE" w:rsidRPr="00B977FE" w:rsidRDefault="00B977FE" w:rsidP="00B977FE">
      <w:pPr>
        <w:spacing w:line="360" w:lineRule="auto"/>
        <w:rPr>
          <w:rFonts w:ascii="Arial" w:hAnsi="Arial" w:cs="Arial"/>
          <w:sz w:val="24"/>
          <w:szCs w:val="24"/>
        </w:rPr>
      </w:pPr>
    </w:p>
    <w:p w:rsidR="00B977FE" w:rsidRPr="00B977FE" w:rsidRDefault="00B977FE" w:rsidP="00B977FE">
      <w:pPr>
        <w:pStyle w:val="chapter-para"/>
        <w:shd w:val="clear" w:color="auto" w:fill="FFFFFF"/>
        <w:spacing w:line="360" w:lineRule="auto"/>
        <w:textAlignment w:val="baseline"/>
        <w:rPr>
          <w:rFonts w:ascii="Arial" w:hAnsi="Arial" w:cs="Arial"/>
          <w:color w:val="2A2A2A"/>
        </w:rPr>
      </w:pPr>
      <w:r w:rsidRPr="00B977FE">
        <w:rPr>
          <w:rFonts w:ascii="Arial" w:hAnsi="Arial" w:cs="Arial"/>
          <w:color w:val="2A2A2A"/>
        </w:rPr>
        <w:t>In Britain, </w:t>
      </w:r>
      <w:r w:rsidRPr="006D2D5D">
        <w:rPr>
          <w:rStyle w:val="Emphasis"/>
          <w:rFonts w:ascii="Arial" w:hAnsi="Arial" w:cs="Arial"/>
          <w:i w:val="0"/>
          <w:color w:val="2A2A2A"/>
          <w:bdr w:val="none" w:sz="0" w:space="0" w:color="auto" w:frame="1"/>
        </w:rPr>
        <w:t>public confidence in policing</w:t>
      </w:r>
      <w:r w:rsidRPr="00B977FE">
        <w:rPr>
          <w:rFonts w:ascii="Arial" w:hAnsi="Arial" w:cs="Arial"/>
          <w:color w:val="2A2A2A"/>
        </w:rPr>
        <w:t> has become a short-hand for trust, legitimacy and consent, and there is considerable evidence that such public confidence has been falling steadily over the past few decades. For example, the British Crime Survey shows a steady decrease in the proportion of respondents who judge their local police to be doing a very good or fairly good job, dropping from 90 per cent in 1982 to 75 per cent in the financial year 2002/03 (</w:t>
      </w:r>
      <w:hyperlink r:id="rId7" w:history="1">
        <w:r w:rsidRPr="006D2D5D">
          <w:rPr>
            <w:rStyle w:val="Hyperlink"/>
            <w:rFonts w:ascii="Arial" w:hAnsi="Arial" w:cs="Arial"/>
            <w:color w:val="auto"/>
            <w:u w:val="none"/>
            <w:bdr w:val="none" w:sz="0" w:space="0" w:color="auto" w:frame="1"/>
          </w:rPr>
          <w:t>Nicholas and Walker</w:t>
        </w:r>
        <w:r w:rsidR="006D2D5D">
          <w:rPr>
            <w:rStyle w:val="Hyperlink"/>
            <w:rFonts w:ascii="Arial" w:hAnsi="Arial" w:cs="Arial"/>
            <w:color w:val="auto"/>
            <w:u w:val="none"/>
            <w:bdr w:val="none" w:sz="0" w:space="0" w:color="auto" w:frame="1"/>
          </w:rPr>
          <w:t>,</w:t>
        </w:r>
        <w:r w:rsidRPr="006D2D5D">
          <w:rPr>
            <w:rStyle w:val="Hyperlink"/>
            <w:rFonts w:ascii="Arial" w:hAnsi="Arial" w:cs="Arial"/>
            <w:color w:val="auto"/>
            <w:u w:val="none"/>
            <w:bdr w:val="none" w:sz="0" w:space="0" w:color="auto" w:frame="1"/>
          </w:rPr>
          <w:t xml:space="preserve"> 2004</w:t>
        </w:r>
      </w:hyperlink>
      <w:r w:rsidRPr="006D2D5D">
        <w:rPr>
          <w:rFonts w:ascii="Arial" w:hAnsi="Arial" w:cs="Arial"/>
        </w:rPr>
        <w:t>)</w:t>
      </w:r>
      <w:r w:rsidRPr="00B977FE">
        <w:rPr>
          <w:rFonts w:ascii="Arial" w:hAnsi="Arial" w:cs="Arial"/>
          <w:color w:val="2A2A2A"/>
        </w:rPr>
        <w:t xml:space="preserve">.  There is also evidence to suggest that individuals that identified as non-white were more likely to have negative associations and perceptions of the police when compared to their white counterparts, regardless of other dependant variables (Peck, 2015).  This may be because those from ethnic minorities might be seen as considerably under-represented as around 7% of the economically active population are of an ethic minority whilst figures from the Ministry of Justice (2007) suggest that only 3.4% of the police force are from ethnic minorities.  Research by Jackson and Sunshine also found that there was a tendency for 16-24 year olds to lack confidence in the police compared with older age groups.  In a recent public steady, 74% of the respondents felt confident in the police dealing with an emergency and </w:t>
      </w:r>
      <w:r w:rsidRPr="00B977FE">
        <w:rPr>
          <w:rFonts w:ascii="Arial" w:hAnsi="Arial" w:cs="Arial"/>
          <w:color w:val="2A2A2A"/>
        </w:rPr>
        <w:lastRenderedPageBreak/>
        <w:t>that 61% of respondents stated that they were satisfied with their local police force (BMG Research, 2019).  This highlights that the public perception of the police is thought as of more favourably than negatively.</w:t>
      </w:r>
    </w:p>
    <w:p w:rsidR="00B977FE" w:rsidRPr="00B977FE" w:rsidRDefault="00B977FE" w:rsidP="00B977FE">
      <w:pPr>
        <w:pStyle w:val="chapter-para"/>
        <w:shd w:val="clear" w:color="auto" w:fill="FFFFFF"/>
        <w:spacing w:before="0" w:beforeAutospacing="0" w:after="0" w:line="360" w:lineRule="auto"/>
        <w:textAlignment w:val="baseline"/>
        <w:rPr>
          <w:rFonts w:ascii="Arial" w:hAnsi="Arial" w:cs="Arial"/>
          <w:color w:val="2A2A2A"/>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As previously mentioned a focus on this essay will be on the public perception of the polices’ response to critical and major incidents.  A critical incident is defined as: “any incident where the effectiveness of the police response is likely to have a significant impact on the confidence of the victim, their family and/or the community (Bryant and Bryant, 2020).  A major incident is defined as “any emergency that requires, implementation of special arrangements by one or more of the emergency services, the involvement, either directly or indirectly, or large numbers of people”</w:t>
      </w: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(Bryant and Bryant, 2020).</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Major incidents can have devastating effects on the public and be disruptive to society in general.  These effects can be minimised and mitigated by a well-coordinated emergency response (College of Policing, 2021).  If the effects are minimised by an excellent response, then the public perception of the response by the police will be enhanced.  However, research suggests that emergency response is often hindered due to factors such as poor communication, poor information sharing and ineffective coordination between em</w:t>
      </w:r>
      <w:r w:rsidR="000E00F2">
        <w:rPr>
          <w:rFonts w:ascii="Arial" w:hAnsi="Arial" w:cs="Arial"/>
          <w:sz w:val="24"/>
          <w:szCs w:val="24"/>
        </w:rPr>
        <w:t>ergency responders (College of P</w:t>
      </w:r>
      <w:r w:rsidRPr="00B977FE">
        <w:rPr>
          <w:rFonts w:ascii="Arial" w:hAnsi="Arial" w:cs="Arial"/>
          <w:sz w:val="24"/>
          <w:szCs w:val="24"/>
        </w:rPr>
        <w:t>olicing, 2021).  The reputational damage to the police forces and the impact on victims and their families following faulty decision making is considerable with the repercussions lasting decades (Roycroft and Roach, 2019).  This will lead to the public having a negative perception of the polices</w:t>
      </w:r>
      <w:r w:rsidR="000E00F2">
        <w:rPr>
          <w:rFonts w:ascii="Arial" w:hAnsi="Arial" w:cs="Arial"/>
          <w:sz w:val="24"/>
          <w:szCs w:val="24"/>
        </w:rPr>
        <w:t>’</w:t>
      </w:r>
      <w:r w:rsidRPr="00B977FE">
        <w:rPr>
          <w:rFonts w:ascii="Arial" w:hAnsi="Arial" w:cs="Arial"/>
          <w:sz w:val="24"/>
          <w:szCs w:val="24"/>
        </w:rPr>
        <w:t xml:space="preserve"> response to major incidents.  To address this, the Home Office developed the Joint Emergency Services Interoperability Programme (JESIP) in 2012 to improve emergency response to a major incident and promote successful joint working between agencies (College of Policing, 2021). These large scale incidents will have an ongoing effect with a selection of significant issues that will need addressing.  These include further crime and disorder, influence on the community and most of all police response which does not match the publics’ expectations.  Therefore feelings apprehended by the </w:t>
      </w:r>
      <w:r w:rsidRPr="00B977FE">
        <w:rPr>
          <w:rFonts w:ascii="Arial" w:hAnsi="Arial" w:cs="Arial"/>
          <w:sz w:val="24"/>
          <w:szCs w:val="24"/>
        </w:rPr>
        <w:lastRenderedPageBreak/>
        <w:t>victim and their families, following a perception of substantial vulnerability and scale on incident, require suitable focus by means of applicable and carefully managed communication (Bryant and Bryant, 2020)</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color w:val="505258"/>
          <w:sz w:val="24"/>
          <w:szCs w:val="24"/>
          <w:shd w:val="clear" w:color="auto" w:fill="FFFFFF"/>
        </w:rPr>
      </w:pPr>
      <w:r w:rsidRPr="00B977FE">
        <w:rPr>
          <w:rFonts w:ascii="Arial" w:hAnsi="Arial" w:cs="Arial"/>
          <w:sz w:val="24"/>
          <w:szCs w:val="24"/>
        </w:rPr>
        <w:t>A way to evaluate the polices’ response to a major incident would be using the JESIP emergency procedure METHANE (JESIP, 2022).  The METHANE model is an established reporting framework which provides a common structure for responders and their control rooms to share major incident information.</w:t>
      </w:r>
      <w:r w:rsidRPr="00B977FE">
        <w:rPr>
          <w:rFonts w:ascii="Arial" w:hAnsi="Arial" w:cs="Arial"/>
          <w:color w:val="505258"/>
          <w:sz w:val="24"/>
          <w:szCs w:val="24"/>
          <w:shd w:val="clear" w:color="auto" w:fill="FFFFFF"/>
        </w:rPr>
        <w:t xml:space="preserve">  The steps for the methane model are: Has a Major incident been declared, exact location of the incident, the type of incident, what hazards are identified, what are the best access routes, what the number of casualties are, and what emergency services and what number of emergencies services are needed.   The information received through multiple M/ETHANE messages will gradually build to support shared situational awareness in those responding to the incident and between control rooms (JESIP, 2022).  If this METHANE model is followed well then the response from officers should demonstrate to the public the effectiveness of the police force and other emergency services, improving their public perception.</w:t>
      </w:r>
    </w:p>
    <w:p w:rsidR="00B977FE" w:rsidRPr="00B977FE" w:rsidRDefault="00B977FE" w:rsidP="00B977FE">
      <w:pPr>
        <w:spacing w:line="360" w:lineRule="auto"/>
        <w:rPr>
          <w:rFonts w:ascii="Arial" w:hAnsi="Arial" w:cs="Arial"/>
          <w:color w:val="505258"/>
          <w:sz w:val="24"/>
          <w:szCs w:val="24"/>
          <w:shd w:val="clear" w:color="auto" w:fill="FFFFFF"/>
        </w:rPr>
      </w:pPr>
    </w:p>
    <w:p w:rsidR="00B977FE" w:rsidRPr="00B977FE" w:rsidRDefault="00B977FE" w:rsidP="00B977FE">
      <w:pPr>
        <w:spacing w:line="360" w:lineRule="auto"/>
        <w:rPr>
          <w:rFonts w:ascii="Arial" w:hAnsi="Arial" w:cs="Arial"/>
          <w:color w:val="505258"/>
          <w:sz w:val="24"/>
          <w:szCs w:val="24"/>
          <w:shd w:val="clear" w:color="auto" w:fill="FFFFFF"/>
        </w:rPr>
      </w:pPr>
      <w:r w:rsidRPr="00B977FE">
        <w:rPr>
          <w:rFonts w:ascii="Arial" w:hAnsi="Arial" w:cs="Arial"/>
          <w:color w:val="505258"/>
          <w:sz w:val="24"/>
          <w:szCs w:val="24"/>
          <w:shd w:val="clear" w:color="auto" w:fill="FFFFFF"/>
        </w:rPr>
        <w:t>Overall, there is evidence to suggest that the public perception of the police and how they respond to critical and major incidents is favourable.  However there is still evidence to show that some aspects of the population do not support the police or perceive that they respond to well.  The police have made programmes and models to control and coordinate their response to critical and major incidents, thereby trying to increase the public perception of their response but most importantly ensuring that victims, their families and the wider community have the help that they need to satisfy them and also provides an effective outcome to the incident.</w:t>
      </w:r>
    </w:p>
    <w:p w:rsidR="00B977FE" w:rsidRPr="00B977FE" w:rsidRDefault="00B977FE" w:rsidP="00B977FE">
      <w:pPr>
        <w:spacing w:line="360" w:lineRule="auto"/>
        <w:rPr>
          <w:rFonts w:ascii="Arial" w:hAnsi="Arial" w:cs="Arial"/>
          <w:color w:val="505258"/>
          <w:sz w:val="24"/>
          <w:szCs w:val="24"/>
          <w:shd w:val="clear" w:color="auto" w:fill="FFFFFF"/>
        </w:rPr>
      </w:pPr>
    </w:p>
    <w:p w:rsidR="00B977FE" w:rsidRPr="00B977FE" w:rsidRDefault="00B977FE" w:rsidP="00B977FE">
      <w:pPr>
        <w:spacing w:line="360" w:lineRule="auto"/>
        <w:rPr>
          <w:rFonts w:ascii="Arial" w:hAnsi="Arial" w:cs="Arial"/>
          <w:b/>
          <w:color w:val="505258"/>
          <w:sz w:val="24"/>
          <w:szCs w:val="24"/>
          <w:shd w:val="clear" w:color="auto" w:fill="FFFFFF"/>
        </w:rPr>
      </w:pPr>
      <w:r w:rsidRPr="00B977FE">
        <w:rPr>
          <w:rFonts w:ascii="Arial" w:hAnsi="Arial" w:cs="Arial"/>
          <w:b/>
          <w:color w:val="505258"/>
          <w:sz w:val="24"/>
          <w:szCs w:val="24"/>
          <w:shd w:val="clear" w:color="auto" w:fill="FFFFFF"/>
        </w:rPr>
        <w:t>Word Count: 995</w:t>
      </w:r>
    </w:p>
    <w:p w:rsidR="00B977FE" w:rsidRPr="00B977FE" w:rsidRDefault="00B977FE" w:rsidP="00B977FE">
      <w:pPr>
        <w:spacing w:line="360" w:lineRule="auto"/>
        <w:rPr>
          <w:rFonts w:ascii="Arial" w:eastAsia="Calibri" w:hAnsi="Arial" w:cs="Arial"/>
          <w:b/>
          <w:sz w:val="24"/>
          <w:szCs w:val="24"/>
          <w:u w:val="single"/>
        </w:rPr>
      </w:pPr>
    </w:p>
    <w:p w:rsidR="00B977FE" w:rsidRPr="00B977FE" w:rsidRDefault="00B977FE" w:rsidP="00B977FE">
      <w:pPr>
        <w:spacing w:line="360" w:lineRule="auto"/>
        <w:rPr>
          <w:rFonts w:ascii="Arial" w:eastAsia="Calibri" w:hAnsi="Arial" w:cs="Arial"/>
          <w:sz w:val="24"/>
          <w:szCs w:val="24"/>
        </w:rPr>
      </w:pP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eastAsia="Calibri" w:hAnsi="Arial" w:cs="Arial"/>
          <w:sz w:val="24"/>
          <w:szCs w:val="24"/>
        </w:rPr>
        <w:t xml:space="preserve"> </w:t>
      </w:r>
    </w:p>
    <w:p w:rsidR="00B977FE" w:rsidRPr="00B977FE" w:rsidRDefault="00B977FE" w:rsidP="00B977FE">
      <w:pPr>
        <w:spacing w:line="360" w:lineRule="auto"/>
        <w:jc w:val="both"/>
        <w:rPr>
          <w:rFonts w:ascii="Arial" w:hAnsi="Arial" w:cs="Arial"/>
          <w:sz w:val="24"/>
          <w:szCs w:val="24"/>
        </w:rPr>
      </w:pPr>
    </w:p>
    <w:p w:rsidR="00B977FE" w:rsidRDefault="00B977FE" w:rsidP="00B977FE">
      <w:pPr>
        <w:spacing w:line="360" w:lineRule="auto"/>
        <w:rPr>
          <w:rFonts w:ascii="Arial" w:eastAsia="Calibri" w:hAnsi="Arial" w:cs="Arial"/>
          <w:b/>
          <w:bCs/>
          <w:sz w:val="24"/>
          <w:szCs w:val="24"/>
          <w:u w:val="single"/>
        </w:rPr>
      </w:pPr>
    </w:p>
    <w:p w:rsidR="00B977FE" w:rsidRPr="00B977FE" w:rsidRDefault="00B977FE" w:rsidP="00B977FE">
      <w:pPr>
        <w:spacing w:line="360" w:lineRule="auto"/>
        <w:rPr>
          <w:rFonts w:ascii="Arial" w:hAnsi="Arial" w:cs="Arial"/>
          <w:b/>
          <w:sz w:val="24"/>
          <w:szCs w:val="24"/>
          <w:u w:val="single"/>
        </w:rPr>
      </w:pPr>
      <w:r w:rsidRPr="00B977FE">
        <w:rPr>
          <w:rFonts w:ascii="Arial" w:eastAsia="Calibri" w:hAnsi="Arial" w:cs="Arial"/>
          <w:b/>
          <w:bCs/>
          <w:sz w:val="24"/>
          <w:szCs w:val="24"/>
          <w:u w:val="single"/>
        </w:rPr>
        <w:lastRenderedPageBreak/>
        <w:t>Essay 3</w:t>
      </w:r>
      <w:r w:rsidRPr="00B977FE">
        <w:rPr>
          <w:rFonts w:ascii="Arial" w:eastAsia="Calibri" w:hAnsi="Arial" w:cs="Arial"/>
          <w:b/>
          <w:bCs/>
          <w:sz w:val="24"/>
          <w:szCs w:val="24"/>
          <w:u w:val="single"/>
        </w:rPr>
        <w:t xml:space="preserve"> - Information and Intelligence/Communication Skills</w:t>
      </w:r>
    </w:p>
    <w:p w:rsidR="00B977FE" w:rsidRPr="00B977FE" w:rsidRDefault="00B977FE" w:rsidP="00B977FE">
      <w:pPr>
        <w:spacing w:line="360" w:lineRule="auto"/>
        <w:rPr>
          <w:rFonts w:ascii="Arial" w:eastAsia="Calibri" w:hAnsi="Arial" w:cs="Arial"/>
          <w:b/>
          <w:sz w:val="24"/>
          <w:szCs w:val="24"/>
          <w:u w:val="single"/>
        </w:rPr>
      </w:pPr>
      <w:r w:rsidRPr="00B977FE">
        <w:rPr>
          <w:rFonts w:ascii="Arial" w:eastAsia="Calibri" w:hAnsi="Arial" w:cs="Arial"/>
          <w:b/>
          <w:sz w:val="24"/>
          <w:szCs w:val="24"/>
          <w:u w:val="single"/>
        </w:rPr>
        <w:t xml:space="preserve">Critically evaluate the methods used by police in gathering information and intelligence, how information contributes to the ‘tasking and coordinating’ process and how information and intelligence is communicated. </w:t>
      </w:r>
    </w:p>
    <w:p w:rsidR="00B977FE" w:rsidRPr="00B977FE" w:rsidRDefault="00B977FE" w:rsidP="00B977FE">
      <w:pPr>
        <w:spacing w:line="360" w:lineRule="auto"/>
        <w:rPr>
          <w:rFonts w:ascii="Arial" w:eastAsia="Calibri" w:hAnsi="Arial" w:cs="Arial"/>
          <w:sz w:val="24"/>
          <w:szCs w:val="24"/>
        </w:rPr>
      </w:pPr>
    </w:p>
    <w:p w:rsidR="00B977FE" w:rsidRPr="00B977FE" w:rsidRDefault="00B977FE" w:rsidP="00B977FE">
      <w:pPr>
        <w:spacing w:line="360" w:lineRule="auto"/>
        <w:rPr>
          <w:rFonts w:ascii="Arial" w:eastAsia="Calibri" w:hAnsi="Arial" w:cs="Arial"/>
          <w:sz w:val="24"/>
          <w:szCs w:val="24"/>
        </w:rPr>
      </w:pPr>
    </w:p>
    <w:p w:rsidR="00B977FE" w:rsidRPr="006D2D5D" w:rsidRDefault="00B977FE" w:rsidP="00B977FE">
      <w:p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Within this essay I will define what information and intelligence are and highlight their importance in police work.  I will critically evaluate methods used to gather information and intelligence, how information and intelligence is communicated and then also explain how this information and intelligence contributes to the tasking and coordinating process within the police.</w:t>
      </w:r>
    </w:p>
    <w:p w:rsidR="00B977FE" w:rsidRPr="006D2D5D" w:rsidRDefault="00B977FE" w:rsidP="00B977FE">
      <w:pPr>
        <w:spacing w:line="360" w:lineRule="auto"/>
        <w:rPr>
          <w:rStyle w:val="SubtleEmphasis"/>
          <w:rFonts w:ascii="Arial" w:hAnsi="Arial" w:cs="Arial"/>
          <w:i w:val="0"/>
          <w:sz w:val="24"/>
          <w:szCs w:val="24"/>
        </w:rPr>
      </w:pPr>
    </w:p>
    <w:p w:rsidR="00B977FE" w:rsidRPr="00B977FE" w:rsidRDefault="00B977FE" w:rsidP="00B977FE">
      <w:pPr>
        <w:spacing w:line="360" w:lineRule="auto"/>
        <w:rPr>
          <w:rFonts w:ascii="Arial" w:hAnsi="Arial" w:cs="Arial"/>
          <w:sz w:val="24"/>
          <w:szCs w:val="24"/>
        </w:rPr>
      </w:pPr>
      <w:r w:rsidRPr="006D2D5D">
        <w:rPr>
          <w:rStyle w:val="SubtleEmphasis"/>
          <w:rFonts w:ascii="Arial" w:hAnsi="Arial" w:cs="Arial"/>
          <w:i w:val="0"/>
          <w:sz w:val="24"/>
          <w:szCs w:val="24"/>
        </w:rPr>
        <w:t>Information is knowledge in its raw form (United Nations Office on Drugs and Crime, 2011).</w:t>
      </w:r>
      <w:r w:rsidRPr="00B977FE">
        <w:rPr>
          <w:rStyle w:val="SubtleEmphasis"/>
          <w:rFonts w:ascii="Arial" w:hAnsi="Arial" w:cs="Arial"/>
          <w:sz w:val="24"/>
          <w:szCs w:val="24"/>
        </w:rPr>
        <w:t xml:space="preserve">  </w:t>
      </w:r>
      <w:r w:rsidRPr="000E00F2">
        <w:rPr>
          <w:rStyle w:val="SubtleEmphasis"/>
          <w:rFonts w:ascii="Arial" w:hAnsi="Arial" w:cs="Arial"/>
          <w:i w:val="0"/>
          <w:sz w:val="24"/>
          <w:szCs w:val="24"/>
        </w:rPr>
        <w:t>Whereas intelligence</w:t>
      </w:r>
      <w:r w:rsidRPr="00B977FE">
        <w:rPr>
          <w:rFonts w:ascii="Arial" w:hAnsi="Arial" w:cs="Arial"/>
          <w:sz w:val="24"/>
          <w:szCs w:val="24"/>
        </w:rPr>
        <w:t xml:space="preserve"> is information that is capable of being understood, information with added value,</w:t>
      </w:r>
      <w:r w:rsidR="006D2D5D">
        <w:rPr>
          <w:rFonts w:ascii="Arial" w:hAnsi="Arial" w:cs="Arial"/>
          <w:sz w:val="24"/>
          <w:szCs w:val="24"/>
        </w:rPr>
        <w:t xml:space="preserve"> and</w:t>
      </w:r>
      <w:r w:rsidRPr="00B977FE">
        <w:rPr>
          <w:rFonts w:ascii="Arial" w:hAnsi="Arial" w:cs="Arial"/>
          <w:sz w:val="24"/>
          <w:szCs w:val="24"/>
        </w:rPr>
        <w:t xml:space="preserve"> information that has been evaluated in context to its source </w:t>
      </w:r>
      <w:r w:rsidRPr="000E00F2">
        <w:rPr>
          <w:rFonts w:ascii="Arial" w:hAnsi="Arial" w:cs="Arial"/>
          <w:sz w:val="24"/>
          <w:szCs w:val="24"/>
        </w:rPr>
        <w:t>and reliability</w:t>
      </w:r>
      <w:r w:rsidRPr="006D2D5D">
        <w:rPr>
          <w:rFonts w:ascii="Arial" w:hAnsi="Arial" w:cs="Arial"/>
          <w:i/>
          <w:sz w:val="24"/>
          <w:szCs w:val="24"/>
        </w:rPr>
        <w:t xml:space="preserve"> </w:t>
      </w:r>
      <w:r w:rsidRPr="006D2D5D">
        <w:rPr>
          <w:rStyle w:val="SubtleEmphasis"/>
          <w:rFonts w:ascii="Arial" w:hAnsi="Arial" w:cs="Arial"/>
          <w:i w:val="0"/>
          <w:sz w:val="24"/>
          <w:szCs w:val="24"/>
        </w:rPr>
        <w:t>(United Nations Office on Drugs and Crime, 2011).  Intelligence could also be described</w:t>
      </w:r>
      <w:r w:rsidRPr="00B977FE">
        <w:rPr>
          <w:rStyle w:val="SubtleEmphasis"/>
          <w:rFonts w:ascii="Arial" w:hAnsi="Arial" w:cs="Arial"/>
          <w:sz w:val="24"/>
          <w:szCs w:val="24"/>
        </w:rPr>
        <w:t xml:space="preserve"> as</w:t>
      </w:r>
      <w:r w:rsidRPr="00B977FE">
        <w:rPr>
          <w:rFonts w:ascii="Arial" w:hAnsi="Arial" w:cs="Arial"/>
          <w:sz w:val="24"/>
          <w:szCs w:val="24"/>
        </w:rPr>
        <w:t xml:space="preserve"> the process of interpretation information to give it meaning (Lonsdale &amp; dos Santos Lonsdale, 2019).  For over 10 years the Police service has to varying degrees engaged in the concept of intelligence led policing.  The concept is based on simple principles: if we are able to understand the policing problems we face with more clarity, we will be able to resource them more effectively.  (Gwent Police, 2007).  This highlights why information and intelligence is such as important factor in policing work.</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 xml:space="preserve">There are many ways that information can be gathered and this includes: interview, network, documents, observation, action, surveillance, communication control, physical material, internet, policing systems, local citizens, accusations, exchange, media and control authorities. (Bryant and Bryant, 2020).  The most common form of information comes from the general public, who may live in the community alongside the criminals and they can gather information on a criminals daily habits and patterns and anything that they have witnessed which may be suspicious or out of character (Bryant and Bryant, 2020).  Potential problems from obtaining information from the public is that it could be inaccurate but also result in lots of information being obtained that has no relevance and could potentially waste a lot of the police’s time </w:t>
      </w:r>
      <w:r w:rsidRPr="00B977FE">
        <w:rPr>
          <w:rFonts w:ascii="Arial" w:hAnsi="Arial" w:cs="Arial"/>
          <w:sz w:val="24"/>
          <w:szCs w:val="24"/>
        </w:rPr>
        <w:lastRenderedPageBreak/>
        <w:t>by investigating it and trying to analyse it.  There could also be the potential that someone is making false and malicious allegations.  An example of this recently is where PC Masum from South Wales Police made false allegations regarding an ex-girlfriend possessing a gun which were found to be not true and it is estimated that these false allegations wasted over 200 hours of South Wales’ police time (Gogarty, 2022).</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A key source of information could come from the use of Cover Human Intelligence Source (CHIS). A CHIS is a person who encourages another person to obtain key information, whilst being managed by a handling source.  These are often detectives who are trained in organising key meetings and tasking the informant whilst also maintaining control of the informants who can often be dishonest, deceitful and calculating.  Covert information comes with risks, primarily for the CHIS who can have then tendency to want affection, praise, contact, rewards and a sense of feeling valued by their handler.  The CHIS’s identify and safety are of paramount concern due to the nature of the information, with failures in this area resulting in catastrophic consequences.  It is the handler’s responsibility to ensure confidentiality and care towards the source (Bryant and Bryant, 2020).</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Collecting information itself does not result in obtaining intelligence.  Information must be properly evaluated before it can be acted upon (United Nation office on crime and drugs).  The methods of obtaining information and intelligence are process through the National Intelligence Model (NIM).  The National Intelligence Model (NIM) is based on two premises.</w:t>
      </w:r>
    </w:p>
    <w:p w:rsidR="00B977FE" w:rsidRPr="00B977FE" w:rsidRDefault="00B977FE" w:rsidP="00B977FE">
      <w:pPr>
        <w:spacing w:line="360" w:lineRule="auto"/>
        <w:rPr>
          <w:rFonts w:ascii="Arial" w:hAnsi="Arial" w:cs="Arial"/>
          <w:sz w:val="24"/>
          <w:szCs w:val="24"/>
        </w:rPr>
      </w:pPr>
    </w:p>
    <w:p w:rsidR="00B977FE" w:rsidRPr="00B977FE" w:rsidRDefault="00B977FE" w:rsidP="00B977FE">
      <w:pPr>
        <w:pStyle w:val="ListParagraph"/>
        <w:numPr>
          <w:ilvl w:val="0"/>
          <w:numId w:val="2"/>
        </w:numPr>
        <w:spacing w:line="360" w:lineRule="auto"/>
        <w:rPr>
          <w:rFonts w:ascii="Arial" w:hAnsi="Arial" w:cs="Arial"/>
          <w:sz w:val="24"/>
          <w:szCs w:val="24"/>
        </w:rPr>
      </w:pPr>
      <w:r w:rsidRPr="00B977FE">
        <w:rPr>
          <w:rFonts w:ascii="Arial" w:hAnsi="Arial" w:cs="Arial"/>
          <w:sz w:val="24"/>
          <w:szCs w:val="24"/>
        </w:rPr>
        <w:t>There are 3 levels of crime in the UK, single-jurisdiction, multi-jurisdictional, and international.</w:t>
      </w:r>
    </w:p>
    <w:p w:rsidR="00B977FE" w:rsidRPr="00B977FE" w:rsidRDefault="00B977FE" w:rsidP="00B977FE">
      <w:pPr>
        <w:pStyle w:val="ListParagraph"/>
        <w:spacing w:line="360" w:lineRule="auto"/>
        <w:rPr>
          <w:rFonts w:ascii="Arial" w:hAnsi="Arial" w:cs="Arial"/>
          <w:sz w:val="24"/>
          <w:szCs w:val="24"/>
        </w:rPr>
      </w:pPr>
      <w:r w:rsidRPr="00B977FE">
        <w:rPr>
          <w:rFonts w:ascii="Arial" w:hAnsi="Arial" w:cs="Arial"/>
          <w:sz w:val="24"/>
          <w:szCs w:val="24"/>
        </w:rPr>
        <w:t>These are designed to impact on criminal business on all three levels.</w:t>
      </w:r>
    </w:p>
    <w:p w:rsidR="00B977FE" w:rsidRPr="006D2D5D" w:rsidRDefault="00B977FE" w:rsidP="00B977FE">
      <w:pPr>
        <w:pStyle w:val="ListParagraph"/>
        <w:numPr>
          <w:ilvl w:val="0"/>
          <w:numId w:val="3"/>
        </w:num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Level 1 – Local Issues – usually the crimes, criminals and other problems affecting a basic command unit or small force areas.</w:t>
      </w:r>
    </w:p>
    <w:p w:rsidR="00B977FE" w:rsidRPr="006D2D5D" w:rsidRDefault="00B977FE" w:rsidP="00B977FE">
      <w:pPr>
        <w:pStyle w:val="ListParagraph"/>
        <w:numPr>
          <w:ilvl w:val="0"/>
          <w:numId w:val="3"/>
        </w:num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 xml:space="preserve">Level 2 – Cross border issues – usually the actions of a criminal or other specific problems affecting more than one basic command unit.  </w:t>
      </w:r>
      <w:r w:rsidRPr="006D2D5D">
        <w:rPr>
          <w:rStyle w:val="SubtleEmphasis"/>
          <w:rFonts w:ascii="Arial" w:hAnsi="Arial" w:cs="Arial"/>
          <w:i w:val="0"/>
          <w:sz w:val="24"/>
          <w:szCs w:val="24"/>
        </w:rPr>
        <w:lastRenderedPageBreak/>
        <w:t>Key issues will be identification of common problems, the exchange of appropriate data and the provision of resources for the common good.</w:t>
      </w:r>
    </w:p>
    <w:p w:rsidR="00B977FE" w:rsidRPr="006D2D5D" w:rsidRDefault="00B977FE" w:rsidP="00B977FE">
      <w:pPr>
        <w:pStyle w:val="ListParagraph"/>
        <w:numPr>
          <w:ilvl w:val="0"/>
          <w:numId w:val="3"/>
        </w:num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Level 3 – Serious and organised crime – usually operating on a national land international scale, requiring identification by proactive means and response primarily through targeted operations by dedicated units and a preventative response on a national bias.</w:t>
      </w:r>
    </w:p>
    <w:p w:rsidR="00B977FE" w:rsidRPr="006D2D5D" w:rsidRDefault="00B977FE" w:rsidP="00B977FE">
      <w:pPr>
        <w:pStyle w:val="ListParagraph"/>
        <w:spacing w:line="360" w:lineRule="auto"/>
        <w:ind w:left="1440"/>
        <w:rPr>
          <w:rStyle w:val="SubtleEmphasis"/>
          <w:rFonts w:ascii="Arial" w:hAnsi="Arial" w:cs="Arial"/>
          <w:i w:val="0"/>
          <w:sz w:val="24"/>
          <w:szCs w:val="24"/>
        </w:rPr>
      </w:pPr>
    </w:p>
    <w:p w:rsidR="00B977FE" w:rsidRPr="006D2D5D" w:rsidRDefault="00B977FE" w:rsidP="00B977FE">
      <w:pPr>
        <w:pStyle w:val="ListParagraph"/>
        <w:spacing w:line="360" w:lineRule="auto"/>
        <w:ind w:left="1440"/>
        <w:rPr>
          <w:rStyle w:val="SubtleEmphasis"/>
          <w:rFonts w:ascii="Arial" w:hAnsi="Arial" w:cs="Arial"/>
          <w:i w:val="0"/>
          <w:sz w:val="24"/>
          <w:szCs w:val="24"/>
        </w:rPr>
      </w:pPr>
    </w:p>
    <w:p w:rsidR="00B977FE" w:rsidRPr="006D2D5D" w:rsidRDefault="00B977FE" w:rsidP="00B977FE">
      <w:pPr>
        <w:pStyle w:val="ListParagraph"/>
        <w:numPr>
          <w:ilvl w:val="0"/>
          <w:numId w:val="2"/>
        </w:num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The desired outcomes of law enforcement are: community safety, crime reduction, criminal control and disorder control.  The Model achieves this through four prime components which are fundamental to achieving the objective of moving from the business of managing crime, criminals, disorder and problems to the desired outcomes of community safety, reduced crime, and controlled criminality:</w:t>
      </w:r>
    </w:p>
    <w:p w:rsidR="00B977FE" w:rsidRPr="006D2D5D" w:rsidRDefault="00B977FE" w:rsidP="00B977FE">
      <w:pPr>
        <w:pStyle w:val="ListParagraph"/>
        <w:numPr>
          <w:ilvl w:val="0"/>
          <w:numId w:val="4"/>
        </w:num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Tasking and coordinating process</w:t>
      </w:r>
    </w:p>
    <w:p w:rsidR="00B977FE" w:rsidRPr="006D2D5D" w:rsidRDefault="00B977FE" w:rsidP="00B977FE">
      <w:pPr>
        <w:pStyle w:val="ListParagraph"/>
        <w:numPr>
          <w:ilvl w:val="0"/>
          <w:numId w:val="4"/>
        </w:num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Four key intelligence products</w:t>
      </w:r>
    </w:p>
    <w:p w:rsidR="00B977FE" w:rsidRPr="006D2D5D" w:rsidRDefault="00B977FE" w:rsidP="00B977FE">
      <w:pPr>
        <w:pStyle w:val="ListParagraph"/>
        <w:numPr>
          <w:ilvl w:val="0"/>
          <w:numId w:val="4"/>
        </w:num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Knowledge products</w:t>
      </w:r>
    </w:p>
    <w:p w:rsidR="00B977FE" w:rsidRPr="006D2D5D" w:rsidRDefault="00B977FE" w:rsidP="00B977FE">
      <w:pPr>
        <w:pStyle w:val="ListParagraph"/>
        <w:numPr>
          <w:ilvl w:val="0"/>
          <w:numId w:val="4"/>
        </w:numPr>
        <w:spacing w:line="360" w:lineRule="auto"/>
        <w:rPr>
          <w:rStyle w:val="SubtleEmphasis"/>
          <w:rFonts w:ascii="Arial" w:hAnsi="Arial" w:cs="Arial"/>
          <w:i w:val="0"/>
          <w:sz w:val="24"/>
          <w:szCs w:val="24"/>
        </w:rPr>
      </w:pPr>
      <w:r w:rsidRPr="006D2D5D">
        <w:rPr>
          <w:rStyle w:val="SubtleEmphasis"/>
          <w:rFonts w:ascii="Arial" w:hAnsi="Arial" w:cs="Arial"/>
          <w:i w:val="0"/>
          <w:sz w:val="24"/>
          <w:szCs w:val="24"/>
        </w:rPr>
        <w:t>System problems.</w:t>
      </w: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(United Nation Office on Crime and Drugs, 2011).</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As previously mentioned many police services engage in the concept of intelligence led policing.  The tasking and coordinating process is managed by the Tasking and Coordinating Group (TCG).  These meet every six months in order to establish what intelligence to gather, how to allocate resources most effectively and make tactical assessments (Kleiven, 2007).  There are also other groups which meet more regularly on a more local level: such as the BCU Tactical and Tasking Co-ordination group in Gwent that meet every two weeks and daily meetings which occur in the Divisional intelligence units (Gwent Police, 2007).</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before="240" w:line="360" w:lineRule="auto"/>
        <w:rPr>
          <w:rFonts w:ascii="Arial" w:hAnsi="Arial" w:cs="Arial"/>
          <w:sz w:val="24"/>
          <w:szCs w:val="24"/>
        </w:rPr>
      </w:pPr>
      <w:r w:rsidRPr="00B977FE">
        <w:rPr>
          <w:rFonts w:ascii="Arial" w:hAnsi="Arial" w:cs="Arial"/>
          <w:sz w:val="24"/>
          <w:szCs w:val="24"/>
        </w:rPr>
        <w:t xml:space="preserve">As information and intelligence is so vital to police work it is essential that it is communicated effectively a report by the National Commission on Terrorist Attacks upon the United States (2004 states that much commendable intelligence work is </w:t>
      </w:r>
      <w:r w:rsidRPr="00B977FE">
        <w:rPr>
          <w:rFonts w:ascii="Arial" w:hAnsi="Arial" w:cs="Arial"/>
          <w:sz w:val="24"/>
          <w:szCs w:val="24"/>
        </w:rPr>
        <w:lastRenderedPageBreak/>
        <w:t>being wasted due to poor communication.</w:t>
      </w:r>
      <w:r w:rsidRPr="00B977FE">
        <w:rPr>
          <w:rStyle w:val="Hyperlink"/>
          <w:rFonts w:ascii="Arial" w:hAnsi="Arial" w:cs="Arial"/>
          <w:color w:val="auto"/>
          <w:sz w:val="24"/>
          <w:szCs w:val="24"/>
          <w:u w:val="none"/>
        </w:rPr>
        <w:t xml:space="preserve">  </w:t>
      </w:r>
      <w:r w:rsidRPr="00B977FE">
        <w:rPr>
          <w:rStyle w:val="Hyperlink"/>
          <w:rFonts w:ascii="Arial" w:hAnsi="Arial" w:cs="Arial"/>
          <w:color w:val="000000" w:themeColor="text1"/>
          <w:sz w:val="24"/>
          <w:szCs w:val="24"/>
          <w:u w:val="none"/>
        </w:rPr>
        <w:t>A study b</w:t>
      </w:r>
      <w:r w:rsidR="000E00F2">
        <w:rPr>
          <w:rStyle w:val="Hyperlink"/>
          <w:rFonts w:ascii="Arial" w:hAnsi="Arial" w:cs="Arial"/>
          <w:color w:val="000000" w:themeColor="text1"/>
          <w:sz w:val="24"/>
          <w:szCs w:val="24"/>
          <w:u w:val="none"/>
        </w:rPr>
        <w:t>y Lonsdale &amp; dos Santos</w:t>
      </w:r>
      <w:r w:rsidRPr="00B977FE">
        <w:rPr>
          <w:rStyle w:val="Hyperlink"/>
          <w:rFonts w:ascii="Arial" w:hAnsi="Arial" w:cs="Arial"/>
          <w:color w:val="000000" w:themeColor="text1"/>
          <w:sz w:val="24"/>
          <w:szCs w:val="24"/>
          <w:u w:val="none"/>
        </w:rPr>
        <w:t xml:space="preserve"> (2019) suggested that </w:t>
      </w:r>
      <w:r w:rsidRPr="00B977FE">
        <w:rPr>
          <w:rFonts w:ascii="Arial" w:hAnsi="Arial" w:cs="Arial"/>
          <w:sz w:val="24"/>
          <w:szCs w:val="24"/>
        </w:rPr>
        <w:t>among the many obstacles impinging upon the efficacy of information communication, five are especially prominent in the disclosure: policy-related challenges; cognitive impediments; resource limitations (especially in relation to information overload and time pressure); cultural and structural issues within intelligence communities; and technical and specialist information.</w:t>
      </w:r>
    </w:p>
    <w:p w:rsidR="00B977FE" w:rsidRPr="00B977FE" w:rsidRDefault="00B977FE" w:rsidP="00B977FE">
      <w:pPr>
        <w:spacing w:line="360" w:lineRule="auto"/>
        <w:rPr>
          <w:rStyle w:val="Hyperlink"/>
          <w:rFonts w:ascii="Arial" w:hAnsi="Arial" w:cs="Arial"/>
          <w:color w:val="000000" w:themeColor="text1"/>
          <w:sz w:val="24"/>
          <w:szCs w:val="24"/>
          <w:u w:val="none"/>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 xml:space="preserve">Methods of collecting information include internet submissions or calls from the general public, however a problem with this is fact the   information could be incorrect or even malicious.  As previously mentioned police work is governed by information and intelligence.  Therefore, how it is gathered, analysed, communicated needs to be reliable. This is because the police are using this process to determine how they task, resource and allocate work and mistakes need to be minimal to ensure no resources are wasted.  </w:t>
      </w:r>
    </w:p>
    <w:p w:rsidR="00B977FE" w:rsidRPr="00B977FE" w:rsidRDefault="00B977FE" w:rsidP="00B977FE">
      <w:pPr>
        <w:spacing w:line="360" w:lineRule="auto"/>
        <w:rPr>
          <w:rFonts w:ascii="Arial" w:hAnsi="Arial" w:cs="Arial"/>
          <w:sz w:val="24"/>
          <w:szCs w:val="24"/>
        </w:rPr>
      </w:pPr>
    </w:p>
    <w:p w:rsidR="00B977FE" w:rsidRPr="00B977FE" w:rsidRDefault="000E00F2" w:rsidP="00B977FE">
      <w:pPr>
        <w:spacing w:line="360" w:lineRule="auto"/>
        <w:rPr>
          <w:rFonts w:ascii="Arial" w:hAnsi="Arial" w:cs="Arial"/>
          <w:b/>
          <w:sz w:val="24"/>
          <w:szCs w:val="24"/>
        </w:rPr>
      </w:pPr>
      <w:r>
        <w:rPr>
          <w:rFonts w:ascii="Arial" w:hAnsi="Arial" w:cs="Arial"/>
          <w:b/>
          <w:sz w:val="24"/>
          <w:szCs w:val="24"/>
        </w:rPr>
        <w:t>Word Count: 1052</w:t>
      </w:r>
      <w:bookmarkStart w:id="0" w:name="_GoBack"/>
      <w:bookmarkEnd w:id="0"/>
    </w:p>
    <w:p w:rsidR="00B977FE" w:rsidRPr="00B977FE" w:rsidRDefault="00B977FE" w:rsidP="00B977FE">
      <w:pPr>
        <w:spacing w:line="360" w:lineRule="auto"/>
        <w:rPr>
          <w:rFonts w:ascii="Arial" w:eastAsia="Calibri" w:hAnsi="Arial" w:cs="Arial"/>
          <w:sz w:val="24"/>
          <w:szCs w:val="24"/>
        </w:rPr>
      </w:pPr>
    </w:p>
    <w:p w:rsidR="00B977FE" w:rsidRPr="00B977FE" w:rsidRDefault="00B977FE" w:rsidP="00B977FE">
      <w:pPr>
        <w:spacing w:line="360" w:lineRule="auto"/>
        <w:rPr>
          <w:rFonts w:ascii="Arial" w:eastAsia="Calibri" w:hAnsi="Arial" w:cs="Arial"/>
          <w:sz w:val="24"/>
          <w:szCs w:val="24"/>
        </w:rPr>
      </w:pP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eastAsia="Calibri" w:hAnsi="Arial" w:cs="Arial"/>
          <w:sz w:val="24"/>
          <w:szCs w:val="24"/>
        </w:rPr>
        <w:t xml:space="preserve"> </w:t>
      </w: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0E00F2" w:rsidRDefault="000E00F2" w:rsidP="00B977FE">
      <w:pPr>
        <w:spacing w:line="360" w:lineRule="auto"/>
        <w:rPr>
          <w:rFonts w:ascii="Arial" w:eastAsia="Calibri" w:hAnsi="Arial" w:cs="Arial"/>
          <w:b/>
          <w:bCs/>
          <w:sz w:val="24"/>
          <w:szCs w:val="24"/>
          <w:u w:val="single"/>
        </w:rPr>
      </w:pPr>
    </w:p>
    <w:p w:rsidR="00B977FE" w:rsidRPr="00B977FE" w:rsidRDefault="00B977FE" w:rsidP="00B977FE">
      <w:pPr>
        <w:spacing w:line="360" w:lineRule="auto"/>
        <w:rPr>
          <w:rFonts w:ascii="Arial" w:hAnsi="Arial" w:cs="Arial"/>
          <w:b/>
          <w:sz w:val="24"/>
          <w:szCs w:val="24"/>
          <w:u w:val="single"/>
        </w:rPr>
      </w:pPr>
      <w:r w:rsidRPr="00B977FE">
        <w:rPr>
          <w:rFonts w:ascii="Arial" w:eastAsia="Calibri" w:hAnsi="Arial" w:cs="Arial"/>
          <w:b/>
          <w:bCs/>
          <w:sz w:val="24"/>
          <w:szCs w:val="24"/>
          <w:u w:val="single"/>
        </w:rPr>
        <w:lastRenderedPageBreak/>
        <w:t>Essay 4</w:t>
      </w:r>
      <w:r w:rsidRPr="00B977FE">
        <w:rPr>
          <w:rFonts w:ascii="Arial" w:eastAsia="Calibri" w:hAnsi="Arial" w:cs="Arial"/>
          <w:b/>
          <w:bCs/>
          <w:sz w:val="24"/>
          <w:szCs w:val="24"/>
          <w:u w:val="single"/>
        </w:rPr>
        <w:t>- Public Protection</w:t>
      </w:r>
    </w:p>
    <w:p w:rsidR="00B977FE" w:rsidRPr="00B977FE" w:rsidRDefault="00B977FE" w:rsidP="00B977FE">
      <w:pPr>
        <w:spacing w:line="360" w:lineRule="auto"/>
        <w:rPr>
          <w:rFonts w:ascii="Arial" w:eastAsia="Calibri" w:hAnsi="Arial" w:cs="Arial"/>
          <w:b/>
          <w:sz w:val="24"/>
          <w:szCs w:val="24"/>
          <w:u w:val="single"/>
        </w:rPr>
      </w:pPr>
      <w:r w:rsidRPr="00B977FE">
        <w:rPr>
          <w:rFonts w:ascii="Arial" w:eastAsia="Calibri" w:hAnsi="Arial" w:cs="Arial"/>
          <w:b/>
          <w:sz w:val="24"/>
          <w:szCs w:val="24"/>
          <w:u w:val="single"/>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B977FE" w:rsidRPr="00B977FE" w:rsidRDefault="00B977FE" w:rsidP="00B977FE">
      <w:pPr>
        <w:spacing w:line="360" w:lineRule="auto"/>
        <w:rPr>
          <w:rFonts w:ascii="Arial" w:eastAsia="Calibri" w:hAnsi="Arial" w:cs="Arial"/>
          <w:b/>
          <w:sz w:val="24"/>
          <w:szCs w:val="24"/>
          <w:u w:val="single"/>
        </w:rPr>
      </w:pPr>
    </w:p>
    <w:p w:rsidR="00B977FE" w:rsidRPr="00B977FE" w:rsidRDefault="00B977FE" w:rsidP="00B977FE">
      <w:pPr>
        <w:spacing w:line="360" w:lineRule="auto"/>
        <w:rPr>
          <w:rFonts w:ascii="Arial" w:hAnsi="Arial" w:cs="Arial"/>
          <w:b/>
          <w:sz w:val="24"/>
          <w:szCs w:val="24"/>
          <w:u w:val="single"/>
        </w:rPr>
      </w:pPr>
    </w:p>
    <w:p w:rsidR="00B977FE" w:rsidRPr="00B977FE" w:rsidRDefault="00B977FE" w:rsidP="00B977FE">
      <w:pPr>
        <w:pStyle w:val="NormalWeb"/>
        <w:shd w:val="clear" w:color="auto" w:fill="FFFFFF"/>
        <w:spacing w:before="0" w:beforeAutospacing="0" w:after="300" w:afterAutospacing="0" w:line="360" w:lineRule="auto"/>
        <w:rPr>
          <w:rFonts w:ascii="Arial" w:hAnsi="Arial" w:cs="Arial"/>
          <w:color w:val="232429"/>
        </w:rPr>
      </w:pPr>
      <w:r w:rsidRPr="00B977FE">
        <w:rPr>
          <w:rFonts w:ascii="Arial" w:hAnsi="Arial" w:cs="Arial"/>
        </w:rPr>
        <w:t xml:space="preserve">The police are tasked with the maintenance of law and order, the protection of the public and their property and in the detection, investigation and prevention of crime (Charman, 2018).   All police forces have public protection departments.  Within these departments </w:t>
      </w:r>
      <w:r w:rsidRPr="00B977FE">
        <w:rPr>
          <w:rFonts w:ascii="Arial" w:hAnsi="Arial" w:cs="Arial"/>
          <w:color w:val="232429"/>
        </w:rPr>
        <w:t>Public Protection Officers are responsible for the daily management of potentially dangerous persons, registered sex offenders, and other sex offenders residing within the county.  The risks posed to the public by dangerous persons (both convicted and un-convicted) can never be completely eliminated but responsible authorities need to take all reasonable action to keep risk to a minimum.  The management of these offenders is undertaken by the way of Multi Agency Public Protection Arrangements (MAPPA). This is a process through which the police, probation and prison services work together with other agencies to manage the risks posed by violent and sexual offenders living in the community in order to protect the public (Suffolk Constabulary, 2022).  During this assignment I will critically evaluate MAPPA as a police strategy for dealing with public protection incidents, whilst also considering the impact of abuse on victims, the impact of personal attitudes and values within an investigation and then the association between Serious and Organised Crime Groups (SOCG’s) and public protection issues.</w:t>
      </w:r>
    </w:p>
    <w:p w:rsidR="00B977FE" w:rsidRPr="00B977FE" w:rsidRDefault="00B977FE" w:rsidP="00B977FE">
      <w:pPr>
        <w:spacing w:line="360" w:lineRule="auto"/>
        <w:rPr>
          <w:rFonts w:ascii="Arial" w:hAnsi="Arial" w:cs="Arial"/>
          <w:sz w:val="24"/>
          <w:szCs w:val="24"/>
        </w:rPr>
      </w:pP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shd w:val="clear" w:color="auto" w:fill="FFFFFF"/>
        </w:rPr>
        <w:t xml:space="preserve">The multi-agency public protection arrangements (MAPPA) grew out of the closer working relationship which developed between the police and the probation service. These arrangements were first put on a statutory footing in 2000. The Criminal Justice Act 2003 strengthened those provisions and required the police, prisons and probation service to join together and act as the Responsible authority for making arrangements to ensure that the public were protected from dangerous and serial sex offenders.  </w:t>
      </w:r>
      <w:r w:rsidRPr="00B977FE">
        <w:rPr>
          <w:rFonts w:ascii="Arial" w:hAnsi="Arial" w:cs="Arial"/>
          <w:color w:val="1F2025"/>
        </w:rPr>
        <w:t xml:space="preserve">Other agencies are under a duty to co-operate, including the </w:t>
      </w:r>
      <w:r w:rsidRPr="00B977FE">
        <w:rPr>
          <w:rFonts w:ascii="Arial" w:hAnsi="Arial" w:cs="Arial"/>
          <w:color w:val="1F2025"/>
        </w:rPr>
        <w:lastRenderedPageBreak/>
        <w:t>Children’s Services, Adult Social Services, Health Trust and Authorities, Youth Offending Teams, Local Housing Authorities, Jobcentre Plus and electronic monitoring providers.  These agencies work together, on a daily basis to make local communities safer by assessing and managing the most dangerous offenders (Cheshire Constabulary, 2022).  The purpose of MAPPA is to “protect the public, including previous victims of crime, from serious harm by sexual, violent offenders (HMIC and HMIP 2015).</w:t>
      </w: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rPr>
        <w:t>For an offender to be managed by MAPPA, the offender needs to be in one of the following categories:</w:t>
      </w:r>
    </w:p>
    <w:p w:rsidR="00B977FE" w:rsidRPr="00B977FE" w:rsidRDefault="00B977FE" w:rsidP="00B977FE">
      <w:pPr>
        <w:pStyle w:val="NormalWeb"/>
        <w:numPr>
          <w:ilvl w:val="0"/>
          <w:numId w:val="5"/>
        </w:numPr>
        <w:shd w:val="clear" w:color="auto" w:fill="FFFFFF"/>
        <w:spacing w:line="360" w:lineRule="auto"/>
        <w:textAlignment w:val="baseline"/>
        <w:rPr>
          <w:rFonts w:ascii="Arial" w:hAnsi="Arial" w:cs="Arial"/>
          <w:color w:val="1F2025"/>
        </w:rPr>
      </w:pPr>
      <w:r w:rsidRPr="00B977FE">
        <w:rPr>
          <w:rFonts w:ascii="Arial" w:hAnsi="Arial" w:cs="Arial"/>
          <w:color w:val="1F2025"/>
        </w:rPr>
        <w:t>Category 1: Registered sex offenders</w:t>
      </w:r>
    </w:p>
    <w:p w:rsidR="00B977FE" w:rsidRPr="00B977FE" w:rsidRDefault="00B977FE" w:rsidP="00B977FE">
      <w:pPr>
        <w:pStyle w:val="NormalWeb"/>
        <w:numPr>
          <w:ilvl w:val="0"/>
          <w:numId w:val="5"/>
        </w:numPr>
        <w:shd w:val="clear" w:color="auto" w:fill="FFFFFF"/>
        <w:spacing w:line="360" w:lineRule="auto"/>
        <w:textAlignment w:val="baseline"/>
        <w:rPr>
          <w:rFonts w:ascii="Arial" w:hAnsi="Arial" w:cs="Arial"/>
          <w:color w:val="1F2025"/>
        </w:rPr>
      </w:pPr>
      <w:r w:rsidRPr="00B977FE">
        <w:rPr>
          <w:rFonts w:ascii="Arial" w:hAnsi="Arial" w:cs="Arial"/>
          <w:color w:val="1F2025"/>
        </w:rPr>
        <w:t>Category 2: Murderer or an offender who has been convicted of a violent or other sexual offence under Schedule 15 of the Criminal Justice Act 2003 and has been sentenced to 12 months or more in custody.</w:t>
      </w:r>
    </w:p>
    <w:p w:rsidR="00B977FE" w:rsidRPr="00B977FE" w:rsidRDefault="00B977FE" w:rsidP="00B977FE">
      <w:pPr>
        <w:pStyle w:val="NormalWeb"/>
        <w:numPr>
          <w:ilvl w:val="0"/>
          <w:numId w:val="5"/>
        </w:numPr>
        <w:shd w:val="clear" w:color="auto" w:fill="FFFFFF"/>
        <w:spacing w:line="360" w:lineRule="auto"/>
        <w:textAlignment w:val="baseline"/>
        <w:rPr>
          <w:rFonts w:ascii="Arial" w:hAnsi="Arial" w:cs="Arial"/>
          <w:color w:val="1F2025"/>
        </w:rPr>
      </w:pPr>
      <w:r w:rsidRPr="00B977FE">
        <w:rPr>
          <w:rFonts w:ascii="Arial" w:hAnsi="Arial" w:cs="Arial"/>
          <w:color w:val="1F2025"/>
        </w:rPr>
        <w:t>Category 3: Other dangerous offender, a person who has been cautioned for or convicted of an offence which indicated that he or she is capable of causing serious harm and which require multi-agency management (HMIP, 2015).</w:t>
      </w: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rPr>
        <w:t>Once categorised, an offender is allocated to one of three levels of management.  These are:</w:t>
      </w:r>
    </w:p>
    <w:p w:rsidR="00B977FE" w:rsidRPr="00B977FE" w:rsidRDefault="00B977FE" w:rsidP="00B977FE">
      <w:pPr>
        <w:pStyle w:val="NormalWeb"/>
        <w:numPr>
          <w:ilvl w:val="0"/>
          <w:numId w:val="6"/>
        </w:numPr>
        <w:shd w:val="clear" w:color="auto" w:fill="FFFFFF"/>
        <w:spacing w:line="360" w:lineRule="auto"/>
        <w:textAlignment w:val="baseline"/>
        <w:rPr>
          <w:rFonts w:ascii="Arial" w:hAnsi="Arial" w:cs="Arial"/>
          <w:color w:val="1F2025"/>
        </w:rPr>
      </w:pPr>
      <w:r w:rsidRPr="00B977FE">
        <w:rPr>
          <w:rFonts w:ascii="Arial" w:hAnsi="Arial" w:cs="Arial"/>
          <w:color w:val="1F2025"/>
        </w:rPr>
        <w:t>Level 1: Ordinary agency management, risk of offender can be managed by the agency responsible for the supervision.</w:t>
      </w:r>
    </w:p>
    <w:p w:rsidR="00B977FE" w:rsidRPr="00B977FE" w:rsidRDefault="00B977FE" w:rsidP="00B977FE">
      <w:pPr>
        <w:pStyle w:val="NormalWeb"/>
        <w:numPr>
          <w:ilvl w:val="0"/>
          <w:numId w:val="6"/>
        </w:numPr>
        <w:shd w:val="clear" w:color="auto" w:fill="FFFFFF"/>
        <w:spacing w:line="360" w:lineRule="auto"/>
        <w:textAlignment w:val="baseline"/>
        <w:rPr>
          <w:rFonts w:ascii="Arial" w:hAnsi="Arial" w:cs="Arial"/>
          <w:color w:val="1F2025"/>
        </w:rPr>
      </w:pPr>
      <w:r w:rsidRPr="00B977FE">
        <w:rPr>
          <w:rFonts w:ascii="Arial" w:hAnsi="Arial" w:cs="Arial"/>
          <w:color w:val="1F2025"/>
        </w:rPr>
        <w:t>Level 2: Active multi-agency management</w:t>
      </w:r>
    </w:p>
    <w:p w:rsidR="00B977FE" w:rsidRPr="00B977FE" w:rsidRDefault="00B977FE" w:rsidP="00B977FE">
      <w:pPr>
        <w:pStyle w:val="NormalWeb"/>
        <w:numPr>
          <w:ilvl w:val="0"/>
          <w:numId w:val="6"/>
        </w:numPr>
        <w:shd w:val="clear" w:color="auto" w:fill="FFFFFF"/>
        <w:spacing w:line="360" w:lineRule="auto"/>
        <w:textAlignment w:val="baseline"/>
        <w:rPr>
          <w:rFonts w:ascii="Arial" w:hAnsi="Arial" w:cs="Arial"/>
          <w:color w:val="1F2025"/>
        </w:rPr>
      </w:pPr>
      <w:r w:rsidRPr="00B977FE">
        <w:rPr>
          <w:rFonts w:ascii="Arial" w:hAnsi="Arial" w:cs="Arial"/>
          <w:color w:val="1F2025"/>
        </w:rPr>
        <w:t>Level 3: Active enhanced multi-agency management where management issues require senior representation from the responsible authority and duty to cooperate agencies (HMIC and HMIP, 2015).</w:t>
      </w:r>
    </w:p>
    <w:p w:rsidR="00B977FE" w:rsidRPr="00B977FE" w:rsidRDefault="00B977FE" w:rsidP="00B977FE">
      <w:pPr>
        <w:pStyle w:val="NormalWeb"/>
        <w:shd w:val="clear" w:color="auto" w:fill="FFFFFF"/>
        <w:spacing w:line="360" w:lineRule="auto"/>
        <w:textAlignment w:val="baseline"/>
        <w:rPr>
          <w:rFonts w:ascii="Arial" w:hAnsi="Arial" w:cs="Arial"/>
          <w:color w:val="1F2025"/>
        </w:rPr>
      </w:pP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rPr>
        <w:t xml:space="preserve">One of the systems used by MAPPA and its partners to facilitate the secure exchange and storage of information is the Violent and Sex Offender Register (ViSOR). ViSOR provides a central store for up-to-date information about individuals </w:t>
      </w:r>
      <w:r w:rsidRPr="00B977FE">
        <w:rPr>
          <w:rFonts w:ascii="Arial" w:hAnsi="Arial" w:cs="Arial"/>
          <w:color w:val="1F2025"/>
        </w:rPr>
        <w:lastRenderedPageBreak/>
        <w:t xml:space="preserve">managed under MAPPA in the UK that can be accessed and updated by the responsible authorities (Scottish Government, 2022). </w:t>
      </w:r>
    </w:p>
    <w:p w:rsidR="00B977FE" w:rsidRPr="00B977FE" w:rsidRDefault="00B977FE" w:rsidP="00B977FE">
      <w:pPr>
        <w:pStyle w:val="NormalWeb"/>
        <w:shd w:val="clear" w:color="auto" w:fill="FFFFFF"/>
        <w:spacing w:line="360" w:lineRule="auto"/>
        <w:textAlignment w:val="baseline"/>
        <w:rPr>
          <w:rFonts w:ascii="Arial" w:hAnsi="Arial" w:cs="Arial"/>
          <w:color w:val="1F2025"/>
        </w:rPr>
      </w:pP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rPr>
        <w:t>One of the problems with MAPPA is that it is not an organisation in its own right.  MAPPA is just a set of arrangements and this can make it hard to find out who is in charge and who is responsible for answering questions (Howard League, 2016). These questions could be from potentially an offender managed by MAPPA or potentially from other organisations involved in MAPPA.  Another evaluation of MAPPA is that there is no centrally held database of offenders subject to MAPPA, information is only held by local force areas (Ministry of Justice, 2015).  This lack of centrally held data can make it hard to obtain and collate statistics and information regarding the effectiveness, and would rely on local forces/agencies being prepared to give their data up.</w:t>
      </w:r>
    </w:p>
    <w:p w:rsidR="00B977FE" w:rsidRPr="00B977FE" w:rsidRDefault="00B977FE" w:rsidP="00B977FE">
      <w:pPr>
        <w:pStyle w:val="NormalWeb"/>
        <w:shd w:val="clear" w:color="auto" w:fill="FFFFFF"/>
        <w:spacing w:line="360" w:lineRule="auto"/>
        <w:textAlignment w:val="baseline"/>
        <w:rPr>
          <w:rFonts w:ascii="Arial" w:hAnsi="Arial" w:cs="Arial"/>
          <w:color w:val="1F2025"/>
        </w:rPr>
      </w:pP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rPr>
        <w:t xml:space="preserve">MAPPA is associated with a 4% point reduction in proven re-offending, and a 2% paid reduction in serious reoffending from 2000-2010 (Ministry of Justice, 2015).  This highlights that MAPPA has had successes in reducing re-offending. However it has been highlighted that these figures would come from local agencies submitting their data and it is unclear whether all agencies submitted their data in order for this figure to be calculated.  </w:t>
      </w:r>
      <w:r w:rsidRPr="00B977FE">
        <w:rPr>
          <w:rFonts w:ascii="Arial" w:hAnsi="Arial" w:cs="Arial"/>
        </w:rPr>
        <w:t>In a review of MAPPA held in 2015 by the HM inspectorate of constabulary it highlighted that the police had areas of improvement in the requirement of offender mangers to attend meetings and there non-attendance resulted in the delegation of actions and them having no say in the matter (HM Inspectorate of Probation and HM Inspectorate of Constabulary, 2015).</w:t>
      </w:r>
    </w:p>
    <w:p w:rsidR="00B977FE" w:rsidRPr="00B977FE" w:rsidRDefault="00B977FE" w:rsidP="00B977FE">
      <w:pPr>
        <w:spacing w:line="360" w:lineRule="auto"/>
        <w:rPr>
          <w:rFonts w:ascii="Arial" w:hAnsi="Arial" w:cs="Arial"/>
          <w:sz w:val="24"/>
          <w:szCs w:val="24"/>
        </w:rPr>
      </w:pP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rPr>
        <w:t xml:space="preserve">Serious and organised crime is the most deadly national security threat in the UK and it costs the UK at least £37 billion annually.   There are three key areas that have been identified as risk of the highest harm.  These are: Child sexual exploitation and abuse, modern slavery and human trafficking and fraud (HM </w:t>
      </w:r>
      <w:r w:rsidRPr="00B977FE">
        <w:rPr>
          <w:rFonts w:ascii="Arial" w:hAnsi="Arial" w:cs="Arial"/>
          <w:color w:val="1F2025"/>
        </w:rPr>
        <w:lastRenderedPageBreak/>
        <w:t>Government, 2018).  There are an estimated 4500 plus identified organised crime groups operating in the UK (National Audit Office, 2019).  To try and protect the public from serious harm by the prolific number of SOCG’s is an essential element of MAPPA and its associated agencies.</w:t>
      </w:r>
    </w:p>
    <w:p w:rsidR="00B977FE" w:rsidRPr="00B977FE" w:rsidRDefault="00B977FE" w:rsidP="00B977FE">
      <w:pPr>
        <w:pStyle w:val="NormalWeb"/>
        <w:shd w:val="clear" w:color="auto" w:fill="FFFFFF"/>
        <w:spacing w:line="360" w:lineRule="auto"/>
        <w:textAlignment w:val="baseline"/>
        <w:rPr>
          <w:rFonts w:ascii="Arial" w:hAnsi="Arial" w:cs="Arial"/>
          <w:color w:val="1F2025"/>
        </w:rPr>
      </w:pP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rPr>
        <w:t>Some of the short term effects on the victim of abuse associated with public protection issues can include: shock, denial, fear, frustration, guilt and grief.  The long-term effects on a victim can be depression, Post-Traumatic Stress Disorder, Flashbacks, anxiety and suicide.   It has been shown that by some survivors they frequently take the personal responsibility for the abuse, and when the abuse is done by as esteemed,  trusted adult it is hard for them to view them in a negative light, thus leaving them incapable of seeing what happened as not their not (Hall and Hall, 2011).</w:t>
      </w:r>
    </w:p>
    <w:p w:rsidR="00B977FE" w:rsidRPr="00B977FE" w:rsidRDefault="00B977FE" w:rsidP="00B977FE">
      <w:pPr>
        <w:pStyle w:val="NormalWeb"/>
        <w:shd w:val="clear" w:color="auto" w:fill="FFFFFF"/>
        <w:spacing w:line="360" w:lineRule="auto"/>
        <w:textAlignment w:val="baseline"/>
        <w:rPr>
          <w:rFonts w:ascii="Arial" w:hAnsi="Arial" w:cs="Arial"/>
          <w:color w:val="1F2025"/>
        </w:rPr>
      </w:pPr>
    </w:p>
    <w:p w:rsidR="00B977FE" w:rsidRPr="00B977FE" w:rsidRDefault="00B977FE" w:rsidP="00B977FE">
      <w:pPr>
        <w:pStyle w:val="NormalWeb"/>
        <w:shd w:val="clear" w:color="auto" w:fill="FFFFFF"/>
        <w:spacing w:line="360" w:lineRule="auto"/>
        <w:textAlignment w:val="baseline"/>
        <w:rPr>
          <w:rFonts w:ascii="Arial" w:hAnsi="Arial" w:cs="Arial"/>
          <w:color w:val="1F2025"/>
        </w:rPr>
      </w:pPr>
      <w:r w:rsidRPr="00B977FE">
        <w:rPr>
          <w:rFonts w:ascii="Arial" w:hAnsi="Arial" w:cs="Arial"/>
          <w:color w:val="1F2025"/>
        </w:rPr>
        <w:t>MAPPA and ViSOR are the public protection strategies used by police   Issues within these strategies are potentially that they are sets of arrangements rather than organisations and there is no centrally held data.  However, the effects of victims and the sheer volume of SOCG’s that are in the UK means they are needed to combat this massive issue and there is evidence to suggest that these systems are providing good results.</w:t>
      </w:r>
    </w:p>
    <w:p w:rsidR="00B977FE" w:rsidRPr="00B977FE" w:rsidRDefault="00B977FE" w:rsidP="00B977FE">
      <w:pPr>
        <w:pStyle w:val="NormalWeb"/>
        <w:shd w:val="clear" w:color="auto" w:fill="FFFFFF"/>
        <w:spacing w:line="360" w:lineRule="auto"/>
        <w:textAlignment w:val="baseline"/>
        <w:rPr>
          <w:rFonts w:ascii="Arial" w:hAnsi="Arial" w:cs="Arial"/>
          <w:color w:val="1F2025"/>
        </w:rPr>
      </w:pPr>
    </w:p>
    <w:p w:rsidR="00B977FE" w:rsidRPr="00B977FE" w:rsidRDefault="00B977FE" w:rsidP="00B977FE">
      <w:pPr>
        <w:pStyle w:val="NormalWeb"/>
        <w:shd w:val="clear" w:color="auto" w:fill="FFFFFF"/>
        <w:spacing w:line="360" w:lineRule="auto"/>
        <w:textAlignment w:val="baseline"/>
        <w:rPr>
          <w:rFonts w:ascii="Arial" w:hAnsi="Arial" w:cs="Arial"/>
          <w:b/>
          <w:color w:val="1F2025"/>
        </w:rPr>
      </w:pPr>
      <w:r w:rsidRPr="00B977FE">
        <w:rPr>
          <w:rFonts w:ascii="Arial" w:hAnsi="Arial" w:cs="Arial"/>
          <w:b/>
          <w:color w:val="1F2025"/>
        </w:rPr>
        <w:t>Word Count: 1095</w:t>
      </w:r>
    </w:p>
    <w:p w:rsidR="00B977FE" w:rsidRPr="00B977FE" w:rsidRDefault="00B977FE" w:rsidP="00B977FE">
      <w:pPr>
        <w:spacing w:line="360" w:lineRule="auto"/>
        <w:rPr>
          <w:rFonts w:ascii="Arial" w:hAnsi="Arial" w:cs="Arial"/>
          <w:b/>
          <w:sz w:val="24"/>
          <w:szCs w:val="24"/>
          <w:u w:val="single"/>
        </w:rPr>
      </w:pPr>
    </w:p>
    <w:p w:rsidR="00B977FE" w:rsidRPr="00B977FE" w:rsidRDefault="00B977FE" w:rsidP="00B977FE">
      <w:pPr>
        <w:spacing w:line="360" w:lineRule="auto"/>
        <w:rPr>
          <w:rFonts w:ascii="Arial" w:hAnsi="Arial" w:cs="Arial"/>
          <w:sz w:val="24"/>
          <w:szCs w:val="24"/>
        </w:rPr>
      </w:pPr>
      <w:r w:rsidRPr="00B977FE">
        <w:rPr>
          <w:rFonts w:ascii="Arial" w:eastAsia="Calibri" w:hAnsi="Arial" w:cs="Arial"/>
          <w:sz w:val="24"/>
          <w:szCs w:val="24"/>
        </w:rPr>
        <w:t xml:space="preserve"> </w:t>
      </w: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Default="00B977FE" w:rsidP="00B977FE">
      <w:pPr>
        <w:spacing w:line="360" w:lineRule="auto"/>
        <w:rPr>
          <w:rFonts w:ascii="Arial" w:eastAsia="Calibri" w:hAnsi="Arial" w:cs="Arial"/>
          <w:b/>
          <w:bCs/>
          <w:sz w:val="24"/>
          <w:szCs w:val="24"/>
          <w:u w:val="single"/>
        </w:rPr>
      </w:pPr>
    </w:p>
    <w:p w:rsidR="00B977FE" w:rsidRPr="00B977FE" w:rsidRDefault="00B977FE" w:rsidP="00B977FE">
      <w:pPr>
        <w:spacing w:line="360" w:lineRule="auto"/>
        <w:rPr>
          <w:rFonts w:ascii="Arial" w:hAnsi="Arial" w:cs="Arial"/>
          <w:b/>
          <w:sz w:val="24"/>
          <w:szCs w:val="24"/>
          <w:u w:val="single"/>
        </w:rPr>
      </w:pPr>
      <w:r w:rsidRPr="00B977FE">
        <w:rPr>
          <w:rFonts w:ascii="Arial" w:eastAsia="Calibri" w:hAnsi="Arial" w:cs="Arial"/>
          <w:b/>
          <w:bCs/>
          <w:sz w:val="24"/>
          <w:szCs w:val="24"/>
          <w:u w:val="single"/>
        </w:rPr>
        <w:lastRenderedPageBreak/>
        <w:t>Essay 5</w:t>
      </w:r>
      <w:r w:rsidRPr="00B977FE">
        <w:rPr>
          <w:rFonts w:ascii="Arial" w:eastAsia="Calibri" w:hAnsi="Arial" w:cs="Arial"/>
          <w:b/>
          <w:bCs/>
          <w:sz w:val="24"/>
          <w:szCs w:val="24"/>
          <w:u w:val="single"/>
        </w:rPr>
        <w:t xml:space="preserve"> - Evidence based policing/criminology and crime prevention/criminal Justice</w:t>
      </w:r>
      <w:r w:rsidRPr="00B977FE">
        <w:rPr>
          <w:rFonts w:ascii="Arial" w:eastAsia="Calibri" w:hAnsi="Arial" w:cs="Arial"/>
          <w:b/>
          <w:bCs/>
          <w:sz w:val="24"/>
          <w:szCs w:val="24"/>
          <w:u w:val="single"/>
        </w:rPr>
        <w:t>:</w:t>
      </w:r>
    </w:p>
    <w:p w:rsidR="00B977FE" w:rsidRPr="00B977FE" w:rsidRDefault="00B977FE" w:rsidP="00B977FE">
      <w:pPr>
        <w:spacing w:line="360" w:lineRule="auto"/>
        <w:rPr>
          <w:rFonts w:ascii="Arial" w:eastAsia="Calibri" w:hAnsi="Arial" w:cs="Arial"/>
          <w:b/>
          <w:sz w:val="24"/>
          <w:szCs w:val="24"/>
          <w:u w:val="single"/>
        </w:rPr>
      </w:pPr>
      <w:r w:rsidRPr="00B977FE">
        <w:rPr>
          <w:rFonts w:ascii="Arial" w:eastAsia="Calibri" w:hAnsi="Arial" w:cs="Arial"/>
          <w:b/>
          <w:sz w:val="24"/>
          <w:szCs w:val="24"/>
          <w:u w:val="single"/>
        </w:rPr>
        <w:t xml:space="preserve">Critically analyse the concept of evidence-based policing and ‘what works’ in policing evaluating crime prevention theories and strategies and considering the options open to reduce re offending. </w:t>
      </w:r>
    </w:p>
    <w:p w:rsidR="00B977FE" w:rsidRPr="00B977FE" w:rsidRDefault="00B977FE" w:rsidP="00B977FE">
      <w:pPr>
        <w:spacing w:line="360" w:lineRule="auto"/>
        <w:rPr>
          <w:rFonts w:ascii="Arial" w:eastAsia="Calibri" w:hAnsi="Arial" w:cs="Arial"/>
          <w:b/>
          <w:sz w:val="24"/>
          <w:szCs w:val="24"/>
          <w:u w:val="single"/>
        </w:rPr>
      </w:pPr>
    </w:p>
    <w:p w:rsidR="00B977FE" w:rsidRPr="00B977FE" w:rsidRDefault="00B977FE" w:rsidP="00B977FE">
      <w:pPr>
        <w:spacing w:line="360" w:lineRule="auto"/>
        <w:rPr>
          <w:rFonts w:ascii="Arial" w:eastAsia="Calibri" w:hAnsi="Arial" w:cs="Arial"/>
          <w:b/>
          <w:sz w:val="24"/>
          <w:szCs w:val="24"/>
          <w:u w:val="single"/>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Evidence based policing (EBP) means that the best available evidence is used to inform and challenge policing policies (College of Policing, 2022).  In an evidenced-based policing approach, police officers and staff create, review and use the best available evidence to inform and challenge policies, practises and decisions (College of Policing, 2022).  Within this essay there will be a critical analysis of EBP, including “what works” in policing and evaluating crime prevention theories while also considering the options to reduce re-offending.</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The concept of evidence based policing was developed by Professor Lawrence Sherman in 1998.  Professor Sherman states “Police practice should be based on scientific evidence about what works best”.  Crime is becoming more complex and diverse as technology increases, along with the increased use of social media and the problems that this can invoke. These issues, coupled with the wider global concerns, such as organized crime, political upheavals, migration, etc., mean the police service needs to be “smarter” in their approach to meeting these challenges. Traditional models of policing no longer appear to provide the answers to current and future policing problems (Pepper et al, 2020).  Therefore due to this, the need to have officers with the ability to research, implement, evaluate and share solutions is necessary.  This is one of the reasons why police officers now need degrees so that they can better analyse what policies are working best.  This is supported by Pepper et al (2020) as they argue “As the entry routes to policing across England and Wales change to encompass education at degree level for new constables, it requires the evolution of a body of evidence-based knowledge to underpin the profession, similar to those which already exist in medicine and theology”.</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 xml:space="preserve">When we evaluate the concept of “what works” in policing we must focus on the police contribution to crime reduction, not on what might cause crime to rise or fall </w:t>
      </w:r>
      <w:r w:rsidRPr="00B977FE">
        <w:rPr>
          <w:rFonts w:ascii="Arial" w:hAnsi="Arial" w:cs="Arial"/>
          <w:sz w:val="24"/>
          <w:szCs w:val="24"/>
        </w:rPr>
        <w:lastRenderedPageBreak/>
        <w:t xml:space="preserve">more generally (College of Policing, 2021).    Ratcliffe (2019) created a chart where he uses a 5 point scale chart to evaluate evidence within a policy making decision process.  Ratcliffe (2019) places “what works” at the top of this chart as being the most important factor to evidence what research/policy/trial has worked to reduce crime.  This evaluation of “what works” includes systematic review/meta-analysis of quality studies and randomised controlled experiments.  This “what work” concept supports the work done by Sherman (1998) that policing practises should be based on scientific research and evidence.  The other points on the scale of Ratcliffe’s chart include: what’s suspect, what’s interesting, and what’s promising.  Within these scales there is minimal quantitative and qualitative analysis done completed and the analysis conducted merely range from an experts opinion, one off measures and a before and after study with one comparison group.   The “What works” concept is a national approach to prioritising the use of evidence in policy decision making, and is based on the principle that good decision making should be informed by the best available evidence (Fleming, 2018).  Van Dijk and Hoogewoning (2015) argue that before policing organisations can decide what works as advocated in Evidence Based Policing they must firstly answer the question if “what matters?”.  In summary this means what matters and what are the valuable things that the police should do and this has a greater importance than “what works?” Van Dijk and Hooogewoning (2015) also caution there is a risk of narrow, instrumental calculative emphasis on what works and ignores the challenges that police face in their institutional and operational function.  </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 xml:space="preserve">When utilising EBP as a concept to find out what is effective in reducing crime, the police have developed many crime prevention strategies already.  Some of these are the “10 Principles of Crime Prevention”.  The 10 Principles of crime prevention are: Target Hardening, Target Removal, Reducing the means, Reducing the payoff, Access control, Surveillance, Environmental change, Rule setting, Increase the chances  of being caught and Deflecting offenders (West Yorkshire Police, 2022).  Crime prevention strategies are required to be built upon cooperative partnerships between government institution and ministries, community and non-governmental organisations and the business sector and civil society (Shaw and Travers, 2007).  This enforces the point that crime prevention strategies will work most effectively when individuals, agencies and companies all work together.  In support of this the </w:t>
      </w:r>
      <w:r w:rsidRPr="00B977FE">
        <w:rPr>
          <w:rFonts w:ascii="Arial" w:hAnsi="Arial" w:cs="Arial"/>
          <w:sz w:val="24"/>
          <w:szCs w:val="24"/>
        </w:rPr>
        <w:lastRenderedPageBreak/>
        <w:t>Capricorn Framework was established as a collaborative approach to prevent offending and re-offending in children and young people.  Its main focus is to describe actions that local partnerships can take to prevent offending and re-offending (Public Health England, 2019). Some of these actions include: prevent violence and exploitation, address mental health needs, strengthen communities and reduce poverty and deprivation.</w:t>
      </w: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p>
    <w:p w:rsidR="00B977FE" w:rsidRPr="00B977FE" w:rsidRDefault="00B977FE" w:rsidP="00B977FE">
      <w:pPr>
        <w:spacing w:line="360" w:lineRule="auto"/>
        <w:rPr>
          <w:rFonts w:ascii="Arial" w:hAnsi="Arial" w:cs="Arial"/>
          <w:sz w:val="24"/>
          <w:szCs w:val="24"/>
        </w:rPr>
      </w:pPr>
      <w:r w:rsidRPr="00B977FE">
        <w:rPr>
          <w:rFonts w:ascii="Arial" w:hAnsi="Arial" w:cs="Arial"/>
          <w:sz w:val="24"/>
          <w:szCs w:val="24"/>
        </w:rPr>
        <w:t>The best test of Evidence Based Policing is whether it has improved public safety and police legitimacy.  There is certainly a correlation over time between the rise of evidence and a decline in serious crime in both the US and UK.  However proof that serious crime dropped because of EBP is elusive (Sherman, 2013).  All newly recruited officers are being educated to a degree level.  However, even though these officers are now educated to a degree level where they have now obtained analytical skills, are they being given the chance/option by their respective police force to actually research, design and implement a policy that can make positive impact in their force?  Finally there are multiple crime prevention theories and strategies such as the crime prevention strategies that can be implemented following the EBP process.  These policies generally encompass individuals, agencies and companies working together to achieve the goal or preventing and reducing crime.   As previously mentioned the sim of evidence based policing is to inform and challenge policing policies (college of Policing, 2022).  This is to enable the police to serve the public to the best of their abilities, providing the best service possible for all members of the community.</w:t>
      </w:r>
    </w:p>
    <w:p w:rsidR="00B977FE" w:rsidRPr="00B977FE" w:rsidRDefault="00B977FE" w:rsidP="00B977FE">
      <w:pPr>
        <w:spacing w:line="360" w:lineRule="auto"/>
        <w:rPr>
          <w:rFonts w:ascii="Arial" w:hAnsi="Arial" w:cs="Arial"/>
          <w:sz w:val="24"/>
          <w:szCs w:val="24"/>
        </w:rPr>
      </w:pPr>
    </w:p>
    <w:p w:rsidR="00B977FE" w:rsidRDefault="00B977FE" w:rsidP="00B977FE">
      <w:pPr>
        <w:spacing w:line="360" w:lineRule="auto"/>
        <w:rPr>
          <w:rFonts w:ascii="Arial" w:hAnsi="Arial" w:cs="Arial"/>
          <w:b/>
          <w:sz w:val="24"/>
          <w:szCs w:val="24"/>
        </w:rPr>
      </w:pPr>
      <w:r w:rsidRPr="00B977FE">
        <w:rPr>
          <w:rFonts w:ascii="Arial" w:hAnsi="Arial" w:cs="Arial"/>
          <w:b/>
          <w:sz w:val="24"/>
          <w:szCs w:val="24"/>
        </w:rPr>
        <w:t>Word Count:  969</w:t>
      </w:r>
    </w:p>
    <w:p w:rsidR="006D2D5D" w:rsidRDefault="006D2D5D" w:rsidP="00B977FE">
      <w:pPr>
        <w:spacing w:line="360" w:lineRule="auto"/>
        <w:rPr>
          <w:rFonts w:ascii="Arial" w:hAnsi="Arial" w:cs="Arial"/>
          <w:b/>
          <w:sz w:val="24"/>
          <w:szCs w:val="24"/>
        </w:rPr>
      </w:pPr>
    </w:p>
    <w:p w:rsidR="006D2D5D" w:rsidRDefault="006D2D5D" w:rsidP="00B977FE">
      <w:pPr>
        <w:spacing w:line="360" w:lineRule="auto"/>
        <w:rPr>
          <w:rFonts w:ascii="Arial" w:hAnsi="Arial" w:cs="Arial"/>
          <w:b/>
          <w:sz w:val="24"/>
          <w:szCs w:val="24"/>
        </w:rPr>
      </w:pPr>
    </w:p>
    <w:p w:rsidR="006D2D5D" w:rsidRDefault="006D2D5D" w:rsidP="00B977FE">
      <w:pPr>
        <w:spacing w:line="360" w:lineRule="auto"/>
        <w:rPr>
          <w:rFonts w:ascii="Arial" w:hAnsi="Arial" w:cs="Arial"/>
          <w:b/>
          <w:sz w:val="24"/>
          <w:szCs w:val="24"/>
        </w:rPr>
      </w:pPr>
    </w:p>
    <w:p w:rsidR="006D2D5D" w:rsidRDefault="006D2D5D" w:rsidP="00B977FE">
      <w:pPr>
        <w:spacing w:line="360" w:lineRule="auto"/>
        <w:rPr>
          <w:rFonts w:ascii="Arial" w:hAnsi="Arial" w:cs="Arial"/>
          <w:b/>
          <w:sz w:val="24"/>
          <w:szCs w:val="24"/>
        </w:rPr>
      </w:pPr>
    </w:p>
    <w:p w:rsidR="006D2D5D" w:rsidRDefault="006D2D5D" w:rsidP="00B977FE">
      <w:pPr>
        <w:spacing w:line="360" w:lineRule="auto"/>
        <w:rPr>
          <w:rFonts w:ascii="Arial" w:hAnsi="Arial" w:cs="Arial"/>
          <w:b/>
          <w:sz w:val="24"/>
          <w:szCs w:val="24"/>
        </w:rPr>
      </w:pPr>
    </w:p>
    <w:p w:rsidR="006D2D5D" w:rsidRDefault="006D2D5D" w:rsidP="00B977FE">
      <w:pPr>
        <w:spacing w:line="360" w:lineRule="auto"/>
        <w:rPr>
          <w:rFonts w:ascii="Arial" w:hAnsi="Arial" w:cs="Arial"/>
          <w:b/>
          <w:sz w:val="24"/>
          <w:szCs w:val="24"/>
        </w:rPr>
      </w:pPr>
    </w:p>
    <w:p w:rsidR="006D2D5D" w:rsidRDefault="006D2D5D" w:rsidP="00B977FE">
      <w:pPr>
        <w:spacing w:line="360" w:lineRule="auto"/>
        <w:rPr>
          <w:rFonts w:ascii="Arial" w:hAnsi="Arial" w:cs="Arial"/>
          <w:b/>
          <w:sz w:val="24"/>
          <w:szCs w:val="24"/>
        </w:rPr>
      </w:pPr>
    </w:p>
    <w:p w:rsidR="006D2D5D" w:rsidRPr="00D41791" w:rsidRDefault="006D2D5D" w:rsidP="006D2D5D">
      <w:pPr>
        <w:spacing w:line="360" w:lineRule="auto"/>
        <w:jc w:val="center"/>
        <w:rPr>
          <w:rFonts w:ascii="Arial" w:hAnsi="Arial" w:cs="Arial"/>
          <w:b/>
          <w:sz w:val="24"/>
          <w:szCs w:val="24"/>
          <w:u w:val="single"/>
        </w:rPr>
      </w:pPr>
      <w:r>
        <w:rPr>
          <w:rFonts w:ascii="Arial" w:hAnsi="Arial" w:cs="Arial"/>
          <w:b/>
          <w:sz w:val="24"/>
          <w:szCs w:val="24"/>
          <w:u w:val="single"/>
        </w:rPr>
        <w:lastRenderedPageBreak/>
        <w:t>References</w:t>
      </w:r>
    </w:p>
    <w:sdt>
      <w:sdtPr>
        <w:rPr>
          <w:rFonts w:ascii="Arial" w:eastAsiaTheme="minorHAnsi" w:hAnsi="Arial" w:cs="Arial"/>
          <w:color w:val="auto"/>
          <w:sz w:val="24"/>
          <w:szCs w:val="24"/>
          <w:lang w:val="en-GB"/>
        </w:rPr>
        <w:id w:val="-410311668"/>
        <w:docPartObj>
          <w:docPartGallery w:val="Bibliographies"/>
          <w:docPartUnique/>
        </w:docPartObj>
      </w:sdtPr>
      <w:sdtEndPr>
        <w:rPr>
          <w:rFonts w:eastAsia="Times New Roman"/>
          <w:lang w:eastAsia="en-GB"/>
        </w:rPr>
      </w:sdtEndPr>
      <w:sdtContent>
        <w:p w:rsidR="006D2D5D" w:rsidRPr="00D41791" w:rsidRDefault="006D2D5D" w:rsidP="006D2D5D">
          <w:pPr>
            <w:pStyle w:val="Heading1"/>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sdtContent>
    </w:sdt>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BMG Research. (2019). Public perceptions of Policing in England and Wales 2018 prepared for: Her Majesty’s Inspectorate of Constabulary and Fire and Rescue Services. Available at: </w:t>
      </w:r>
      <w:hyperlink r:id="rId8" w:history="1">
        <w:r w:rsidRPr="00D41791">
          <w:rPr>
            <w:rStyle w:val="Hyperlink"/>
            <w:rFonts w:ascii="Arial" w:hAnsi="Arial" w:cs="Arial"/>
            <w:sz w:val="24"/>
            <w:szCs w:val="24"/>
          </w:rPr>
          <w:t>https://www.bmgresearch.co.uk//wp-content/uploads/2019/01/1578-HMICFRS-Public-Perceptions-of-Policing-2018_Final.pdf</w:t>
        </w:r>
      </w:hyperlink>
      <w:r w:rsidRPr="00D41791">
        <w:rPr>
          <w:rFonts w:ascii="Arial" w:hAnsi="Arial" w:cs="Arial"/>
          <w:sz w:val="24"/>
          <w:szCs w:val="24"/>
        </w:rPr>
        <w:t>. (Accessed on 13.01.2022).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Bryant, R. and Bryant S. (2020). </w:t>
      </w:r>
      <w:r w:rsidRPr="00D41791">
        <w:rPr>
          <w:rFonts w:ascii="Arial" w:hAnsi="Arial" w:cs="Arial"/>
          <w:i/>
          <w:sz w:val="24"/>
          <w:szCs w:val="24"/>
        </w:rPr>
        <w:t xml:space="preserve">Blackstone’s handbook for policing students. </w:t>
      </w:r>
      <w:r w:rsidRPr="00D41791">
        <w:rPr>
          <w:rFonts w:ascii="Arial" w:hAnsi="Arial" w:cs="Arial"/>
          <w:sz w:val="24"/>
          <w:szCs w:val="24"/>
        </w:rPr>
        <w:t>14</w:t>
      </w:r>
      <w:r w:rsidRPr="00D41791">
        <w:rPr>
          <w:rFonts w:ascii="Arial" w:hAnsi="Arial" w:cs="Arial"/>
          <w:sz w:val="24"/>
          <w:szCs w:val="24"/>
          <w:vertAlign w:val="superscript"/>
        </w:rPr>
        <w:t>th</w:t>
      </w:r>
      <w:r w:rsidRPr="00D41791">
        <w:rPr>
          <w:rFonts w:ascii="Arial" w:hAnsi="Arial" w:cs="Arial"/>
          <w:sz w:val="24"/>
          <w:szCs w:val="24"/>
        </w:rPr>
        <w:t xml:space="preserve"> Ed. Oxford: University Press.</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Charman, S. (2018). </w:t>
      </w:r>
      <w:r w:rsidRPr="00D41791">
        <w:rPr>
          <w:rFonts w:ascii="Arial" w:hAnsi="Arial" w:cs="Arial"/>
          <w:i/>
          <w:sz w:val="24"/>
          <w:szCs w:val="24"/>
        </w:rPr>
        <w:t>The Police Foundation.</w:t>
      </w:r>
      <w:r w:rsidRPr="00D41791">
        <w:rPr>
          <w:rFonts w:ascii="Arial" w:hAnsi="Arial" w:cs="Arial"/>
          <w:sz w:val="24"/>
          <w:szCs w:val="24"/>
        </w:rPr>
        <w:t xml:space="preserve">  Perspective on Policing: Paper 3.  From Crime fighting to public protection: the shaping of police officers’ sense of role.</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Cheshire Constabulary (2022).  </w:t>
      </w:r>
      <w:r w:rsidRPr="00D41791">
        <w:rPr>
          <w:rFonts w:ascii="Arial" w:hAnsi="Arial" w:cs="Arial"/>
          <w:i/>
          <w:sz w:val="24"/>
          <w:szCs w:val="24"/>
        </w:rPr>
        <w:t xml:space="preserve">Public Protection.  </w:t>
      </w:r>
      <w:r w:rsidRPr="00D41791">
        <w:rPr>
          <w:rFonts w:ascii="Arial" w:hAnsi="Arial" w:cs="Arial"/>
          <w:sz w:val="24"/>
          <w:szCs w:val="24"/>
        </w:rPr>
        <w:t xml:space="preserve">Available at: </w:t>
      </w:r>
      <w:hyperlink r:id="rId9" w:history="1">
        <w:r w:rsidRPr="00D41791">
          <w:rPr>
            <w:rStyle w:val="Hyperlink"/>
            <w:rFonts w:ascii="Arial" w:hAnsi="Arial" w:cs="Arial"/>
            <w:sz w:val="24"/>
            <w:szCs w:val="24"/>
          </w:rPr>
          <w:t>https://www,cheshire.police.uk/police-forces/cheshire-constabulary/areas/cheshire/about-us/about-us/public-protection</w:t>
        </w:r>
      </w:hyperlink>
      <w:r w:rsidRPr="00D41791">
        <w:rPr>
          <w:rFonts w:ascii="Arial" w:hAnsi="Arial" w:cs="Arial"/>
          <w:sz w:val="24"/>
          <w:szCs w:val="24"/>
        </w:rPr>
        <w:t xml:space="preserve"> (Accessed on 05.05.2011)</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(2014). </w:t>
      </w:r>
      <w:r w:rsidRPr="00D41791">
        <w:rPr>
          <w:rFonts w:ascii="Arial" w:hAnsi="Arial" w:cs="Arial"/>
          <w:i/>
          <w:sz w:val="24"/>
          <w:szCs w:val="24"/>
        </w:rPr>
        <w:t xml:space="preserve">National Decision Model.  </w:t>
      </w:r>
      <w:r w:rsidRPr="00D41791">
        <w:rPr>
          <w:rFonts w:ascii="Arial" w:hAnsi="Arial" w:cs="Arial"/>
          <w:sz w:val="24"/>
          <w:szCs w:val="24"/>
        </w:rPr>
        <w:t xml:space="preserve">Available at </w:t>
      </w:r>
      <w:hyperlink r:id="rId10" w:history="1">
        <w:r w:rsidRPr="00D41791">
          <w:rPr>
            <w:rStyle w:val="Hyperlink"/>
            <w:rFonts w:ascii="Arial" w:hAnsi="Arial" w:cs="Arial"/>
            <w:sz w:val="24"/>
            <w:szCs w:val="24"/>
          </w:rPr>
          <w:t>https://www.app.college-police.uk/app-content/national-decision-model/</w:t>
        </w:r>
      </w:hyperlink>
      <w:r w:rsidRPr="00D41791">
        <w:rPr>
          <w:rFonts w:ascii="Arial" w:hAnsi="Arial" w:cs="Arial"/>
          <w:sz w:val="24"/>
          <w:szCs w:val="24"/>
        </w:rPr>
        <w:t xml:space="preserve">   (Accessed on 04.01.2022)</w:t>
      </w: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(2020).  </w:t>
      </w:r>
      <w:r w:rsidRPr="00D41791">
        <w:rPr>
          <w:rFonts w:ascii="Arial" w:hAnsi="Arial" w:cs="Arial"/>
          <w:i/>
          <w:sz w:val="24"/>
          <w:szCs w:val="24"/>
        </w:rPr>
        <w:t>A career pathway in response policing</w:t>
      </w:r>
      <w:r w:rsidRPr="00D41791">
        <w:rPr>
          <w:rFonts w:ascii="Arial" w:hAnsi="Arial" w:cs="Arial"/>
          <w:sz w:val="24"/>
          <w:szCs w:val="24"/>
        </w:rPr>
        <w:t>.  Available at:</w:t>
      </w:r>
    </w:p>
    <w:p w:rsidR="006D2D5D" w:rsidRDefault="006D2D5D" w:rsidP="006D2D5D">
      <w:pPr>
        <w:spacing w:line="360" w:lineRule="auto"/>
        <w:rPr>
          <w:rFonts w:ascii="Arial" w:hAnsi="Arial" w:cs="Arial"/>
          <w:sz w:val="24"/>
          <w:szCs w:val="24"/>
        </w:rPr>
      </w:pPr>
      <w:hyperlink r:id="rId11" w:history="1">
        <w:r w:rsidRPr="00D41791">
          <w:rPr>
            <w:rStyle w:val="Hyperlink"/>
            <w:rFonts w:ascii="Arial" w:hAnsi="Arial" w:cs="Arial"/>
            <w:sz w:val="24"/>
            <w:szCs w:val="24"/>
          </w:rPr>
          <w:t>https://d17wy4t6ps30xx.cloudfront.net/production/uploads/2020/08/A-career-pathway-in-response-policing.pdf</w:t>
        </w:r>
      </w:hyperlink>
      <w:r w:rsidRPr="00D41791">
        <w:rPr>
          <w:rFonts w:ascii="Arial" w:hAnsi="Arial" w:cs="Arial"/>
          <w:sz w:val="24"/>
          <w:szCs w:val="24"/>
        </w:rPr>
        <w:t xml:space="preserve">  (Accessed on 06.01.2022)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(2020). </w:t>
      </w:r>
      <w:r w:rsidRPr="00D41791">
        <w:rPr>
          <w:rFonts w:ascii="Arial" w:hAnsi="Arial" w:cs="Arial"/>
          <w:i/>
          <w:sz w:val="24"/>
          <w:szCs w:val="24"/>
        </w:rPr>
        <w:t xml:space="preserve">Evaluation of the Police Constable Degree Apprenticeship (PCDA): First Interim Report. </w:t>
      </w:r>
      <w:r w:rsidRPr="00D41791">
        <w:rPr>
          <w:rFonts w:ascii="Arial" w:hAnsi="Arial" w:cs="Arial"/>
          <w:sz w:val="24"/>
          <w:szCs w:val="24"/>
        </w:rPr>
        <w:t xml:space="preserve">Available at </w:t>
      </w:r>
      <w:hyperlink r:id="rId12" w:history="1">
        <w:r w:rsidRPr="00D41791">
          <w:rPr>
            <w:rStyle w:val="Hyperlink"/>
            <w:rFonts w:ascii="Arial" w:hAnsi="Arial" w:cs="Arial"/>
            <w:sz w:val="24"/>
            <w:szCs w:val="24"/>
          </w:rPr>
          <w:t>https://whatworks.colloge.police.uk/Research/Documents/PCDA_evaluation.pdf</w:t>
        </w:r>
      </w:hyperlink>
      <w:r w:rsidRPr="00D41791">
        <w:rPr>
          <w:rFonts w:ascii="Arial" w:hAnsi="Arial" w:cs="Arial"/>
          <w:sz w:val="24"/>
          <w:szCs w:val="24"/>
        </w:rPr>
        <w:t xml:space="preserve"> (Accessed on 06.01.2022)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(2021).  </w:t>
      </w:r>
      <w:r w:rsidRPr="00D41791">
        <w:rPr>
          <w:rFonts w:ascii="Arial" w:hAnsi="Arial" w:cs="Arial"/>
          <w:i/>
          <w:sz w:val="24"/>
          <w:szCs w:val="24"/>
        </w:rPr>
        <w:t>Working together during major incidents and emergencies: optimising interoperability during major incident management using the social identity approach</w:t>
      </w:r>
      <w:r w:rsidRPr="00D41791">
        <w:rPr>
          <w:rFonts w:ascii="Arial" w:hAnsi="Arial" w:cs="Arial"/>
          <w:sz w:val="24"/>
          <w:szCs w:val="24"/>
        </w:rPr>
        <w:t xml:space="preserve">.  Available at: </w:t>
      </w:r>
      <w:hyperlink r:id="rId13" w:history="1">
        <w:r w:rsidRPr="00D41791">
          <w:rPr>
            <w:rStyle w:val="Hyperlink"/>
            <w:rFonts w:ascii="Arial" w:hAnsi="Arial" w:cs="Arial"/>
            <w:sz w:val="24"/>
            <w:szCs w:val="24"/>
          </w:rPr>
          <w:t>https://www.whatworks.college.police.uk/Research/Research-map/Pages?ResearchProject.aspx?projectid=837</w:t>
        </w:r>
      </w:hyperlink>
      <w:r w:rsidRPr="00D41791">
        <w:rPr>
          <w:rFonts w:ascii="Arial" w:hAnsi="Arial" w:cs="Arial"/>
          <w:sz w:val="24"/>
          <w:szCs w:val="24"/>
        </w:rPr>
        <w:t xml:space="preserve">  (Accessed on 14.03.2022)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(2021).  What works in Policing to Reduce Crime?  Available at: </w:t>
      </w:r>
      <w:hyperlink r:id="rId14" w:history="1">
        <w:r w:rsidRPr="00D41791">
          <w:rPr>
            <w:rStyle w:val="Hyperlink"/>
            <w:rFonts w:ascii="Arial" w:hAnsi="Arial" w:cs="Arial"/>
            <w:sz w:val="24"/>
            <w:szCs w:val="24"/>
          </w:rPr>
          <w:t>https://www.college.police.uk/research/what-works-policing-reduce-crime</w:t>
        </w:r>
      </w:hyperlink>
      <w:r w:rsidRPr="00D41791">
        <w:rPr>
          <w:rFonts w:ascii="Arial" w:hAnsi="Arial" w:cs="Arial"/>
          <w:sz w:val="24"/>
          <w:szCs w:val="24"/>
        </w:rPr>
        <w:t xml:space="preserve">  (Accessed on 14.05.2022)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(2021).  What works in Policing to Reduce Crime?  Available at: </w:t>
      </w:r>
      <w:hyperlink r:id="rId15" w:history="1">
        <w:r w:rsidRPr="00D41791">
          <w:rPr>
            <w:rStyle w:val="Hyperlink"/>
            <w:rFonts w:ascii="Arial" w:hAnsi="Arial" w:cs="Arial"/>
            <w:sz w:val="24"/>
            <w:szCs w:val="24"/>
          </w:rPr>
          <w:t>https://www.college.police.uk/research/what-works-policing-reduce-crime</w:t>
        </w:r>
      </w:hyperlink>
      <w:r w:rsidRPr="00D41791">
        <w:rPr>
          <w:rFonts w:ascii="Arial" w:hAnsi="Arial" w:cs="Arial"/>
          <w:sz w:val="24"/>
          <w:szCs w:val="24"/>
        </w:rPr>
        <w:t xml:space="preserve">  (Accessed on 14.05.2022)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(2022).  </w:t>
      </w:r>
      <w:r w:rsidRPr="00D41791">
        <w:rPr>
          <w:rFonts w:ascii="Arial" w:hAnsi="Arial" w:cs="Arial"/>
          <w:i/>
          <w:sz w:val="24"/>
          <w:szCs w:val="24"/>
        </w:rPr>
        <w:t>Code of Ethics</w:t>
      </w:r>
      <w:r w:rsidRPr="00D41791">
        <w:rPr>
          <w:rFonts w:ascii="Arial" w:hAnsi="Arial" w:cs="Arial"/>
          <w:sz w:val="24"/>
          <w:szCs w:val="24"/>
        </w:rPr>
        <w:t xml:space="preserve">.  Available at </w:t>
      </w:r>
      <w:hyperlink r:id="rId16" w:history="1">
        <w:r w:rsidRPr="00D41791">
          <w:rPr>
            <w:rStyle w:val="Hyperlink"/>
            <w:rFonts w:ascii="Arial" w:hAnsi="Arial" w:cs="Arial"/>
            <w:sz w:val="24"/>
            <w:szCs w:val="24"/>
          </w:rPr>
          <w:t>https://www.college.police.uk/ethics/code-of-ethics</w:t>
        </w:r>
      </w:hyperlink>
      <w:r w:rsidRPr="00D41791">
        <w:rPr>
          <w:rFonts w:ascii="Arial" w:hAnsi="Arial" w:cs="Arial"/>
          <w:sz w:val="24"/>
          <w:szCs w:val="24"/>
        </w:rPr>
        <w:t xml:space="preserve"> (Accessed on 04.01.2022)</w:t>
      </w: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(2022).  </w:t>
      </w:r>
      <w:r w:rsidRPr="00D41791">
        <w:rPr>
          <w:rFonts w:ascii="Arial" w:hAnsi="Arial" w:cs="Arial"/>
          <w:i/>
          <w:sz w:val="24"/>
          <w:szCs w:val="24"/>
        </w:rPr>
        <w:t xml:space="preserve">Evidence-based Policing.  </w:t>
      </w:r>
      <w:r w:rsidRPr="00D41791">
        <w:rPr>
          <w:rFonts w:ascii="Arial" w:hAnsi="Arial" w:cs="Arial"/>
          <w:sz w:val="24"/>
          <w:szCs w:val="24"/>
        </w:rPr>
        <w:t xml:space="preserve">Available at: </w:t>
      </w:r>
      <w:hyperlink r:id="rId17" w:history="1">
        <w:r w:rsidRPr="00D41791">
          <w:rPr>
            <w:rStyle w:val="Hyperlink"/>
            <w:rFonts w:ascii="Arial" w:hAnsi="Arial" w:cs="Arial"/>
            <w:sz w:val="24"/>
            <w:szCs w:val="24"/>
          </w:rPr>
          <w:t>https://www.college.police.uk/research/evidence-based-policing-EBP</w:t>
        </w:r>
      </w:hyperlink>
      <w:r w:rsidRPr="00D41791">
        <w:rPr>
          <w:rFonts w:ascii="Arial" w:hAnsi="Arial" w:cs="Arial"/>
          <w:sz w:val="24"/>
          <w:szCs w:val="24"/>
        </w:rPr>
        <w:t xml:space="preserve"> (Accessed on 22.05.2022)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College of Policing (2022).  Learning Lessons.  Available at: </w:t>
      </w:r>
      <w:hyperlink r:id="rId18" w:history="1">
        <w:r w:rsidRPr="00D41791">
          <w:rPr>
            <w:rStyle w:val="Hyperlink"/>
            <w:rFonts w:ascii="Arial" w:hAnsi="Arial" w:cs="Arial"/>
            <w:sz w:val="24"/>
            <w:szCs w:val="24"/>
          </w:rPr>
          <w:t>https://www.college.police.uk/guidance/conflict-management/learning-lessons</w:t>
        </w:r>
      </w:hyperlink>
      <w:r w:rsidRPr="00D41791">
        <w:rPr>
          <w:rFonts w:ascii="Arial" w:hAnsi="Arial" w:cs="Arial"/>
          <w:sz w:val="24"/>
          <w:szCs w:val="24"/>
        </w:rPr>
        <w:t>.  Accessed on 12.05.2022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Fleming, J. (2018). How do the police respond to evidence based policing? </w:t>
      </w:r>
      <w:r w:rsidRPr="00D41791">
        <w:rPr>
          <w:rFonts w:ascii="Arial" w:hAnsi="Arial" w:cs="Arial"/>
          <w:i/>
          <w:sz w:val="24"/>
          <w:szCs w:val="24"/>
        </w:rPr>
        <w:t xml:space="preserve">Narrative Policy Analysis: Cases in Decentered Policy. </w:t>
      </w:r>
      <w:r w:rsidRPr="00D41791">
        <w:rPr>
          <w:rFonts w:ascii="Arial" w:hAnsi="Arial" w:cs="Arial"/>
          <w:sz w:val="24"/>
          <w:szCs w:val="24"/>
        </w:rPr>
        <w:t>Basingstoke: Palgrave MacMillan</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Gogarty, C (2022). ‘Police Officer had Obsession with Tesco worker and lied that she shot someone’. </w:t>
      </w:r>
      <w:r w:rsidRPr="00D41791">
        <w:rPr>
          <w:rFonts w:ascii="Arial" w:hAnsi="Arial" w:cs="Arial"/>
          <w:i/>
          <w:sz w:val="24"/>
          <w:szCs w:val="24"/>
        </w:rPr>
        <w:t>Wales Online.</w:t>
      </w:r>
      <w:r w:rsidRPr="00D41791">
        <w:rPr>
          <w:rFonts w:ascii="Arial" w:hAnsi="Arial" w:cs="Arial"/>
          <w:sz w:val="24"/>
          <w:szCs w:val="24"/>
        </w:rPr>
        <w:t xml:space="preserve"> 18</w:t>
      </w:r>
      <w:r w:rsidRPr="00D41791">
        <w:rPr>
          <w:rFonts w:ascii="Arial" w:hAnsi="Arial" w:cs="Arial"/>
          <w:sz w:val="24"/>
          <w:szCs w:val="24"/>
          <w:vertAlign w:val="superscript"/>
        </w:rPr>
        <w:t>th</w:t>
      </w:r>
      <w:r w:rsidRPr="00D41791">
        <w:rPr>
          <w:rFonts w:ascii="Arial" w:hAnsi="Arial" w:cs="Arial"/>
          <w:sz w:val="24"/>
          <w:szCs w:val="24"/>
        </w:rPr>
        <w:t xml:space="preserve"> March. Available at: </w:t>
      </w:r>
      <w:hyperlink r:id="rId19" w:history="1">
        <w:r w:rsidRPr="00D41791">
          <w:rPr>
            <w:rStyle w:val="Hyperlink"/>
            <w:rFonts w:ascii="Arial" w:hAnsi="Arial" w:cs="Arial"/>
            <w:sz w:val="24"/>
            <w:szCs w:val="24"/>
          </w:rPr>
          <w:t>https://www.walesonline.co.uk/news/wales-news/police-officer-obsession-tesco-worker-23248392</w:t>
        </w:r>
      </w:hyperlink>
      <w:r w:rsidRPr="00D41791">
        <w:rPr>
          <w:rFonts w:ascii="Arial" w:hAnsi="Arial" w:cs="Arial"/>
          <w:sz w:val="24"/>
          <w:szCs w:val="24"/>
        </w:rPr>
        <w:t>.</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Gwent Police (2007) </w:t>
      </w:r>
      <w:r w:rsidRPr="00D41791">
        <w:rPr>
          <w:rFonts w:ascii="Arial" w:hAnsi="Arial" w:cs="Arial"/>
          <w:i/>
          <w:sz w:val="24"/>
          <w:szCs w:val="24"/>
        </w:rPr>
        <w:t>National Intelligence Model: Tasking and Coordination Policy</w:t>
      </w:r>
      <w:r w:rsidRPr="00D41791">
        <w:rPr>
          <w:rFonts w:ascii="Arial" w:hAnsi="Arial" w:cs="Arial"/>
          <w:sz w:val="24"/>
          <w:szCs w:val="24"/>
        </w:rPr>
        <w:t>.  Available at:  https://www.intelligenceanalysis.net/legal%20-%20Gwent%20NIM%20Policy.pdf    (Accessed on 28.02.2022)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Hall, M. and Hall, J. (2011). The Long term effects of childhood counselling implications.  </w:t>
      </w:r>
      <w:r w:rsidRPr="00D41791">
        <w:rPr>
          <w:rFonts w:ascii="Arial" w:hAnsi="Arial" w:cs="Arial"/>
          <w:i/>
          <w:sz w:val="24"/>
          <w:szCs w:val="24"/>
        </w:rPr>
        <w:t>American Counselling Association.</w:t>
      </w:r>
      <w:r w:rsidRPr="00D41791">
        <w:rPr>
          <w:rFonts w:ascii="Arial" w:hAnsi="Arial" w:cs="Arial"/>
          <w:sz w:val="24"/>
          <w:szCs w:val="24"/>
        </w:rPr>
        <w:t xml:space="preserve">  Available at: </w:t>
      </w:r>
      <w:hyperlink r:id="rId20" w:history="1">
        <w:r w:rsidRPr="00D41791">
          <w:rPr>
            <w:rStyle w:val="Hyperlink"/>
            <w:rFonts w:ascii="Arial" w:hAnsi="Arial" w:cs="Arial"/>
            <w:sz w:val="24"/>
            <w:szCs w:val="24"/>
          </w:rPr>
          <w:t>https://counsellingoutfitters.com/vista/install/article_19.pdf</w:t>
        </w:r>
      </w:hyperlink>
      <w:r w:rsidRPr="00D41791">
        <w:rPr>
          <w:rFonts w:ascii="Arial" w:hAnsi="Arial" w:cs="Arial"/>
          <w:sz w:val="24"/>
          <w:szCs w:val="24"/>
        </w:rPr>
        <w:t xml:space="preserve"> (Accessed on 15.05.2022)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Hansman, C. (2000). Coaching and Mentoring Programs.  In A. Wilson &amp; E. Hayes (New Ed). </w:t>
      </w:r>
      <w:r w:rsidRPr="00D41791">
        <w:rPr>
          <w:rFonts w:ascii="Arial" w:hAnsi="Arial" w:cs="Arial"/>
          <w:i/>
          <w:sz w:val="24"/>
          <w:szCs w:val="24"/>
        </w:rPr>
        <w:t xml:space="preserve">Handbook of Adult Continuing Education. </w:t>
      </w:r>
      <w:r w:rsidRPr="00D41791">
        <w:rPr>
          <w:rFonts w:ascii="Arial" w:hAnsi="Arial" w:cs="Arial"/>
          <w:sz w:val="24"/>
          <w:szCs w:val="24"/>
        </w:rPr>
        <w:t>San Francisco, CA: Jossey-Bass</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HM Government (2018).  </w:t>
      </w:r>
      <w:r w:rsidRPr="00D41791">
        <w:rPr>
          <w:rFonts w:ascii="Arial" w:hAnsi="Arial" w:cs="Arial"/>
          <w:i/>
          <w:sz w:val="24"/>
          <w:szCs w:val="24"/>
        </w:rPr>
        <w:t xml:space="preserve">Serious and Organised Crime Strategy.  </w:t>
      </w:r>
      <w:r w:rsidRPr="00D41791">
        <w:rPr>
          <w:rFonts w:ascii="Arial" w:hAnsi="Arial" w:cs="Arial"/>
          <w:sz w:val="24"/>
          <w:szCs w:val="24"/>
        </w:rPr>
        <w:t xml:space="preserve">Available at: </w:t>
      </w:r>
      <w:hyperlink r:id="rId21" w:history="1">
        <w:r w:rsidRPr="00D41791">
          <w:rPr>
            <w:rStyle w:val="Hyperlink"/>
            <w:rFonts w:ascii="Arial" w:hAnsi="Arial" w:cs="Arial"/>
            <w:sz w:val="24"/>
            <w:szCs w:val="24"/>
          </w:rPr>
          <w:t>https://assets.publishing.service.gov.uk/government/uploads/system/uploads/attachement_data/file/752850/SOC-2018-web.pdf</w:t>
        </w:r>
      </w:hyperlink>
      <w:r w:rsidRPr="00D41791">
        <w:rPr>
          <w:rFonts w:ascii="Arial" w:hAnsi="Arial" w:cs="Arial"/>
          <w:sz w:val="24"/>
          <w:szCs w:val="24"/>
        </w:rPr>
        <w:t xml:space="preserve"> (Accessed on 12.05.2022)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HM Inspectorate of Probation and HM Inspectorate of Constabulary. (2015). </w:t>
      </w:r>
      <w:r w:rsidRPr="00D41791">
        <w:rPr>
          <w:rFonts w:ascii="Arial" w:hAnsi="Arial" w:cs="Arial"/>
          <w:i/>
          <w:sz w:val="24"/>
          <w:szCs w:val="24"/>
        </w:rPr>
        <w:t>A follow-up inspection of Multi-Agency Public Protection Arrangements</w:t>
      </w:r>
      <w:r w:rsidRPr="00D41791">
        <w:rPr>
          <w:rFonts w:ascii="Arial" w:hAnsi="Arial" w:cs="Arial"/>
          <w:sz w:val="24"/>
          <w:szCs w:val="24"/>
        </w:rPr>
        <w:t xml:space="preserve">.  Available at: </w:t>
      </w:r>
      <w:hyperlink r:id="rId22" w:history="1">
        <w:r w:rsidRPr="00D41791">
          <w:rPr>
            <w:rStyle w:val="Hyperlink"/>
            <w:rFonts w:ascii="Arial" w:hAnsi="Arial" w:cs="Arial"/>
            <w:sz w:val="24"/>
            <w:szCs w:val="24"/>
          </w:rPr>
          <w:t>https://www.justiceinspectorates.gov.uk/cjji/wp-content/uploads/sites/2/2015/10/MAPPA-follow-up-thematic-report.pdf</w:t>
        </w:r>
      </w:hyperlink>
      <w:r w:rsidRPr="00D41791">
        <w:rPr>
          <w:rFonts w:ascii="Arial" w:hAnsi="Arial" w:cs="Arial"/>
          <w:sz w:val="24"/>
          <w:szCs w:val="24"/>
        </w:rPr>
        <w:t xml:space="preserve"> (Accessed on 06.05.2022).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Howard League. (2016). </w:t>
      </w:r>
      <w:r w:rsidRPr="00D41791">
        <w:rPr>
          <w:rFonts w:ascii="Arial" w:hAnsi="Arial" w:cs="Arial"/>
          <w:i/>
          <w:sz w:val="24"/>
          <w:szCs w:val="24"/>
        </w:rPr>
        <w:t xml:space="preserve">UR Boss: What is MAPPA?  </w:t>
      </w:r>
      <w:r w:rsidRPr="00D41791">
        <w:rPr>
          <w:rFonts w:ascii="Arial" w:hAnsi="Arial" w:cs="Arial"/>
          <w:sz w:val="24"/>
          <w:szCs w:val="24"/>
        </w:rPr>
        <w:t xml:space="preserve">Available at: </w:t>
      </w:r>
      <w:hyperlink r:id="rId23" w:anchor=":~:text=One%20of%20the%the%20problems%20with%20MAPPA%20is%20that.life%20seem%20to%20be%20above%20your%20head" w:history="1">
        <w:r w:rsidRPr="00D41791">
          <w:rPr>
            <w:rStyle w:val="Hyperlink"/>
            <w:rFonts w:ascii="Arial" w:hAnsi="Arial" w:cs="Arial"/>
            <w:sz w:val="24"/>
            <w:szCs w:val="24"/>
          </w:rPr>
          <w:t>https://www.howardleague.org/up-context/uploads/2016/us/U-R-Boss-MAPPA-Leaflet.pdf#:~:text=One%20of%20the%the%20problems%20with%20MAPPA%20is%20that.life%20seem%20to%20be%20above%20your%20head</w:t>
        </w:r>
      </w:hyperlink>
      <w:r w:rsidRPr="00D41791">
        <w:rPr>
          <w:rFonts w:ascii="Arial" w:hAnsi="Arial" w:cs="Arial"/>
          <w:sz w:val="24"/>
          <w:szCs w:val="24"/>
        </w:rPr>
        <w:t xml:space="preserve">  (Accessed on 05.05.2022).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Jackson, J and Sunshine J. (2006) Public Confidence in Policing: A neo-Durkheimian Perspective. </w:t>
      </w:r>
      <w:r w:rsidRPr="00D41791">
        <w:rPr>
          <w:rFonts w:ascii="Arial" w:hAnsi="Arial" w:cs="Arial"/>
          <w:i/>
          <w:sz w:val="24"/>
          <w:szCs w:val="24"/>
        </w:rPr>
        <w:t>The British Journal of Criminology</w:t>
      </w:r>
      <w:r w:rsidRPr="00D41791">
        <w:rPr>
          <w:rFonts w:ascii="Arial" w:hAnsi="Arial" w:cs="Arial"/>
          <w:sz w:val="24"/>
          <w:szCs w:val="24"/>
        </w:rPr>
        <w:t>, 47(2)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pStyle w:val="chapter-para"/>
        <w:shd w:val="clear" w:color="auto" w:fill="FFFFFF"/>
        <w:spacing w:line="360" w:lineRule="auto"/>
        <w:textAlignment w:val="baseline"/>
        <w:rPr>
          <w:rFonts w:ascii="Arial" w:hAnsi="Arial" w:cs="Arial"/>
        </w:rPr>
      </w:pPr>
      <w:r w:rsidRPr="00D41791">
        <w:rPr>
          <w:rFonts w:ascii="Arial" w:hAnsi="Arial" w:cs="Arial"/>
        </w:rPr>
        <w:lastRenderedPageBreak/>
        <w:t>JESIP (2022). Early stages on an Incident and METHANNE. Available at</w:t>
      </w:r>
      <w:r w:rsidRPr="00D41791">
        <w:rPr>
          <w:rFonts w:ascii="Arial" w:hAnsi="Arial" w:cs="Arial"/>
          <w:color w:val="2A2A2A"/>
        </w:rPr>
        <w:t xml:space="preserve">: </w:t>
      </w:r>
      <w:hyperlink r:id="rId24" w:anchor=":~:text=The%20METHANE%20model%20is%20an%20established%20reporting%20framework,major%20incident%20threshold%20%E2%80%98METHANE%E2%80%99%20becomes%20an%20%E2%80%98ETHANE%E2%80%99%20message." w:history="1">
        <w:r w:rsidRPr="00D41791">
          <w:rPr>
            <w:rStyle w:val="Hyperlink"/>
            <w:rFonts w:ascii="Arial" w:hAnsi="Arial" w:cs="Arial"/>
          </w:rPr>
          <w:t>JESIP - Working together, Saving Lives</w:t>
        </w:r>
      </w:hyperlink>
      <w:r w:rsidRPr="00D41791">
        <w:rPr>
          <w:rFonts w:ascii="Arial" w:hAnsi="Arial" w:cs="Arial"/>
        </w:rPr>
        <w:t xml:space="preserve"> (Accessed on 13.01.2022)</w:t>
      </w:r>
    </w:p>
    <w:p w:rsidR="006D2D5D" w:rsidRPr="00D41791" w:rsidRDefault="006D2D5D" w:rsidP="006D2D5D">
      <w:pPr>
        <w:pStyle w:val="chapter-para"/>
        <w:shd w:val="clear" w:color="auto" w:fill="FFFFFF"/>
        <w:spacing w:line="360" w:lineRule="auto"/>
        <w:textAlignment w:val="baseline"/>
        <w:rPr>
          <w:rFonts w:ascii="Arial" w:hAnsi="Arial" w:cs="Arial"/>
          <w:color w:val="2A2A2A"/>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Johnson, W. (2007). </w:t>
      </w:r>
      <w:r w:rsidRPr="00D41791">
        <w:rPr>
          <w:rFonts w:ascii="Arial" w:hAnsi="Arial" w:cs="Arial"/>
          <w:i/>
          <w:sz w:val="24"/>
          <w:szCs w:val="24"/>
        </w:rPr>
        <w:t xml:space="preserve">On Being a Mentor. </w:t>
      </w:r>
      <w:r w:rsidRPr="00D41791">
        <w:rPr>
          <w:rFonts w:ascii="Arial" w:hAnsi="Arial" w:cs="Arial"/>
          <w:sz w:val="24"/>
          <w:szCs w:val="24"/>
        </w:rPr>
        <w:t>Mahwah, NJ: Lawrence Erlbaun</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Kleiven, E. (2007). Where’s the intelligence in the national intelligence model. </w:t>
      </w:r>
      <w:r w:rsidRPr="00D41791">
        <w:rPr>
          <w:rFonts w:ascii="Arial" w:hAnsi="Arial" w:cs="Arial"/>
          <w:i/>
          <w:sz w:val="24"/>
          <w:szCs w:val="24"/>
        </w:rPr>
        <w:t xml:space="preserve">International Journal of Police Science &amp; Management. </w:t>
      </w:r>
      <w:r w:rsidRPr="00D41791">
        <w:rPr>
          <w:rFonts w:ascii="Arial" w:hAnsi="Arial" w:cs="Arial"/>
          <w:sz w:val="24"/>
          <w:szCs w:val="24"/>
        </w:rPr>
        <w:t>9 (3), 257-273.</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Loftus, J. &amp; Price, K. (2016).  Police Attitudes and Professionalism. </w:t>
      </w:r>
      <w:r w:rsidRPr="00D41791">
        <w:rPr>
          <w:rFonts w:ascii="Arial" w:hAnsi="Arial" w:cs="Arial"/>
          <w:i/>
          <w:sz w:val="24"/>
          <w:szCs w:val="24"/>
        </w:rPr>
        <w:t>Administrative Issues Journal, 6</w:t>
      </w:r>
      <w:r w:rsidRPr="00D41791">
        <w:rPr>
          <w:rFonts w:ascii="Arial" w:hAnsi="Arial" w:cs="Arial"/>
          <w:sz w:val="24"/>
          <w:szCs w:val="24"/>
        </w:rPr>
        <w:t>(2), 53-73</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Lonsdale, D. and dos Santos Lonsdale, M. (2019). Handling and Communicating Intelligence Information: a conceptual, historical and information design analysis.  </w:t>
      </w:r>
      <w:r w:rsidRPr="00D41791">
        <w:rPr>
          <w:rFonts w:ascii="Arial" w:hAnsi="Arial" w:cs="Arial"/>
          <w:i/>
          <w:sz w:val="24"/>
          <w:szCs w:val="24"/>
        </w:rPr>
        <w:t xml:space="preserve">Intelligence &amp; National Security, </w:t>
      </w:r>
      <w:r w:rsidRPr="00D41791">
        <w:rPr>
          <w:rFonts w:ascii="Arial" w:hAnsi="Arial" w:cs="Arial"/>
          <w:sz w:val="24"/>
          <w:szCs w:val="24"/>
        </w:rPr>
        <w:t>34 (5).</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Lumsden, K. (2017). It’s a Profession, it isn’t a job: Police Officers views on the Professionalisation of Policing in England.  </w:t>
      </w:r>
      <w:r w:rsidRPr="00D41791">
        <w:rPr>
          <w:rFonts w:ascii="Arial" w:hAnsi="Arial" w:cs="Arial"/>
          <w:i/>
          <w:sz w:val="24"/>
          <w:szCs w:val="24"/>
        </w:rPr>
        <w:t xml:space="preserve">Sociological Research Online.  </w:t>
      </w:r>
      <w:r w:rsidRPr="00D41791">
        <w:rPr>
          <w:rFonts w:ascii="Arial" w:hAnsi="Arial" w:cs="Arial"/>
          <w:sz w:val="24"/>
          <w:szCs w:val="24"/>
        </w:rPr>
        <w:t xml:space="preserve">Available at: </w:t>
      </w:r>
      <w:hyperlink r:id="rId25" w:history="1">
        <w:r w:rsidRPr="00D41791">
          <w:rPr>
            <w:rStyle w:val="Hyperlink"/>
            <w:rFonts w:ascii="Arial" w:hAnsi="Arial" w:cs="Arial"/>
            <w:sz w:val="24"/>
            <w:szCs w:val="24"/>
          </w:rPr>
          <w:t>https://journals.sagepub.com/doi/abs/10.1177/1360780417724062</w:t>
        </w:r>
      </w:hyperlink>
      <w:r w:rsidRPr="00D41791">
        <w:rPr>
          <w:rFonts w:ascii="Arial" w:hAnsi="Arial" w:cs="Arial"/>
          <w:sz w:val="24"/>
          <w:szCs w:val="24"/>
        </w:rPr>
        <w:t xml:space="preserve">  (Accessed on 05.01.2022)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Ministry of Justice (2007). </w:t>
      </w:r>
      <w:r w:rsidRPr="00D41791">
        <w:rPr>
          <w:rFonts w:ascii="Arial" w:hAnsi="Arial" w:cs="Arial"/>
          <w:i/>
          <w:sz w:val="24"/>
          <w:szCs w:val="24"/>
        </w:rPr>
        <w:t xml:space="preserve">Statistics on Race and Criminal Justice System – 2006. A Ministry of Justice Publication under Section 95 of the Criminal Justice Act 1991. </w:t>
      </w:r>
      <w:r w:rsidRPr="00D41791">
        <w:rPr>
          <w:rFonts w:ascii="Arial" w:hAnsi="Arial" w:cs="Arial"/>
          <w:sz w:val="24"/>
          <w:szCs w:val="24"/>
        </w:rPr>
        <w:t>London: Crown Copyright</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Ministry of Justice. (2015). </w:t>
      </w:r>
      <w:r w:rsidRPr="00D41791">
        <w:rPr>
          <w:rFonts w:ascii="Arial" w:hAnsi="Arial" w:cs="Arial"/>
          <w:i/>
          <w:sz w:val="24"/>
          <w:szCs w:val="24"/>
        </w:rPr>
        <w:t xml:space="preserve">Reoffending Analysis of MAPPA Eligible Offenders.  </w:t>
      </w:r>
      <w:r w:rsidRPr="00D41791">
        <w:rPr>
          <w:rFonts w:ascii="Arial" w:hAnsi="Arial" w:cs="Arial"/>
          <w:sz w:val="24"/>
          <w:szCs w:val="24"/>
        </w:rPr>
        <w:t xml:space="preserve">Available at: </w:t>
      </w:r>
      <w:hyperlink r:id="rId26" w:history="1">
        <w:r w:rsidRPr="00D41791">
          <w:rPr>
            <w:rStyle w:val="Hyperlink"/>
            <w:rFonts w:ascii="Arial" w:hAnsi="Arial" w:cs="Arial"/>
            <w:sz w:val="24"/>
            <w:szCs w:val="24"/>
          </w:rPr>
          <w:t>https://assets.publishing.service.co.uk/government/uploads/system/uploads/attachment_data/file/407139/reoffending-analysis-0f-MAPPA-eligable-offebders.pdf</w:t>
        </w:r>
      </w:hyperlink>
      <w:r w:rsidRPr="00D41791">
        <w:rPr>
          <w:rFonts w:ascii="Arial" w:hAnsi="Arial" w:cs="Arial"/>
          <w:sz w:val="24"/>
          <w:szCs w:val="24"/>
        </w:rPr>
        <w:t xml:space="preserve"> (Accessed on 06.05.2022)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lastRenderedPageBreak/>
        <w:t xml:space="preserve">Moore, L. (2011). Mentoring and Coaching Police.  </w:t>
      </w:r>
      <w:r w:rsidRPr="00D41791">
        <w:rPr>
          <w:rFonts w:ascii="Arial" w:hAnsi="Arial" w:cs="Arial"/>
          <w:i/>
          <w:sz w:val="24"/>
          <w:szCs w:val="24"/>
        </w:rPr>
        <w:t xml:space="preserve">Gloucestershire Police. </w:t>
      </w:r>
      <w:r w:rsidRPr="00D41791">
        <w:rPr>
          <w:rFonts w:ascii="Arial" w:hAnsi="Arial" w:cs="Arial"/>
          <w:sz w:val="24"/>
          <w:szCs w:val="24"/>
        </w:rPr>
        <w:t xml:space="preserve">Available at: </w:t>
      </w:r>
      <w:hyperlink r:id="rId27" w:history="1">
        <w:r w:rsidRPr="00D41791">
          <w:rPr>
            <w:rStyle w:val="Hyperlink"/>
            <w:rFonts w:ascii="Arial" w:hAnsi="Arial" w:cs="Arial"/>
            <w:sz w:val="24"/>
            <w:szCs w:val="24"/>
          </w:rPr>
          <w:t>https://www.gloucestershire.police.uk/SysSiteAssets/foi-media/gloucestershire/policies/mentoring-and-coaching-policy</w:t>
        </w:r>
      </w:hyperlink>
      <w:r w:rsidRPr="00D41791">
        <w:rPr>
          <w:rFonts w:ascii="Arial" w:hAnsi="Arial" w:cs="Arial"/>
          <w:sz w:val="24"/>
          <w:szCs w:val="24"/>
        </w:rPr>
        <w:t xml:space="preserve"> (Accessed on 05.01.2022)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National Audit Office (2019).  </w:t>
      </w:r>
      <w:r w:rsidRPr="00D41791">
        <w:rPr>
          <w:rFonts w:ascii="Arial" w:hAnsi="Arial" w:cs="Arial"/>
          <w:i/>
          <w:sz w:val="24"/>
          <w:szCs w:val="24"/>
        </w:rPr>
        <w:t xml:space="preserve">Tackling Serious and Organised Crime.  </w:t>
      </w:r>
      <w:r w:rsidRPr="00D41791">
        <w:rPr>
          <w:rFonts w:ascii="Arial" w:hAnsi="Arial" w:cs="Arial"/>
          <w:sz w:val="24"/>
          <w:szCs w:val="24"/>
        </w:rPr>
        <w:t xml:space="preserve">Available at: </w:t>
      </w:r>
      <w:hyperlink r:id="rId28" w:anchor=":~:text=the%challenges%20in%20taclkingserious%20and%20organised%20crime.treatments%20and%20a%20cost" w:history="1">
        <w:r w:rsidRPr="00D41791">
          <w:rPr>
            <w:rStyle w:val="Hyperlink"/>
            <w:rFonts w:ascii="Arial" w:hAnsi="Arial" w:cs="Arial"/>
            <w:sz w:val="24"/>
            <w:szCs w:val="24"/>
          </w:rPr>
          <w:t>https://www.na.org.uk/wp-content/uploads/2019/03/Tackling-serious-and-organised-crime-summary.pdf#:~:text=the%challenges%20in%20taclkingserious%20and%20organised%20crime.treatments%20and%20a%20cost</w:t>
        </w:r>
      </w:hyperlink>
      <w:r w:rsidRPr="00D41791">
        <w:rPr>
          <w:rFonts w:ascii="Arial" w:hAnsi="Arial" w:cs="Arial"/>
          <w:sz w:val="24"/>
          <w:szCs w:val="24"/>
        </w:rPr>
        <w:t xml:space="preserve">  (Accessed on 12.05.2022)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Style w:val="Hyperlink"/>
          <w:rFonts w:ascii="Arial" w:hAnsi="Arial" w:cs="Arial"/>
          <w:color w:val="000000" w:themeColor="text1"/>
          <w:sz w:val="24"/>
          <w:szCs w:val="24"/>
          <w:u w:val="none"/>
        </w:rPr>
      </w:pPr>
      <w:r w:rsidRPr="00D41791">
        <w:rPr>
          <w:rFonts w:ascii="Arial" w:hAnsi="Arial" w:cs="Arial"/>
          <w:sz w:val="24"/>
          <w:szCs w:val="24"/>
        </w:rPr>
        <w:t xml:space="preserve">National Commission on Terrorist Attacks upon the United States. </w:t>
      </w:r>
      <w:r w:rsidRPr="00D41791">
        <w:rPr>
          <w:rFonts w:ascii="Arial" w:hAnsi="Arial" w:cs="Arial"/>
          <w:i/>
          <w:sz w:val="24"/>
          <w:szCs w:val="24"/>
        </w:rPr>
        <w:t xml:space="preserve">Final Report of the national commission on terrorists attacks upon the United States (2004). </w:t>
      </w:r>
      <w:r w:rsidRPr="00D41791">
        <w:rPr>
          <w:rFonts w:ascii="Arial" w:hAnsi="Arial" w:cs="Arial"/>
          <w:sz w:val="24"/>
          <w:szCs w:val="24"/>
        </w:rPr>
        <w:t>Available at</w:t>
      </w:r>
      <w:r w:rsidRPr="00D41791">
        <w:rPr>
          <w:rFonts w:ascii="Arial" w:hAnsi="Arial" w:cs="Arial"/>
          <w:i/>
          <w:sz w:val="24"/>
          <w:szCs w:val="24"/>
        </w:rPr>
        <w:t xml:space="preserve">: </w:t>
      </w:r>
      <w:hyperlink r:id="rId29" w:history="1">
        <w:r w:rsidRPr="00D41791">
          <w:rPr>
            <w:rStyle w:val="Hyperlink"/>
            <w:rFonts w:ascii="Arial" w:hAnsi="Arial" w:cs="Arial"/>
            <w:sz w:val="24"/>
            <w:szCs w:val="24"/>
          </w:rPr>
          <w:t>https://www.9-11commission.gov/reports/911Report.pdf</w:t>
        </w:r>
      </w:hyperlink>
      <w:r w:rsidRPr="00D41791">
        <w:rPr>
          <w:rStyle w:val="Hyperlink"/>
          <w:rFonts w:ascii="Arial" w:hAnsi="Arial" w:cs="Arial"/>
          <w:sz w:val="24"/>
          <w:szCs w:val="24"/>
        </w:rPr>
        <w:t xml:space="preserve">. </w:t>
      </w:r>
      <w:r w:rsidRPr="00D41791">
        <w:rPr>
          <w:rStyle w:val="Hyperlink"/>
          <w:rFonts w:ascii="Arial" w:hAnsi="Arial" w:cs="Arial"/>
          <w:color w:val="000000" w:themeColor="text1"/>
          <w:sz w:val="24"/>
          <w:szCs w:val="24"/>
          <w:u w:val="none"/>
        </w:rPr>
        <w:t xml:space="preserve">  (Accessed on 28.02.2011)</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Nicholas, S. and Walker, A. (2004).  Crime in England and Wales 2003/03, Supplementary Volume 2</w:t>
      </w:r>
      <w:r w:rsidRPr="00D41791">
        <w:rPr>
          <w:rFonts w:ascii="Arial" w:hAnsi="Arial" w:cs="Arial"/>
          <w:i/>
          <w:sz w:val="24"/>
          <w:szCs w:val="24"/>
        </w:rPr>
        <w:t>: Crime, disorder and the criminal Justice System: Public Attitudes and Perceptions</w:t>
      </w:r>
      <w:r w:rsidRPr="00D41791">
        <w:rPr>
          <w:rFonts w:ascii="Arial" w:hAnsi="Arial" w:cs="Arial"/>
          <w:sz w:val="24"/>
          <w:szCs w:val="24"/>
        </w:rPr>
        <w:t>.  London: Home Office</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Paoline, E.A., &amp; Terrill. (2007) Police Education, experience, and the use of Force. </w:t>
      </w:r>
      <w:r w:rsidRPr="00D41791">
        <w:rPr>
          <w:rFonts w:ascii="Arial" w:hAnsi="Arial" w:cs="Arial"/>
          <w:i/>
          <w:sz w:val="24"/>
          <w:szCs w:val="24"/>
        </w:rPr>
        <w:t>Criminal Justice Behaviour, 34</w:t>
      </w:r>
      <w:r w:rsidRPr="00D41791">
        <w:rPr>
          <w:rFonts w:ascii="Arial" w:hAnsi="Arial" w:cs="Arial"/>
          <w:sz w:val="24"/>
          <w:szCs w:val="24"/>
        </w:rPr>
        <w:t>(2), 179-196.</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Pepper, I. Rogers, C., Martin. H. (2020).  Evidenced based policing: a view on its development within the police service.  </w:t>
      </w:r>
      <w:r w:rsidRPr="00D41791">
        <w:rPr>
          <w:rFonts w:ascii="Arial" w:hAnsi="Arial" w:cs="Arial"/>
          <w:i/>
          <w:sz w:val="24"/>
          <w:szCs w:val="24"/>
        </w:rPr>
        <w:t xml:space="preserve">Journal of work applied management. </w:t>
      </w:r>
      <w:r w:rsidRPr="00D41791">
        <w:rPr>
          <w:rFonts w:ascii="Arial" w:hAnsi="Arial" w:cs="Arial"/>
          <w:sz w:val="24"/>
          <w:szCs w:val="24"/>
        </w:rPr>
        <w:t>12 (1).</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Peck, J. (2015). Minority Perceptions of the Police: </w:t>
      </w:r>
      <w:r w:rsidRPr="00D41791">
        <w:rPr>
          <w:rFonts w:ascii="Arial" w:hAnsi="Arial" w:cs="Arial"/>
          <w:i/>
          <w:sz w:val="24"/>
          <w:szCs w:val="24"/>
        </w:rPr>
        <w:t>A state of the Art Review.  Policing an International Journal of Police Strategies and Management</w:t>
      </w:r>
      <w:r w:rsidRPr="00D41791">
        <w:rPr>
          <w:rFonts w:ascii="Arial" w:hAnsi="Arial" w:cs="Arial"/>
          <w:sz w:val="24"/>
          <w:szCs w:val="24"/>
        </w:rPr>
        <w:t>, 38(1), 173-203.</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Public Health England (2019).  Collaborative Approaches to Preventing offending and re-offending by children.  Available at: </w:t>
      </w:r>
      <w:hyperlink r:id="rId30" w:history="1">
        <w:r w:rsidRPr="00D41791">
          <w:rPr>
            <w:rStyle w:val="Hyperlink"/>
            <w:rFonts w:ascii="Arial" w:hAnsi="Arial" w:cs="Arial"/>
            <w:sz w:val="24"/>
            <w:szCs w:val="24"/>
          </w:rPr>
          <w:t>https://www.gov.uk/government/publications/preventing-offending-and-re-offending-by-children/collaborative-appraoches-to-preventing-offending-and-re-offending-by-children-capricorn-summary</w:t>
        </w:r>
      </w:hyperlink>
      <w:r w:rsidRPr="00D41791">
        <w:rPr>
          <w:rFonts w:ascii="Arial" w:hAnsi="Arial" w:cs="Arial"/>
          <w:sz w:val="24"/>
          <w:szCs w:val="24"/>
        </w:rPr>
        <w:t xml:space="preserve"> (Accessed on 04.05.2022)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Roycroft, M and Roach. J. (Eds.) (2019). </w:t>
      </w:r>
      <w:r w:rsidRPr="00D41791">
        <w:rPr>
          <w:rFonts w:ascii="Arial" w:hAnsi="Arial" w:cs="Arial"/>
          <w:i/>
          <w:sz w:val="24"/>
          <w:szCs w:val="24"/>
        </w:rPr>
        <w:t>Decision making in Police Enquiries and critical incidents: What really works?</w:t>
      </w:r>
      <w:r w:rsidRPr="00D41791">
        <w:rPr>
          <w:rFonts w:ascii="Arial" w:hAnsi="Arial" w:cs="Arial"/>
          <w:sz w:val="24"/>
          <w:szCs w:val="24"/>
        </w:rPr>
        <w:t xml:space="preserve"> Palgrave Macmillan: London, UK </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Rydberg, J. and Terrill, W.  (2010). the effect of higher education on Police behaviour.  </w:t>
      </w:r>
      <w:r w:rsidRPr="00D41791">
        <w:rPr>
          <w:rFonts w:ascii="Arial" w:hAnsi="Arial" w:cs="Arial"/>
          <w:i/>
          <w:sz w:val="24"/>
          <w:szCs w:val="24"/>
        </w:rPr>
        <w:t xml:space="preserve">Police Quarterly, </w:t>
      </w:r>
      <w:r w:rsidRPr="00D41791">
        <w:rPr>
          <w:rFonts w:ascii="Arial" w:hAnsi="Arial" w:cs="Arial"/>
          <w:sz w:val="24"/>
          <w:szCs w:val="24"/>
        </w:rPr>
        <w:t>13(10), 92-120.</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Scottish Government. (2022). </w:t>
      </w:r>
      <w:r w:rsidRPr="00D41791">
        <w:rPr>
          <w:rFonts w:ascii="Arial" w:hAnsi="Arial" w:cs="Arial"/>
          <w:i/>
          <w:sz w:val="24"/>
          <w:szCs w:val="24"/>
        </w:rPr>
        <w:t>Multi-agency Public Protection Arrangements (MAPPA): National Guidance.</w:t>
      </w:r>
      <w:r w:rsidRPr="00D41791">
        <w:rPr>
          <w:rFonts w:ascii="Arial" w:hAnsi="Arial" w:cs="Arial"/>
          <w:sz w:val="24"/>
          <w:szCs w:val="24"/>
        </w:rPr>
        <w:t xml:space="preserve"> Available at: https://www.gov.scot/publications/scottish-government-multi-agency-public-protection-arrangements-mappa-national-guidance/pages/18/</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i/>
          <w:sz w:val="24"/>
          <w:szCs w:val="24"/>
        </w:rPr>
      </w:pPr>
      <w:r w:rsidRPr="00D41791">
        <w:rPr>
          <w:rFonts w:ascii="Arial" w:hAnsi="Arial" w:cs="Arial"/>
          <w:sz w:val="24"/>
          <w:szCs w:val="24"/>
        </w:rPr>
        <w:t xml:space="preserve">Shaw, M., &amp; Travers, K. (Ed.). (2007). Strategies and </w:t>
      </w:r>
      <w:r w:rsidRPr="00D41791">
        <w:rPr>
          <w:rFonts w:ascii="Arial" w:hAnsi="Arial" w:cs="Arial"/>
          <w:i/>
          <w:sz w:val="24"/>
          <w:szCs w:val="24"/>
        </w:rPr>
        <w:t xml:space="preserve">Best Practices in Crime Prevention in </w:t>
      </w:r>
    </w:p>
    <w:p w:rsidR="006D2D5D" w:rsidRPr="00D41791" w:rsidRDefault="006D2D5D" w:rsidP="006D2D5D">
      <w:pPr>
        <w:spacing w:line="360" w:lineRule="auto"/>
        <w:rPr>
          <w:rFonts w:ascii="Arial" w:hAnsi="Arial" w:cs="Arial"/>
          <w:i/>
          <w:sz w:val="24"/>
          <w:szCs w:val="24"/>
        </w:rPr>
      </w:pPr>
      <w:r w:rsidRPr="00D41791">
        <w:rPr>
          <w:rFonts w:ascii="Arial" w:hAnsi="Arial" w:cs="Arial"/>
          <w:i/>
          <w:sz w:val="24"/>
          <w:szCs w:val="24"/>
        </w:rPr>
        <w:t xml:space="preserve">Particular in relation to Urban Areas and Youth at Risk. International Centre for the </w:t>
      </w:r>
    </w:p>
    <w:p w:rsidR="006D2D5D" w:rsidRPr="00D41791" w:rsidRDefault="006D2D5D" w:rsidP="006D2D5D">
      <w:pPr>
        <w:spacing w:line="360" w:lineRule="auto"/>
        <w:rPr>
          <w:rFonts w:ascii="Arial" w:hAnsi="Arial" w:cs="Arial"/>
          <w:sz w:val="24"/>
          <w:szCs w:val="24"/>
        </w:rPr>
      </w:pPr>
      <w:r w:rsidRPr="00D41791">
        <w:rPr>
          <w:rFonts w:ascii="Arial" w:hAnsi="Arial" w:cs="Arial"/>
          <w:i/>
          <w:sz w:val="24"/>
          <w:szCs w:val="24"/>
        </w:rPr>
        <w:t>Prevention of Crime</w:t>
      </w:r>
      <w:r w:rsidRPr="00D41791">
        <w:rPr>
          <w:rFonts w:ascii="Arial" w:hAnsi="Arial" w:cs="Arial"/>
          <w:sz w:val="24"/>
          <w:szCs w:val="24"/>
        </w:rPr>
        <w:t>. Available at: http://www.crime-prevention-</w:t>
      </w: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intl.org/fileadmin/user_upload/Publications/Strategies_and_Best_Practices_in_Crime</w:t>
      </w: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_Prevention_urban_Areas_and_Youth_at_Risk_ANG.pdf  (Accessed on 05.05.2022)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Shernock,    S. K. (1992). The Effects of College Education on Professional Attitudes among Police.  </w:t>
      </w:r>
      <w:r w:rsidRPr="00D41791">
        <w:rPr>
          <w:rFonts w:ascii="Arial" w:hAnsi="Arial" w:cs="Arial"/>
          <w:i/>
          <w:sz w:val="24"/>
          <w:szCs w:val="24"/>
        </w:rPr>
        <w:t xml:space="preserve">Journal of Criminal Justice Education, </w:t>
      </w:r>
      <w:r w:rsidRPr="00D41791">
        <w:rPr>
          <w:rFonts w:ascii="Arial" w:hAnsi="Arial" w:cs="Arial"/>
          <w:sz w:val="24"/>
          <w:szCs w:val="24"/>
        </w:rPr>
        <w:t>3(1), 1-15</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Sherman, L. (1998). </w:t>
      </w:r>
      <w:r w:rsidRPr="00D41791">
        <w:rPr>
          <w:rFonts w:ascii="Arial" w:hAnsi="Arial" w:cs="Arial"/>
          <w:i/>
          <w:sz w:val="24"/>
          <w:szCs w:val="24"/>
        </w:rPr>
        <w:t xml:space="preserve">Evidences-based policing. Ideas in American Policing.  </w:t>
      </w:r>
      <w:r w:rsidRPr="00D41791">
        <w:rPr>
          <w:rFonts w:ascii="Arial" w:hAnsi="Arial" w:cs="Arial"/>
          <w:sz w:val="24"/>
          <w:szCs w:val="24"/>
        </w:rPr>
        <w:t>Washington, DC: Police Foundation.</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Sherman, L. W. (2013).  The Rise of Evidence-Based Policing: Targeting, Testing and Tracking.  </w:t>
      </w:r>
      <w:r w:rsidRPr="00D41791">
        <w:rPr>
          <w:rFonts w:ascii="Arial" w:hAnsi="Arial" w:cs="Arial"/>
          <w:i/>
          <w:sz w:val="24"/>
          <w:szCs w:val="24"/>
        </w:rPr>
        <w:t>Crime and Justice in America</w:t>
      </w:r>
      <w:r w:rsidRPr="00D41791">
        <w:rPr>
          <w:rFonts w:ascii="Arial" w:hAnsi="Arial" w:cs="Arial"/>
          <w:sz w:val="24"/>
          <w:szCs w:val="24"/>
        </w:rPr>
        <w:t>. 42(1).</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Siegfried, M. (1989). Notes on the professionalization of private security. </w:t>
      </w:r>
      <w:r w:rsidRPr="00D41791">
        <w:rPr>
          <w:rFonts w:ascii="Arial" w:hAnsi="Arial" w:cs="Arial"/>
          <w:i/>
          <w:sz w:val="24"/>
          <w:szCs w:val="24"/>
        </w:rPr>
        <w:t>Justice Professiona</w:t>
      </w:r>
      <w:r w:rsidRPr="00D41791">
        <w:rPr>
          <w:rFonts w:ascii="Arial" w:hAnsi="Arial" w:cs="Arial"/>
          <w:sz w:val="24"/>
          <w:szCs w:val="24"/>
        </w:rPr>
        <w:t>l. (4)1.</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Suffolk Constabulary (2022).  </w:t>
      </w:r>
      <w:r w:rsidRPr="00D41791">
        <w:rPr>
          <w:rFonts w:ascii="Arial" w:hAnsi="Arial" w:cs="Arial"/>
          <w:i/>
          <w:sz w:val="24"/>
          <w:szCs w:val="24"/>
        </w:rPr>
        <w:t xml:space="preserve">Public Protection Department.  </w:t>
      </w:r>
      <w:r w:rsidRPr="00D41791">
        <w:rPr>
          <w:rFonts w:ascii="Arial" w:hAnsi="Arial" w:cs="Arial"/>
          <w:sz w:val="24"/>
          <w:szCs w:val="24"/>
        </w:rPr>
        <w:t xml:space="preserve">Available at: </w:t>
      </w:r>
      <w:hyperlink r:id="rId31" w:history="1">
        <w:r w:rsidRPr="00D41791">
          <w:rPr>
            <w:rStyle w:val="Hyperlink"/>
            <w:rFonts w:ascii="Arial" w:hAnsi="Arial" w:cs="Arial"/>
            <w:sz w:val="24"/>
            <w:szCs w:val="24"/>
          </w:rPr>
          <w:t>https://suffolk.police.uk/about-us/our-organisation/our-departments/public-protection-department</w:t>
        </w:r>
      </w:hyperlink>
      <w:r w:rsidRPr="00D41791">
        <w:rPr>
          <w:rFonts w:ascii="Arial" w:hAnsi="Arial" w:cs="Arial"/>
          <w:sz w:val="24"/>
          <w:szCs w:val="24"/>
        </w:rPr>
        <w:t xml:space="preserve">  (Accessed on 05.05.2022)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Sunahara, D. (2004). A Model of unethical and unprofessional police behaviour.  </w:t>
      </w:r>
      <w:r w:rsidRPr="00D41791">
        <w:rPr>
          <w:rFonts w:ascii="Arial" w:hAnsi="Arial" w:cs="Arial"/>
          <w:i/>
          <w:sz w:val="24"/>
          <w:szCs w:val="24"/>
        </w:rPr>
        <w:t>The Canadian review of Policing Research</w:t>
      </w:r>
      <w:r w:rsidRPr="00D41791">
        <w:rPr>
          <w:rFonts w:ascii="Arial" w:hAnsi="Arial" w:cs="Arial"/>
          <w:sz w:val="24"/>
          <w:szCs w:val="24"/>
        </w:rPr>
        <w:t>. 1</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iCs/>
          <w:color w:val="404040" w:themeColor="text1" w:themeTint="BF"/>
          <w:sz w:val="24"/>
          <w:szCs w:val="24"/>
        </w:rPr>
      </w:pPr>
      <w:r w:rsidRPr="00D41791">
        <w:rPr>
          <w:rStyle w:val="SubtleEmphasis"/>
          <w:rFonts w:ascii="Arial" w:hAnsi="Arial" w:cs="Arial"/>
          <w:sz w:val="24"/>
          <w:szCs w:val="24"/>
        </w:rPr>
        <w:t xml:space="preserve">United Nations Office on Drugs and Crime (2011).  Criminal Intelligence Manual for Analysts. Available at: </w:t>
      </w:r>
      <w:hyperlink r:id="rId32" w:history="1">
        <w:r w:rsidRPr="00D41791">
          <w:rPr>
            <w:rStyle w:val="Hyperlink"/>
            <w:rFonts w:ascii="Arial" w:hAnsi="Arial" w:cs="Arial"/>
            <w:sz w:val="24"/>
            <w:szCs w:val="24"/>
          </w:rPr>
          <w:t>https://www.unodc.org/document/organized-crime/Law-Enforcement/Criminal-Intelligence-for-Analysts.pdf</w:t>
        </w:r>
      </w:hyperlink>
      <w:r w:rsidRPr="00D41791">
        <w:rPr>
          <w:rStyle w:val="SubtleEmphasis"/>
          <w:rFonts w:ascii="Arial" w:hAnsi="Arial" w:cs="Arial"/>
          <w:sz w:val="24"/>
          <w:szCs w:val="24"/>
        </w:rPr>
        <w:t xml:space="preserve">  (Accessed on 28.02.2022)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Valencia, L. (2009).  A Guide for Mentoring Programs in Police Departments. </w:t>
      </w:r>
      <w:r w:rsidRPr="00D41791">
        <w:rPr>
          <w:rFonts w:ascii="Arial" w:hAnsi="Arial" w:cs="Arial"/>
          <w:i/>
          <w:sz w:val="24"/>
          <w:szCs w:val="24"/>
        </w:rPr>
        <w:t xml:space="preserve">All Regis University Theses, </w:t>
      </w:r>
      <w:r w:rsidRPr="00D41791">
        <w:rPr>
          <w:rFonts w:ascii="Arial" w:hAnsi="Arial" w:cs="Arial"/>
          <w:sz w:val="24"/>
          <w:szCs w:val="24"/>
        </w:rPr>
        <w:t>120.</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West Yorkshire Police (2022). 10 Principles of Crime Prevention.  Available at: </w:t>
      </w:r>
      <w:hyperlink r:id="rId33" w:history="1">
        <w:r w:rsidRPr="00D41791">
          <w:rPr>
            <w:rStyle w:val="Hyperlink"/>
            <w:rFonts w:ascii="Arial" w:hAnsi="Arial" w:cs="Arial"/>
            <w:sz w:val="24"/>
            <w:szCs w:val="24"/>
          </w:rPr>
          <w:t>https://www.westyorksire.police.uk/advice/10-principles-crime-prevention</w:t>
        </w:r>
      </w:hyperlink>
      <w:r w:rsidRPr="00D41791">
        <w:rPr>
          <w:rFonts w:ascii="Arial" w:hAnsi="Arial" w:cs="Arial"/>
          <w:sz w:val="24"/>
          <w:szCs w:val="24"/>
        </w:rPr>
        <w:t xml:space="preserve">  (Accessed on 03.05.2022)</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r w:rsidRPr="00D41791">
        <w:rPr>
          <w:rFonts w:ascii="Arial" w:hAnsi="Arial" w:cs="Arial"/>
          <w:sz w:val="24"/>
          <w:szCs w:val="24"/>
        </w:rPr>
        <w:t xml:space="preserve">White, D. and Heslop, R. (2012).  Education, Legitimising or Accessorising? Alternative Conceptions of Professional Training in UK Higher Education: A Comparative study of teacher, nurse and police officer educators. </w:t>
      </w:r>
      <w:r w:rsidRPr="00D41791">
        <w:rPr>
          <w:rFonts w:ascii="Arial" w:hAnsi="Arial" w:cs="Arial"/>
          <w:i/>
          <w:sz w:val="24"/>
          <w:szCs w:val="24"/>
        </w:rPr>
        <w:t xml:space="preserve">Police Practice and Research, </w:t>
      </w:r>
      <w:r w:rsidRPr="00D41791">
        <w:rPr>
          <w:rFonts w:ascii="Arial" w:hAnsi="Arial" w:cs="Arial"/>
          <w:sz w:val="24"/>
          <w:szCs w:val="24"/>
        </w:rPr>
        <w:t>13(4), 1-15</w:t>
      </w: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Style w:val="SubtleEmphasis"/>
          <w:rFonts w:ascii="Arial" w:hAnsi="Arial" w:cs="Arial"/>
          <w:i w:val="0"/>
          <w:sz w:val="24"/>
          <w:szCs w:val="24"/>
        </w:rPr>
      </w:pPr>
    </w:p>
    <w:p w:rsidR="006D2D5D" w:rsidRPr="00D41791" w:rsidRDefault="006D2D5D" w:rsidP="006D2D5D">
      <w:pPr>
        <w:spacing w:line="360" w:lineRule="auto"/>
        <w:rPr>
          <w:rStyle w:val="SubtleEmphasis"/>
          <w:rFonts w:ascii="Arial" w:hAnsi="Arial" w:cs="Arial"/>
          <w:i w:val="0"/>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sz w:val="24"/>
          <w:szCs w:val="24"/>
        </w:rPr>
      </w:pPr>
    </w:p>
    <w:p w:rsidR="006D2D5D" w:rsidRPr="00D41791" w:rsidRDefault="006D2D5D" w:rsidP="006D2D5D">
      <w:pPr>
        <w:spacing w:line="360" w:lineRule="auto"/>
        <w:rPr>
          <w:rFonts w:ascii="Arial" w:hAnsi="Arial" w:cs="Arial"/>
          <w:b/>
          <w:sz w:val="24"/>
          <w:szCs w:val="24"/>
          <w:u w:val="single"/>
        </w:rPr>
      </w:pPr>
    </w:p>
    <w:p w:rsidR="006D2D5D" w:rsidRPr="00B977FE" w:rsidRDefault="006D2D5D" w:rsidP="00B977FE">
      <w:pPr>
        <w:spacing w:line="360" w:lineRule="auto"/>
        <w:rPr>
          <w:rFonts w:ascii="Arial" w:hAnsi="Arial" w:cs="Arial"/>
          <w:b/>
          <w:sz w:val="24"/>
          <w:szCs w:val="24"/>
        </w:rPr>
      </w:pPr>
    </w:p>
    <w:p w:rsidR="00B977FE" w:rsidRPr="00B977FE" w:rsidRDefault="00B977FE" w:rsidP="00B977FE">
      <w:pPr>
        <w:spacing w:line="360" w:lineRule="auto"/>
        <w:rPr>
          <w:rFonts w:ascii="Arial" w:hAnsi="Arial" w:cs="Arial"/>
          <w:b/>
          <w:sz w:val="24"/>
          <w:szCs w:val="24"/>
          <w:u w:val="single"/>
        </w:rPr>
      </w:pPr>
    </w:p>
    <w:p w:rsidR="0016519A" w:rsidRPr="00B977FE" w:rsidRDefault="0016519A" w:rsidP="00B977FE">
      <w:pPr>
        <w:spacing w:line="360" w:lineRule="auto"/>
        <w:rPr>
          <w:rFonts w:ascii="Arial" w:hAnsi="Arial" w:cs="Arial"/>
          <w:sz w:val="24"/>
          <w:szCs w:val="24"/>
        </w:rPr>
      </w:pPr>
    </w:p>
    <w:sectPr w:rsidR="0016519A" w:rsidRPr="00B977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84F4B" w:rsidRDefault="00084F4B" w:rsidP="003F17EB">
      <w:r>
        <w:separator/>
      </w:r>
    </w:p>
  </w:endnote>
  <w:endnote w:type="continuationSeparator" w:id="0">
    <w:p w:rsidR="00084F4B" w:rsidRDefault="00084F4B" w:rsidP="003F17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84F4B" w:rsidRDefault="00084F4B" w:rsidP="003F17EB">
      <w:r>
        <w:separator/>
      </w:r>
    </w:p>
  </w:footnote>
  <w:footnote w:type="continuationSeparator" w:id="0">
    <w:p w:rsidR="00084F4B" w:rsidRDefault="00084F4B" w:rsidP="003F17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8A1D65"/>
    <w:multiLevelType w:val="hybridMultilevel"/>
    <w:tmpl w:val="CD7C9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19596D"/>
    <w:multiLevelType w:val="hybridMultilevel"/>
    <w:tmpl w:val="01CA1D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3" w15:restartNumberingAfterBreak="0">
    <w:nsid w:val="34D875CE"/>
    <w:multiLevelType w:val="hybridMultilevel"/>
    <w:tmpl w:val="04F8F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9A04FD"/>
    <w:multiLevelType w:val="hybridMultilevel"/>
    <w:tmpl w:val="F70AF8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7FA31C7"/>
    <w:multiLevelType w:val="hybridMultilevel"/>
    <w:tmpl w:val="B3EE4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519A"/>
    <w:rsid w:val="00084F4B"/>
    <w:rsid w:val="000E00F2"/>
    <w:rsid w:val="0016519A"/>
    <w:rsid w:val="003F17EB"/>
    <w:rsid w:val="004D6AD6"/>
    <w:rsid w:val="005918E7"/>
    <w:rsid w:val="006D2D5D"/>
    <w:rsid w:val="00AF7152"/>
    <w:rsid w:val="00B977FE"/>
    <w:rsid w:val="00CD4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D04124"/>
  <w15:chartTrackingRefBased/>
  <w15:docId w15:val="{E131C2BF-6043-467E-B1EF-29A0500890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77F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D2D5D"/>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77FE"/>
    <w:rPr>
      <w:color w:val="0000FF"/>
      <w:u w:val="single"/>
    </w:rPr>
  </w:style>
  <w:style w:type="character" w:styleId="Emphasis">
    <w:name w:val="Emphasis"/>
    <w:basedOn w:val="DefaultParagraphFont"/>
    <w:uiPriority w:val="20"/>
    <w:qFormat/>
    <w:rsid w:val="00B977FE"/>
    <w:rPr>
      <w:i/>
      <w:iCs/>
    </w:rPr>
  </w:style>
  <w:style w:type="paragraph" w:customStyle="1" w:styleId="chapter-para">
    <w:name w:val="chapter-para"/>
    <w:basedOn w:val="Normal"/>
    <w:rsid w:val="00B977FE"/>
    <w:pPr>
      <w:spacing w:before="100" w:beforeAutospacing="1" w:after="100" w:afterAutospacing="1"/>
    </w:pPr>
    <w:rPr>
      <w:sz w:val="24"/>
      <w:szCs w:val="24"/>
    </w:rPr>
  </w:style>
  <w:style w:type="paragraph" w:styleId="ListParagraph">
    <w:name w:val="List Paragraph"/>
    <w:basedOn w:val="Normal"/>
    <w:uiPriority w:val="34"/>
    <w:qFormat/>
    <w:rsid w:val="00B977FE"/>
    <w:pPr>
      <w:spacing w:after="160" w:line="259" w:lineRule="auto"/>
      <w:ind w:left="720"/>
      <w:contextualSpacing/>
    </w:pPr>
    <w:rPr>
      <w:rFonts w:asciiTheme="minorHAnsi" w:eastAsiaTheme="minorHAnsi" w:hAnsiTheme="minorHAnsi" w:cstheme="minorBidi"/>
      <w:sz w:val="22"/>
      <w:szCs w:val="22"/>
      <w:lang w:eastAsia="en-US"/>
    </w:rPr>
  </w:style>
  <w:style w:type="character" w:styleId="SubtleEmphasis">
    <w:name w:val="Subtle Emphasis"/>
    <w:basedOn w:val="DefaultParagraphFont"/>
    <w:uiPriority w:val="19"/>
    <w:qFormat/>
    <w:rsid w:val="00B977FE"/>
    <w:rPr>
      <w:i/>
      <w:iCs/>
      <w:color w:val="404040" w:themeColor="text1" w:themeTint="BF"/>
    </w:rPr>
  </w:style>
  <w:style w:type="paragraph" w:styleId="NormalWeb">
    <w:name w:val="Normal (Web)"/>
    <w:basedOn w:val="Normal"/>
    <w:uiPriority w:val="99"/>
    <w:unhideWhenUsed/>
    <w:rsid w:val="00B977FE"/>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6D2D5D"/>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gresearch.co.uk//wp-content/uploads/2019/01/1578-HMICFRS-Public-Perceptions-of-Policing-2018_Final.pdf" TargetMode="External"/><Relationship Id="rId13" Type="http://schemas.openxmlformats.org/officeDocument/2006/relationships/hyperlink" Target="https://www.whatworks.college.police.uk/Research/Research-map/Pages?ResearchProject.aspx?projectid=837" TargetMode="External"/><Relationship Id="rId18" Type="http://schemas.openxmlformats.org/officeDocument/2006/relationships/hyperlink" Target="https://www.college.police.uk/guidance/conflict-management/learning-lessons" TargetMode="External"/><Relationship Id="rId26" Type="http://schemas.openxmlformats.org/officeDocument/2006/relationships/hyperlink" Target="https://assets.publishing.service.co.uk/government/uploads/system/uploads/attachment_data/file/407139/reoffending-analysis-0f-MAPPA-eligable-offebders.pdf"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ement_data/file/752850/SOC-2018-web.pdf" TargetMode="External"/><Relationship Id="rId34" Type="http://schemas.openxmlformats.org/officeDocument/2006/relationships/fontTable" Target="fontTable.xml"/><Relationship Id="rId7" Type="http://schemas.openxmlformats.org/officeDocument/2006/relationships/hyperlink" Target="javascript:;" TargetMode="External"/><Relationship Id="rId12" Type="http://schemas.openxmlformats.org/officeDocument/2006/relationships/hyperlink" Target="https://whatworks.colloge.police.uk/Research/Documents/PCDA_evaluation.pdf" TargetMode="External"/><Relationship Id="rId17" Type="http://schemas.openxmlformats.org/officeDocument/2006/relationships/hyperlink" Target="https://www.college.police.uk/research/evidence-based-policing-EBP" TargetMode="External"/><Relationship Id="rId25" Type="http://schemas.openxmlformats.org/officeDocument/2006/relationships/hyperlink" Target="https://journals.sagepub.com/doi/abs/10.1177/1360780417724062" TargetMode="External"/><Relationship Id="rId33" Type="http://schemas.openxmlformats.org/officeDocument/2006/relationships/hyperlink" Target="https://www.westyorksire.police.uk/advice/10-principles-crime-prevention" TargetMode="External"/><Relationship Id="rId2" Type="http://schemas.openxmlformats.org/officeDocument/2006/relationships/styles" Target="styles.xml"/><Relationship Id="rId16" Type="http://schemas.openxmlformats.org/officeDocument/2006/relationships/hyperlink" Target="https://www.college.police.uk/ethics/code-of-ethics" TargetMode="External"/><Relationship Id="rId20" Type="http://schemas.openxmlformats.org/officeDocument/2006/relationships/hyperlink" Target="https://counsellingoutfitters.com/vista/install/article_19.pdf" TargetMode="External"/><Relationship Id="rId29" Type="http://schemas.openxmlformats.org/officeDocument/2006/relationships/hyperlink" Target="https://www.9-11commission.gov/reports/911Report.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17wy4t6ps30xx.cloudfront.net/production/uploads/2020/08/A-career-pathway-in-response-policing.pdf" TargetMode="External"/><Relationship Id="rId24" Type="http://schemas.openxmlformats.org/officeDocument/2006/relationships/hyperlink" Target="https://www.jesip.org.uk/early-stages-methane" TargetMode="External"/><Relationship Id="rId32" Type="http://schemas.openxmlformats.org/officeDocument/2006/relationships/hyperlink" Target="https://www.unodc.org/document/organized-crime/Law-Enforcement/Criminal-Intelligence-for-Analysts.pdf" TargetMode="External"/><Relationship Id="rId5" Type="http://schemas.openxmlformats.org/officeDocument/2006/relationships/footnotes" Target="footnotes.xml"/><Relationship Id="rId15" Type="http://schemas.openxmlformats.org/officeDocument/2006/relationships/hyperlink" Target="https://www.college.police.uk/research/what-works-policing-reduce-crime" TargetMode="External"/><Relationship Id="rId23" Type="http://schemas.openxmlformats.org/officeDocument/2006/relationships/hyperlink" Target="https://www.howardleague.org/up-context/uploads/2016/us/U-R-Boss-MAPPA-Leaflet.pdf" TargetMode="External"/><Relationship Id="rId28" Type="http://schemas.openxmlformats.org/officeDocument/2006/relationships/hyperlink" Target="https://www.na.org.uk/wp-content/uploads/2019/03/Tackling-serious-and-organised-crime-summary.pdf" TargetMode="External"/><Relationship Id="rId10" Type="http://schemas.openxmlformats.org/officeDocument/2006/relationships/hyperlink" Target="https://www.app.college-police.uk/app-content/national-decision-model/" TargetMode="External"/><Relationship Id="rId19" Type="http://schemas.openxmlformats.org/officeDocument/2006/relationships/hyperlink" Target="https://www.walesonline.co.uk/news/wales-news/police-officer-obsession-tesco-worker-23248392" TargetMode="External"/><Relationship Id="rId31" Type="http://schemas.openxmlformats.org/officeDocument/2006/relationships/hyperlink" Target="https://suffolk.police.uk/about-us/our-organisation/our-departments/public-protection-department" TargetMode="External"/><Relationship Id="rId4" Type="http://schemas.openxmlformats.org/officeDocument/2006/relationships/webSettings" Target="webSettings.xml"/><Relationship Id="rId9" Type="http://schemas.openxmlformats.org/officeDocument/2006/relationships/hyperlink" Target="https://www,cheshire.police.uk/police-forces/cheshire-constabulary/areas/cheshire/about-us/about-us/public-protection" TargetMode="External"/><Relationship Id="rId14" Type="http://schemas.openxmlformats.org/officeDocument/2006/relationships/hyperlink" Target="https://www.college.police.uk/research/what-works-policing-reduce-crime" TargetMode="External"/><Relationship Id="rId22" Type="http://schemas.openxmlformats.org/officeDocument/2006/relationships/hyperlink" Target="https://www.justiceinspectorates.gov.uk/cjji/wp-content/uploads/sites/2/2015/10/MAPPA-follow-up-thematic-report.pdf" TargetMode="External"/><Relationship Id="rId27" Type="http://schemas.openxmlformats.org/officeDocument/2006/relationships/hyperlink" Target="https://www.gloucestershire.police.uk/SysSiteAssets/foi-media/gloucestershire/policies/mentoring-and-coaching-policy" TargetMode="External"/><Relationship Id="rId30" Type="http://schemas.openxmlformats.org/officeDocument/2006/relationships/hyperlink" Target="https://www.gov.uk/government/publications/preventing-offending-and-re-offending-by-children/collaborative-appraoches-to-preventing-offending-and-re-offending-by-children-capricorn-summar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26</Pages>
  <Words>7322</Words>
  <Characters>41741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48966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Hayley</dc:creator>
  <cp:keywords/>
  <dc:description/>
  <cp:lastModifiedBy>James, Hayley</cp:lastModifiedBy>
  <cp:revision>4</cp:revision>
  <dcterms:created xsi:type="dcterms:W3CDTF">2022-05-26T08:09:00Z</dcterms:created>
  <dcterms:modified xsi:type="dcterms:W3CDTF">2022-05-26T15:58:00Z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2022-05-26T08:09:25Z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48e9617d-9515-4839-ae43-61ae6845340b</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