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1647460"/>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AAEC6C6" w14:textId="6EA34D87" w:rsidR="000566F1" w:rsidRDefault="000566F1">
          <w:pPr>
            <w:pStyle w:val="TOCHeading"/>
          </w:pPr>
          <w:r>
            <w:t>Contents</w:t>
          </w:r>
        </w:p>
        <w:p w14:paraId="2D1A380D" w14:textId="2F397CF6" w:rsidR="00DA2189" w:rsidRDefault="000566F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995785" w:history="1">
            <w:r w:rsidR="00DA2189" w:rsidRPr="006D62B7">
              <w:rPr>
                <w:rStyle w:val="Hyperlink"/>
                <w:noProof/>
              </w:rPr>
              <w:t>Financial Ratios</w:t>
            </w:r>
            <w:r w:rsidR="00DA2189">
              <w:rPr>
                <w:noProof/>
                <w:webHidden/>
              </w:rPr>
              <w:tab/>
            </w:r>
            <w:r w:rsidR="00DA2189">
              <w:rPr>
                <w:noProof/>
                <w:webHidden/>
              </w:rPr>
              <w:fldChar w:fldCharType="begin"/>
            </w:r>
            <w:r w:rsidR="00DA2189">
              <w:rPr>
                <w:noProof/>
                <w:webHidden/>
              </w:rPr>
              <w:instrText xml:space="preserve"> PAGEREF _Toc162995785 \h </w:instrText>
            </w:r>
            <w:r w:rsidR="00DA2189">
              <w:rPr>
                <w:noProof/>
                <w:webHidden/>
              </w:rPr>
            </w:r>
            <w:r w:rsidR="00DA2189">
              <w:rPr>
                <w:noProof/>
                <w:webHidden/>
              </w:rPr>
              <w:fldChar w:fldCharType="separate"/>
            </w:r>
            <w:r w:rsidR="00DA2189">
              <w:rPr>
                <w:noProof/>
                <w:webHidden/>
              </w:rPr>
              <w:t>2</w:t>
            </w:r>
            <w:r w:rsidR="00DA2189">
              <w:rPr>
                <w:noProof/>
                <w:webHidden/>
              </w:rPr>
              <w:fldChar w:fldCharType="end"/>
            </w:r>
          </w:hyperlink>
        </w:p>
        <w:p w14:paraId="61E52875" w14:textId="2E83BCF5" w:rsidR="00DA2189" w:rsidRDefault="00DA2189">
          <w:pPr>
            <w:pStyle w:val="TOC1"/>
            <w:tabs>
              <w:tab w:val="right" w:leader="dot" w:pos="9016"/>
            </w:tabs>
            <w:rPr>
              <w:rFonts w:eastAsiaTheme="minorEastAsia"/>
              <w:noProof/>
              <w:sz w:val="24"/>
              <w:szCs w:val="24"/>
              <w:lang w:eastAsia="en-GB"/>
            </w:rPr>
          </w:pPr>
          <w:hyperlink w:anchor="_Toc162995786" w:history="1">
            <w:r w:rsidRPr="006D62B7">
              <w:rPr>
                <w:rStyle w:val="Hyperlink"/>
                <w:noProof/>
              </w:rPr>
              <w:t>Liquidity Ratio</w:t>
            </w:r>
            <w:r>
              <w:rPr>
                <w:noProof/>
                <w:webHidden/>
              </w:rPr>
              <w:tab/>
            </w:r>
            <w:r>
              <w:rPr>
                <w:noProof/>
                <w:webHidden/>
              </w:rPr>
              <w:fldChar w:fldCharType="begin"/>
            </w:r>
            <w:r>
              <w:rPr>
                <w:noProof/>
                <w:webHidden/>
              </w:rPr>
              <w:instrText xml:space="preserve"> PAGEREF _Toc162995786 \h </w:instrText>
            </w:r>
            <w:r>
              <w:rPr>
                <w:noProof/>
                <w:webHidden/>
              </w:rPr>
            </w:r>
            <w:r>
              <w:rPr>
                <w:noProof/>
                <w:webHidden/>
              </w:rPr>
              <w:fldChar w:fldCharType="separate"/>
            </w:r>
            <w:r>
              <w:rPr>
                <w:noProof/>
                <w:webHidden/>
              </w:rPr>
              <w:t>2</w:t>
            </w:r>
            <w:r>
              <w:rPr>
                <w:noProof/>
                <w:webHidden/>
              </w:rPr>
              <w:fldChar w:fldCharType="end"/>
            </w:r>
          </w:hyperlink>
        </w:p>
        <w:p w14:paraId="2F4DF343" w14:textId="3AE841C3" w:rsidR="00DA2189" w:rsidRDefault="00DA2189">
          <w:pPr>
            <w:pStyle w:val="TOC1"/>
            <w:tabs>
              <w:tab w:val="right" w:leader="dot" w:pos="9016"/>
            </w:tabs>
            <w:rPr>
              <w:rFonts w:eastAsiaTheme="minorEastAsia"/>
              <w:noProof/>
              <w:sz w:val="24"/>
              <w:szCs w:val="24"/>
              <w:lang w:eastAsia="en-GB"/>
            </w:rPr>
          </w:pPr>
          <w:hyperlink w:anchor="_Toc162995787" w:history="1">
            <w:r w:rsidRPr="006D62B7">
              <w:rPr>
                <w:rStyle w:val="Hyperlink"/>
                <w:noProof/>
              </w:rPr>
              <w:t>Leverage Ratio</w:t>
            </w:r>
            <w:r>
              <w:rPr>
                <w:noProof/>
                <w:webHidden/>
              </w:rPr>
              <w:tab/>
            </w:r>
            <w:r>
              <w:rPr>
                <w:noProof/>
                <w:webHidden/>
              </w:rPr>
              <w:fldChar w:fldCharType="begin"/>
            </w:r>
            <w:r>
              <w:rPr>
                <w:noProof/>
                <w:webHidden/>
              </w:rPr>
              <w:instrText xml:space="preserve"> PAGEREF _Toc162995787 \h </w:instrText>
            </w:r>
            <w:r>
              <w:rPr>
                <w:noProof/>
                <w:webHidden/>
              </w:rPr>
            </w:r>
            <w:r>
              <w:rPr>
                <w:noProof/>
                <w:webHidden/>
              </w:rPr>
              <w:fldChar w:fldCharType="separate"/>
            </w:r>
            <w:r>
              <w:rPr>
                <w:noProof/>
                <w:webHidden/>
              </w:rPr>
              <w:t>2</w:t>
            </w:r>
            <w:r>
              <w:rPr>
                <w:noProof/>
                <w:webHidden/>
              </w:rPr>
              <w:fldChar w:fldCharType="end"/>
            </w:r>
          </w:hyperlink>
        </w:p>
        <w:p w14:paraId="5C7A1440" w14:textId="7116D213" w:rsidR="00DA2189" w:rsidRDefault="00DA2189">
          <w:pPr>
            <w:pStyle w:val="TOC1"/>
            <w:tabs>
              <w:tab w:val="right" w:leader="dot" w:pos="9016"/>
            </w:tabs>
            <w:rPr>
              <w:rFonts w:eastAsiaTheme="minorEastAsia"/>
              <w:noProof/>
              <w:sz w:val="24"/>
              <w:szCs w:val="24"/>
              <w:lang w:eastAsia="en-GB"/>
            </w:rPr>
          </w:pPr>
          <w:hyperlink w:anchor="_Toc162995788" w:history="1">
            <w:r w:rsidRPr="006D62B7">
              <w:rPr>
                <w:rStyle w:val="Hyperlink"/>
                <w:noProof/>
              </w:rPr>
              <w:t>Financial figures of Amazon</w:t>
            </w:r>
            <w:r>
              <w:rPr>
                <w:noProof/>
                <w:webHidden/>
              </w:rPr>
              <w:tab/>
            </w:r>
            <w:r>
              <w:rPr>
                <w:noProof/>
                <w:webHidden/>
              </w:rPr>
              <w:fldChar w:fldCharType="begin"/>
            </w:r>
            <w:r>
              <w:rPr>
                <w:noProof/>
                <w:webHidden/>
              </w:rPr>
              <w:instrText xml:space="preserve"> PAGEREF _Toc162995788 \h </w:instrText>
            </w:r>
            <w:r>
              <w:rPr>
                <w:noProof/>
                <w:webHidden/>
              </w:rPr>
            </w:r>
            <w:r>
              <w:rPr>
                <w:noProof/>
                <w:webHidden/>
              </w:rPr>
              <w:fldChar w:fldCharType="separate"/>
            </w:r>
            <w:r>
              <w:rPr>
                <w:noProof/>
                <w:webHidden/>
              </w:rPr>
              <w:t>3</w:t>
            </w:r>
            <w:r>
              <w:rPr>
                <w:noProof/>
                <w:webHidden/>
              </w:rPr>
              <w:fldChar w:fldCharType="end"/>
            </w:r>
          </w:hyperlink>
        </w:p>
        <w:p w14:paraId="5267BCF5" w14:textId="3D81859F" w:rsidR="00DA2189" w:rsidRDefault="00DA2189">
          <w:pPr>
            <w:pStyle w:val="TOC1"/>
            <w:tabs>
              <w:tab w:val="right" w:leader="dot" w:pos="9016"/>
            </w:tabs>
            <w:rPr>
              <w:rFonts w:eastAsiaTheme="minorEastAsia"/>
              <w:noProof/>
              <w:sz w:val="24"/>
              <w:szCs w:val="24"/>
              <w:lang w:eastAsia="en-GB"/>
            </w:rPr>
          </w:pPr>
          <w:hyperlink w:anchor="_Toc162995789" w:history="1">
            <w:r w:rsidRPr="006D62B7">
              <w:rPr>
                <w:rStyle w:val="Hyperlink"/>
                <w:noProof/>
              </w:rPr>
              <w:t>Financial figures of Walmart</w:t>
            </w:r>
            <w:r>
              <w:rPr>
                <w:noProof/>
                <w:webHidden/>
              </w:rPr>
              <w:tab/>
            </w:r>
            <w:r>
              <w:rPr>
                <w:noProof/>
                <w:webHidden/>
              </w:rPr>
              <w:fldChar w:fldCharType="begin"/>
            </w:r>
            <w:r>
              <w:rPr>
                <w:noProof/>
                <w:webHidden/>
              </w:rPr>
              <w:instrText xml:space="preserve"> PAGEREF _Toc162995789 \h </w:instrText>
            </w:r>
            <w:r>
              <w:rPr>
                <w:noProof/>
                <w:webHidden/>
              </w:rPr>
            </w:r>
            <w:r>
              <w:rPr>
                <w:noProof/>
                <w:webHidden/>
              </w:rPr>
              <w:fldChar w:fldCharType="separate"/>
            </w:r>
            <w:r>
              <w:rPr>
                <w:noProof/>
                <w:webHidden/>
              </w:rPr>
              <w:t>6</w:t>
            </w:r>
            <w:r>
              <w:rPr>
                <w:noProof/>
                <w:webHidden/>
              </w:rPr>
              <w:fldChar w:fldCharType="end"/>
            </w:r>
          </w:hyperlink>
        </w:p>
        <w:p w14:paraId="1E0C8D9F" w14:textId="70C8D772" w:rsidR="000566F1" w:rsidRDefault="000566F1">
          <w:r>
            <w:rPr>
              <w:b/>
              <w:bCs/>
            </w:rPr>
            <w:fldChar w:fldCharType="end"/>
          </w:r>
        </w:p>
      </w:sdtContent>
    </w:sdt>
    <w:p w14:paraId="51DBAEDF" w14:textId="0AF01178" w:rsidR="00154A80" w:rsidRDefault="00154A80" w:rsidP="001C744D">
      <w:pPr>
        <w:pStyle w:val="Title"/>
      </w:pPr>
    </w:p>
    <w:p w14:paraId="64FB883F" w14:textId="0E62D122" w:rsidR="00B168F7" w:rsidRDefault="00154A80">
      <w:pPr>
        <w:rPr>
          <w:rFonts w:asciiTheme="majorHAnsi" w:eastAsiaTheme="majorEastAsia" w:hAnsiTheme="majorHAnsi" w:cstheme="majorBidi"/>
          <w:spacing w:val="-10"/>
          <w:kern w:val="28"/>
          <w:sz w:val="56"/>
          <w:szCs w:val="56"/>
        </w:rPr>
      </w:pPr>
      <w:r>
        <w:br w:type="page"/>
      </w:r>
    </w:p>
    <w:p w14:paraId="4706C7E4" w14:textId="1041803D" w:rsidR="000566F1" w:rsidRPr="000566F1" w:rsidRDefault="000566F1" w:rsidP="00B328C9">
      <w:pPr>
        <w:jc w:val="both"/>
        <w:rPr>
          <w:rStyle w:val="Strong"/>
          <w:rFonts w:asciiTheme="majorHAnsi" w:eastAsiaTheme="majorEastAsia" w:hAnsiTheme="majorHAnsi" w:cstheme="majorBidi"/>
          <w:b w:val="0"/>
          <w:bCs w:val="0"/>
          <w:spacing w:val="-10"/>
          <w:kern w:val="28"/>
          <w:sz w:val="56"/>
          <w:szCs w:val="56"/>
        </w:rPr>
      </w:pPr>
      <w:r>
        <w:rPr>
          <w:rStyle w:val="Strong"/>
          <w:rFonts w:asciiTheme="majorHAnsi" w:eastAsiaTheme="majorEastAsia" w:hAnsiTheme="majorHAnsi" w:cstheme="majorBidi"/>
          <w:b w:val="0"/>
          <w:bCs w:val="0"/>
          <w:spacing w:val="-10"/>
          <w:kern w:val="28"/>
          <w:sz w:val="56"/>
          <w:szCs w:val="56"/>
        </w:rPr>
        <w:t>Part</w:t>
      </w:r>
      <w:r w:rsidR="00473C23">
        <w:rPr>
          <w:rStyle w:val="Strong"/>
          <w:rFonts w:asciiTheme="majorHAnsi" w:eastAsiaTheme="majorEastAsia" w:hAnsiTheme="majorHAnsi" w:cstheme="majorBidi"/>
          <w:b w:val="0"/>
          <w:bCs w:val="0"/>
          <w:spacing w:val="-10"/>
          <w:kern w:val="28"/>
          <w:sz w:val="56"/>
          <w:szCs w:val="56"/>
        </w:rPr>
        <w:t>- B</w:t>
      </w:r>
    </w:p>
    <w:p w14:paraId="3673D79F" w14:textId="1EDD8B30" w:rsidR="00B168F7" w:rsidRDefault="00B168F7" w:rsidP="00B328C9">
      <w:pPr>
        <w:pStyle w:val="Heading1"/>
        <w:jc w:val="both"/>
      </w:pPr>
      <w:bookmarkStart w:id="0" w:name="_Toc162995785"/>
      <w:r>
        <w:t>Financial Ratios</w:t>
      </w:r>
      <w:bookmarkEnd w:id="0"/>
    </w:p>
    <w:p w14:paraId="0BA519A7" w14:textId="77777777" w:rsidR="00E66F60" w:rsidRPr="00E66F60" w:rsidRDefault="00E66F60" w:rsidP="00B328C9">
      <w:pPr>
        <w:spacing w:after="0" w:line="240" w:lineRule="auto"/>
        <w:jc w:val="both"/>
        <w:rPr>
          <w:rFonts w:ascii="Times New Roman" w:eastAsia="Times New Roman" w:hAnsi="Times New Roman" w:cs="Times New Roman"/>
          <w:kern w:val="0"/>
          <w:sz w:val="24"/>
          <w:szCs w:val="24"/>
          <w:lang w:eastAsia="en-GB"/>
          <w14:ligatures w14:val="none"/>
        </w:rPr>
      </w:pPr>
      <w:r w:rsidRPr="00E66F60">
        <w:rPr>
          <w:rFonts w:ascii="Times New Roman" w:eastAsia="Times New Roman" w:hAnsi="Times New Roman" w:cs="Times New Roman"/>
          <w:kern w:val="0"/>
          <w:sz w:val="24"/>
          <w:szCs w:val="24"/>
          <w:lang w:eastAsia="en-GB"/>
          <w14:ligatures w14:val="none"/>
        </w:rPr>
        <w:t xml:space="preserve">A method of analysis for assessing a company's financial health and performance is a financial ratio. It offers perception into </w:t>
      </w:r>
      <w:proofErr w:type="gramStart"/>
      <w:r w:rsidRPr="00E66F60">
        <w:rPr>
          <w:rFonts w:ascii="Times New Roman" w:eastAsia="Times New Roman" w:hAnsi="Times New Roman" w:cs="Times New Roman"/>
          <w:kern w:val="0"/>
          <w:sz w:val="24"/>
          <w:szCs w:val="24"/>
          <w:lang w:eastAsia="en-GB"/>
          <w14:ligatures w14:val="none"/>
        </w:rPr>
        <w:t>a number of</w:t>
      </w:r>
      <w:proofErr w:type="gramEnd"/>
      <w:r w:rsidRPr="00E66F60">
        <w:rPr>
          <w:rFonts w:ascii="Times New Roman" w:eastAsia="Times New Roman" w:hAnsi="Times New Roman" w:cs="Times New Roman"/>
          <w:kern w:val="0"/>
          <w:sz w:val="24"/>
          <w:szCs w:val="24"/>
          <w:lang w:eastAsia="en-GB"/>
          <w14:ligatures w14:val="none"/>
        </w:rPr>
        <w:t xml:space="preserve"> operational facets of a business, including profitability, liquidity, efficiency, and solvency. Financial ratios are computed by dividing one financial statistic by another. They are frequently used to compare the cash flow, income, and balance sheets of a firm with one another. These ratios assist analysts, managers, and investors in evaluating a company's advantages and disadvantages, making defensible choices, and comparing results against rivals and industry standards.</w:t>
      </w:r>
    </w:p>
    <w:p w14:paraId="68D53705" w14:textId="77777777" w:rsidR="00B168F7" w:rsidRDefault="00B168F7" w:rsidP="00B328C9">
      <w:pPr>
        <w:jc w:val="both"/>
      </w:pPr>
    </w:p>
    <w:p w14:paraId="277F3CA5" w14:textId="492A0060" w:rsidR="00030F1C" w:rsidRDefault="00CD0A88" w:rsidP="00B328C9">
      <w:pPr>
        <w:pStyle w:val="Heading1"/>
        <w:jc w:val="both"/>
      </w:pPr>
      <w:bookmarkStart w:id="1" w:name="_Toc162995786"/>
      <w:r>
        <w:t>Liquidity Ratio</w:t>
      </w:r>
      <w:bookmarkEnd w:id="1"/>
      <w:r>
        <w:t xml:space="preserve"> </w:t>
      </w:r>
    </w:p>
    <w:p w14:paraId="6B67B47A" w14:textId="77777777" w:rsidR="004707F0" w:rsidRPr="004707F0" w:rsidRDefault="004707F0" w:rsidP="00B328C9">
      <w:pPr>
        <w:spacing w:after="0" w:line="240" w:lineRule="auto"/>
        <w:jc w:val="both"/>
        <w:rPr>
          <w:rFonts w:ascii="Times New Roman" w:eastAsia="Times New Roman" w:hAnsi="Times New Roman" w:cs="Times New Roman"/>
          <w:kern w:val="0"/>
          <w:sz w:val="24"/>
          <w:szCs w:val="24"/>
          <w:lang w:eastAsia="en-GB"/>
          <w14:ligatures w14:val="none"/>
        </w:rPr>
      </w:pPr>
      <w:r w:rsidRPr="004707F0">
        <w:rPr>
          <w:rFonts w:ascii="Times New Roman" w:eastAsia="Times New Roman" w:hAnsi="Times New Roman" w:cs="Times New Roman"/>
          <w:kern w:val="0"/>
          <w:sz w:val="24"/>
          <w:szCs w:val="24"/>
          <w:lang w:eastAsia="en-GB"/>
          <w14:ligatures w14:val="none"/>
        </w:rPr>
        <w:t>A company's liquidity ratio indicates how well it can use its liquid assets to settle its short-term debts and commitments. It shows the state of the company's finances and its capacity to deal with unforeseen costs or slowdowns in the economy. The fast ratio and the current ratio are examples of common liquidity ratios. While the quick ratio concentrates on the most liquid assets (such as cash and marketable securities) compared to current obligations, excluding inventories, the current ratio relates current assets to current liabilities. While lower ratios may point to possible financial trouble, higher ratios imply greater financial flexibility and a lesser danger of default.</w:t>
      </w:r>
    </w:p>
    <w:p w14:paraId="354723D3" w14:textId="77777777" w:rsidR="004707F0" w:rsidRDefault="004707F0" w:rsidP="00B328C9">
      <w:pPr>
        <w:jc w:val="both"/>
      </w:pPr>
    </w:p>
    <w:p w14:paraId="524AA233" w14:textId="384ABF95" w:rsidR="004707F0" w:rsidRDefault="006000DB" w:rsidP="00B328C9">
      <w:pPr>
        <w:pStyle w:val="Heading1"/>
        <w:jc w:val="both"/>
      </w:pPr>
      <w:bookmarkStart w:id="2" w:name="_Toc162995787"/>
      <w:r>
        <w:t>Leverage Ratio</w:t>
      </w:r>
      <w:bookmarkEnd w:id="2"/>
    </w:p>
    <w:p w14:paraId="4E1DD1A3" w14:textId="77777777" w:rsidR="00444EBF" w:rsidRPr="00444EBF" w:rsidRDefault="00444EBF" w:rsidP="00B328C9">
      <w:pPr>
        <w:spacing w:after="0" w:line="240" w:lineRule="auto"/>
        <w:jc w:val="both"/>
        <w:rPr>
          <w:rFonts w:ascii="Times New Roman" w:eastAsia="Times New Roman" w:hAnsi="Times New Roman" w:cs="Times New Roman"/>
          <w:kern w:val="0"/>
          <w:sz w:val="24"/>
          <w:szCs w:val="24"/>
          <w:lang w:eastAsia="en-GB"/>
          <w14:ligatures w14:val="none"/>
        </w:rPr>
      </w:pPr>
      <w:r w:rsidRPr="00444EBF">
        <w:rPr>
          <w:rFonts w:ascii="Times New Roman" w:eastAsia="Times New Roman" w:hAnsi="Times New Roman" w:cs="Times New Roman"/>
          <w:kern w:val="0"/>
          <w:sz w:val="24"/>
          <w:szCs w:val="24"/>
          <w:lang w:eastAsia="en-GB"/>
          <w14:ligatures w14:val="none"/>
        </w:rPr>
        <w:t>A financial indicator called the leverage ratio is used to evaluate how much debt a firm has in relation to its equity and assets. It is computed by dividing the entire debt of the business by either the equity or the total assets. This ratio sheds light on a company's debt-to-capital ratio and the extent to which it depends on outside funding for operations. Because the firm has more debt than equity or assets, a greater leverage ratio denotes increased financial risk. This can exacerbate losses during downturns in the economy or other unfavourable circumstances. Conversely, a lower leverage ratio is indicative of increased financial stability and decreased risk.</w:t>
      </w:r>
    </w:p>
    <w:p w14:paraId="1015A5E5" w14:textId="77777777" w:rsidR="006000DB" w:rsidRDefault="006000DB" w:rsidP="00B328C9">
      <w:pPr>
        <w:jc w:val="both"/>
      </w:pPr>
    </w:p>
    <w:p w14:paraId="71A47906" w14:textId="77777777" w:rsidR="00CD0A88" w:rsidRDefault="00CD0A88" w:rsidP="00B328C9">
      <w:pPr>
        <w:jc w:val="both"/>
      </w:pPr>
    </w:p>
    <w:p w14:paraId="39E36F51" w14:textId="77777777" w:rsidR="001C744D" w:rsidRDefault="001C744D" w:rsidP="00B328C9">
      <w:pPr>
        <w:pStyle w:val="Heading1"/>
        <w:jc w:val="both"/>
      </w:pPr>
    </w:p>
    <w:p w14:paraId="3F8DC795" w14:textId="77777777" w:rsidR="00030F1C" w:rsidRDefault="00030F1C" w:rsidP="00B328C9">
      <w:pPr>
        <w:jc w:val="both"/>
      </w:pPr>
    </w:p>
    <w:p w14:paraId="33FDA088" w14:textId="77777777" w:rsidR="001C744D" w:rsidRDefault="001C744D" w:rsidP="00B328C9">
      <w:pPr>
        <w:jc w:val="both"/>
      </w:pPr>
    </w:p>
    <w:p w14:paraId="75B6D3B7" w14:textId="3D14662D" w:rsidR="00C74CE6" w:rsidRDefault="002B3401" w:rsidP="00B328C9">
      <w:pPr>
        <w:pStyle w:val="Heading1"/>
        <w:jc w:val="both"/>
      </w:pPr>
      <w:bookmarkStart w:id="3" w:name="_Toc162995788"/>
      <w:r>
        <w:lastRenderedPageBreak/>
        <w:t>Financial figures of Amazon</w:t>
      </w:r>
      <w:bookmarkEnd w:id="3"/>
    </w:p>
    <w:p w14:paraId="6AAC2AF9" w14:textId="77777777" w:rsidR="00921AB5" w:rsidRPr="00921AB5" w:rsidRDefault="00921AB5" w:rsidP="00B328C9">
      <w:pPr>
        <w:jc w:val="both"/>
      </w:pPr>
    </w:p>
    <w:p w14:paraId="38BFCE90" w14:textId="4B92E07C" w:rsidR="00921AB5" w:rsidRPr="00B60DA3" w:rsidRDefault="00921AB5" w:rsidP="00B328C9">
      <w:pPr>
        <w:jc w:val="both"/>
        <w:rPr>
          <w:rStyle w:val="IntenseReference"/>
        </w:rPr>
      </w:pPr>
      <w:r w:rsidRPr="00B60DA3">
        <w:rPr>
          <w:rStyle w:val="IntenseReference"/>
        </w:rPr>
        <w:t xml:space="preserve">Table </w:t>
      </w:r>
      <w:r w:rsidR="00B60DA3" w:rsidRPr="00B60DA3">
        <w:rPr>
          <w:rStyle w:val="IntenseReference"/>
        </w:rPr>
        <w:t>1</w:t>
      </w:r>
    </w:p>
    <w:tbl>
      <w:tblPr>
        <w:tblStyle w:val="TableGrid"/>
        <w:tblpPr w:leftFromText="180" w:rightFromText="180" w:vertAnchor="page" w:horzAnchor="margin" w:tblpXSpec="center" w:tblpY="3397"/>
        <w:tblW w:w="9894" w:type="dxa"/>
        <w:tblLook w:val="04A0" w:firstRow="1" w:lastRow="0" w:firstColumn="1" w:lastColumn="0" w:noHBand="0" w:noVBand="1"/>
      </w:tblPr>
      <w:tblGrid>
        <w:gridCol w:w="2427"/>
        <w:gridCol w:w="1428"/>
        <w:gridCol w:w="1380"/>
        <w:gridCol w:w="1553"/>
        <w:gridCol w:w="1553"/>
        <w:gridCol w:w="1553"/>
      </w:tblGrid>
      <w:tr w:rsidR="00B60DA3" w14:paraId="13BA0FBD" w14:textId="77777777" w:rsidTr="00B60DA3">
        <w:trPr>
          <w:trHeight w:val="694"/>
        </w:trPr>
        <w:tc>
          <w:tcPr>
            <w:tcW w:w="2427" w:type="dxa"/>
          </w:tcPr>
          <w:p w14:paraId="7967E87A" w14:textId="77777777" w:rsidR="00B60DA3" w:rsidRPr="00934246" w:rsidRDefault="00B60DA3" w:rsidP="00B328C9">
            <w:pPr>
              <w:jc w:val="both"/>
              <w:rPr>
                <w:b/>
                <w:bCs/>
              </w:rPr>
            </w:pPr>
            <w:r w:rsidRPr="00934246">
              <w:rPr>
                <w:b/>
                <w:bCs/>
              </w:rPr>
              <w:t>(In million)</w:t>
            </w:r>
          </w:p>
        </w:tc>
        <w:tc>
          <w:tcPr>
            <w:tcW w:w="1428" w:type="dxa"/>
          </w:tcPr>
          <w:p w14:paraId="224E7759" w14:textId="77777777" w:rsidR="00B60DA3" w:rsidRPr="00934246" w:rsidRDefault="00B60DA3" w:rsidP="00B328C9">
            <w:pPr>
              <w:jc w:val="both"/>
              <w:rPr>
                <w:b/>
                <w:bCs/>
              </w:rPr>
            </w:pPr>
            <w:r w:rsidRPr="00934246">
              <w:rPr>
                <w:b/>
                <w:bCs/>
              </w:rPr>
              <w:t>2023</w:t>
            </w:r>
          </w:p>
        </w:tc>
        <w:tc>
          <w:tcPr>
            <w:tcW w:w="1380" w:type="dxa"/>
          </w:tcPr>
          <w:p w14:paraId="374561E1" w14:textId="77777777" w:rsidR="00B60DA3" w:rsidRPr="00934246" w:rsidRDefault="00B60DA3" w:rsidP="00B328C9">
            <w:pPr>
              <w:jc w:val="both"/>
              <w:rPr>
                <w:b/>
                <w:bCs/>
              </w:rPr>
            </w:pPr>
            <w:r w:rsidRPr="00934246">
              <w:rPr>
                <w:b/>
                <w:bCs/>
              </w:rPr>
              <w:t>2022</w:t>
            </w:r>
          </w:p>
        </w:tc>
        <w:tc>
          <w:tcPr>
            <w:tcW w:w="1553" w:type="dxa"/>
          </w:tcPr>
          <w:p w14:paraId="7BC8D8B0" w14:textId="77777777" w:rsidR="00B60DA3" w:rsidRPr="00934246" w:rsidRDefault="00B60DA3" w:rsidP="00B328C9">
            <w:pPr>
              <w:jc w:val="both"/>
              <w:rPr>
                <w:b/>
                <w:bCs/>
              </w:rPr>
            </w:pPr>
            <w:r w:rsidRPr="00934246">
              <w:rPr>
                <w:b/>
                <w:bCs/>
              </w:rPr>
              <w:t>2021</w:t>
            </w:r>
          </w:p>
        </w:tc>
        <w:tc>
          <w:tcPr>
            <w:tcW w:w="1553" w:type="dxa"/>
          </w:tcPr>
          <w:p w14:paraId="632DE3FA" w14:textId="77777777" w:rsidR="00B60DA3" w:rsidRPr="00934246" w:rsidRDefault="00B60DA3" w:rsidP="00B328C9">
            <w:pPr>
              <w:jc w:val="both"/>
              <w:rPr>
                <w:b/>
                <w:bCs/>
              </w:rPr>
            </w:pPr>
            <w:r w:rsidRPr="00934246">
              <w:rPr>
                <w:b/>
                <w:bCs/>
              </w:rPr>
              <w:t>2020</w:t>
            </w:r>
          </w:p>
        </w:tc>
        <w:tc>
          <w:tcPr>
            <w:tcW w:w="1553" w:type="dxa"/>
          </w:tcPr>
          <w:p w14:paraId="728FDA63" w14:textId="77777777" w:rsidR="00B60DA3" w:rsidRPr="00934246" w:rsidRDefault="00B60DA3" w:rsidP="00B328C9">
            <w:pPr>
              <w:jc w:val="both"/>
              <w:rPr>
                <w:b/>
                <w:bCs/>
              </w:rPr>
            </w:pPr>
            <w:r w:rsidRPr="00934246">
              <w:rPr>
                <w:b/>
                <w:bCs/>
              </w:rPr>
              <w:t>2019</w:t>
            </w:r>
          </w:p>
        </w:tc>
      </w:tr>
      <w:tr w:rsidR="00B60DA3" w14:paraId="7667572A" w14:textId="77777777" w:rsidTr="00B60DA3">
        <w:trPr>
          <w:trHeight w:val="694"/>
        </w:trPr>
        <w:tc>
          <w:tcPr>
            <w:tcW w:w="2427" w:type="dxa"/>
          </w:tcPr>
          <w:p w14:paraId="63FA7E3B" w14:textId="77777777" w:rsidR="00B60DA3" w:rsidRDefault="00B60DA3" w:rsidP="00B328C9">
            <w:pPr>
              <w:jc w:val="both"/>
            </w:pPr>
            <w:r>
              <w:t>Current Assets</w:t>
            </w:r>
          </w:p>
        </w:tc>
        <w:tc>
          <w:tcPr>
            <w:tcW w:w="1428" w:type="dxa"/>
          </w:tcPr>
          <w:p w14:paraId="1BC97C98" w14:textId="77777777" w:rsidR="00B60DA3" w:rsidRDefault="00B60DA3" w:rsidP="00B328C9">
            <w:pPr>
              <w:jc w:val="both"/>
            </w:pPr>
            <w:r>
              <w:t>$172351</w:t>
            </w:r>
          </w:p>
        </w:tc>
        <w:tc>
          <w:tcPr>
            <w:tcW w:w="1380" w:type="dxa"/>
          </w:tcPr>
          <w:p w14:paraId="1BBDA0EC" w14:textId="77777777" w:rsidR="00B60DA3" w:rsidRDefault="00B60DA3" w:rsidP="00B328C9">
            <w:pPr>
              <w:jc w:val="both"/>
            </w:pPr>
            <w:r>
              <w:t>$146791</w:t>
            </w:r>
          </w:p>
        </w:tc>
        <w:tc>
          <w:tcPr>
            <w:tcW w:w="1553" w:type="dxa"/>
          </w:tcPr>
          <w:p w14:paraId="54D33F12" w14:textId="77777777" w:rsidR="00B60DA3" w:rsidRDefault="00B60DA3" w:rsidP="00B328C9">
            <w:pPr>
              <w:jc w:val="both"/>
            </w:pPr>
            <w:r>
              <w:t>$161580</w:t>
            </w:r>
          </w:p>
        </w:tc>
        <w:tc>
          <w:tcPr>
            <w:tcW w:w="1553" w:type="dxa"/>
          </w:tcPr>
          <w:p w14:paraId="47277E5D" w14:textId="77777777" w:rsidR="00B60DA3" w:rsidRDefault="00B60DA3" w:rsidP="00B328C9">
            <w:pPr>
              <w:jc w:val="both"/>
            </w:pPr>
            <w:r>
              <w:t>$132733</w:t>
            </w:r>
          </w:p>
        </w:tc>
        <w:tc>
          <w:tcPr>
            <w:tcW w:w="1553" w:type="dxa"/>
          </w:tcPr>
          <w:p w14:paraId="5127940B" w14:textId="77777777" w:rsidR="00B60DA3" w:rsidRDefault="00B60DA3" w:rsidP="00B328C9">
            <w:pPr>
              <w:jc w:val="both"/>
            </w:pPr>
            <w:r>
              <w:t>$96334</w:t>
            </w:r>
          </w:p>
        </w:tc>
      </w:tr>
      <w:tr w:rsidR="00B60DA3" w14:paraId="4F16F56F" w14:textId="77777777" w:rsidTr="00B60DA3">
        <w:trPr>
          <w:trHeight w:val="726"/>
        </w:trPr>
        <w:tc>
          <w:tcPr>
            <w:tcW w:w="2427" w:type="dxa"/>
          </w:tcPr>
          <w:p w14:paraId="7587D90C" w14:textId="77777777" w:rsidR="00B60DA3" w:rsidRDefault="00B60DA3" w:rsidP="00B328C9">
            <w:pPr>
              <w:jc w:val="both"/>
            </w:pPr>
            <w:r>
              <w:t>Current Liabilities</w:t>
            </w:r>
          </w:p>
        </w:tc>
        <w:tc>
          <w:tcPr>
            <w:tcW w:w="1428" w:type="dxa"/>
          </w:tcPr>
          <w:p w14:paraId="779E85AF" w14:textId="77777777" w:rsidR="00B60DA3" w:rsidRDefault="00B60DA3" w:rsidP="00B328C9">
            <w:pPr>
              <w:jc w:val="both"/>
            </w:pPr>
            <w:r>
              <w:t>$164917</w:t>
            </w:r>
          </w:p>
        </w:tc>
        <w:tc>
          <w:tcPr>
            <w:tcW w:w="1380" w:type="dxa"/>
          </w:tcPr>
          <w:p w14:paraId="177B932C" w14:textId="77777777" w:rsidR="00B60DA3" w:rsidRDefault="00B60DA3" w:rsidP="00B328C9">
            <w:pPr>
              <w:jc w:val="both"/>
            </w:pPr>
            <w:r>
              <w:t>$155393</w:t>
            </w:r>
          </w:p>
        </w:tc>
        <w:tc>
          <w:tcPr>
            <w:tcW w:w="1553" w:type="dxa"/>
          </w:tcPr>
          <w:p w14:paraId="7AC9B78D" w14:textId="77777777" w:rsidR="00B60DA3" w:rsidRDefault="00B60DA3" w:rsidP="00B328C9">
            <w:pPr>
              <w:jc w:val="both"/>
            </w:pPr>
            <w:r>
              <w:t>$142266</w:t>
            </w:r>
          </w:p>
        </w:tc>
        <w:tc>
          <w:tcPr>
            <w:tcW w:w="1553" w:type="dxa"/>
          </w:tcPr>
          <w:p w14:paraId="2793A1BF" w14:textId="77777777" w:rsidR="00B60DA3" w:rsidRDefault="00B60DA3" w:rsidP="00B328C9">
            <w:pPr>
              <w:jc w:val="both"/>
            </w:pPr>
            <w:r>
              <w:t>$126385</w:t>
            </w:r>
          </w:p>
        </w:tc>
        <w:tc>
          <w:tcPr>
            <w:tcW w:w="1553" w:type="dxa"/>
          </w:tcPr>
          <w:p w14:paraId="65B0EA3C" w14:textId="77777777" w:rsidR="00B60DA3" w:rsidRDefault="00B60DA3" w:rsidP="00B328C9">
            <w:pPr>
              <w:jc w:val="both"/>
            </w:pPr>
            <w:r>
              <w:t>$87812</w:t>
            </w:r>
          </w:p>
        </w:tc>
      </w:tr>
      <w:tr w:rsidR="00B60DA3" w14:paraId="1830EF40" w14:textId="77777777" w:rsidTr="00B60DA3">
        <w:trPr>
          <w:trHeight w:val="694"/>
        </w:trPr>
        <w:tc>
          <w:tcPr>
            <w:tcW w:w="2427" w:type="dxa"/>
          </w:tcPr>
          <w:p w14:paraId="3ED283E8" w14:textId="77777777" w:rsidR="00B60DA3" w:rsidRDefault="00B60DA3" w:rsidP="00B328C9">
            <w:pPr>
              <w:jc w:val="both"/>
            </w:pPr>
            <w:r>
              <w:t>Operating Expense</w:t>
            </w:r>
          </w:p>
        </w:tc>
        <w:tc>
          <w:tcPr>
            <w:tcW w:w="1428" w:type="dxa"/>
          </w:tcPr>
          <w:p w14:paraId="2D1B3A4B" w14:textId="77777777" w:rsidR="00B60DA3" w:rsidRDefault="00B60DA3" w:rsidP="00B328C9">
            <w:pPr>
              <w:jc w:val="both"/>
            </w:pPr>
            <w:r>
              <w:t>$233194</w:t>
            </w:r>
          </w:p>
        </w:tc>
        <w:tc>
          <w:tcPr>
            <w:tcW w:w="1380" w:type="dxa"/>
          </w:tcPr>
          <w:p w14:paraId="08980F04" w14:textId="77777777" w:rsidR="00B60DA3" w:rsidRDefault="00B60DA3" w:rsidP="00B328C9">
            <w:pPr>
              <w:jc w:val="both"/>
            </w:pPr>
            <w:r>
              <w:t>$212904</w:t>
            </w:r>
          </w:p>
        </w:tc>
        <w:tc>
          <w:tcPr>
            <w:tcW w:w="1553" w:type="dxa"/>
          </w:tcPr>
          <w:p w14:paraId="4C84AFAB" w14:textId="77777777" w:rsidR="00B60DA3" w:rsidRDefault="00B60DA3" w:rsidP="00B328C9">
            <w:pPr>
              <w:jc w:val="both"/>
            </w:pPr>
            <w:r>
              <w:t>$172599</w:t>
            </w:r>
          </w:p>
        </w:tc>
        <w:tc>
          <w:tcPr>
            <w:tcW w:w="1553" w:type="dxa"/>
          </w:tcPr>
          <w:p w14:paraId="19541B33" w14:textId="77777777" w:rsidR="00B60DA3" w:rsidRDefault="00B60DA3" w:rsidP="00B328C9">
            <w:pPr>
              <w:jc w:val="both"/>
            </w:pPr>
            <w:r>
              <w:t>$129858</w:t>
            </w:r>
          </w:p>
        </w:tc>
        <w:tc>
          <w:tcPr>
            <w:tcW w:w="1553" w:type="dxa"/>
          </w:tcPr>
          <w:p w14:paraId="4AA43277" w14:textId="77777777" w:rsidR="00B60DA3" w:rsidRDefault="00B60DA3" w:rsidP="00B328C9">
            <w:pPr>
              <w:jc w:val="both"/>
            </w:pPr>
            <w:r>
              <w:t>$100445</w:t>
            </w:r>
          </w:p>
        </w:tc>
      </w:tr>
      <w:tr w:rsidR="00B60DA3" w14:paraId="1E0E7B33" w14:textId="77777777" w:rsidTr="00B60DA3">
        <w:trPr>
          <w:trHeight w:val="694"/>
        </w:trPr>
        <w:tc>
          <w:tcPr>
            <w:tcW w:w="2427" w:type="dxa"/>
          </w:tcPr>
          <w:p w14:paraId="285732EF" w14:textId="77777777" w:rsidR="00B60DA3" w:rsidRDefault="00B60DA3" w:rsidP="00B328C9">
            <w:pPr>
              <w:jc w:val="both"/>
            </w:pPr>
            <w:r>
              <w:t>Inventory</w:t>
            </w:r>
          </w:p>
        </w:tc>
        <w:tc>
          <w:tcPr>
            <w:tcW w:w="1428" w:type="dxa"/>
          </w:tcPr>
          <w:p w14:paraId="3449B5A5" w14:textId="77777777" w:rsidR="00B60DA3" w:rsidRDefault="00B60DA3" w:rsidP="00B328C9">
            <w:pPr>
              <w:jc w:val="both"/>
            </w:pPr>
            <w:r>
              <w:t>$33318</w:t>
            </w:r>
          </w:p>
        </w:tc>
        <w:tc>
          <w:tcPr>
            <w:tcW w:w="1380" w:type="dxa"/>
          </w:tcPr>
          <w:p w14:paraId="0ACA44F9" w14:textId="77777777" w:rsidR="00B60DA3" w:rsidRDefault="00B60DA3" w:rsidP="00B328C9">
            <w:pPr>
              <w:jc w:val="both"/>
            </w:pPr>
            <w:r>
              <w:t>$34405</w:t>
            </w:r>
          </w:p>
        </w:tc>
        <w:tc>
          <w:tcPr>
            <w:tcW w:w="1553" w:type="dxa"/>
          </w:tcPr>
          <w:p w14:paraId="0CC4C99F" w14:textId="77777777" w:rsidR="00B60DA3" w:rsidRDefault="00B60DA3" w:rsidP="00B328C9">
            <w:pPr>
              <w:jc w:val="both"/>
            </w:pPr>
            <w:r>
              <w:t>$32640</w:t>
            </w:r>
          </w:p>
        </w:tc>
        <w:tc>
          <w:tcPr>
            <w:tcW w:w="1553" w:type="dxa"/>
          </w:tcPr>
          <w:p w14:paraId="74777EF9" w14:textId="77777777" w:rsidR="00B60DA3" w:rsidRDefault="00B60DA3" w:rsidP="00B328C9">
            <w:pPr>
              <w:jc w:val="both"/>
            </w:pPr>
            <w:r>
              <w:t>$23795</w:t>
            </w:r>
          </w:p>
        </w:tc>
        <w:tc>
          <w:tcPr>
            <w:tcW w:w="1553" w:type="dxa"/>
          </w:tcPr>
          <w:p w14:paraId="274F08B9" w14:textId="77777777" w:rsidR="00B60DA3" w:rsidRDefault="00B60DA3" w:rsidP="00B328C9">
            <w:pPr>
              <w:jc w:val="both"/>
            </w:pPr>
            <w:r>
              <w:t>$20497</w:t>
            </w:r>
          </w:p>
        </w:tc>
      </w:tr>
      <w:tr w:rsidR="00B60DA3" w14:paraId="5138533C" w14:textId="77777777" w:rsidTr="00B60DA3">
        <w:trPr>
          <w:trHeight w:val="694"/>
        </w:trPr>
        <w:tc>
          <w:tcPr>
            <w:tcW w:w="2427" w:type="dxa"/>
          </w:tcPr>
          <w:p w14:paraId="2C990CC6" w14:textId="77777777" w:rsidR="00B60DA3" w:rsidRDefault="00B60DA3" w:rsidP="00B328C9">
            <w:pPr>
              <w:jc w:val="both"/>
            </w:pPr>
            <w:r>
              <w:t>Total Assets</w:t>
            </w:r>
          </w:p>
        </w:tc>
        <w:tc>
          <w:tcPr>
            <w:tcW w:w="1428" w:type="dxa"/>
          </w:tcPr>
          <w:p w14:paraId="068BD915" w14:textId="77777777" w:rsidR="00B60DA3" w:rsidRDefault="00B60DA3" w:rsidP="00B328C9">
            <w:pPr>
              <w:jc w:val="both"/>
            </w:pPr>
            <w:r>
              <w:t>$527854</w:t>
            </w:r>
          </w:p>
        </w:tc>
        <w:tc>
          <w:tcPr>
            <w:tcW w:w="1380" w:type="dxa"/>
          </w:tcPr>
          <w:p w14:paraId="3E13A33E" w14:textId="77777777" w:rsidR="00B60DA3" w:rsidRDefault="00B60DA3" w:rsidP="00B328C9">
            <w:pPr>
              <w:jc w:val="both"/>
            </w:pPr>
            <w:r>
              <w:t>$462675</w:t>
            </w:r>
          </w:p>
        </w:tc>
        <w:tc>
          <w:tcPr>
            <w:tcW w:w="1553" w:type="dxa"/>
          </w:tcPr>
          <w:p w14:paraId="126A463C" w14:textId="77777777" w:rsidR="00B60DA3" w:rsidRDefault="00B60DA3" w:rsidP="00B328C9">
            <w:pPr>
              <w:jc w:val="both"/>
            </w:pPr>
            <w:r>
              <w:t>$420549</w:t>
            </w:r>
          </w:p>
        </w:tc>
        <w:tc>
          <w:tcPr>
            <w:tcW w:w="1553" w:type="dxa"/>
          </w:tcPr>
          <w:p w14:paraId="121534EE" w14:textId="77777777" w:rsidR="00B60DA3" w:rsidRDefault="00B60DA3" w:rsidP="00B328C9">
            <w:pPr>
              <w:jc w:val="both"/>
            </w:pPr>
            <w:r>
              <w:t>$321195</w:t>
            </w:r>
          </w:p>
        </w:tc>
        <w:tc>
          <w:tcPr>
            <w:tcW w:w="1553" w:type="dxa"/>
          </w:tcPr>
          <w:p w14:paraId="529C4CBA" w14:textId="77777777" w:rsidR="00B60DA3" w:rsidRDefault="00B60DA3" w:rsidP="00B328C9">
            <w:pPr>
              <w:jc w:val="both"/>
            </w:pPr>
            <w:r>
              <w:t>$225248</w:t>
            </w:r>
          </w:p>
        </w:tc>
      </w:tr>
      <w:tr w:rsidR="00B60DA3" w14:paraId="6DF04F86" w14:textId="77777777" w:rsidTr="00B60DA3">
        <w:trPr>
          <w:trHeight w:val="694"/>
        </w:trPr>
        <w:tc>
          <w:tcPr>
            <w:tcW w:w="2427" w:type="dxa"/>
          </w:tcPr>
          <w:p w14:paraId="78DE1290" w14:textId="77777777" w:rsidR="00B60DA3" w:rsidRDefault="00B60DA3" w:rsidP="00B328C9">
            <w:pPr>
              <w:jc w:val="both"/>
            </w:pPr>
            <w:r>
              <w:t>Total debt / Total Liabilities</w:t>
            </w:r>
          </w:p>
        </w:tc>
        <w:tc>
          <w:tcPr>
            <w:tcW w:w="1428" w:type="dxa"/>
          </w:tcPr>
          <w:p w14:paraId="7A7B227C" w14:textId="77777777" w:rsidR="00B60DA3" w:rsidRDefault="00B60DA3" w:rsidP="00B328C9">
            <w:pPr>
              <w:jc w:val="both"/>
            </w:pPr>
            <w:r>
              <w:t>$17.88</w:t>
            </w:r>
          </w:p>
        </w:tc>
        <w:tc>
          <w:tcPr>
            <w:tcW w:w="1380" w:type="dxa"/>
          </w:tcPr>
          <w:p w14:paraId="60E6D8C5" w14:textId="77777777" w:rsidR="00B60DA3" w:rsidRDefault="00B60DA3" w:rsidP="00B328C9">
            <w:pPr>
              <w:jc w:val="both"/>
            </w:pPr>
            <w:r>
              <w:t>$21.21</w:t>
            </w:r>
          </w:p>
        </w:tc>
        <w:tc>
          <w:tcPr>
            <w:tcW w:w="1553" w:type="dxa"/>
          </w:tcPr>
          <w:p w14:paraId="1316E2CC" w14:textId="77777777" w:rsidR="00B60DA3" w:rsidRDefault="00B60DA3" w:rsidP="00B328C9">
            <w:pPr>
              <w:jc w:val="both"/>
            </w:pPr>
            <w:r>
              <w:t>$17.27</w:t>
            </w:r>
          </w:p>
        </w:tc>
        <w:tc>
          <w:tcPr>
            <w:tcW w:w="1553" w:type="dxa"/>
          </w:tcPr>
          <w:p w14:paraId="70076ECB" w14:textId="77777777" w:rsidR="00B60DA3" w:rsidRDefault="00B60DA3" w:rsidP="00B328C9">
            <w:pPr>
              <w:jc w:val="both"/>
            </w:pPr>
            <w:r>
              <w:t>$13.96</w:t>
            </w:r>
          </w:p>
        </w:tc>
        <w:tc>
          <w:tcPr>
            <w:tcW w:w="1553" w:type="dxa"/>
          </w:tcPr>
          <w:p w14:paraId="683254E9" w14:textId="77777777" w:rsidR="00B60DA3" w:rsidRDefault="00B60DA3" w:rsidP="00B328C9">
            <w:pPr>
              <w:jc w:val="both"/>
            </w:pPr>
            <w:r>
              <w:t>$14.34</w:t>
            </w:r>
          </w:p>
        </w:tc>
      </w:tr>
      <w:tr w:rsidR="00B60DA3" w14:paraId="1D0F2C30" w14:textId="77777777" w:rsidTr="00B60DA3">
        <w:trPr>
          <w:trHeight w:val="726"/>
        </w:trPr>
        <w:tc>
          <w:tcPr>
            <w:tcW w:w="2427" w:type="dxa"/>
          </w:tcPr>
          <w:p w14:paraId="3727C290" w14:textId="77777777" w:rsidR="00B60DA3" w:rsidRDefault="00B60DA3" w:rsidP="00B328C9">
            <w:pPr>
              <w:jc w:val="both"/>
            </w:pPr>
            <w:r>
              <w:t>Shareholders’ equity</w:t>
            </w:r>
          </w:p>
        </w:tc>
        <w:tc>
          <w:tcPr>
            <w:tcW w:w="1428" w:type="dxa"/>
          </w:tcPr>
          <w:p w14:paraId="0B5FE3F6" w14:textId="77777777" w:rsidR="00B60DA3" w:rsidRDefault="00B60DA3" w:rsidP="00B328C9">
            <w:pPr>
              <w:jc w:val="both"/>
            </w:pPr>
            <w:r>
              <w:t>$201875</w:t>
            </w:r>
          </w:p>
        </w:tc>
        <w:tc>
          <w:tcPr>
            <w:tcW w:w="1380" w:type="dxa"/>
          </w:tcPr>
          <w:p w14:paraId="78B8F914" w14:textId="77777777" w:rsidR="00B60DA3" w:rsidRDefault="00B60DA3" w:rsidP="00B328C9">
            <w:pPr>
              <w:jc w:val="both"/>
            </w:pPr>
            <w:r>
              <w:t>$146043</w:t>
            </w:r>
          </w:p>
        </w:tc>
        <w:tc>
          <w:tcPr>
            <w:tcW w:w="1553" w:type="dxa"/>
          </w:tcPr>
          <w:p w14:paraId="6B38749E" w14:textId="77777777" w:rsidR="00B60DA3" w:rsidRDefault="00B60DA3" w:rsidP="00B328C9">
            <w:pPr>
              <w:jc w:val="both"/>
            </w:pPr>
            <w:r>
              <w:t>$139245</w:t>
            </w:r>
          </w:p>
        </w:tc>
        <w:tc>
          <w:tcPr>
            <w:tcW w:w="1553" w:type="dxa"/>
          </w:tcPr>
          <w:p w14:paraId="6FDEB114" w14:textId="77777777" w:rsidR="00B60DA3" w:rsidRDefault="00B60DA3" w:rsidP="00B328C9">
            <w:pPr>
              <w:jc w:val="both"/>
            </w:pPr>
            <w:r>
              <w:t>$93404</w:t>
            </w:r>
          </w:p>
        </w:tc>
        <w:tc>
          <w:tcPr>
            <w:tcW w:w="1553" w:type="dxa"/>
          </w:tcPr>
          <w:p w14:paraId="4D3C4AD2" w14:textId="77777777" w:rsidR="00B60DA3" w:rsidRDefault="00B60DA3" w:rsidP="00B328C9">
            <w:pPr>
              <w:jc w:val="both"/>
            </w:pPr>
            <w:r>
              <w:t>$62060</w:t>
            </w:r>
          </w:p>
        </w:tc>
      </w:tr>
      <w:tr w:rsidR="00B60DA3" w14:paraId="208E7328" w14:textId="77777777" w:rsidTr="00B60DA3">
        <w:trPr>
          <w:trHeight w:val="726"/>
        </w:trPr>
        <w:tc>
          <w:tcPr>
            <w:tcW w:w="2427" w:type="dxa"/>
          </w:tcPr>
          <w:p w14:paraId="6A1EF55E" w14:textId="77777777" w:rsidR="00B60DA3" w:rsidRDefault="00B60DA3" w:rsidP="00B328C9">
            <w:pPr>
              <w:jc w:val="both"/>
            </w:pPr>
            <w:r>
              <w:t>Revenue</w:t>
            </w:r>
          </w:p>
        </w:tc>
        <w:tc>
          <w:tcPr>
            <w:tcW w:w="1428" w:type="dxa"/>
          </w:tcPr>
          <w:p w14:paraId="40B7FF60" w14:textId="77777777" w:rsidR="00B60DA3" w:rsidRDefault="00B60DA3" w:rsidP="00B328C9">
            <w:pPr>
              <w:jc w:val="both"/>
            </w:pPr>
            <w:r>
              <w:t>$574785</w:t>
            </w:r>
          </w:p>
        </w:tc>
        <w:tc>
          <w:tcPr>
            <w:tcW w:w="1380" w:type="dxa"/>
          </w:tcPr>
          <w:p w14:paraId="6DCCD2C0" w14:textId="77777777" w:rsidR="00B60DA3" w:rsidRDefault="00B60DA3" w:rsidP="00B328C9">
            <w:pPr>
              <w:jc w:val="both"/>
            </w:pPr>
            <w:r>
              <w:t>$513983</w:t>
            </w:r>
          </w:p>
        </w:tc>
        <w:tc>
          <w:tcPr>
            <w:tcW w:w="1553" w:type="dxa"/>
          </w:tcPr>
          <w:p w14:paraId="65BDF786" w14:textId="77777777" w:rsidR="00B60DA3" w:rsidRDefault="00B60DA3" w:rsidP="00B328C9">
            <w:pPr>
              <w:jc w:val="both"/>
            </w:pPr>
            <w:r>
              <w:t>$469822</w:t>
            </w:r>
          </w:p>
        </w:tc>
        <w:tc>
          <w:tcPr>
            <w:tcW w:w="1553" w:type="dxa"/>
          </w:tcPr>
          <w:p w14:paraId="43CDBF8C" w14:textId="77777777" w:rsidR="00B60DA3" w:rsidRDefault="00B60DA3" w:rsidP="00B328C9">
            <w:pPr>
              <w:jc w:val="both"/>
            </w:pPr>
            <w:r>
              <w:t>$386064</w:t>
            </w:r>
          </w:p>
        </w:tc>
        <w:tc>
          <w:tcPr>
            <w:tcW w:w="1553" w:type="dxa"/>
          </w:tcPr>
          <w:p w14:paraId="473A3EF7" w14:textId="77777777" w:rsidR="00B60DA3" w:rsidRDefault="00B60DA3" w:rsidP="00B328C9">
            <w:pPr>
              <w:jc w:val="both"/>
            </w:pPr>
            <w:r>
              <w:t>$280522</w:t>
            </w:r>
          </w:p>
        </w:tc>
      </w:tr>
      <w:tr w:rsidR="00B60DA3" w14:paraId="1E14E664" w14:textId="77777777" w:rsidTr="00B60DA3">
        <w:trPr>
          <w:trHeight w:val="726"/>
        </w:trPr>
        <w:tc>
          <w:tcPr>
            <w:tcW w:w="2427" w:type="dxa"/>
          </w:tcPr>
          <w:p w14:paraId="13E48ED0" w14:textId="77777777" w:rsidR="00B60DA3" w:rsidRDefault="00B60DA3" w:rsidP="00B328C9">
            <w:pPr>
              <w:jc w:val="both"/>
            </w:pPr>
            <w:r>
              <w:t>Cash</w:t>
            </w:r>
          </w:p>
        </w:tc>
        <w:tc>
          <w:tcPr>
            <w:tcW w:w="1428" w:type="dxa"/>
          </w:tcPr>
          <w:p w14:paraId="42478DC4" w14:textId="77777777" w:rsidR="00B60DA3" w:rsidRDefault="00B60DA3" w:rsidP="00B328C9">
            <w:pPr>
              <w:jc w:val="both"/>
            </w:pPr>
            <w:r>
              <w:t>$86780</w:t>
            </w:r>
          </w:p>
        </w:tc>
        <w:tc>
          <w:tcPr>
            <w:tcW w:w="1380" w:type="dxa"/>
          </w:tcPr>
          <w:p w14:paraId="4E1667A0" w14:textId="77777777" w:rsidR="00B60DA3" w:rsidRDefault="00B60DA3" w:rsidP="00B328C9">
            <w:pPr>
              <w:jc w:val="both"/>
            </w:pPr>
            <w:r>
              <w:t>$70026</w:t>
            </w:r>
          </w:p>
        </w:tc>
        <w:tc>
          <w:tcPr>
            <w:tcW w:w="1553" w:type="dxa"/>
          </w:tcPr>
          <w:p w14:paraId="4C9253A5" w14:textId="77777777" w:rsidR="00B60DA3" w:rsidRDefault="00B60DA3" w:rsidP="00B328C9">
            <w:pPr>
              <w:jc w:val="both"/>
            </w:pPr>
            <w:r>
              <w:t>$96049</w:t>
            </w:r>
          </w:p>
        </w:tc>
        <w:tc>
          <w:tcPr>
            <w:tcW w:w="1553" w:type="dxa"/>
          </w:tcPr>
          <w:p w14:paraId="249FB7B6" w14:textId="77777777" w:rsidR="00B60DA3" w:rsidRDefault="00B60DA3" w:rsidP="00B328C9">
            <w:pPr>
              <w:jc w:val="both"/>
            </w:pPr>
            <w:r>
              <w:t>$84396</w:t>
            </w:r>
          </w:p>
        </w:tc>
        <w:tc>
          <w:tcPr>
            <w:tcW w:w="1553" w:type="dxa"/>
          </w:tcPr>
          <w:p w14:paraId="1E5781A2" w14:textId="77777777" w:rsidR="00B60DA3" w:rsidRDefault="00B60DA3" w:rsidP="00B328C9">
            <w:pPr>
              <w:jc w:val="both"/>
            </w:pPr>
            <w:r>
              <w:t>$55021</w:t>
            </w:r>
          </w:p>
        </w:tc>
      </w:tr>
      <w:tr w:rsidR="00B60DA3" w14:paraId="4D6788D7" w14:textId="77777777" w:rsidTr="00B60DA3">
        <w:trPr>
          <w:trHeight w:val="726"/>
        </w:trPr>
        <w:tc>
          <w:tcPr>
            <w:tcW w:w="2427" w:type="dxa"/>
          </w:tcPr>
          <w:p w14:paraId="22D74932" w14:textId="77777777" w:rsidR="00B60DA3" w:rsidRDefault="00B60DA3" w:rsidP="00B328C9">
            <w:pPr>
              <w:jc w:val="both"/>
            </w:pPr>
            <w:r>
              <w:t>Net profit after tax</w:t>
            </w:r>
          </w:p>
        </w:tc>
        <w:tc>
          <w:tcPr>
            <w:tcW w:w="1428" w:type="dxa"/>
          </w:tcPr>
          <w:p w14:paraId="381FC5DA" w14:textId="77777777" w:rsidR="00B60DA3" w:rsidRDefault="00B60DA3" w:rsidP="00B328C9">
            <w:pPr>
              <w:jc w:val="both"/>
            </w:pPr>
            <w:r>
              <w:t>$30437</w:t>
            </w:r>
          </w:p>
        </w:tc>
        <w:tc>
          <w:tcPr>
            <w:tcW w:w="1380" w:type="dxa"/>
          </w:tcPr>
          <w:p w14:paraId="35F608FF" w14:textId="77777777" w:rsidR="00B60DA3" w:rsidRDefault="00B60DA3" w:rsidP="00B328C9">
            <w:pPr>
              <w:jc w:val="both"/>
            </w:pPr>
            <w:r>
              <w:t>$-2719</w:t>
            </w:r>
          </w:p>
        </w:tc>
        <w:tc>
          <w:tcPr>
            <w:tcW w:w="1553" w:type="dxa"/>
          </w:tcPr>
          <w:p w14:paraId="3AC3FF72" w14:textId="77777777" w:rsidR="00B60DA3" w:rsidRDefault="00B60DA3" w:rsidP="00B328C9">
            <w:pPr>
              <w:jc w:val="both"/>
            </w:pPr>
            <w:r>
              <w:t>$33360</w:t>
            </w:r>
          </w:p>
        </w:tc>
        <w:tc>
          <w:tcPr>
            <w:tcW w:w="1553" w:type="dxa"/>
          </w:tcPr>
          <w:p w14:paraId="0C2B85F8" w14:textId="77777777" w:rsidR="00B60DA3" w:rsidRDefault="00B60DA3" w:rsidP="00B328C9">
            <w:pPr>
              <w:jc w:val="both"/>
            </w:pPr>
            <w:r>
              <w:t>$21315</w:t>
            </w:r>
          </w:p>
        </w:tc>
        <w:tc>
          <w:tcPr>
            <w:tcW w:w="1553" w:type="dxa"/>
          </w:tcPr>
          <w:p w14:paraId="7CBF2E7E" w14:textId="77777777" w:rsidR="00B60DA3" w:rsidRDefault="00B60DA3" w:rsidP="00B328C9">
            <w:pPr>
              <w:jc w:val="both"/>
            </w:pPr>
            <w:r>
              <w:t>$11602</w:t>
            </w:r>
          </w:p>
        </w:tc>
      </w:tr>
    </w:tbl>
    <w:p w14:paraId="73FAA7F2" w14:textId="77777777" w:rsidR="00921AB5" w:rsidRDefault="00921AB5" w:rsidP="00B328C9">
      <w:pPr>
        <w:jc w:val="both"/>
      </w:pPr>
    </w:p>
    <w:p w14:paraId="7F0527A6" w14:textId="77777777" w:rsidR="00921AB5" w:rsidRDefault="00921AB5" w:rsidP="00B328C9">
      <w:pPr>
        <w:jc w:val="both"/>
      </w:pPr>
    </w:p>
    <w:p w14:paraId="4D90A280" w14:textId="77777777" w:rsidR="004D505A" w:rsidRPr="00C20652" w:rsidRDefault="00DE5590" w:rsidP="00B328C9">
      <w:pPr>
        <w:jc w:val="both"/>
        <w:rPr>
          <w:rStyle w:val="IntenseReference"/>
          <w:lang w:eastAsia="en-GB"/>
        </w:rPr>
      </w:pPr>
      <w:r w:rsidRPr="00C20652">
        <w:rPr>
          <w:rStyle w:val="IntenseReference"/>
        </w:rPr>
        <w:t xml:space="preserve">Source: </w:t>
      </w:r>
      <w:r w:rsidR="004D505A" w:rsidRPr="00C20652">
        <w:rPr>
          <w:rStyle w:val="IntenseReference"/>
          <w:lang w:eastAsia="en-GB"/>
        </w:rPr>
        <w:t>(MacroTrends, 2019)</w:t>
      </w:r>
    </w:p>
    <w:p w14:paraId="2D115EDF" w14:textId="40B6E81C" w:rsidR="00473C23" w:rsidRPr="00C20652" w:rsidRDefault="00473C23" w:rsidP="00B328C9">
      <w:pPr>
        <w:jc w:val="both"/>
        <w:rPr>
          <w:rStyle w:val="IntenseReference"/>
        </w:rPr>
      </w:pPr>
    </w:p>
    <w:p w14:paraId="1DB20AD8" w14:textId="77777777" w:rsidR="00473C23" w:rsidRDefault="00473C23" w:rsidP="00B328C9">
      <w:pPr>
        <w:jc w:val="both"/>
      </w:pPr>
    </w:p>
    <w:p w14:paraId="6724AFD6" w14:textId="77777777" w:rsidR="00473C23" w:rsidRDefault="00473C23" w:rsidP="00B328C9">
      <w:pPr>
        <w:jc w:val="both"/>
      </w:pPr>
    </w:p>
    <w:p w14:paraId="4C0E357C" w14:textId="77777777" w:rsidR="00473C23" w:rsidRDefault="00473C23" w:rsidP="00B328C9">
      <w:pPr>
        <w:jc w:val="both"/>
      </w:pPr>
    </w:p>
    <w:p w14:paraId="5E78B1AC" w14:textId="77777777" w:rsidR="00473C23" w:rsidRDefault="00473C23" w:rsidP="00B328C9">
      <w:pPr>
        <w:jc w:val="both"/>
      </w:pPr>
    </w:p>
    <w:p w14:paraId="0AC455A8" w14:textId="77777777" w:rsidR="00473C23" w:rsidRDefault="00473C23" w:rsidP="00B328C9">
      <w:pPr>
        <w:jc w:val="both"/>
      </w:pPr>
    </w:p>
    <w:p w14:paraId="67443E54" w14:textId="77777777" w:rsidR="00473C23" w:rsidRDefault="00473C23" w:rsidP="00B328C9">
      <w:pPr>
        <w:jc w:val="both"/>
      </w:pPr>
    </w:p>
    <w:p w14:paraId="77D91319" w14:textId="77777777" w:rsidR="00473C23" w:rsidRDefault="00473C23" w:rsidP="00B328C9">
      <w:pPr>
        <w:jc w:val="both"/>
      </w:pPr>
    </w:p>
    <w:tbl>
      <w:tblPr>
        <w:tblStyle w:val="TableGrid"/>
        <w:tblpPr w:leftFromText="180" w:rightFromText="180" w:vertAnchor="page" w:horzAnchor="margin" w:tblpY="2941"/>
        <w:tblW w:w="9194" w:type="dxa"/>
        <w:tblLook w:val="04A0" w:firstRow="1" w:lastRow="0" w:firstColumn="1" w:lastColumn="0" w:noHBand="0" w:noVBand="1"/>
      </w:tblPr>
      <w:tblGrid>
        <w:gridCol w:w="2460"/>
        <w:gridCol w:w="1445"/>
        <w:gridCol w:w="1301"/>
        <w:gridCol w:w="1301"/>
        <w:gridCol w:w="1300"/>
        <w:gridCol w:w="1387"/>
      </w:tblGrid>
      <w:tr w:rsidR="000A70B1" w14:paraId="44098F0B" w14:textId="77777777" w:rsidTr="0040753B">
        <w:trPr>
          <w:trHeight w:val="522"/>
        </w:trPr>
        <w:tc>
          <w:tcPr>
            <w:tcW w:w="2460" w:type="dxa"/>
          </w:tcPr>
          <w:p w14:paraId="3F0DFD53" w14:textId="16D0361D" w:rsidR="000A70B1" w:rsidRPr="004C1E13" w:rsidRDefault="000A70B1" w:rsidP="00B328C9">
            <w:pPr>
              <w:jc w:val="both"/>
              <w:rPr>
                <w:b/>
                <w:bCs/>
              </w:rPr>
            </w:pPr>
            <w:r w:rsidRPr="004C1E13">
              <w:rPr>
                <w:b/>
                <w:bCs/>
              </w:rPr>
              <w:t>Ratio</w:t>
            </w:r>
            <w:r w:rsidR="00FF0823" w:rsidRPr="004C1E13">
              <w:rPr>
                <w:b/>
                <w:bCs/>
              </w:rPr>
              <w:t>s</w:t>
            </w:r>
            <w:r w:rsidR="00DE5590" w:rsidRPr="004C1E13">
              <w:rPr>
                <w:b/>
                <w:bCs/>
              </w:rPr>
              <w:t xml:space="preserve"> </w:t>
            </w:r>
          </w:p>
        </w:tc>
        <w:tc>
          <w:tcPr>
            <w:tcW w:w="6734" w:type="dxa"/>
            <w:gridSpan w:val="5"/>
          </w:tcPr>
          <w:p w14:paraId="0EFE121D" w14:textId="017AF41C" w:rsidR="000A70B1" w:rsidRPr="004C1E13" w:rsidRDefault="000A70B1" w:rsidP="00B328C9">
            <w:pPr>
              <w:jc w:val="both"/>
              <w:rPr>
                <w:b/>
                <w:bCs/>
              </w:rPr>
            </w:pPr>
            <w:r w:rsidRPr="004C1E13">
              <w:rPr>
                <w:b/>
                <w:bCs/>
              </w:rPr>
              <w:t>Years</w:t>
            </w:r>
          </w:p>
        </w:tc>
      </w:tr>
      <w:tr w:rsidR="00ED1EB1" w:rsidRPr="004C1E13" w14:paraId="1BD296CE" w14:textId="77777777" w:rsidTr="0040753B">
        <w:trPr>
          <w:trHeight w:val="952"/>
        </w:trPr>
        <w:tc>
          <w:tcPr>
            <w:tcW w:w="2460" w:type="dxa"/>
          </w:tcPr>
          <w:p w14:paraId="3DC16ECA" w14:textId="77777777" w:rsidR="00ED1EB1" w:rsidRDefault="00ED1EB1" w:rsidP="00B328C9">
            <w:pPr>
              <w:jc w:val="both"/>
            </w:pPr>
          </w:p>
        </w:tc>
        <w:tc>
          <w:tcPr>
            <w:tcW w:w="1445" w:type="dxa"/>
          </w:tcPr>
          <w:p w14:paraId="40C41466" w14:textId="1A385294" w:rsidR="00ED1EB1" w:rsidRPr="004C1E13" w:rsidRDefault="004B16B6" w:rsidP="00B328C9">
            <w:pPr>
              <w:jc w:val="both"/>
              <w:rPr>
                <w:b/>
                <w:bCs/>
              </w:rPr>
            </w:pPr>
            <w:r w:rsidRPr="004C1E13">
              <w:rPr>
                <w:b/>
                <w:bCs/>
              </w:rPr>
              <w:t>2023</w:t>
            </w:r>
          </w:p>
        </w:tc>
        <w:tc>
          <w:tcPr>
            <w:tcW w:w="1301" w:type="dxa"/>
          </w:tcPr>
          <w:p w14:paraId="3D4F5ECD" w14:textId="5693B144" w:rsidR="00ED1EB1" w:rsidRPr="004C1E13" w:rsidRDefault="004B16B6" w:rsidP="00B328C9">
            <w:pPr>
              <w:jc w:val="both"/>
              <w:rPr>
                <w:b/>
                <w:bCs/>
              </w:rPr>
            </w:pPr>
            <w:r w:rsidRPr="004C1E13">
              <w:rPr>
                <w:b/>
                <w:bCs/>
              </w:rPr>
              <w:t>2022</w:t>
            </w:r>
          </w:p>
        </w:tc>
        <w:tc>
          <w:tcPr>
            <w:tcW w:w="1301" w:type="dxa"/>
          </w:tcPr>
          <w:p w14:paraId="28F4BED5" w14:textId="4998A7BB" w:rsidR="00ED1EB1" w:rsidRPr="004C1E13" w:rsidRDefault="004B16B6" w:rsidP="00B328C9">
            <w:pPr>
              <w:jc w:val="both"/>
              <w:rPr>
                <w:b/>
                <w:bCs/>
              </w:rPr>
            </w:pPr>
            <w:r w:rsidRPr="004C1E13">
              <w:rPr>
                <w:b/>
                <w:bCs/>
              </w:rPr>
              <w:t>2021</w:t>
            </w:r>
          </w:p>
        </w:tc>
        <w:tc>
          <w:tcPr>
            <w:tcW w:w="1300" w:type="dxa"/>
          </w:tcPr>
          <w:p w14:paraId="5049BB7B" w14:textId="1888D2B7" w:rsidR="00ED1EB1" w:rsidRPr="004C1E13" w:rsidRDefault="004B16B6" w:rsidP="00B328C9">
            <w:pPr>
              <w:jc w:val="both"/>
              <w:rPr>
                <w:b/>
                <w:bCs/>
              </w:rPr>
            </w:pPr>
            <w:r w:rsidRPr="004C1E13">
              <w:rPr>
                <w:b/>
                <w:bCs/>
              </w:rPr>
              <w:t>2020</w:t>
            </w:r>
          </w:p>
        </w:tc>
        <w:tc>
          <w:tcPr>
            <w:tcW w:w="1384" w:type="dxa"/>
          </w:tcPr>
          <w:p w14:paraId="37AA502D" w14:textId="2C950258" w:rsidR="00ED1EB1" w:rsidRPr="004C1E13" w:rsidRDefault="004B16B6" w:rsidP="00B328C9">
            <w:pPr>
              <w:jc w:val="both"/>
              <w:rPr>
                <w:b/>
                <w:bCs/>
              </w:rPr>
            </w:pPr>
            <w:r w:rsidRPr="004C1E13">
              <w:rPr>
                <w:b/>
                <w:bCs/>
              </w:rPr>
              <w:t>2019</w:t>
            </w:r>
          </w:p>
        </w:tc>
      </w:tr>
      <w:tr w:rsidR="00ED1EB1" w14:paraId="6C8AEA8D" w14:textId="77777777" w:rsidTr="007B587B">
        <w:trPr>
          <w:trHeight w:val="758"/>
        </w:trPr>
        <w:tc>
          <w:tcPr>
            <w:tcW w:w="2460" w:type="dxa"/>
          </w:tcPr>
          <w:p w14:paraId="597327C2" w14:textId="77777777" w:rsidR="00ED1EB1" w:rsidRDefault="00EA62BD" w:rsidP="00B328C9">
            <w:pPr>
              <w:jc w:val="both"/>
            </w:pPr>
            <w:r>
              <w:t>Current Ratio</w:t>
            </w:r>
          </w:p>
          <w:p w14:paraId="78F0291C" w14:textId="3233262C" w:rsidR="00EA62BD" w:rsidRDefault="00EA62BD" w:rsidP="00B328C9">
            <w:pPr>
              <w:jc w:val="both"/>
            </w:pPr>
          </w:p>
        </w:tc>
        <w:tc>
          <w:tcPr>
            <w:tcW w:w="1445" w:type="dxa"/>
          </w:tcPr>
          <w:p w14:paraId="306613EE" w14:textId="71909A60" w:rsidR="00ED1EB1" w:rsidRDefault="00A70F73" w:rsidP="00B328C9">
            <w:pPr>
              <w:jc w:val="both"/>
            </w:pPr>
            <w:r>
              <w:t>1.0451</w:t>
            </w:r>
          </w:p>
        </w:tc>
        <w:tc>
          <w:tcPr>
            <w:tcW w:w="1301" w:type="dxa"/>
          </w:tcPr>
          <w:p w14:paraId="57175592" w14:textId="469869E4" w:rsidR="00ED1EB1" w:rsidRDefault="00A70F73" w:rsidP="00B328C9">
            <w:pPr>
              <w:jc w:val="both"/>
            </w:pPr>
            <w:r>
              <w:t>0.9446</w:t>
            </w:r>
          </w:p>
        </w:tc>
        <w:tc>
          <w:tcPr>
            <w:tcW w:w="1301" w:type="dxa"/>
          </w:tcPr>
          <w:p w14:paraId="353AA026" w14:textId="4A3728BE" w:rsidR="00ED1EB1" w:rsidRDefault="009E1236" w:rsidP="00B328C9">
            <w:pPr>
              <w:jc w:val="both"/>
            </w:pPr>
            <w:r>
              <w:t>1.1358</w:t>
            </w:r>
          </w:p>
        </w:tc>
        <w:tc>
          <w:tcPr>
            <w:tcW w:w="1300" w:type="dxa"/>
          </w:tcPr>
          <w:p w14:paraId="251EB10A" w14:textId="4020F2A7" w:rsidR="00ED1EB1" w:rsidRDefault="009E1236" w:rsidP="00B328C9">
            <w:pPr>
              <w:jc w:val="both"/>
            </w:pPr>
            <w:r>
              <w:t>1.0502</w:t>
            </w:r>
          </w:p>
        </w:tc>
        <w:tc>
          <w:tcPr>
            <w:tcW w:w="1384" w:type="dxa"/>
          </w:tcPr>
          <w:p w14:paraId="257AA14E" w14:textId="4C432B73" w:rsidR="00ED1EB1" w:rsidRDefault="009E1236" w:rsidP="00B328C9">
            <w:pPr>
              <w:jc w:val="both"/>
            </w:pPr>
            <w:r>
              <w:t>1.097</w:t>
            </w:r>
          </w:p>
        </w:tc>
      </w:tr>
      <w:tr w:rsidR="00ED1EB1" w14:paraId="72AA9E78" w14:textId="77777777" w:rsidTr="007B587B">
        <w:trPr>
          <w:trHeight w:val="698"/>
        </w:trPr>
        <w:tc>
          <w:tcPr>
            <w:tcW w:w="2460" w:type="dxa"/>
          </w:tcPr>
          <w:p w14:paraId="28550C6C" w14:textId="16030D47" w:rsidR="00ED1EB1" w:rsidRDefault="00C60606" w:rsidP="00B328C9">
            <w:pPr>
              <w:jc w:val="both"/>
            </w:pPr>
            <w:r>
              <w:t>Quick Ratio</w:t>
            </w:r>
          </w:p>
        </w:tc>
        <w:tc>
          <w:tcPr>
            <w:tcW w:w="1445" w:type="dxa"/>
          </w:tcPr>
          <w:p w14:paraId="61CA65F9" w14:textId="1979CFD2" w:rsidR="00ED1EB1" w:rsidRDefault="004F419B" w:rsidP="00B328C9">
            <w:pPr>
              <w:jc w:val="both"/>
            </w:pPr>
            <w:r>
              <w:t>0.84</w:t>
            </w:r>
          </w:p>
        </w:tc>
        <w:tc>
          <w:tcPr>
            <w:tcW w:w="1301" w:type="dxa"/>
          </w:tcPr>
          <w:p w14:paraId="2CB6DA06" w14:textId="6A13C7DC" w:rsidR="00ED1EB1" w:rsidRDefault="009701B4" w:rsidP="00B328C9">
            <w:pPr>
              <w:jc w:val="both"/>
            </w:pPr>
            <w:r>
              <w:t>0.72</w:t>
            </w:r>
          </w:p>
        </w:tc>
        <w:tc>
          <w:tcPr>
            <w:tcW w:w="1301" w:type="dxa"/>
          </w:tcPr>
          <w:p w14:paraId="7DD6E67A" w14:textId="11EEC8CC" w:rsidR="00ED1EB1" w:rsidRDefault="009701B4" w:rsidP="00B328C9">
            <w:pPr>
              <w:jc w:val="both"/>
            </w:pPr>
            <w:r>
              <w:t>0.91</w:t>
            </w:r>
          </w:p>
        </w:tc>
        <w:tc>
          <w:tcPr>
            <w:tcW w:w="1300" w:type="dxa"/>
          </w:tcPr>
          <w:p w14:paraId="3854CF68" w14:textId="04E37408" w:rsidR="00ED1EB1" w:rsidRDefault="009701B4" w:rsidP="00B328C9">
            <w:pPr>
              <w:jc w:val="both"/>
            </w:pPr>
            <w:r>
              <w:t>0.86</w:t>
            </w:r>
          </w:p>
        </w:tc>
        <w:tc>
          <w:tcPr>
            <w:tcW w:w="1384" w:type="dxa"/>
          </w:tcPr>
          <w:p w14:paraId="28A590A4" w14:textId="24532AA5" w:rsidR="00ED1EB1" w:rsidRDefault="002E5981" w:rsidP="00B328C9">
            <w:pPr>
              <w:jc w:val="both"/>
            </w:pPr>
            <w:r>
              <w:t>0.86</w:t>
            </w:r>
          </w:p>
        </w:tc>
      </w:tr>
      <w:tr w:rsidR="00ED1EB1" w14:paraId="7B0205D8" w14:textId="77777777" w:rsidTr="007B587B">
        <w:trPr>
          <w:trHeight w:val="694"/>
        </w:trPr>
        <w:tc>
          <w:tcPr>
            <w:tcW w:w="2460" w:type="dxa"/>
          </w:tcPr>
          <w:p w14:paraId="168E58F5" w14:textId="78954AC4" w:rsidR="00ED1EB1" w:rsidRDefault="00C60606" w:rsidP="00B328C9">
            <w:pPr>
              <w:jc w:val="both"/>
            </w:pPr>
            <w:r>
              <w:t>Operating Cash Flow Ratio</w:t>
            </w:r>
          </w:p>
        </w:tc>
        <w:tc>
          <w:tcPr>
            <w:tcW w:w="1445" w:type="dxa"/>
          </w:tcPr>
          <w:p w14:paraId="6DF7701D" w14:textId="56FFEC6F" w:rsidR="00ED1EB1" w:rsidRDefault="00FF13F5" w:rsidP="00B328C9">
            <w:pPr>
              <w:jc w:val="both"/>
            </w:pPr>
            <w:r>
              <w:t>0.51</w:t>
            </w:r>
          </w:p>
        </w:tc>
        <w:tc>
          <w:tcPr>
            <w:tcW w:w="1301" w:type="dxa"/>
          </w:tcPr>
          <w:p w14:paraId="489502D1" w14:textId="4F3826AF" w:rsidR="00ED1EB1" w:rsidRDefault="00885191" w:rsidP="00B328C9">
            <w:pPr>
              <w:jc w:val="both"/>
            </w:pPr>
            <w:r>
              <w:t>0.30</w:t>
            </w:r>
          </w:p>
        </w:tc>
        <w:tc>
          <w:tcPr>
            <w:tcW w:w="1301" w:type="dxa"/>
          </w:tcPr>
          <w:p w14:paraId="1799F68D" w14:textId="4E93BFBA" w:rsidR="00ED1EB1" w:rsidRDefault="00062DA3" w:rsidP="00B328C9">
            <w:pPr>
              <w:jc w:val="both"/>
            </w:pPr>
            <w:r>
              <w:t>0.33</w:t>
            </w:r>
          </w:p>
        </w:tc>
        <w:tc>
          <w:tcPr>
            <w:tcW w:w="1300" w:type="dxa"/>
          </w:tcPr>
          <w:p w14:paraId="089444E9" w14:textId="0C6E8785" w:rsidR="00ED1EB1" w:rsidRDefault="00B32C82" w:rsidP="00B328C9">
            <w:pPr>
              <w:jc w:val="both"/>
            </w:pPr>
            <w:r>
              <w:t>0.52</w:t>
            </w:r>
          </w:p>
        </w:tc>
        <w:tc>
          <w:tcPr>
            <w:tcW w:w="1384" w:type="dxa"/>
          </w:tcPr>
          <w:p w14:paraId="3B244F46" w14:textId="34F4E9F9" w:rsidR="00ED1EB1" w:rsidRDefault="00335263" w:rsidP="00B328C9">
            <w:pPr>
              <w:jc w:val="both"/>
            </w:pPr>
            <w:r>
              <w:t>0.44</w:t>
            </w:r>
          </w:p>
        </w:tc>
      </w:tr>
      <w:tr w:rsidR="00ED1EB1" w14:paraId="3D8FB883" w14:textId="77777777" w:rsidTr="007B587B">
        <w:trPr>
          <w:trHeight w:val="718"/>
        </w:trPr>
        <w:tc>
          <w:tcPr>
            <w:tcW w:w="2460" w:type="dxa"/>
          </w:tcPr>
          <w:p w14:paraId="17A7325F" w14:textId="14B7C0B7" w:rsidR="00ED1EB1" w:rsidRDefault="002E6C79" w:rsidP="00B328C9">
            <w:pPr>
              <w:jc w:val="both"/>
            </w:pPr>
            <w:r>
              <w:t>Debt to equity ratio</w:t>
            </w:r>
          </w:p>
        </w:tc>
        <w:tc>
          <w:tcPr>
            <w:tcW w:w="1445" w:type="dxa"/>
          </w:tcPr>
          <w:p w14:paraId="04442694" w14:textId="6AD0928F" w:rsidR="00ED1EB1" w:rsidRDefault="00614256" w:rsidP="00B328C9">
            <w:pPr>
              <w:jc w:val="both"/>
            </w:pPr>
            <w:r>
              <w:t>1.62</w:t>
            </w:r>
          </w:p>
        </w:tc>
        <w:tc>
          <w:tcPr>
            <w:tcW w:w="1301" w:type="dxa"/>
          </w:tcPr>
          <w:p w14:paraId="4588BADB" w14:textId="0D208AA5" w:rsidR="00ED1EB1" w:rsidRDefault="00B4216F" w:rsidP="00B328C9">
            <w:pPr>
              <w:jc w:val="both"/>
            </w:pPr>
            <w:r>
              <w:t>2.17</w:t>
            </w:r>
          </w:p>
        </w:tc>
        <w:tc>
          <w:tcPr>
            <w:tcW w:w="1301" w:type="dxa"/>
          </w:tcPr>
          <w:p w14:paraId="29753B27" w14:textId="40FA5B85" w:rsidR="00ED1EB1" w:rsidRDefault="00B4216F" w:rsidP="00B328C9">
            <w:pPr>
              <w:jc w:val="both"/>
            </w:pPr>
            <w:r>
              <w:t>2.04</w:t>
            </w:r>
          </w:p>
        </w:tc>
        <w:tc>
          <w:tcPr>
            <w:tcW w:w="1300" w:type="dxa"/>
          </w:tcPr>
          <w:p w14:paraId="116B079C" w14:textId="7DDCB6E0" w:rsidR="00ED1EB1" w:rsidRDefault="00A03ACD" w:rsidP="00B328C9">
            <w:pPr>
              <w:jc w:val="both"/>
            </w:pPr>
            <w:r>
              <w:t>2.44</w:t>
            </w:r>
          </w:p>
        </w:tc>
        <w:tc>
          <w:tcPr>
            <w:tcW w:w="1384" w:type="dxa"/>
          </w:tcPr>
          <w:p w14:paraId="520FA73D" w14:textId="081E9342" w:rsidR="00ED1EB1" w:rsidRDefault="00A03ACD" w:rsidP="00B328C9">
            <w:pPr>
              <w:jc w:val="both"/>
            </w:pPr>
            <w:r>
              <w:t>2.63</w:t>
            </w:r>
          </w:p>
        </w:tc>
      </w:tr>
      <w:tr w:rsidR="00ED1EB1" w14:paraId="70D92DB0" w14:textId="77777777" w:rsidTr="007B587B">
        <w:trPr>
          <w:trHeight w:val="685"/>
        </w:trPr>
        <w:tc>
          <w:tcPr>
            <w:tcW w:w="2460" w:type="dxa"/>
          </w:tcPr>
          <w:p w14:paraId="4DA63BE7" w14:textId="40B0864C" w:rsidR="00ED1EB1" w:rsidRDefault="002E6C79" w:rsidP="00B328C9">
            <w:pPr>
              <w:jc w:val="both"/>
            </w:pPr>
            <w:r>
              <w:t>Debt ratio</w:t>
            </w:r>
          </w:p>
        </w:tc>
        <w:tc>
          <w:tcPr>
            <w:tcW w:w="1445" w:type="dxa"/>
          </w:tcPr>
          <w:p w14:paraId="7D54DD3D" w14:textId="7B4DF70F" w:rsidR="00ED1EB1" w:rsidRDefault="009E0CFC" w:rsidP="00B328C9">
            <w:pPr>
              <w:jc w:val="both"/>
            </w:pPr>
            <w:r>
              <w:t>0.6</w:t>
            </w:r>
            <w:r w:rsidR="00443EFB">
              <w:t>2</w:t>
            </w:r>
          </w:p>
        </w:tc>
        <w:tc>
          <w:tcPr>
            <w:tcW w:w="1301" w:type="dxa"/>
          </w:tcPr>
          <w:p w14:paraId="3BB86293" w14:textId="63D1B208" w:rsidR="00ED1EB1" w:rsidRDefault="00443EFB" w:rsidP="00B328C9">
            <w:pPr>
              <w:jc w:val="both"/>
            </w:pPr>
            <w:r>
              <w:t>0.68</w:t>
            </w:r>
          </w:p>
        </w:tc>
        <w:tc>
          <w:tcPr>
            <w:tcW w:w="1301" w:type="dxa"/>
          </w:tcPr>
          <w:p w14:paraId="2BAA6D28" w14:textId="78E594DF" w:rsidR="00ED1EB1" w:rsidRDefault="00E708D7" w:rsidP="00B328C9">
            <w:pPr>
              <w:jc w:val="both"/>
            </w:pPr>
            <w:r>
              <w:t>0.67</w:t>
            </w:r>
          </w:p>
        </w:tc>
        <w:tc>
          <w:tcPr>
            <w:tcW w:w="1300" w:type="dxa"/>
          </w:tcPr>
          <w:p w14:paraId="442A6382" w14:textId="4D438E47" w:rsidR="00ED1EB1" w:rsidRDefault="00972F1A" w:rsidP="00B328C9">
            <w:pPr>
              <w:jc w:val="both"/>
            </w:pPr>
            <w:r>
              <w:t>0.71</w:t>
            </w:r>
          </w:p>
        </w:tc>
        <w:tc>
          <w:tcPr>
            <w:tcW w:w="1384" w:type="dxa"/>
          </w:tcPr>
          <w:p w14:paraId="2938531C" w14:textId="5AB35B90" w:rsidR="00ED1EB1" w:rsidRDefault="0005539F" w:rsidP="00B328C9">
            <w:pPr>
              <w:jc w:val="both"/>
            </w:pPr>
            <w:r>
              <w:t>0.72</w:t>
            </w:r>
          </w:p>
        </w:tc>
      </w:tr>
      <w:tr w:rsidR="002E6C79" w14:paraId="5CF4DAA4" w14:textId="77777777" w:rsidTr="007B587B">
        <w:trPr>
          <w:trHeight w:val="695"/>
        </w:trPr>
        <w:tc>
          <w:tcPr>
            <w:tcW w:w="2460" w:type="dxa"/>
          </w:tcPr>
          <w:p w14:paraId="6CD5AF59" w14:textId="784C87AD" w:rsidR="002E6C79" w:rsidRDefault="002E6C79" w:rsidP="00B328C9">
            <w:pPr>
              <w:jc w:val="both"/>
            </w:pPr>
            <w:r>
              <w:t>Equity Ratio</w:t>
            </w:r>
          </w:p>
        </w:tc>
        <w:tc>
          <w:tcPr>
            <w:tcW w:w="1445" w:type="dxa"/>
          </w:tcPr>
          <w:p w14:paraId="5CB4D096" w14:textId="39FD5285" w:rsidR="002E6C79" w:rsidRDefault="004610A0" w:rsidP="00B328C9">
            <w:pPr>
              <w:jc w:val="both"/>
            </w:pPr>
            <w:r>
              <w:t>0.38</w:t>
            </w:r>
          </w:p>
        </w:tc>
        <w:tc>
          <w:tcPr>
            <w:tcW w:w="1301" w:type="dxa"/>
          </w:tcPr>
          <w:p w14:paraId="1FB2E096" w14:textId="74A6BDDC" w:rsidR="002E6C79" w:rsidRDefault="003565AE" w:rsidP="00B328C9">
            <w:pPr>
              <w:jc w:val="both"/>
            </w:pPr>
            <w:r>
              <w:t>0.32</w:t>
            </w:r>
          </w:p>
        </w:tc>
        <w:tc>
          <w:tcPr>
            <w:tcW w:w="1301" w:type="dxa"/>
          </w:tcPr>
          <w:p w14:paraId="2C5EA905" w14:textId="755DFA9D" w:rsidR="002E6C79" w:rsidRDefault="00AE2944" w:rsidP="00B328C9">
            <w:pPr>
              <w:jc w:val="both"/>
            </w:pPr>
            <w:r>
              <w:t>0.32</w:t>
            </w:r>
          </w:p>
        </w:tc>
        <w:tc>
          <w:tcPr>
            <w:tcW w:w="1300" w:type="dxa"/>
          </w:tcPr>
          <w:p w14:paraId="4686E614" w14:textId="22BAEEA2" w:rsidR="002E6C79" w:rsidRDefault="0057247F" w:rsidP="00B328C9">
            <w:pPr>
              <w:jc w:val="both"/>
            </w:pPr>
            <w:r>
              <w:t>0.29</w:t>
            </w:r>
          </w:p>
        </w:tc>
        <w:tc>
          <w:tcPr>
            <w:tcW w:w="1384" w:type="dxa"/>
          </w:tcPr>
          <w:p w14:paraId="40356F1F" w14:textId="5456D87E" w:rsidR="002E6C79" w:rsidRDefault="00180250" w:rsidP="00B328C9">
            <w:pPr>
              <w:jc w:val="both"/>
            </w:pPr>
            <w:r>
              <w:t>0.28</w:t>
            </w:r>
          </w:p>
        </w:tc>
      </w:tr>
    </w:tbl>
    <w:p w14:paraId="76C74736" w14:textId="1E18802E" w:rsidR="00473C23" w:rsidRDefault="00473C23" w:rsidP="00B328C9">
      <w:pPr>
        <w:jc w:val="both"/>
        <w:rPr>
          <w:rStyle w:val="IntenseReference"/>
        </w:rPr>
      </w:pPr>
      <w:r w:rsidRPr="00ED1EB1">
        <w:rPr>
          <w:rStyle w:val="IntenseReference"/>
        </w:rPr>
        <w:t>Table 2</w:t>
      </w:r>
    </w:p>
    <w:p w14:paraId="6CB475F2" w14:textId="77777777" w:rsidR="002E6C79" w:rsidRPr="00ED1EB1" w:rsidRDefault="002E6C79" w:rsidP="00B328C9">
      <w:pPr>
        <w:jc w:val="both"/>
        <w:rPr>
          <w:rStyle w:val="IntenseReference"/>
        </w:rPr>
      </w:pPr>
    </w:p>
    <w:p w14:paraId="6C1EDB1C" w14:textId="77777777" w:rsidR="00473C23" w:rsidRDefault="00473C23" w:rsidP="00B328C9">
      <w:pPr>
        <w:jc w:val="both"/>
      </w:pPr>
    </w:p>
    <w:p w14:paraId="0A2EA58F" w14:textId="6F53C941" w:rsidR="00473C23" w:rsidRPr="00C20652" w:rsidRDefault="0005539F" w:rsidP="00B328C9">
      <w:pPr>
        <w:jc w:val="both"/>
        <w:rPr>
          <w:rStyle w:val="IntenseReference"/>
        </w:rPr>
      </w:pPr>
      <w:r w:rsidRPr="00C20652">
        <w:rPr>
          <w:rStyle w:val="IntenseReference"/>
        </w:rPr>
        <w:t>Source: Created by learner</w:t>
      </w:r>
    </w:p>
    <w:p w14:paraId="135214D2" w14:textId="77777777" w:rsidR="00473C23" w:rsidRDefault="00473C23" w:rsidP="00B328C9">
      <w:pPr>
        <w:jc w:val="both"/>
      </w:pPr>
    </w:p>
    <w:p w14:paraId="3AD8AC57" w14:textId="4DCC4448" w:rsidR="00473C23" w:rsidRDefault="004257BD" w:rsidP="00B328C9">
      <w:pPr>
        <w:jc w:val="both"/>
        <w:rPr>
          <w:rStyle w:val="IntenseReference"/>
        </w:rPr>
      </w:pPr>
      <w:r w:rsidRPr="004257BD">
        <w:rPr>
          <w:rStyle w:val="IntenseReference"/>
        </w:rPr>
        <w:t>Figure 1</w:t>
      </w:r>
    </w:p>
    <w:p w14:paraId="181FB9DF" w14:textId="77777777" w:rsidR="00B95A64" w:rsidRDefault="00B95A64" w:rsidP="00B328C9">
      <w:pPr>
        <w:jc w:val="both"/>
        <w:rPr>
          <w:rStyle w:val="IntenseReference"/>
        </w:rPr>
      </w:pPr>
    </w:p>
    <w:p w14:paraId="35E5FEB0" w14:textId="536877FC" w:rsidR="00B95A64" w:rsidRDefault="00B95A64" w:rsidP="00B328C9">
      <w:pPr>
        <w:jc w:val="both"/>
        <w:rPr>
          <w:rStyle w:val="IntenseReference"/>
        </w:rPr>
      </w:pPr>
      <w:r>
        <w:rPr>
          <w:noProof/>
        </w:rPr>
        <w:drawing>
          <wp:inline distT="0" distB="0" distL="0" distR="0" wp14:anchorId="69CFD46A" wp14:editId="7724C6EF">
            <wp:extent cx="5036820" cy="2484120"/>
            <wp:effectExtent l="0" t="0" r="11430" b="11430"/>
            <wp:docPr id="23739360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2F25FFA" w14:textId="44CB64EF" w:rsidR="008903EC" w:rsidRPr="004257BD" w:rsidRDefault="00C20652" w:rsidP="00B328C9">
      <w:pPr>
        <w:jc w:val="both"/>
        <w:rPr>
          <w:rStyle w:val="IntenseReference"/>
        </w:rPr>
      </w:pPr>
      <w:r>
        <w:rPr>
          <w:rStyle w:val="IntenseReference"/>
        </w:rPr>
        <w:t>Source: Created by learner</w:t>
      </w:r>
    </w:p>
    <w:p w14:paraId="47168F55" w14:textId="6ECAE92E" w:rsidR="00473C23" w:rsidRPr="00040484" w:rsidRDefault="00040484" w:rsidP="00B328C9">
      <w:pPr>
        <w:jc w:val="both"/>
        <w:rPr>
          <w:rStyle w:val="IntenseReference"/>
        </w:rPr>
      </w:pPr>
      <w:r w:rsidRPr="00040484">
        <w:rPr>
          <w:rStyle w:val="IntenseReference"/>
        </w:rPr>
        <w:t>Figure 2</w:t>
      </w:r>
    </w:p>
    <w:p w14:paraId="6893EE6E" w14:textId="77777777" w:rsidR="00473C23" w:rsidRDefault="00473C23" w:rsidP="00B328C9">
      <w:pPr>
        <w:jc w:val="both"/>
      </w:pPr>
    </w:p>
    <w:p w14:paraId="34B4C47D" w14:textId="6907C0C0" w:rsidR="00473C23" w:rsidRDefault="00C20652" w:rsidP="00B328C9">
      <w:pPr>
        <w:jc w:val="both"/>
      </w:pPr>
      <w:r>
        <w:rPr>
          <w:noProof/>
        </w:rPr>
        <w:drawing>
          <wp:inline distT="0" distB="0" distL="0" distR="0" wp14:anchorId="697A674E" wp14:editId="58C6BE86">
            <wp:extent cx="5486400" cy="3200400"/>
            <wp:effectExtent l="0" t="0" r="0" b="0"/>
            <wp:docPr id="84041316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01A5E8" w14:textId="0653535D" w:rsidR="00473C23" w:rsidRPr="006A5CC4" w:rsidRDefault="006A5CC4" w:rsidP="00B328C9">
      <w:pPr>
        <w:jc w:val="both"/>
        <w:rPr>
          <w:rStyle w:val="IntenseReference"/>
        </w:rPr>
      </w:pPr>
      <w:r w:rsidRPr="006A5CC4">
        <w:rPr>
          <w:rStyle w:val="IntenseReference"/>
        </w:rPr>
        <w:t>Source: Created by learner</w:t>
      </w:r>
    </w:p>
    <w:p w14:paraId="1D10966D" w14:textId="77777777" w:rsidR="00473C23" w:rsidRDefault="00473C23" w:rsidP="00B328C9">
      <w:pPr>
        <w:jc w:val="both"/>
      </w:pPr>
    </w:p>
    <w:p w14:paraId="3E5F7974" w14:textId="16875E01" w:rsidR="00473C23" w:rsidRDefault="00012940" w:rsidP="00B328C9">
      <w:pPr>
        <w:jc w:val="both"/>
      </w:pPr>
      <w:r>
        <w:t>Comment Pending</w:t>
      </w:r>
    </w:p>
    <w:p w14:paraId="2CB9C1BF" w14:textId="640B0DED" w:rsidR="001420AB" w:rsidRDefault="001420AB" w:rsidP="00B328C9">
      <w:pPr>
        <w:jc w:val="both"/>
      </w:pPr>
      <w:r>
        <w:t>Competit</w:t>
      </w:r>
      <w:r w:rsidR="009929CC">
        <w:t xml:space="preserve">or analysis pending </w:t>
      </w:r>
    </w:p>
    <w:p w14:paraId="1412CD20" w14:textId="3998C662" w:rsidR="009929CC" w:rsidRDefault="009929CC" w:rsidP="00B328C9">
      <w:pPr>
        <w:jc w:val="both"/>
      </w:pPr>
      <w:r>
        <w:t>Critical ana</w:t>
      </w:r>
      <w:r w:rsidR="00DA2189">
        <w:t>lysis pending</w:t>
      </w:r>
    </w:p>
    <w:p w14:paraId="1CB66A82" w14:textId="5FACE8A8" w:rsidR="00012940" w:rsidRDefault="00DA2189" w:rsidP="00B328C9">
      <w:pPr>
        <w:jc w:val="both"/>
      </w:pPr>
      <w:r>
        <w:t xml:space="preserve">WACC </w:t>
      </w:r>
      <w:proofErr w:type="gramStart"/>
      <w:r>
        <w:t>pending</w:t>
      </w:r>
      <w:proofErr w:type="gramEnd"/>
      <w:r>
        <w:t xml:space="preserve"> </w:t>
      </w:r>
    </w:p>
    <w:p w14:paraId="774A3824" w14:textId="77777777" w:rsidR="00361968" w:rsidRDefault="00361968" w:rsidP="00B328C9">
      <w:pPr>
        <w:pStyle w:val="Heading1"/>
        <w:jc w:val="both"/>
      </w:pPr>
    </w:p>
    <w:p w14:paraId="69621951" w14:textId="77777777" w:rsidR="00361968" w:rsidRDefault="00361968" w:rsidP="00361968">
      <w:pPr>
        <w:pStyle w:val="Heading1"/>
      </w:pPr>
    </w:p>
    <w:p w14:paraId="7CABEFEB" w14:textId="77777777" w:rsidR="00361968" w:rsidRDefault="00361968" w:rsidP="00361968">
      <w:pPr>
        <w:pStyle w:val="Heading1"/>
      </w:pPr>
    </w:p>
    <w:p w14:paraId="4953635A" w14:textId="77777777" w:rsidR="00361968" w:rsidRDefault="00361968" w:rsidP="00361968">
      <w:pPr>
        <w:pStyle w:val="Heading1"/>
      </w:pPr>
    </w:p>
    <w:p w14:paraId="5E5C378A" w14:textId="77777777" w:rsidR="00361968" w:rsidRDefault="00361968" w:rsidP="00361968">
      <w:pPr>
        <w:pStyle w:val="Heading1"/>
      </w:pPr>
    </w:p>
    <w:p w14:paraId="370F74E3" w14:textId="77777777" w:rsidR="00361968" w:rsidRDefault="00361968" w:rsidP="00361968"/>
    <w:p w14:paraId="1CC59F72" w14:textId="77777777" w:rsidR="00361968" w:rsidRPr="00361968" w:rsidRDefault="00361968" w:rsidP="00361968"/>
    <w:p w14:paraId="0D273889" w14:textId="12CB9BB4" w:rsidR="00012940" w:rsidRDefault="00361968" w:rsidP="00361968">
      <w:pPr>
        <w:pStyle w:val="Heading1"/>
      </w:pPr>
      <w:bookmarkStart w:id="4" w:name="_Toc162995789"/>
      <w:r>
        <w:t>Financial figures of Walmart</w:t>
      </w:r>
      <w:bookmarkEnd w:id="4"/>
    </w:p>
    <w:p w14:paraId="7D7BA566" w14:textId="77777777" w:rsidR="00361968" w:rsidRDefault="00361968" w:rsidP="00361968"/>
    <w:p w14:paraId="4A0350A6" w14:textId="77777777" w:rsidR="00361968" w:rsidRDefault="00361968" w:rsidP="00361968"/>
    <w:p w14:paraId="51C1AB74" w14:textId="77777777" w:rsidR="00361968" w:rsidRDefault="00361968" w:rsidP="00361968"/>
    <w:p w14:paraId="1166644F" w14:textId="77777777" w:rsidR="00361968" w:rsidRPr="00361968" w:rsidRDefault="00361968" w:rsidP="00361968"/>
    <w:sectPr w:rsidR="00361968" w:rsidRPr="003619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2E983" w14:textId="77777777" w:rsidR="008903EC" w:rsidRDefault="008903EC" w:rsidP="008903EC">
      <w:pPr>
        <w:spacing w:after="0" w:line="240" w:lineRule="auto"/>
      </w:pPr>
      <w:r>
        <w:separator/>
      </w:r>
    </w:p>
  </w:endnote>
  <w:endnote w:type="continuationSeparator" w:id="0">
    <w:p w14:paraId="58056FBD" w14:textId="77777777" w:rsidR="008903EC" w:rsidRDefault="008903EC" w:rsidP="00890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7F38B" w14:textId="77777777" w:rsidR="008903EC" w:rsidRDefault="008903EC" w:rsidP="008903EC">
      <w:pPr>
        <w:spacing w:after="0" w:line="240" w:lineRule="auto"/>
      </w:pPr>
      <w:r>
        <w:separator/>
      </w:r>
    </w:p>
  </w:footnote>
  <w:footnote w:type="continuationSeparator" w:id="0">
    <w:p w14:paraId="157E243B" w14:textId="77777777" w:rsidR="008903EC" w:rsidRDefault="008903EC" w:rsidP="008903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D65"/>
    <w:rsid w:val="00012940"/>
    <w:rsid w:val="000133F2"/>
    <w:rsid w:val="00030F1C"/>
    <w:rsid w:val="00040484"/>
    <w:rsid w:val="0005539F"/>
    <w:rsid w:val="000566F1"/>
    <w:rsid w:val="00062DA3"/>
    <w:rsid w:val="000A70B1"/>
    <w:rsid w:val="000E0826"/>
    <w:rsid w:val="00114410"/>
    <w:rsid w:val="00134FB9"/>
    <w:rsid w:val="001420AB"/>
    <w:rsid w:val="00154A80"/>
    <w:rsid w:val="0016784C"/>
    <w:rsid w:val="00180250"/>
    <w:rsid w:val="001C744D"/>
    <w:rsid w:val="00201A5F"/>
    <w:rsid w:val="0021014A"/>
    <w:rsid w:val="00261EE0"/>
    <w:rsid w:val="00266BAC"/>
    <w:rsid w:val="0027756E"/>
    <w:rsid w:val="002B3401"/>
    <w:rsid w:val="002E5981"/>
    <w:rsid w:val="002E6C79"/>
    <w:rsid w:val="0031632A"/>
    <w:rsid w:val="00330B1D"/>
    <w:rsid w:val="00335263"/>
    <w:rsid w:val="003565AE"/>
    <w:rsid w:val="00361968"/>
    <w:rsid w:val="003F1A25"/>
    <w:rsid w:val="0040753B"/>
    <w:rsid w:val="00412511"/>
    <w:rsid w:val="004157E5"/>
    <w:rsid w:val="004257BD"/>
    <w:rsid w:val="00441462"/>
    <w:rsid w:val="00443EFB"/>
    <w:rsid w:val="00444EBF"/>
    <w:rsid w:val="004610A0"/>
    <w:rsid w:val="004707F0"/>
    <w:rsid w:val="00473C23"/>
    <w:rsid w:val="004B16B6"/>
    <w:rsid w:val="004C1E13"/>
    <w:rsid w:val="004D505A"/>
    <w:rsid w:val="004F419B"/>
    <w:rsid w:val="005268E4"/>
    <w:rsid w:val="0057247F"/>
    <w:rsid w:val="005742F2"/>
    <w:rsid w:val="005809C3"/>
    <w:rsid w:val="005A09F0"/>
    <w:rsid w:val="005A7D80"/>
    <w:rsid w:val="006000DB"/>
    <w:rsid w:val="006024F2"/>
    <w:rsid w:val="00610B9A"/>
    <w:rsid w:val="00614256"/>
    <w:rsid w:val="00657056"/>
    <w:rsid w:val="006A5CC4"/>
    <w:rsid w:val="006B1E5D"/>
    <w:rsid w:val="006E54A5"/>
    <w:rsid w:val="00701990"/>
    <w:rsid w:val="00702DBB"/>
    <w:rsid w:val="00714DCC"/>
    <w:rsid w:val="00721B88"/>
    <w:rsid w:val="00723D65"/>
    <w:rsid w:val="007B587B"/>
    <w:rsid w:val="00802C82"/>
    <w:rsid w:val="008139E3"/>
    <w:rsid w:val="00814045"/>
    <w:rsid w:val="00885191"/>
    <w:rsid w:val="008903EC"/>
    <w:rsid w:val="008A0B0F"/>
    <w:rsid w:val="008A25B0"/>
    <w:rsid w:val="008B1F4C"/>
    <w:rsid w:val="008D03A5"/>
    <w:rsid w:val="008F6BD0"/>
    <w:rsid w:val="00900FAA"/>
    <w:rsid w:val="00921AB5"/>
    <w:rsid w:val="00934246"/>
    <w:rsid w:val="009426DF"/>
    <w:rsid w:val="00960FD5"/>
    <w:rsid w:val="009612AA"/>
    <w:rsid w:val="009701B4"/>
    <w:rsid w:val="00971B32"/>
    <w:rsid w:val="00972F1A"/>
    <w:rsid w:val="009929CC"/>
    <w:rsid w:val="009A04A1"/>
    <w:rsid w:val="009E0CFC"/>
    <w:rsid w:val="009E1236"/>
    <w:rsid w:val="00A03ACD"/>
    <w:rsid w:val="00A07355"/>
    <w:rsid w:val="00A70F73"/>
    <w:rsid w:val="00AB4FE7"/>
    <w:rsid w:val="00AE2944"/>
    <w:rsid w:val="00AF3F0C"/>
    <w:rsid w:val="00B168F7"/>
    <w:rsid w:val="00B17956"/>
    <w:rsid w:val="00B328C9"/>
    <w:rsid w:val="00B32C82"/>
    <w:rsid w:val="00B4216F"/>
    <w:rsid w:val="00B60DA3"/>
    <w:rsid w:val="00B735DF"/>
    <w:rsid w:val="00B95A64"/>
    <w:rsid w:val="00C20652"/>
    <w:rsid w:val="00C60606"/>
    <w:rsid w:val="00C74CE6"/>
    <w:rsid w:val="00CB5FA1"/>
    <w:rsid w:val="00CC64E5"/>
    <w:rsid w:val="00CD0A88"/>
    <w:rsid w:val="00D10B74"/>
    <w:rsid w:val="00D23F11"/>
    <w:rsid w:val="00D31A2A"/>
    <w:rsid w:val="00D34CC8"/>
    <w:rsid w:val="00DA2189"/>
    <w:rsid w:val="00DC57AA"/>
    <w:rsid w:val="00DE5590"/>
    <w:rsid w:val="00E32615"/>
    <w:rsid w:val="00E40F0A"/>
    <w:rsid w:val="00E66F60"/>
    <w:rsid w:val="00E708D7"/>
    <w:rsid w:val="00E92551"/>
    <w:rsid w:val="00E92569"/>
    <w:rsid w:val="00E9431E"/>
    <w:rsid w:val="00EA62BD"/>
    <w:rsid w:val="00ED1EB1"/>
    <w:rsid w:val="00F033F5"/>
    <w:rsid w:val="00F201FB"/>
    <w:rsid w:val="00F617FD"/>
    <w:rsid w:val="00F754DF"/>
    <w:rsid w:val="00FA4DD9"/>
    <w:rsid w:val="00FC00D2"/>
    <w:rsid w:val="00FF0823"/>
    <w:rsid w:val="00FF1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F79BC0"/>
  <w15:chartTrackingRefBased/>
  <w15:docId w15:val="{B97BA14D-9670-484F-A147-3C2E2D05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D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D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D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D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D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D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D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D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D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D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D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D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D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D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D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D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D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D65"/>
    <w:rPr>
      <w:rFonts w:eastAsiaTheme="majorEastAsia" w:cstheme="majorBidi"/>
      <w:color w:val="272727" w:themeColor="text1" w:themeTint="D8"/>
    </w:rPr>
  </w:style>
  <w:style w:type="paragraph" w:styleId="Title">
    <w:name w:val="Title"/>
    <w:basedOn w:val="Normal"/>
    <w:next w:val="Normal"/>
    <w:link w:val="TitleChar"/>
    <w:uiPriority w:val="10"/>
    <w:qFormat/>
    <w:rsid w:val="00723D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D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D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D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D65"/>
    <w:pPr>
      <w:spacing w:before="160"/>
      <w:jc w:val="center"/>
    </w:pPr>
    <w:rPr>
      <w:i/>
      <w:iCs/>
      <w:color w:val="404040" w:themeColor="text1" w:themeTint="BF"/>
    </w:rPr>
  </w:style>
  <w:style w:type="character" w:customStyle="1" w:styleId="QuoteChar">
    <w:name w:val="Quote Char"/>
    <w:basedOn w:val="DefaultParagraphFont"/>
    <w:link w:val="Quote"/>
    <w:uiPriority w:val="29"/>
    <w:rsid w:val="00723D65"/>
    <w:rPr>
      <w:i/>
      <w:iCs/>
      <w:color w:val="404040" w:themeColor="text1" w:themeTint="BF"/>
    </w:rPr>
  </w:style>
  <w:style w:type="paragraph" w:styleId="ListParagraph">
    <w:name w:val="List Paragraph"/>
    <w:basedOn w:val="Normal"/>
    <w:uiPriority w:val="34"/>
    <w:qFormat/>
    <w:rsid w:val="00723D65"/>
    <w:pPr>
      <w:ind w:left="720"/>
      <w:contextualSpacing/>
    </w:pPr>
  </w:style>
  <w:style w:type="character" w:styleId="IntenseEmphasis">
    <w:name w:val="Intense Emphasis"/>
    <w:basedOn w:val="DefaultParagraphFont"/>
    <w:uiPriority w:val="21"/>
    <w:qFormat/>
    <w:rsid w:val="00723D65"/>
    <w:rPr>
      <w:i/>
      <w:iCs/>
      <w:color w:val="0F4761" w:themeColor="accent1" w:themeShade="BF"/>
    </w:rPr>
  </w:style>
  <w:style w:type="paragraph" w:styleId="IntenseQuote">
    <w:name w:val="Intense Quote"/>
    <w:basedOn w:val="Normal"/>
    <w:next w:val="Normal"/>
    <w:link w:val="IntenseQuoteChar"/>
    <w:uiPriority w:val="30"/>
    <w:qFormat/>
    <w:rsid w:val="00723D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D65"/>
    <w:rPr>
      <w:i/>
      <w:iCs/>
      <w:color w:val="0F4761" w:themeColor="accent1" w:themeShade="BF"/>
    </w:rPr>
  </w:style>
  <w:style w:type="character" w:styleId="IntenseReference">
    <w:name w:val="Intense Reference"/>
    <w:basedOn w:val="DefaultParagraphFont"/>
    <w:uiPriority w:val="32"/>
    <w:qFormat/>
    <w:rsid w:val="00723D65"/>
    <w:rPr>
      <w:b/>
      <w:bCs/>
      <w:smallCaps/>
      <w:color w:val="0F4761" w:themeColor="accent1" w:themeShade="BF"/>
      <w:spacing w:val="5"/>
    </w:rPr>
  </w:style>
  <w:style w:type="table" w:styleId="TableGrid">
    <w:name w:val="Table Grid"/>
    <w:basedOn w:val="TableNormal"/>
    <w:uiPriority w:val="39"/>
    <w:rsid w:val="00971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C744D"/>
    <w:rPr>
      <w:b/>
      <w:bCs/>
    </w:rPr>
  </w:style>
  <w:style w:type="paragraph" w:styleId="TOCHeading">
    <w:name w:val="TOC Heading"/>
    <w:basedOn w:val="Heading1"/>
    <w:next w:val="Normal"/>
    <w:uiPriority w:val="39"/>
    <w:unhideWhenUsed/>
    <w:qFormat/>
    <w:rsid w:val="00134FB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34FB9"/>
    <w:pPr>
      <w:spacing w:after="100"/>
    </w:pPr>
  </w:style>
  <w:style w:type="character" w:styleId="Hyperlink">
    <w:name w:val="Hyperlink"/>
    <w:basedOn w:val="DefaultParagraphFont"/>
    <w:uiPriority w:val="99"/>
    <w:unhideWhenUsed/>
    <w:rsid w:val="00134FB9"/>
    <w:rPr>
      <w:color w:val="467886" w:themeColor="hyperlink"/>
      <w:u w:val="single"/>
    </w:rPr>
  </w:style>
  <w:style w:type="character" w:styleId="SubtleReference">
    <w:name w:val="Subtle Reference"/>
    <w:basedOn w:val="DefaultParagraphFont"/>
    <w:uiPriority w:val="31"/>
    <w:qFormat/>
    <w:rsid w:val="00473C23"/>
    <w:rPr>
      <w:smallCaps/>
      <w:color w:val="5A5A5A" w:themeColor="text1" w:themeTint="A5"/>
    </w:rPr>
  </w:style>
  <w:style w:type="paragraph" w:styleId="Header">
    <w:name w:val="header"/>
    <w:basedOn w:val="Normal"/>
    <w:link w:val="HeaderChar"/>
    <w:uiPriority w:val="99"/>
    <w:unhideWhenUsed/>
    <w:rsid w:val="00890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3EC"/>
  </w:style>
  <w:style w:type="paragraph" w:styleId="Footer">
    <w:name w:val="footer"/>
    <w:basedOn w:val="Normal"/>
    <w:link w:val="FooterChar"/>
    <w:uiPriority w:val="99"/>
    <w:unhideWhenUsed/>
    <w:rsid w:val="00890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350289">
      <w:bodyDiv w:val="1"/>
      <w:marLeft w:val="0"/>
      <w:marRight w:val="0"/>
      <w:marTop w:val="0"/>
      <w:marBottom w:val="0"/>
      <w:divBdr>
        <w:top w:val="none" w:sz="0" w:space="0" w:color="auto"/>
        <w:left w:val="none" w:sz="0" w:space="0" w:color="auto"/>
        <w:bottom w:val="none" w:sz="0" w:space="0" w:color="auto"/>
        <w:right w:val="none" w:sz="0" w:space="0" w:color="auto"/>
      </w:divBdr>
    </w:div>
    <w:div w:id="1100491741">
      <w:bodyDiv w:val="1"/>
      <w:marLeft w:val="0"/>
      <w:marRight w:val="0"/>
      <w:marTop w:val="0"/>
      <w:marBottom w:val="0"/>
      <w:divBdr>
        <w:top w:val="none" w:sz="0" w:space="0" w:color="auto"/>
        <w:left w:val="none" w:sz="0" w:space="0" w:color="auto"/>
        <w:bottom w:val="none" w:sz="0" w:space="0" w:color="auto"/>
        <w:right w:val="none" w:sz="0" w:space="0" w:color="auto"/>
      </w:divBdr>
    </w:div>
    <w:div w:id="1204637240">
      <w:bodyDiv w:val="1"/>
      <w:marLeft w:val="0"/>
      <w:marRight w:val="0"/>
      <w:marTop w:val="0"/>
      <w:marBottom w:val="0"/>
      <w:divBdr>
        <w:top w:val="none" w:sz="0" w:space="0" w:color="auto"/>
        <w:left w:val="none" w:sz="0" w:space="0" w:color="auto"/>
        <w:bottom w:val="none" w:sz="0" w:space="0" w:color="auto"/>
        <w:right w:val="none" w:sz="0" w:space="0" w:color="auto"/>
      </w:divBdr>
    </w:div>
    <w:div w:id="165768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a:t>
            </a:r>
            <a:r>
              <a:rPr lang="en-GB" baseline="0"/>
              <a:t> Ratio of Amazon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7729476523767862E-2"/>
          <c:y val="0.15065523059617547"/>
          <c:w val="0.92912237532808395"/>
          <c:h val="0.67030402449693793"/>
        </c:manualLayout>
      </c:layout>
      <c:barChart>
        <c:barDir val="col"/>
        <c:grouping val="clustered"/>
        <c:varyColors val="0"/>
        <c:ser>
          <c:idx val="0"/>
          <c:order val="0"/>
          <c:tx>
            <c:strRef>
              <c:f>Sheet1!$B$1</c:f>
              <c:strCache>
                <c:ptCount val="1"/>
                <c:pt idx="0">
                  <c:v>Current ratio</c:v>
                </c:pt>
              </c:strCache>
            </c:strRef>
          </c:tx>
          <c:spPr>
            <a:solidFill>
              <a:schemeClr val="accent1"/>
            </a:solidFill>
            <a:ln>
              <a:noFill/>
            </a:ln>
            <a:effectLst/>
          </c:spPr>
          <c:invertIfNegative val="0"/>
          <c:cat>
            <c:numRef>
              <c:f>Sheet1!$A$2:$A$5</c:f>
              <c:numCache>
                <c:formatCode>General</c:formatCode>
                <c:ptCount val="4"/>
                <c:pt idx="0">
                  <c:v>2023</c:v>
                </c:pt>
                <c:pt idx="1">
                  <c:v>2022</c:v>
                </c:pt>
                <c:pt idx="2">
                  <c:v>2021</c:v>
                </c:pt>
                <c:pt idx="3">
                  <c:v>2020</c:v>
                </c:pt>
              </c:numCache>
            </c:numRef>
          </c:cat>
          <c:val>
            <c:numRef>
              <c:f>Sheet1!$B$2:$B$5</c:f>
              <c:numCache>
                <c:formatCode>General</c:formatCode>
                <c:ptCount val="4"/>
                <c:pt idx="0">
                  <c:v>1.0449999999999999</c:v>
                </c:pt>
                <c:pt idx="1">
                  <c:v>0.94499999999999995</c:v>
                </c:pt>
                <c:pt idx="2">
                  <c:v>1.1399999999999999</c:v>
                </c:pt>
                <c:pt idx="3">
                  <c:v>1.05</c:v>
                </c:pt>
              </c:numCache>
            </c:numRef>
          </c:val>
          <c:extLst>
            <c:ext xmlns:c16="http://schemas.microsoft.com/office/drawing/2014/chart" uri="{C3380CC4-5D6E-409C-BE32-E72D297353CC}">
              <c16:uniqueId val="{00000000-6D15-49C7-98DA-6ABDDE5C06A0}"/>
            </c:ext>
          </c:extLst>
        </c:ser>
        <c:ser>
          <c:idx val="1"/>
          <c:order val="1"/>
          <c:tx>
            <c:strRef>
              <c:f>Sheet1!$C$1</c:f>
              <c:strCache>
                <c:ptCount val="1"/>
                <c:pt idx="0">
                  <c:v>Quick  ratio</c:v>
                </c:pt>
              </c:strCache>
            </c:strRef>
          </c:tx>
          <c:spPr>
            <a:solidFill>
              <a:schemeClr val="accent2"/>
            </a:solidFill>
            <a:ln>
              <a:noFill/>
            </a:ln>
            <a:effectLst/>
          </c:spPr>
          <c:invertIfNegative val="0"/>
          <c:cat>
            <c:numRef>
              <c:f>Sheet1!$A$2:$A$5</c:f>
              <c:numCache>
                <c:formatCode>General</c:formatCode>
                <c:ptCount val="4"/>
                <c:pt idx="0">
                  <c:v>2023</c:v>
                </c:pt>
                <c:pt idx="1">
                  <c:v>2022</c:v>
                </c:pt>
                <c:pt idx="2">
                  <c:v>2021</c:v>
                </c:pt>
                <c:pt idx="3">
                  <c:v>2020</c:v>
                </c:pt>
              </c:numCache>
            </c:numRef>
          </c:cat>
          <c:val>
            <c:numRef>
              <c:f>Sheet1!$C$2:$C$5</c:f>
              <c:numCache>
                <c:formatCode>General</c:formatCode>
                <c:ptCount val="4"/>
                <c:pt idx="0">
                  <c:v>0.84</c:v>
                </c:pt>
                <c:pt idx="1">
                  <c:v>0.72</c:v>
                </c:pt>
                <c:pt idx="2">
                  <c:v>0.91</c:v>
                </c:pt>
                <c:pt idx="3">
                  <c:v>0.86</c:v>
                </c:pt>
              </c:numCache>
            </c:numRef>
          </c:val>
          <c:extLst>
            <c:ext xmlns:c16="http://schemas.microsoft.com/office/drawing/2014/chart" uri="{C3380CC4-5D6E-409C-BE32-E72D297353CC}">
              <c16:uniqueId val="{00000001-6D15-49C7-98DA-6ABDDE5C06A0}"/>
            </c:ext>
          </c:extLst>
        </c:ser>
        <c:ser>
          <c:idx val="2"/>
          <c:order val="2"/>
          <c:tx>
            <c:strRef>
              <c:f>Sheet1!$D$1</c:f>
              <c:strCache>
                <c:ptCount val="1"/>
                <c:pt idx="0">
                  <c:v>Operating cash flow ratio</c:v>
                </c:pt>
              </c:strCache>
            </c:strRef>
          </c:tx>
          <c:spPr>
            <a:solidFill>
              <a:schemeClr val="accent3"/>
            </a:solidFill>
            <a:ln>
              <a:noFill/>
            </a:ln>
            <a:effectLst/>
          </c:spPr>
          <c:invertIfNegative val="0"/>
          <c:cat>
            <c:numRef>
              <c:f>Sheet1!$A$2:$A$5</c:f>
              <c:numCache>
                <c:formatCode>General</c:formatCode>
                <c:ptCount val="4"/>
                <c:pt idx="0">
                  <c:v>2023</c:v>
                </c:pt>
                <c:pt idx="1">
                  <c:v>2022</c:v>
                </c:pt>
                <c:pt idx="2">
                  <c:v>2021</c:v>
                </c:pt>
                <c:pt idx="3">
                  <c:v>2020</c:v>
                </c:pt>
              </c:numCache>
            </c:numRef>
          </c:cat>
          <c:val>
            <c:numRef>
              <c:f>Sheet1!$D$2:$D$5</c:f>
              <c:numCache>
                <c:formatCode>General</c:formatCode>
                <c:ptCount val="4"/>
                <c:pt idx="0">
                  <c:v>0.51</c:v>
                </c:pt>
                <c:pt idx="1">
                  <c:v>0.3</c:v>
                </c:pt>
                <c:pt idx="2">
                  <c:v>0.33</c:v>
                </c:pt>
                <c:pt idx="3">
                  <c:v>0.52</c:v>
                </c:pt>
              </c:numCache>
            </c:numRef>
          </c:val>
          <c:extLst>
            <c:ext xmlns:c16="http://schemas.microsoft.com/office/drawing/2014/chart" uri="{C3380CC4-5D6E-409C-BE32-E72D297353CC}">
              <c16:uniqueId val="{00000002-6D15-49C7-98DA-6ABDDE5C06A0}"/>
            </c:ext>
          </c:extLst>
        </c:ser>
        <c:dLbls>
          <c:showLegendKey val="0"/>
          <c:showVal val="0"/>
          <c:showCatName val="0"/>
          <c:showSerName val="0"/>
          <c:showPercent val="0"/>
          <c:showBubbleSize val="0"/>
        </c:dLbls>
        <c:gapWidth val="219"/>
        <c:overlap val="-27"/>
        <c:axId val="492011823"/>
        <c:axId val="492013743"/>
      </c:barChart>
      <c:catAx>
        <c:axId val="492011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013743"/>
        <c:crosses val="autoZero"/>
        <c:auto val="1"/>
        <c:lblAlgn val="ctr"/>
        <c:lblOffset val="100"/>
        <c:noMultiLvlLbl val="0"/>
      </c:catAx>
      <c:valAx>
        <c:axId val="492013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01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Leverage</a:t>
            </a:r>
            <a:r>
              <a:rPr lang="en-GB" baseline="0"/>
              <a:t> Ratio of Amazon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debt to equity ratio</c:v>
                </c:pt>
              </c:strCache>
            </c:strRef>
          </c:tx>
          <c:spPr>
            <a:ln w="28575" cap="rnd">
              <a:solidFill>
                <a:schemeClr val="accent1"/>
              </a:solidFill>
              <a:round/>
            </a:ln>
            <a:effectLst/>
          </c:spPr>
          <c:marker>
            <c:symbol val="none"/>
          </c:marker>
          <c:cat>
            <c:numRef>
              <c:f>Sheet1!$A$2:$A$5</c:f>
              <c:numCache>
                <c:formatCode>General</c:formatCode>
                <c:ptCount val="4"/>
                <c:pt idx="0">
                  <c:v>2023</c:v>
                </c:pt>
                <c:pt idx="1">
                  <c:v>2022</c:v>
                </c:pt>
                <c:pt idx="2">
                  <c:v>2021</c:v>
                </c:pt>
                <c:pt idx="3">
                  <c:v>2020</c:v>
                </c:pt>
              </c:numCache>
            </c:numRef>
          </c:cat>
          <c:val>
            <c:numRef>
              <c:f>Sheet1!$B$2:$B$5</c:f>
              <c:numCache>
                <c:formatCode>General</c:formatCode>
                <c:ptCount val="4"/>
                <c:pt idx="0">
                  <c:v>1.62</c:v>
                </c:pt>
                <c:pt idx="1">
                  <c:v>2.17</c:v>
                </c:pt>
                <c:pt idx="2">
                  <c:v>2.04</c:v>
                </c:pt>
                <c:pt idx="3">
                  <c:v>2.44</c:v>
                </c:pt>
              </c:numCache>
            </c:numRef>
          </c:val>
          <c:smooth val="0"/>
          <c:extLst>
            <c:ext xmlns:c16="http://schemas.microsoft.com/office/drawing/2014/chart" uri="{C3380CC4-5D6E-409C-BE32-E72D297353CC}">
              <c16:uniqueId val="{00000000-274B-4A88-AD55-5877063390C4}"/>
            </c:ext>
          </c:extLst>
        </c:ser>
        <c:ser>
          <c:idx val="1"/>
          <c:order val="1"/>
          <c:tx>
            <c:strRef>
              <c:f>Sheet1!$C$1</c:f>
              <c:strCache>
                <c:ptCount val="1"/>
                <c:pt idx="0">
                  <c:v>debt ratio</c:v>
                </c:pt>
              </c:strCache>
            </c:strRef>
          </c:tx>
          <c:spPr>
            <a:ln w="28575" cap="rnd">
              <a:solidFill>
                <a:schemeClr val="accent2"/>
              </a:solidFill>
              <a:round/>
            </a:ln>
            <a:effectLst/>
          </c:spPr>
          <c:marker>
            <c:symbol val="none"/>
          </c:marker>
          <c:cat>
            <c:numRef>
              <c:f>Sheet1!$A$2:$A$5</c:f>
              <c:numCache>
                <c:formatCode>General</c:formatCode>
                <c:ptCount val="4"/>
                <c:pt idx="0">
                  <c:v>2023</c:v>
                </c:pt>
                <c:pt idx="1">
                  <c:v>2022</c:v>
                </c:pt>
                <c:pt idx="2">
                  <c:v>2021</c:v>
                </c:pt>
                <c:pt idx="3">
                  <c:v>2020</c:v>
                </c:pt>
              </c:numCache>
            </c:numRef>
          </c:cat>
          <c:val>
            <c:numRef>
              <c:f>Sheet1!$C$2:$C$5</c:f>
              <c:numCache>
                <c:formatCode>General</c:formatCode>
                <c:ptCount val="4"/>
                <c:pt idx="0">
                  <c:v>0.62</c:v>
                </c:pt>
                <c:pt idx="1">
                  <c:v>0.68</c:v>
                </c:pt>
                <c:pt idx="2">
                  <c:v>0.67</c:v>
                </c:pt>
                <c:pt idx="3">
                  <c:v>0.71</c:v>
                </c:pt>
              </c:numCache>
            </c:numRef>
          </c:val>
          <c:smooth val="0"/>
          <c:extLst>
            <c:ext xmlns:c16="http://schemas.microsoft.com/office/drawing/2014/chart" uri="{C3380CC4-5D6E-409C-BE32-E72D297353CC}">
              <c16:uniqueId val="{00000001-274B-4A88-AD55-5877063390C4}"/>
            </c:ext>
          </c:extLst>
        </c:ser>
        <c:ser>
          <c:idx val="2"/>
          <c:order val="2"/>
          <c:tx>
            <c:strRef>
              <c:f>Sheet1!$D$1</c:f>
              <c:strCache>
                <c:ptCount val="1"/>
                <c:pt idx="0">
                  <c:v>equity ratio</c:v>
                </c:pt>
              </c:strCache>
            </c:strRef>
          </c:tx>
          <c:spPr>
            <a:ln w="28575" cap="rnd">
              <a:solidFill>
                <a:schemeClr val="accent3"/>
              </a:solidFill>
              <a:round/>
            </a:ln>
            <a:effectLst/>
          </c:spPr>
          <c:marker>
            <c:symbol val="none"/>
          </c:marker>
          <c:cat>
            <c:numRef>
              <c:f>Sheet1!$A$2:$A$5</c:f>
              <c:numCache>
                <c:formatCode>General</c:formatCode>
                <c:ptCount val="4"/>
                <c:pt idx="0">
                  <c:v>2023</c:v>
                </c:pt>
                <c:pt idx="1">
                  <c:v>2022</c:v>
                </c:pt>
                <c:pt idx="2">
                  <c:v>2021</c:v>
                </c:pt>
                <c:pt idx="3">
                  <c:v>2020</c:v>
                </c:pt>
              </c:numCache>
            </c:numRef>
          </c:cat>
          <c:val>
            <c:numRef>
              <c:f>Sheet1!$D$2:$D$5</c:f>
              <c:numCache>
                <c:formatCode>General</c:formatCode>
                <c:ptCount val="4"/>
                <c:pt idx="0">
                  <c:v>0.38</c:v>
                </c:pt>
                <c:pt idx="1">
                  <c:v>0.32</c:v>
                </c:pt>
                <c:pt idx="2">
                  <c:v>0.32</c:v>
                </c:pt>
                <c:pt idx="3">
                  <c:v>0.28999999999999998</c:v>
                </c:pt>
              </c:numCache>
            </c:numRef>
          </c:val>
          <c:smooth val="0"/>
          <c:extLst>
            <c:ext xmlns:c16="http://schemas.microsoft.com/office/drawing/2014/chart" uri="{C3380CC4-5D6E-409C-BE32-E72D297353CC}">
              <c16:uniqueId val="{00000002-274B-4A88-AD55-5877063390C4}"/>
            </c:ext>
          </c:extLst>
        </c:ser>
        <c:dLbls>
          <c:showLegendKey val="0"/>
          <c:showVal val="0"/>
          <c:showCatName val="0"/>
          <c:showSerName val="0"/>
          <c:showPercent val="0"/>
          <c:showBubbleSize val="0"/>
        </c:dLbls>
        <c:smooth val="0"/>
        <c:axId val="571019119"/>
        <c:axId val="571014799"/>
      </c:lineChart>
      <c:catAx>
        <c:axId val="571019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014799"/>
        <c:crosses val="autoZero"/>
        <c:auto val="1"/>
        <c:lblAlgn val="ctr"/>
        <c:lblOffset val="100"/>
        <c:noMultiLvlLbl val="0"/>
      </c:catAx>
      <c:valAx>
        <c:axId val="571014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019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E5790-5154-4508-924D-B447FE153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6</Pages>
  <Words>505</Words>
  <Characters>2807</Characters>
  <Application>Microsoft Office Word</Application>
  <DocSecurity>0</DocSecurity>
  <Lines>199</Lines>
  <Paragraphs>136</Paragraphs>
  <ScaleCrop>false</ScaleCrop>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Meera shah</dc:creator>
  <cp:keywords/>
  <dc:description/>
  <cp:lastModifiedBy>Meera shah</cp:lastModifiedBy>
  <cp:revision>129</cp:revision>
  <dcterms:created xsi:type="dcterms:W3CDTF">2024-04-02T16:00:00Z</dcterms:created>
  <dcterms:modified xsi:type="dcterms:W3CDTF">2024-04-02T23:16:00Z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8e982316-d859-49af-a6bb-f653c2718d25</vt:lpwstr>
  </property>
</Properties>
</file>