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EA1EE" w14:textId="77777777" w:rsidR="001E7246" w:rsidRDefault="001E7246" w:rsidP="001E7246">
      <w:pPr>
        <w:rPr>
          <w:b/>
          <w:bCs/>
          <w:i/>
          <w:iCs/>
        </w:rPr>
      </w:pPr>
      <w:r>
        <w:rPr>
          <w:b/>
          <w:bCs/>
          <w:i/>
          <w:iCs/>
        </w:rPr>
        <w:t>Essay 1 Submission</w:t>
      </w:r>
    </w:p>
    <w:p w14:paraId="03D6F59D" w14:textId="77777777" w:rsidR="001E7246" w:rsidRPr="004550FB" w:rsidRDefault="001E7246" w:rsidP="001E7246">
      <w:pPr>
        <w:rPr>
          <w:b/>
          <w:bCs/>
          <w:i/>
          <w:iCs/>
        </w:rPr>
      </w:pPr>
      <w:r w:rsidRPr="004550FB">
        <w:rPr>
          <w:b/>
          <w:bCs/>
          <w:i/>
          <w:iCs/>
        </w:rPr>
        <w:t xml:space="preserve">To what extent do response officers have a role in counter-terrorism policing? Your answer must </w:t>
      </w:r>
    </w:p>
    <w:p w14:paraId="68994CD1" w14:textId="77777777" w:rsidR="001E7246" w:rsidRPr="004550FB" w:rsidRDefault="001E7246" w:rsidP="001E7246">
      <w:pPr>
        <w:rPr>
          <w:b/>
          <w:bCs/>
          <w:i/>
          <w:iCs/>
        </w:rPr>
      </w:pPr>
      <w:r w:rsidRPr="004550FB">
        <w:rPr>
          <w:b/>
          <w:bCs/>
          <w:i/>
          <w:iCs/>
        </w:rPr>
        <w:t>be based on academic research, although you may make reference to recent, relevant case studies.</w:t>
      </w:r>
    </w:p>
    <w:p w14:paraId="5C24E463" w14:textId="77777777" w:rsidR="001E7246" w:rsidRDefault="001E7246" w:rsidP="001E7246">
      <w:r>
        <w:t>//</w:t>
      </w:r>
    </w:p>
    <w:p w14:paraId="0E5A8A7A" w14:textId="77777777" w:rsidR="001E7246" w:rsidRDefault="001E7246" w:rsidP="001E7246">
      <w:r>
        <w:t xml:space="preserve">Students are required to complete a 4000 word submission in the form of two 2000-word essays (2 x 2000). </w:t>
      </w:r>
    </w:p>
    <w:p w14:paraId="427F1BFF" w14:textId="77777777" w:rsidR="001E7246" w:rsidRPr="004550FB" w:rsidRDefault="001E7246" w:rsidP="001E7246">
      <w:pPr>
        <w:rPr>
          <w:b/>
          <w:bCs/>
        </w:rPr>
      </w:pPr>
      <w:r w:rsidRPr="004550FB">
        <w:rPr>
          <w:b/>
          <w:bCs/>
        </w:rPr>
        <w:t>Learning Outcomes</w:t>
      </w:r>
    </w:p>
    <w:p w14:paraId="2161EFE3" w14:textId="77777777" w:rsidR="001E7246" w:rsidRPr="004550FB" w:rsidRDefault="001E7246" w:rsidP="001E7246">
      <w:pPr>
        <w:rPr>
          <w:b/>
          <w:bCs/>
        </w:rPr>
      </w:pPr>
      <w:r w:rsidRPr="004550FB">
        <w:rPr>
          <w:b/>
          <w:bCs/>
        </w:rPr>
        <w:t>Counter Terrorism</w:t>
      </w:r>
    </w:p>
    <w:p w14:paraId="453CA0AB" w14:textId="77777777" w:rsidR="001E7246" w:rsidRDefault="001E7246" w:rsidP="001E7246">
      <w:r>
        <w:t xml:space="preserve">• Explain the organisational structures and inter-relationships that exist in counterterrorism </w:t>
      </w:r>
    </w:p>
    <w:p w14:paraId="41ECABB8" w14:textId="77777777" w:rsidR="001E7246" w:rsidRDefault="001E7246" w:rsidP="001E7246">
      <w:r>
        <w:t>policing</w:t>
      </w:r>
    </w:p>
    <w:p w14:paraId="2F848564" w14:textId="77777777" w:rsidR="001E7246" w:rsidRDefault="001E7246" w:rsidP="001E7246">
      <w:r>
        <w:t>• Analyse the potential links between terrorism and other forms of criminality</w:t>
      </w:r>
    </w:p>
    <w:p w14:paraId="09FE151D" w14:textId="77777777" w:rsidR="001E7246" w:rsidRDefault="001E7246" w:rsidP="001E7246">
      <w:r>
        <w:t xml:space="preserve">• Assess the potential for an insider threat within the police service, and strategies to prevent </w:t>
      </w:r>
    </w:p>
    <w:p w14:paraId="737CAD75" w14:textId="77777777" w:rsidR="001E7246" w:rsidRDefault="001E7246" w:rsidP="001E7246">
      <w:r>
        <w:t>this</w:t>
      </w:r>
    </w:p>
    <w:p w14:paraId="11175CFD" w14:textId="77777777" w:rsidR="001E7246" w:rsidRDefault="001E7246" w:rsidP="001E7246">
      <w:r>
        <w:t>==================================================</w:t>
      </w:r>
    </w:p>
    <w:p w14:paraId="48571693" w14:textId="77777777" w:rsidR="001E7246" w:rsidRDefault="001E7246" w:rsidP="001E7246">
      <w:pPr>
        <w:tabs>
          <w:tab w:val="left" w:pos="7552"/>
        </w:tabs>
        <w:rPr>
          <w:b/>
          <w:bCs/>
        </w:rPr>
      </w:pPr>
      <w:r w:rsidRPr="00CE5D2C">
        <w:rPr>
          <w:b/>
          <w:bCs/>
          <w:sz w:val="28"/>
          <w:szCs w:val="28"/>
        </w:rPr>
        <w:t>Counterterrorism Policing in the UK: The Integral Role of Response Officers</w:t>
      </w:r>
      <w:r>
        <w:rPr>
          <w:b/>
          <w:bCs/>
        </w:rPr>
        <w:tab/>
      </w:r>
    </w:p>
    <w:p w14:paraId="5009D5E0" w14:textId="77777777" w:rsidR="001E7246" w:rsidRPr="00CE5D2C" w:rsidRDefault="001E7246" w:rsidP="001E7246">
      <w:pPr>
        <w:rPr>
          <w:b/>
          <w:bCs/>
        </w:rPr>
      </w:pPr>
      <w:r w:rsidRPr="00CE5D2C">
        <w:rPr>
          <w:b/>
          <w:bCs/>
          <w:sz w:val="24"/>
          <w:szCs w:val="24"/>
        </w:rPr>
        <w:t>Introduction</w:t>
      </w:r>
    </w:p>
    <w:p w14:paraId="245ECF5D"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Counterterrorism is a vital and complex sector within policing, requiring alertness, flexibility, and multifaceted cooperation. In the UK, the counterterrorism policing framework consists of a range of tactics and partnerships focusing on the identification, prevention, and addressing of terrorist threats and activities (Thornton &amp; Bouhana, 2019; Wong,2022). Within this framework, the role of response officers is essential, linking frontline policing with specialized counterterrorism measures. Often the first on the scene, response officers represent the immediate aspect of policing, playing a key role in managing and reducing threats, which significantly contributes to national security. This essay seeks to clarify the involvement and various contributions of response officers in the UK’s counterterrorism policing. It will investigate the structures that encourage collaboration, study the connection between terrorism and other forms of crime, explore strategies against insider threats within the police service, and assess the proactive and reactive roles of response officers in counterterrorism.</w:t>
      </w:r>
    </w:p>
    <w:p w14:paraId="6445E638"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The changing nature of terrorism has broadened the roles and responsibilities of response officers, necessitating a thorough comprehension of their contribution to counterterrorism initiatives. The complex relationships and collaborations among various counterterrorism units indicate a strong framework where response officers are active and integral members (Spalek, 2010). Through the analysis of pertinent academic research and case studies, this essay will illuminate the diverse role of response officers, evaluating their significance and influence in forming the counterterrorism narrative in the UK.</w:t>
      </w:r>
    </w:p>
    <w:p w14:paraId="0B6C5932" w14:textId="2F3B31FA" w:rsidR="001E7246" w:rsidRPr="00CE5D2C" w:rsidRDefault="001E7246" w:rsidP="001E7246">
      <w:pPr>
        <w:rPr>
          <w:rFonts w:asciiTheme="majorHAnsi" w:hAnsiTheme="majorHAnsi" w:cstheme="majorHAnsi"/>
        </w:rPr>
      </w:pPr>
      <w:r w:rsidRPr="00CE5D2C">
        <w:rPr>
          <w:rFonts w:asciiTheme="majorHAnsi" w:hAnsiTheme="majorHAnsi" w:cstheme="majorHAnsi"/>
        </w:rPr>
        <w:t xml:space="preserve">This initial exploration lays the groundwork for an in-depth examination of the integration and contributions of response officers in counterterrorism policing, intending to offer insights and suggestions for strengthening their role in protecting the UK from terrorist threats. </w:t>
      </w:r>
    </w:p>
    <w:p w14:paraId="56A67E19" w14:textId="77777777" w:rsidR="001E7246" w:rsidRPr="00CE5D2C" w:rsidRDefault="001E7246" w:rsidP="001E7246">
      <w:pPr>
        <w:rPr>
          <w:rFonts w:asciiTheme="majorHAnsi" w:hAnsiTheme="majorHAnsi" w:cstheme="majorHAnsi"/>
          <w:b/>
          <w:bCs/>
          <w:sz w:val="24"/>
          <w:szCs w:val="24"/>
        </w:rPr>
      </w:pPr>
      <w:r w:rsidRPr="00CE5D2C">
        <w:rPr>
          <w:rFonts w:asciiTheme="majorHAnsi" w:hAnsiTheme="majorHAnsi" w:cstheme="majorHAnsi"/>
          <w:b/>
          <w:bCs/>
          <w:sz w:val="24"/>
          <w:szCs w:val="24"/>
        </w:rPr>
        <w:lastRenderedPageBreak/>
        <w:t>The Framework and Partnerships in Counterterrorism Policing</w:t>
      </w:r>
    </w:p>
    <w:p w14:paraId="4C4061FE"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Grasping the organisational structure is crucial for discerning the nuanced roles response officers hold in the UK's counterterrorism policing. Central to this structure is the National Counter Terrorism Security Office (NaCTSO), guiding the national strategy against terrorist threats and closely liaising with police and associated agencies (mi5, 2023; ProtectUK, 2023). Response officers work in tandem with NaCTSO, ensuring the ground-level execution of counterterrorism strategies and adeptly reacting to arising threats.</w:t>
      </w:r>
    </w:p>
    <w:p w14:paraId="5CFC301A"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Furthermore, the Counter Terrorism Policing Network is made up of regional counter-terrorism units and is essential in assimilating response officers into counterterrorism activities (CTP, 2023). These officers are integral parts of these units, fostering collaboration, sharing intelligence, and coordinating operations with specialised counterterrorism personnel. This assimilation grants response officers access to specialised training, involvement in counterterrorism investigations, and refined skills in identifying and countering terrorist threats.</w:t>
      </w:r>
    </w:p>
    <w:p w14:paraId="51CE45B0"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The intelligence agencies MI5 and MI6 are foundational to the counterterrorism infrastructure in the UK, supplying vital intelligence and backing to police forces (Andrew, 2009). Response officers frequently act upon the intelligence from these agencies, underscoring the cooperative relationship between frontline policing and intelligence-informed counterterrorism endeavours (Lambert &amp; Parsons, 2017).</w:t>
      </w:r>
    </w:p>
    <w:p w14:paraId="71544E85"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A practical example of such cooperation is evident in the response to the Westminster Bridge attack in 2017. This incident highlighted the fluid collaboration among response officers, counterterrorism units, and intelligence agencies. Response officers were prompt at the scene, offering immediate assistance, securing the vicinity, and collecting preliminary intelligence, which proved invaluable for the following investigation (BBC News, 2017; HM Government, 2018).</w:t>
      </w:r>
    </w:p>
    <w:p w14:paraId="4A553F80"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In conclusion, the organisational frameworks in the UK's counterterrorism policing cultivate a collaborative atmosphere where response officers are indispensable. Their assimilation into these structures demonstrates their effective contribution to counterterrorism measures, underscoring their importance in this complex domain of policing.</w:t>
      </w:r>
    </w:p>
    <w:p w14:paraId="4371DCA7"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 xml:space="preserve"> </w:t>
      </w:r>
    </w:p>
    <w:p w14:paraId="022AD3A1" w14:textId="77777777" w:rsidR="001E7246" w:rsidRPr="00CE5D2C" w:rsidRDefault="001E7246" w:rsidP="001E7246">
      <w:pPr>
        <w:rPr>
          <w:rFonts w:asciiTheme="majorHAnsi" w:hAnsiTheme="majorHAnsi" w:cstheme="majorHAnsi"/>
          <w:b/>
          <w:bCs/>
          <w:sz w:val="24"/>
          <w:szCs w:val="24"/>
        </w:rPr>
      </w:pPr>
      <w:r w:rsidRPr="00CE5D2C">
        <w:rPr>
          <w:rFonts w:asciiTheme="majorHAnsi" w:hAnsiTheme="majorHAnsi" w:cstheme="majorHAnsi"/>
          <w:b/>
          <w:bCs/>
          <w:sz w:val="24"/>
          <w:szCs w:val="24"/>
        </w:rPr>
        <w:t xml:space="preserve">Intersecting Paths of Terrorism and Diverse Criminal Activities </w:t>
      </w:r>
    </w:p>
    <w:p w14:paraId="40057C9D"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Delving into the connections between terrorism and varied criminal acts reveals the intricate environment response officers navigate. A notable link exists in the financing of terrorism, frequently associated with organised crime, fraud, and illegal trade (Makarenko, 2004). Through day-to-day policing and community interaction, response officers are aptly positioned to discover such unlawful activities, thus aiding in curtailing financial support to terrorist groups.</w:t>
      </w:r>
    </w:p>
    <w:p w14:paraId="2D8A6490"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Another significant point of intersection is found in cyberterrorism and cybercrime, with terrorists utilizing digital avenues for recruitment, disseminating propaganda, and orchestrating attacks (Conway, 2017). Response officers are instrumental in detecting online threats by garnering community intelligence and working in conjunction with cybercrime units to thwart online terrorist activities (Lambert &amp; Parsons, 2017).</w:t>
      </w:r>
    </w:p>
    <w:p w14:paraId="3140A468"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 xml:space="preserve">Furthermore, prisons are recognized as potential grounds for radicalisation, posing both challenges and opportunities for response officers (Neumann, 2010; Rushchenko, 2019). They are integral in </w:t>
      </w:r>
      <w:r w:rsidRPr="00CE5D2C">
        <w:rPr>
          <w:rFonts w:asciiTheme="majorHAnsi" w:hAnsiTheme="majorHAnsi" w:cstheme="majorHAnsi"/>
        </w:rPr>
        <w:lastRenderedPageBreak/>
        <w:t>identifying and managing individuals susceptible to radicalisation, cooperating with prison staff and various agencies to initiate deradicalisation initiatives and survey potential threats (Brader, 2020).</w:t>
      </w:r>
    </w:p>
    <w:p w14:paraId="17EFF72F"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A case in point is the reaction to the Manchester Arena bombing in 2017. Response officers were pivotal in the immediate response and ensuing investigation, revealing connections to broader criminal networks and pinpointing individuals linked to the assailant (JESIP, 2018). This instance highlights the intertwined nature of terrorism and diverse criminal acts and emphasizes the crucial role of response officers in dissecting such connections.</w:t>
      </w:r>
    </w:p>
    <w:p w14:paraId="6BEA91E6"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In conclusion, the possible connections between terrorism and various criminal activities underscore the multifaceted nature of the counterterrorism environment. Response officers, with their versatile roles and engagement with the community, are key in identifying and addressing these connections, illustrating their multifarious contributions to counterterrorism policing in the UK.</w:t>
      </w:r>
    </w:p>
    <w:p w14:paraId="20EC1DDE"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 xml:space="preserve"> </w:t>
      </w:r>
    </w:p>
    <w:p w14:paraId="1D428420" w14:textId="77777777" w:rsidR="001E7246" w:rsidRPr="00CE5D2C" w:rsidRDefault="001E7246" w:rsidP="001E7246">
      <w:pPr>
        <w:rPr>
          <w:rFonts w:asciiTheme="majorHAnsi" w:hAnsiTheme="majorHAnsi" w:cstheme="majorHAnsi"/>
          <w:b/>
          <w:bCs/>
          <w:sz w:val="24"/>
          <w:szCs w:val="24"/>
        </w:rPr>
      </w:pPr>
      <w:r w:rsidRPr="00CE5D2C">
        <w:rPr>
          <w:rFonts w:asciiTheme="majorHAnsi" w:hAnsiTheme="majorHAnsi" w:cstheme="majorHAnsi"/>
          <w:b/>
          <w:bCs/>
          <w:sz w:val="24"/>
          <w:szCs w:val="24"/>
        </w:rPr>
        <w:t xml:space="preserve">Assessing and Mitigating Internal Threats in the Police Service </w:t>
      </w:r>
    </w:p>
    <w:p w14:paraId="1BD37520"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Addressing the issue of internal threats within the police service necessitates a nuanced and multi-faceted approach. These threats may originate from the very individuals who make up the force and are particularly concerning given their access to sensitive operational information (BaMaung et al., 2018; Jacques, 2022; NPSA, 2023).</w:t>
      </w:r>
    </w:p>
    <w:p w14:paraId="1A411AA1"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The frontline defence involves thorough recruitment screening and continuous vetting processes, bolstered by intensive training to identify behavioural anomalies among the force (Cubitt, 2023). This scrutiny becomes even more pertinent given the rapid recruitment of 20,000 more police officers in England and Wales, a situation that potentially heightens the risk of gang or extremist infiltration (Wright, 2021; Rogers, 2023).</w:t>
      </w:r>
    </w:p>
    <w:p w14:paraId="4EA74956"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Response officers are integral to mitigating internal threats. They are trained to enforce the law while also ethically policing their ranks. Although the term "thin blue line" is often viewed as a sign of internal solidarity, it should not prevent officers from reporting unethical behaviour within the force (Westmarland &amp; Conway, 2020).</w:t>
      </w:r>
    </w:p>
    <w:p w14:paraId="02B54096"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Ongoing education and awareness campaigns provide officers with the tools to recognize signs of internal threats. Secure, confidential reporting mechanisms are pivotal in encouraging officers to report suspicious activities without fear of reprisals (Probst et al., 2010). This robust, anonymous reporting system aligns well with the ethical obligations that officers have, thus promoting a culture of vigilance and responsibility (POLFED, 2017).</w:t>
      </w:r>
    </w:p>
    <w:p w14:paraId="7E7B73E2"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The potential for police forces to be infiltrated by malevolent elements—be they homegrown or externally induced—underscores the need for a culture of trust, ethics, and responsibility. Concerns about cosy relationships between the police and far-right elements have been raised, indicating that vigilance against such infiltrations is vital ( German, 2020).</w:t>
      </w:r>
    </w:p>
    <w:p w14:paraId="6119AA8D"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A notable example is the 2020 arrest of a British police officer affiliated with a banned far-right group, demonstrating the crucial role of response officers in identifying and reporting anomalous behaviour (The Guardian, 2021).</w:t>
      </w:r>
    </w:p>
    <w:p w14:paraId="1BBEA1AA" w14:textId="77777777" w:rsidR="001A6127" w:rsidRDefault="001E7246" w:rsidP="001E7246">
      <w:pPr>
        <w:rPr>
          <w:rFonts w:asciiTheme="majorHAnsi" w:hAnsiTheme="majorHAnsi" w:cstheme="majorHAnsi"/>
        </w:rPr>
      </w:pPr>
      <w:r w:rsidRPr="00CE5D2C">
        <w:rPr>
          <w:rFonts w:asciiTheme="majorHAnsi" w:hAnsiTheme="majorHAnsi" w:cstheme="majorHAnsi"/>
        </w:rPr>
        <w:t>In conclusion, the potential for internal threats within the police service highlights the need for ongoing vigilance, mutual trust, and robust, confidential reporting structures. Response officers serve as the internal watchdogs of the service, embodying their indispensable role in counterterrorism efforts within the UK.</w:t>
      </w:r>
    </w:p>
    <w:p w14:paraId="516B50C0" w14:textId="08F0DF99" w:rsidR="001E7246" w:rsidRPr="001A6127" w:rsidRDefault="001E7246" w:rsidP="001E7246">
      <w:pPr>
        <w:rPr>
          <w:rFonts w:asciiTheme="majorHAnsi" w:hAnsiTheme="majorHAnsi" w:cstheme="majorHAnsi"/>
        </w:rPr>
      </w:pPr>
      <w:r w:rsidRPr="00CE5D2C">
        <w:rPr>
          <w:rFonts w:asciiTheme="majorHAnsi" w:hAnsiTheme="majorHAnsi" w:cstheme="majorHAnsi"/>
          <w:b/>
          <w:bCs/>
          <w:sz w:val="24"/>
          <w:szCs w:val="24"/>
        </w:rPr>
        <w:lastRenderedPageBreak/>
        <w:t xml:space="preserve">Diverse Roles of Response Officers in Counterterrorism: Proactive and Reactive </w:t>
      </w:r>
    </w:p>
    <w:p w14:paraId="1D05B775"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Exploring the dual roles of response officers in counterterrorism policing demonstrates the extensive nature of their responsibilities. On a proactive front, they are involved in community policing, intelligence collection, and surveillance, aimed at identifying and neutralising potential threats before they manifest (Sumpter, 2018). By engaging with communities, they establish trust and cultivate relationships, creating a supportive atmosphere where individuals feel at ease reporting suspicious activities, thus facilitating early threat detection.</w:t>
      </w:r>
    </w:p>
    <w:p w14:paraId="7F5BD7F2"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The enhancement of proactive capabilities in response officers is significantly influenced by training and development. Tailored training modules focusing on identifying signs of radicalisation, comprehending terrorist methodologies, and refining intelligence collection techniques are indispensable in preparing officers to effectively recognise and counteract threats (CTP, 2020; College of Policing, 2021).</w:t>
      </w:r>
    </w:p>
    <w:p w14:paraId="017853F5"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On the reactive side, response officers are typically the initial responders post a terrorist incident, responsible for securing the vicinity, assisting victims, and gathering preliminary evidence. Their immediate actions are pivotal in maintaining the crime scene’s integrity and enabling an efficient response to the incident (Clarke &amp; Newman, 2006).</w:t>
      </w:r>
    </w:p>
    <w:p w14:paraId="003986FE"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The 2017 London Bridge attack serves as a significant illustration of the reactive role of response officers. The officers’ prompt response in engaging the attackers and stabilising the scene highlighted the critical nature of their role and the influence of their training in such exigent circumstances (BBC News, 2017).</w:t>
      </w:r>
    </w:p>
    <w:p w14:paraId="39FC7F77"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To conclude, the roles of response officers, both proactive and reactive, are integral to counterterrorism policing. Through engagement with the community, specialised training, and immediate action during incidents, they play a significant role in both thwarting terrorist activities and managing the consequences, underscoring their crucial contribution to public safety.</w:t>
      </w:r>
    </w:p>
    <w:p w14:paraId="26B2B842"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 xml:space="preserve"> </w:t>
      </w:r>
    </w:p>
    <w:p w14:paraId="315376A6" w14:textId="77777777" w:rsidR="001E7246" w:rsidRPr="00CE5D2C" w:rsidRDefault="001E7246" w:rsidP="001E7246">
      <w:pPr>
        <w:rPr>
          <w:rFonts w:asciiTheme="majorHAnsi" w:hAnsiTheme="majorHAnsi" w:cstheme="majorHAnsi"/>
          <w:b/>
          <w:bCs/>
          <w:sz w:val="24"/>
          <w:szCs w:val="24"/>
        </w:rPr>
      </w:pPr>
      <w:r w:rsidRPr="00CE5D2C">
        <w:rPr>
          <w:rFonts w:asciiTheme="majorHAnsi" w:hAnsiTheme="majorHAnsi" w:cstheme="majorHAnsi"/>
        </w:rPr>
        <w:t xml:space="preserve"> </w:t>
      </w:r>
    </w:p>
    <w:p w14:paraId="69FB7A65" w14:textId="77777777" w:rsidR="001E7246" w:rsidRPr="00CE5D2C" w:rsidRDefault="001E7246" w:rsidP="001E7246">
      <w:pPr>
        <w:rPr>
          <w:rFonts w:asciiTheme="majorHAnsi" w:hAnsiTheme="majorHAnsi" w:cstheme="majorHAnsi"/>
          <w:b/>
          <w:bCs/>
          <w:sz w:val="24"/>
          <w:szCs w:val="24"/>
        </w:rPr>
      </w:pPr>
      <w:r w:rsidRPr="00CE5D2C">
        <w:rPr>
          <w:rFonts w:asciiTheme="majorHAnsi" w:hAnsiTheme="majorHAnsi" w:cstheme="majorHAnsi"/>
          <w:b/>
          <w:bCs/>
          <w:sz w:val="24"/>
          <w:szCs w:val="24"/>
        </w:rPr>
        <w:t>The Integral Role of Routine Policing in Prevention and Deterrence of Terrorism</w:t>
      </w:r>
    </w:p>
    <w:p w14:paraId="6F936874"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Routine policing is foundational in the UK's counterterrorism strategy, serving as a primary defence by pre-emptively identifying and mitigating potential threats within its communities. Officers’ daily interactions, including community patrols and public engagements, are crucial for detecting early signs of radicalisation (Kitching, 2021). This engagement facilitates intelligence gathering on vulnerabilities that may predispose individuals to extremist ideologies, thereby disrupting potential radicalisation pathways.</w:t>
      </w:r>
    </w:p>
    <w:p w14:paraId="051B1C56"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Visible policing not only reassures the public but also deters individuals from engaging in terrorist activities. The visibility of patrols is associated with crime deterrence and improved public safety perceptions, acting as a significant deterrent to potential terrorist activities (College of Policing, 2021).</w:t>
      </w:r>
    </w:p>
    <w:p w14:paraId="7C1ABBD2"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By embedding routine policing within the wider counterterrorism framework, officers play an essential role in the early detection and prevention of terrorism-related activities, helping to maintain national security and adapt to evolving terrorist threats.</w:t>
      </w:r>
    </w:p>
    <w:p w14:paraId="28A46A6A"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 xml:space="preserve"> </w:t>
      </w:r>
    </w:p>
    <w:p w14:paraId="4693398D"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lastRenderedPageBreak/>
        <w:t>Frontline officers may not receive extensive training specifically aimed at identifying radicalization; however, their repeated interactions with community members during routine duties can be vital in noticing behavioural changes or emerging vulnerabilities. The Prevent duty, as outlined by the Home Office (2023), mandates that officers, among other professionals, are equipped to recognize signs of radicalization and make appropriate referrals. This continuous engagement allows officers to perceive shifts in community members' attitudes, potentially identifying those at risk of being influenced by extremist ideologies (Home Office, 2023).</w:t>
      </w:r>
    </w:p>
    <w:p w14:paraId="1913B649"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 xml:space="preserve"> </w:t>
      </w:r>
    </w:p>
    <w:p w14:paraId="2444BCC1" w14:textId="77777777" w:rsidR="001E7246" w:rsidRPr="00CE5D2C" w:rsidRDefault="001E7246" w:rsidP="001E7246">
      <w:pPr>
        <w:rPr>
          <w:rFonts w:asciiTheme="majorHAnsi" w:hAnsiTheme="majorHAnsi" w:cstheme="majorHAnsi"/>
          <w:b/>
          <w:bCs/>
          <w:sz w:val="24"/>
          <w:szCs w:val="24"/>
        </w:rPr>
      </w:pPr>
      <w:r w:rsidRPr="00CE5D2C">
        <w:rPr>
          <w:rFonts w:asciiTheme="majorHAnsi" w:hAnsiTheme="majorHAnsi" w:cstheme="majorHAnsi"/>
          <w:b/>
          <w:bCs/>
          <w:sz w:val="24"/>
          <w:szCs w:val="24"/>
        </w:rPr>
        <w:t xml:space="preserve">Conclusion </w:t>
      </w:r>
    </w:p>
    <w:p w14:paraId="7C09EE5C"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In summing up the role of response officers in counter-terrorism policing within the UK, this essay has methodically addressed the multifaceted dimensions of their duties and responsibilities. The discussion established that response officers are not just the first line of defence in the face of terrorist threats but are also pivotal in the orchestration of the UK's counter-terrorism strategy through robust organizational structures and partnerships. Their seamless integration with intelligence agencies and specialized units exemplifies the collaborative approach essential for pre-empting and reacting to terrorist activities effectively.</w:t>
      </w:r>
    </w:p>
    <w:p w14:paraId="240A2CBF"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The analysis of the intersection between terrorism and other criminal activities illustrated the critical analytical and on-the-ground roles that response officers play. Their engagement in community policing is instrumental in disrupting the financial and logistical underpinnings of terrorism, revealing the proactive aspect of their role in counter-terrorism efforts.</w:t>
      </w:r>
    </w:p>
    <w:p w14:paraId="35634F76"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Moreover, the exploration of internal threats within the police service highlighted the vital part response officers play in maintaining the integrity of the force. Their role in ethical policing within their ranks and their contributions to a culture of vigilance against potential infiltration underscore their importance beyond field operations.</w:t>
      </w:r>
    </w:p>
    <w:p w14:paraId="3DEC44EC"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Finally, the essay underscored the dual proactive and reactive responsibilities of response officers. Proactively, they gather intelligence and build community relationships that aid in early threat detection. Reactively, they provide an immediate on-scene response to incidents, playing a crucial role in managing the aftermath of terrorist attacks.</w:t>
      </w:r>
    </w:p>
    <w:p w14:paraId="2C1CF085" w14:textId="77777777" w:rsidR="001E7246" w:rsidRPr="00CE5D2C" w:rsidRDefault="001E7246" w:rsidP="001E7246">
      <w:pPr>
        <w:rPr>
          <w:rFonts w:asciiTheme="majorHAnsi" w:hAnsiTheme="majorHAnsi" w:cstheme="majorHAnsi"/>
        </w:rPr>
      </w:pPr>
      <w:r w:rsidRPr="00CE5D2C">
        <w:rPr>
          <w:rFonts w:asciiTheme="majorHAnsi" w:hAnsiTheme="majorHAnsi" w:cstheme="majorHAnsi"/>
        </w:rPr>
        <w:t>Therefore, response officers occupy a unique and dynamic position in the UK's counter-terrorism landscape. Their actions and decisions are critical in shaping the effectiveness of the UK's response to terrorism, reflecting their indispensable role in safeguarding the nation's security.</w:t>
      </w:r>
    </w:p>
    <w:p w14:paraId="6D43EF89" w14:textId="525D233C" w:rsidR="001E7246" w:rsidRPr="00BD21A6" w:rsidRDefault="001E7246" w:rsidP="001E7246">
      <w:pPr>
        <w:rPr>
          <w:rFonts w:asciiTheme="majorHAnsi" w:hAnsiTheme="majorHAnsi" w:cstheme="majorHAnsi"/>
        </w:rPr>
      </w:pPr>
      <w:r>
        <w:rPr>
          <w:rFonts w:asciiTheme="majorHAnsi" w:hAnsiTheme="majorHAnsi" w:cstheme="majorHAnsi"/>
        </w:rPr>
        <w:t>Word Count:200</w:t>
      </w:r>
      <w:r w:rsidR="001A6127">
        <w:rPr>
          <w:rFonts w:asciiTheme="majorHAnsi" w:hAnsiTheme="majorHAnsi" w:cstheme="majorHAnsi"/>
        </w:rPr>
        <w:t>1</w:t>
      </w:r>
    </w:p>
    <w:p w14:paraId="62495713" w14:textId="77777777" w:rsidR="001E7246" w:rsidRPr="00BD21A6" w:rsidRDefault="001E7246" w:rsidP="001E7246">
      <w:pPr>
        <w:rPr>
          <w:rFonts w:asciiTheme="majorHAnsi" w:hAnsiTheme="majorHAnsi" w:cstheme="majorHAnsi"/>
        </w:rPr>
      </w:pPr>
    </w:p>
    <w:p w14:paraId="329E5AEE" w14:textId="77777777" w:rsidR="001E7246" w:rsidRPr="00BD21A6" w:rsidRDefault="001E7246" w:rsidP="001E7246">
      <w:pPr>
        <w:rPr>
          <w:rFonts w:asciiTheme="majorHAnsi" w:hAnsiTheme="majorHAnsi" w:cstheme="majorHAnsi"/>
        </w:rPr>
      </w:pPr>
    </w:p>
    <w:p w14:paraId="00132CF0" w14:textId="77777777" w:rsidR="001E7246" w:rsidRPr="00BD21A6" w:rsidRDefault="001E7246" w:rsidP="001E7246">
      <w:pPr>
        <w:rPr>
          <w:rFonts w:asciiTheme="majorHAnsi" w:hAnsiTheme="majorHAnsi" w:cstheme="majorHAnsi"/>
        </w:rPr>
      </w:pPr>
    </w:p>
    <w:p w14:paraId="2D1B1F88" w14:textId="77777777" w:rsidR="005A6211" w:rsidRDefault="005A6211" w:rsidP="00D117FE">
      <w:pPr>
        <w:rPr>
          <w:b/>
          <w:bCs/>
        </w:rPr>
      </w:pPr>
    </w:p>
    <w:p w14:paraId="47063326" w14:textId="77777777" w:rsidR="001A6127" w:rsidRDefault="001A6127" w:rsidP="00D117FE">
      <w:pPr>
        <w:rPr>
          <w:b/>
          <w:bCs/>
        </w:rPr>
      </w:pPr>
    </w:p>
    <w:p w14:paraId="18423C02" w14:textId="77777777" w:rsidR="001A6127" w:rsidRDefault="001A6127" w:rsidP="00D117FE">
      <w:pPr>
        <w:rPr>
          <w:b/>
          <w:bCs/>
        </w:rPr>
      </w:pPr>
    </w:p>
    <w:p w14:paraId="173C88F9" w14:textId="77777777" w:rsidR="001A6127" w:rsidRDefault="001A6127" w:rsidP="00D117FE">
      <w:pPr>
        <w:rPr>
          <w:b/>
          <w:bCs/>
        </w:rPr>
      </w:pPr>
    </w:p>
    <w:p w14:paraId="6747AF10" w14:textId="40197E9D" w:rsidR="00D117FE" w:rsidRPr="001350D4" w:rsidRDefault="005A6211" w:rsidP="00D117FE">
      <w:pPr>
        <w:rPr>
          <w:b/>
          <w:bCs/>
        </w:rPr>
      </w:pPr>
      <w:r>
        <w:rPr>
          <w:b/>
          <w:bCs/>
        </w:rPr>
        <w:lastRenderedPageBreak/>
        <w:t>E</w:t>
      </w:r>
      <w:r w:rsidR="00D117FE" w:rsidRPr="001350D4">
        <w:rPr>
          <w:b/>
          <w:bCs/>
        </w:rPr>
        <w:t>ssay 2</w:t>
      </w:r>
      <w:r w:rsidR="00D117FE">
        <w:rPr>
          <w:b/>
          <w:bCs/>
        </w:rPr>
        <w:t xml:space="preserve"> Submission</w:t>
      </w:r>
    </w:p>
    <w:p w14:paraId="4413F6C4" w14:textId="77777777" w:rsidR="00D117FE" w:rsidRPr="00DC61FD" w:rsidRDefault="00D117FE" w:rsidP="00D117FE">
      <w:pPr>
        <w:rPr>
          <w:b/>
          <w:bCs/>
          <w:i/>
          <w:iCs/>
        </w:rPr>
      </w:pPr>
      <w:r w:rsidRPr="00DC61FD">
        <w:rPr>
          <w:b/>
          <w:bCs/>
          <w:i/>
          <w:iCs/>
        </w:rPr>
        <w:t xml:space="preserve">The College of Policing (2021) defines a critical incident as “any incident where the </w:t>
      </w:r>
    </w:p>
    <w:p w14:paraId="4CEEA401" w14:textId="77777777" w:rsidR="00D117FE" w:rsidRPr="00DC61FD" w:rsidRDefault="00D117FE" w:rsidP="00D117FE">
      <w:pPr>
        <w:rPr>
          <w:b/>
          <w:bCs/>
          <w:i/>
          <w:iCs/>
        </w:rPr>
      </w:pPr>
      <w:r w:rsidRPr="00DC61FD">
        <w:rPr>
          <w:b/>
          <w:bCs/>
          <w:i/>
          <w:iCs/>
        </w:rPr>
        <w:t xml:space="preserve">effectiveness of the police response is likely to have a significant impact on the confidence of </w:t>
      </w:r>
    </w:p>
    <w:p w14:paraId="7A169C4B" w14:textId="77777777" w:rsidR="00D117FE" w:rsidRPr="00DC61FD" w:rsidRDefault="00D117FE" w:rsidP="00D117FE">
      <w:pPr>
        <w:rPr>
          <w:b/>
          <w:bCs/>
          <w:i/>
          <w:iCs/>
        </w:rPr>
      </w:pPr>
      <w:r w:rsidRPr="00DC61FD">
        <w:rPr>
          <w:b/>
          <w:bCs/>
          <w:i/>
          <w:iCs/>
        </w:rPr>
        <w:t xml:space="preserve">the victim, their family and/or the community”. </w:t>
      </w:r>
    </w:p>
    <w:p w14:paraId="5076D298" w14:textId="77777777" w:rsidR="00D117FE" w:rsidRPr="00DC61FD" w:rsidRDefault="00D117FE" w:rsidP="00D117FE">
      <w:pPr>
        <w:rPr>
          <w:b/>
          <w:bCs/>
          <w:i/>
          <w:iCs/>
        </w:rPr>
      </w:pPr>
      <w:r w:rsidRPr="00DC61FD">
        <w:rPr>
          <w:b/>
          <w:bCs/>
          <w:i/>
          <w:iCs/>
        </w:rPr>
        <w:t>Why is it so important that the police maintain the confidence of local communities?</w:t>
      </w:r>
    </w:p>
    <w:p w14:paraId="7979FA0A" w14:textId="77777777" w:rsidR="00D117FE" w:rsidRPr="00DC61FD" w:rsidRDefault="00D117FE" w:rsidP="00D117FE">
      <w:pPr>
        <w:rPr>
          <w:b/>
          <w:bCs/>
          <w:i/>
          <w:iCs/>
        </w:rPr>
      </w:pPr>
      <w:r w:rsidRPr="00DC61FD">
        <w:rPr>
          <w:b/>
          <w:bCs/>
          <w:i/>
          <w:iCs/>
        </w:rPr>
        <w:t xml:space="preserve">Your answer must be based on academic research rather than personal experience, but you </w:t>
      </w:r>
    </w:p>
    <w:p w14:paraId="577A5641" w14:textId="77777777" w:rsidR="00D117FE" w:rsidRDefault="00D117FE" w:rsidP="00D117FE">
      <w:pPr>
        <w:rPr>
          <w:b/>
          <w:bCs/>
          <w:i/>
          <w:iCs/>
        </w:rPr>
      </w:pPr>
      <w:r w:rsidRPr="00DC61FD">
        <w:rPr>
          <w:b/>
          <w:bCs/>
          <w:i/>
          <w:iCs/>
        </w:rPr>
        <w:t>may refer to examples of high-profile critical and major incidents.</w:t>
      </w:r>
    </w:p>
    <w:p w14:paraId="60CECBB3" w14:textId="7F89F33F" w:rsidR="00D117FE" w:rsidRDefault="00D117FE" w:rsidP="00D117FE">
      <w:pPr>
        <w:rPr>
          <w:b/>
          <w:bCs/>
          <w:i/>
          <w:iCs/>
        </w:rPr>
      </w:pPr>
      <w:r>
        <w:rPr>
          <w:b/>
          <w:bCs/>
          <w:i/>
          <w:iCs/>
        </w:rPr>
        <w:t>//</w:t>
      </w:r>
    </w:p>
    <w:p w14:paraId="0B4BE8F0" w14:textId="77777777" w:rsidR="00D117FE" w:rsidRDefault="00D117FE" w:rsidP="00D117FE">
      <w:r>
        <w:t xml:space="preserve">Students are required to complete a 4000-word submission in the form of two 2000-word essays (2 x 2000). </w:t>
      </w:r>
    </w:p>
    <w:p w14:paraId="7A33F32F" w14:textId="77777777" w:rsidR="00D117FE" w:rsidRDefault="00D117FE" w:rsidP="00D117FE">
      <w:pPr>
        <w:rPr>
          <w:b/>
          <w:bCs/>
          <w:i/>
          <w:iCs/>
        </w:rPr>
      </w:pPr>
      <w:r>
        <w:rPr>
          <w:b/>
          <w:bCs/>
          <w:i/>
          <w:iCs/>
        </w:rPr>
        <w:t>Learning Outcomes</w:t>
      </w:r>
    </w:p>
    <w:p w14:paraId="36055486" w14:textId="77777777" w:rsidR="00D117FE" w:rsidRPr="00CD5134" w:rsidRDefault="00D117FE" w:rsidP="00D117FE">
      <w:pPr>
        <w:rPr>
          <w:i/>
          <w:iCs/>
        </w:rPr>
      </w:pPr>
      <w:r w:rsidRPr="00CD5134">
        <w:rPr>
          <w:i/>
          <w:iCs/>
        </w:rPr>
        <w:t xml:space="preserve">Policing Communities </w:t>
      </w:r>
    </w:p>
    <w:p w14:paraId="05887BAA" w14:textId="77777777" w:rsidR="00D117FE" w:rsidRPr="00CD5134" w:rsidRDefault="00D117FE" w:rsidP="00D117FE">
      <w:pPr>
        <w:rPr>
          <w:i/>
          <w:iCs/>
        </w:rPr>
      </w:pPr>
      <w:r w:rsidRPr="00CD5134">
        <w:rPr>
          <w:i/>
          <w:iCs/>
        </w:rPr>
        <w:t xml:space="preserve">• Analyse why key incidents/events have had a damaging effect on the willingness of </w:t>
      </w:r>
    </w:p>
    <w:p w14:paraId="5FFCDA35" w14:textId="77777777" w:rsidR="00D117FE" w:rsidRPr="00CD5134" w:rsidRDefault="00D117FE" w:rsidP="00D117FE">
      <w:pPr>
        <w:rPr>
          <w:i/>
          <w:iCs/>
        </w:rPr>
      </w:pPr>
      <w:r w:rsidRPr="00CD5134">
        <w:rPr>
          <w:i/>
          <w:iCs/>
        </w:rPr>
        <w:t>communities to engage with the police.</w:t>
      </w:r>
    </w:p>
    <w:p w14:paraId="024C1EF7" w14:textId="77777777" w:rsidR="00D117FE" w:rsidRPr="00CD5134" w:rsidRDefault="00D117FE" w:rsidP="00D117FE">
      <w:pPr>
        <w:rPr>
          <w:i/>
          <w:iCs/>
        </w:rPr>
      </w:pPr>
      <w:r w:rsidRPr="00CD5134">
        <w:rPr>
          <w:i/>
          <w:iCs/>
        </w:rPr>
        <w:t>• Examine how current policing practice can impact upon the community</w:t>
      </w:r>
    </w:p>
    <w:p w14:paraId="3D4C98F0" w14:textId="77777777" w:rsidR="00D117FE" w:rsidRPr="00CD5134" w:rsidRDefault="00D117FE" w:rsidP="00D117FE">
      <w:pPr>
        <w:rPr>
          <w:i/>
          <w:iCs/>
        </w:rPr>
      </w:pPr>
      <w:r w:rsidRPr="00CD5134">
        <w:rPr>
          <w:i/>
          <w:iCs/>
        </w:rPr>
        <w:t>• Evaluate the role of community policing in fostering and maintaining community cohesion</w:t>
      </w:r>
    </w:p>
    <w:p w14:paraId="4CE99FB9" w14:textId="6A45C294" w:rsidR="00D117FE" w:rsidRPr="00D117FE" w:rsidRDefault="00D117FE" w:rsidP="00D117FE">
      <w:pPr>
        <w:rPr>
          <w:i/>
          <w:iCs/>
        </w:rPr>
      </w:pPr>
      <w:r w:rsidRPr="00CD5134">
        <w:rPr>
          <w:i/>
          <w:iCs/>
        </w:rPr>
        <w:t>• Understand key principles of effective community engagement</w:t>
      </w:r>
    </w:p>
    <w:p w14:paraId="39A15260" w14:textId="77777777" w:rsidR="00D117FE" w:rsidRPr="00FD1216" w:rsidRDefault="00D117FE" w:rsidP="00D117FE">
      <w:pPr>
        <w:rPr>
          <w:b/>
          <w:bCs/>
          <w:i/>
          <w:iCs/>
          <w:sz w:val="24"/>
          <w:szCs w:val="24"/>
          <w:u w:val="single"/>
        </w:rPr>
      </w:pPr>
      <w:r w:rsidRPr="00FD1216">
        <w:rPr>
          <w:b/>
          <w:bCs/>
          <w:i/>
          <w:iCs/>
          <w:sz w:val="24"/>
          <w:szCs w:val="24"/>
          <w:u w:val="single"/>
        </w:rPr>
        <w:t>The Importance of Maintaining Community Confidence in Policing Critical Incidents</w:t>
      </w:r>
    </w:p>
    <w:p w14:paraId="7CE2025D" w14:textId="77777777" w:rsidR="00D117FE" w:rsidRDefault="00D117FE" w:rsidP="00D117FE">
      <w:pPr>
        <w:pStyle w:val="PlainText"/>
      </w:pPr>
    </w:p>
    <w:p w14:paraId="0581B3A8" w14:textId="77777777" w:rsidR="00D117FE" w:rsidRPr="00AE2AC8" w:rsidRDefault="00D117FE" w:rsidP="00D117FE">
      <w:pPr>
        <w:pStyle w:val="PlainText"/>
        <w:rPr>
          <w:rFonts w:asciiTheme="majorHAnsi" w:hAnsiTheme="majorHAnsi" w:cstheme="majorHAnsi"/>
          <w:b/>
          <w:bCs/>
          <w:sz w:val="24"/>
          <w:szCs w:val="22"/>
        </w:rPr>
      </w:pPr>
      <w:r w:rsidRPr="00AE2AC8">
        <w:rPr>
          <w:rFonts w:asciiTheme="majorHAnsi" w:hAnsiTheme="majorHAnsi" w:cstheme="majorHAnsi"/>
          <w:b/>
          <w:bCs/>
          <w:sz w:val="24"/>
          <w:szCs w:val="22"/>
        </w:rPr>
        <w:t>Introduction</w:t>
      </w:r>
    </w:p>
    <w:p w14:paraId="5BD5EFE6" w14:textId="77777777" w:rsidR="00D117FE" w:rsidRDefault="00D117FE" w:rsidP="00D117FE">
      <w:pPr>
        <w:pStyle w:val="PlainText"/>
        <w:rPr>
          <w:rFonts w:asciiTheme="majorHAnsi" w:hAnsiTheme="majorHAnsi" w:cstheme="majorHAnsi"/>
        </w:rPr>
      </w:pPr>
    </w:p>
    <w:p w14:paraId="3961296A"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The term 'critical incident' is defined by The College of Policing (2021) as any event where the effectiveness of the police response is likely to significantly influence the confidence of those directly affected and the wider community. This essay examines why the maintenance of this confidence is a cornerstone for the police, particularly when handling such critical incidents. The ability of the police to inspire community confidence during these challenging times is not just a matter of protocol; it is a crucial aspect of their duty and a reflection of their commitment to the communities they serve.</w:t>
      </w:r>
    </w:p>
    <w:p w14:paraId="5F7E9FB2" w14:textId="77777777" w:rsidR="00D117FE" w:rsidRPr="00AE2AC8" w:rsidRDefault="00D117FE" w:rsidP="00D117FE">
      <w:pPr>
        <w:pStyle w:val="PlainText"/>
        <w:rPr>
          <w:rFonts w:asciiTheme="majorHAnsi" w:hAnsiTheme="majorHAnsi" w:cstheme="majorHAnsi"/>
        </w:rPr>
      </w:pPr>
    </w:p>
    <w:p w14:paraId="17C167DA"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Within the scope of this essay, we will consider the impact of policing strategies on community trust, with a particular focus on high-profile events within the UK that have tested this relationship. The 2011 England riots serve as a case in point, offering a contemporary examination of how critical incidents can either undermine or reinforce public trust. This discussion will delve into the intricate relationship between the police and the public, evaluating how current practices affect this dynamic and the importance of community policing in maintaining cohesion.</w:t>
      </w:r>
    </w:p>
    <w:p w14:paraId="71B9D728" w14:textId="77777777" w:rsidR="00D117FE" w:rsidRPr="00AE2AC8" w:rsidRDefault="00D117FE" w:rsidP="00D117FE">
      <w:pPr>
        <w:pStyle w:val="PlainText"/>
        <w:rPr>
          <w:rFonts w:asciiTheme="majorHAnsi" w:hAnsiTheme="majorHAnsi" w:cstheme="majorHAnsi"/>
        </w:rPr>
      </w:pPr>
    </w:p>
    <w:p w14:paraId="018005E2" w14:textId="77777777" w:rsidR="00D117FE" w:rsidRDefault="00D117FE" w:rsidP="00D117FE">
      <w:pPr>
        <w:pStyle w:val="PlainText"/>
        <w:rPr>
          <w:rFonts w:asciiTheme="majorHAnsi" w:hAnsiTheme="majorHAnsi" w:cstheme="majorHAnsi"/>
        </w:rPr>
      </w:pPr>
      <w:r w:rsidRPr="00AE2AC8">
        <w:rPr>
          <w:rFonts w:asciiTheme="majorHAnsi" w:hAnsiTheme="majorHAnsi" w:cstheme="majorHAnsi"/>
        </w:rPr>
        <w:t>By analysing these elements, the essay will articulate the significance of police transparency, responsiveness, and inclusivity in upholding public confidence. The overarching narrative will demonstrate that the efficacy of policing is profoundly interconnected with the trust of the community, asserting that the true measure of successful law enforcement is reflected in the strength of its community relationships.</w:t>
      </w:r>
    </w:p>
    <w:p w14:paraId="276E5564" w14:textId="77777777" w:rsidR="00D117FE" w:rsidRPr="002768D3" w:rsidRDefault="00D117FE" w:rsidP="00D117FE">
      <w:pPr>
        <w:pStyle w:val="PlainText"/>
        <w:rPr>
          <w:rFonts w:asciiTheme="majorHAnsi" w:hAnsiTheme="majorHAnsi" w:cstheme="majorHAnsi"/>
          <w:b/>
          <w:bCs/>
          <w:sz w:val="24"/>
          <w:szCs w:val="22"/>
        </w:rPr>
      </w:pPr>
      <w:r w:rsidRPr="002768D3">
        <w:rPr>
          <w:rFonts w:asciiTheme="majorHAnsi" w:hAnsiTheme="majorHAnsi" w:cstheme="majorHAnsi"/>
          <w:b/>
          <w:bCs/>
          <w:sz w:val="24"/>
          <w:szCs w:val="22"/>
        </w:rPr>
        <w:lastRenderedPageBreak/>
        <w:t xml:space="preserve">Importance of Community Confidence </w:t>
      </w:r>
    </w:p>
    <w:p w14:paraId="4ECEB033" w14:textId="77777777" w:rsidR="00D117FE" w:rsidRPr="00AE2AC8" w:rsidRDefault="00D117FE" w:rsidP="00D117FE">
      <w:pPr>
        <w:pStyle w:val="PlainText"/>
        <w:rPr>
          <w:rFonts w:asciiTheme="majorHAnsi" w:hAnsiTheme="majorHAnsi" w:cstheme="majorHAnsi"/>
        </w:rPr>
      </w:pPr>
    </w:p>
    <w:p w14:paraId="6A4A75D2"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Public confidence in the police is a cornerstone of effective law enforcement and public safety. This trust serves as the social contract between the police and the community, where the latter bestows authority on the former with the expectation of fair treatment, safety, and justice. Lack of this trust can lead to decreased cooperation from community members, reluctance to report crimes, and even hostile confrontations between citizens and police officers (Wankhade et al.,2019).</w:t>
      </w:r>
    </w:p>
    <w:p w14:paraId="4596E0FD" w14:textId="77777777" w:rsidR="00D117FE" w:rsidRPr="00AE2AC8" w:rsidRDefault="00D117FE" w:rsidP="00D117FE">
      <w:pPr>
        <w:pStyle w:val="PlainText"/>
        <w:rPr>
          <w:rFonts w:asciiTheme="majorHAnsi" w:hAnsiTheme="majorHAnsi" w:cstheme="majorHAnsi"/>
        </w:rPr>
      </w:pPr>
    </w:p>
    <w:p w14:paraId="484232BC"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 xml:space="preserve">Academic research supports the significance of community confidence for successful policing. For example, a study by Sunshine and Tyler (2003) emphasizes that public trust is not merely a byproduct of effective law enforcement but is actually instrumental in shaping public cooperation and compliance with the law. According to the study, people are more likely to respect and follow laws when they believe that authorities are legitimate, underscoring the reciprocal nature of public trust and effective policing. </w:t>
      </w:r>
    </w:p>
    <w:p w14:paraId="2EA1348F" w14:textId="77777777" w:rsidR="00D117FE" w:rsidRPr="00AE2AC8" w:rsidRDefault="00D117FE" w:rsidP="00D117FE">
      <w:pPr>
        <w:pStyle w:val="PlainText"/>
        <w:rPr>
          <w:rFonts w:asciiTheme="majorHAnsi" w:hAnsiTheme="majorHAnsi" w:cstheme="majorHAnsi"/>
        </w:rPr>
      </w:pPr>
    </w:p>
    <w:p w14:paraId="796A18C1"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The importance of maintaining confidence becomes especially pertinent during critical incidents. When a critical incident occurs, the actions of the police are under heightened scrutiny from both the public and the media. The police's ability to manage the situation effectively is not just crucial for resolving the immediate crisis, but it also has long-term implications for community trust. A poorly managed critical incident can significantly undermine public confidence, thereby affecting the police's ability to carry out their duties effectively in the future (Jackson et al., 2012).</w:t>
      </w:r>
    </w:p>
    <w:p w14:paraId="764496E7" w14:textId="77777777" w:rsidR="00D117FE" w:rsidRPr="00AE2AC8" w:rsidRDefault="00D117FE" w:rsidP="00D117FE">
      <w:pPr>
        <w:pStyle w:val="PlainText"/>
        <w:rPr>
          <w:rFonts w:asciiTheme="majorHAnsi" w:hAnsiTheme="majorHAnsi" w:cstheme="majorHAnsi"/>
        </w:rPr>
      </w:pPr>
    </w:p>
    <w:p w14:paraId="405E003F"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In summary, public confidence is not an ancillary aspect of policing; it's integral to the force's operational effectiveness and community safety. Especially during critical incidents, the police's ability to maintain public confidence is not only important for the specific situation at hand but also sets a precedent for future interactions between the police and the community.</w:t>
      </w:r>
    </w:p>
    <w:p w14:paraId="713C531D" w14:textId="77777777" w:rsidR="00D117FE" w:rsidRDefault="00D117FE" w:rsidP="00D117FE">
      <w:pPr>
        <w:pStyle w:val="PlainText"/>
        <w:rPr>
          <w:rFonts w:asciiTheme="majorHAnsi" w:hAnsiTheme="majorHAnsi" w:cstheme="majorHAnsi"/>
        </w:rPr>
      </w:pPr>
    </w:p>
    <w:p w14:paraId="324D84C2" w14:textId="77777777" w:rsidR="00D117FE" w:rsidRDefault="00D117FE" w:rsidP="00D117FE">
      <w:pPr>
        <w:pStyle w:val="PlainText"/>
        <w:rPr>
          <w:rFonts w:asciiTheme="majorHAnsi" w:hAnsiTheme="majorHAnsi" w:cstheme="majorHAnsi"/>
          <w:b/>
          <w:bCs/>
          <w:sz w:val="24"/>
          <w:szCs w:val="22"/>
        </w:rPr>
      </w:pPr>
      <w:r w:rsidRPr="00AE2AC8">
        <w:rPr>
          <w:rFonts w:asciiTheme="majorHAnsi" w:hAnsiTheme="majorHAnsi" w:cstheme="majorHAnsi"/>
          <w:b/>
          <w:bCs/>
          <w:sz w:val="24"/>
          <w:szCs w:val="22"/>
        </w:rPr>
        <w:t xml:space="preserve">Events Damaging Community Engagement </w:t>
      </w:r>
    </w:p>
    <w:p w14:paraId="62EADED1" w14:textId="77777777" w:rsidR="00D117FE" w:rsidRPr="00AE2AC8" w:rsidRDefault="00D117FE" w:rsidP="00D117FE">
      <w:pPr>
        <w:pStyle w:val="PlainText"/>
        <w:rPr>
          <w:rFonts w:asciiTheme="majorHAnsi" w:hAnsiTheme="majorHAnsi" w:cstheme="majorHAnsi"/>
          <w:b/>
          <w:bCs/>
          <w:sz w:val="24"/>
          <w:szCs w:val="22"/>
        </w:rPr>
      </w:pPr>
    </w:p>
    <w:p w14:paraId="6772D7AF"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Historically, there have been significant incidents where the police's handling of situations led to a deterioration in the community's willingness to engage with law enforcement. One notable case that severely damaged public confidence is the Stephen Lawrence case. In 1993, Stephen Lawrence, a Black teenager, was fatally stabbed in a racially motivated attack. The subsequent police investigation was riddled with accusations of institutional racism, inefficiencies, and a lack of urgency, leading to public outcry and a loss of trust in the police (Bowling and Phillips, 2007).</w:t>
      </w:r>
    </w:p>
    <w:p w14:paraId="3BC933A9" w14:textId="77777777" w:rsidR="00D117FE" w:rsidRPr="00AE2AC8" w:rsidRDefault="00D117FE" w:rsidP="00D117FE">
      <w:pPr>
        <w:pStyle w:val="PlainText"/>
        <w:rPr>
          <w:rFonts w:asciiTheme="majorHAnsi" w:hAnsiTheme="majorHAnsi" w:cstheme="majorHAnsi"/>
        </w:rPr>
      </w:pPr>
    </w:p>
    <w:p w14:paraId="30CFA121"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According to academic research by Jackson et al. (2012), incidents like these have a ripple effect, eroding community trust not just in the specific officers involved but in the police institution as a whole. The study shows that these events contribute to a general sense of alienation and scepticism towards law enforcement, leading communities to become less cooperative, more wary, and even antagonistic towards police officers.</w:t>
      </w:r>
    </w:p>
    <w:p w14:paraId="28653473" w14:textId="77777777" w:rsidR="00D117FE" w:rsidRPr="00AE2AC8" w:rsidRDefault="00D117FE" w:rsidP="00D117FE">
      <w:pPr>
        <w:pStyle w:val="PlainText"/>
        <w:rPr>
          <w:rFonts w:asciiTheme="majorHAnsi" w:hAnsiTheme="majorHAnsi" w:cstheme="majorHAnsi"/>
        </w:rPr>
      </w:pPr>
    </w:p>
    <w:p w14:paraId="4D99E1DD"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Another example that had a detrimental effect on community engagement was the handling of the Hillsborough disaster in 1989. Police mismanagement and subsequent attempts to shift blame resulted in widespread public distrust and severely damaged the relationship between the community and the police (Scraton, 1999).</w:t>
      </w:r>
    </w:p>
    <w:p w14:paraId="237ABD12" w14:textId="77777777" w:rsidR="00D117FE" w:rsidRPr="00AE2AC8" w:rsidRDefault="00D117FE" w:rsidP="00D117FE">
      <w:pPr>
        <w:pStyle w:val="PlainText"/>
        <w:rPr>
          <w:rFonts w:asciiTheme="majorHAnsi" w:hAnsiTheme="majorHAnsi" w:cstheme="majorHAnsi"/>
        </w:rPr>
      </w:pPr>
    </w:p>
    <w:p w14:paraId="36B41097" w14:textId="77777777" w:rsidR="00D117FE" w:rsidRDefault="00D117FE" w:rsidP="00D117FE">
      <w:pPr>
        <w:pStyle w:val="PlainText"/>
        <w:rPr>
          <w:rFonts w:asciiTheme="majorHAnsi" w:hAnsiTheme="majorHAnsi" w:cstheme="majorHAnsi"/>
        </w:rPr>
      </w:pPr>
      <w:r w:rsidRPr="00AE2AC8">
        <w:rPr>
          <w:rFonts w:asciiTheme="majorHAnsi" w:hAnsiTheme="majorHAnsi" w:cstheme="majorHAnsi"/>
        </w:rPr>
        <w:t>Such incidents indicate that a single mismanaged critical event can have long-lasting repercussions on community-police relationships. They underscore the urgent need for law enforcement agencies to maintain community confidence, particularly when managing critical incidents that will inevitably come under public scrutiny.</w:t>
      </w:r>
    </w:p>
    <w:p w14:paraId="34ED3B69" w14:textId="77777777" w:rsidR="00D117FE" w:rsidRPr="002768D3" w:rsidRDefault="00D117FE" w:rsidP="00D117FE">
      <w:pPr>
        <w:pStyle w:val="PlainText"/>
        <w:rPr>
          <w:rFonts w:asciiTheme="majorHAnsi" w:hAnsiTheme="majorHAnsi" w:cstheme="majorHAnsi"/>
        </w:rPr>
      </w:pPr>
      <w:r w:rsidRPr="002768D3">
        <w:rPr>
          <w:rFonts w:asciiTheme="majorHAnsi" w:hAnsiTheme="majorHAnsi" w:cstheme="majorHAnsi"/>
          <w:b/>
          <w:bCs/>
          <w:sz w:val="24"/>
          <w:szCs w:val="22"/>
        </w:rPr>
        <w:lastRenderedPageBreak/>
        <w:t>Current Policing Practices and Community Impact</w:t>
      </w:r>
    </w:p>
    <w:p w14:paraId="0C0CFAB9" w14:textId="77777777" w:rsidR="00D117FE" w:rsidRPr="00AE2AC8" w:rsidRDefault="00D117FE" w:rsidP="00D117FE">
      <w:pPr>
        <w:pStyle w:val="PlainText"/>
        <w:rPr>
          <w:rFonts w:asciiTheme="majorHAnsi" w:hAnsiTheme="majorHAnsi" w:cstheme="majorHAnsi"/>
        </w:rPr>
      </w:pPr>
    </w:p>
    <w:p w14:paraId="68FB3AEF"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 xml:space="preserve">In the context of day-to-day law enforcement, certain policing practices can have both positive and negative impacts on community relations. One such contentious practice is the "Stop and Search" technique. While this method is often justified on grounds of crime prevention and public safety, it has attracted criticism for being disproportionately targeted at minority communities (Bowling and Phillips, 2007). </w:t>
      </w:r>
    </w:p>
    <w:p w14:paraId="0910D7B7" w14:textId="77777777" w:rsidR="00D117FE" w:rsidRPr="00AE2AC8" w:rsidRDefault="00D117FE" w:rsidP="00D117FE">
      <w:pPr>
        <w:pStyle w:val="PlainText"/>
        <w:rPr>
          <w:rFonts w:asciiTheme="majorHAnsi" w:hAnsiTheme="majorHAnsi" w:cstheme="majorHAnsi"/>
        </w:rPr>
      </w:pPr>
    </w:p>
    <w:p w14:paraId="663048BE"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Research by Bowling and Phillips (2007) demonstrates that "Stop and Search" activities, when conducted unfairly or discriminatorily, can significantly affect the willingness of communities to engage with the police. Perceived unfairness in these routine practices can foster a sense of alienation and mistrust among community members, thus making effective policing more challenging.</w:t>
      </w:r>
    </w:p>
    <w:p w14:paraId="656382E1" w14:textId="77777777" w:rsidR="00D117FE" w:rsidRPr="00AE2AC8" w:rsidRDefault="00D117FE" w:rsidP="00D117FE">
      <w:pPr>
        <w:pStyle w:val="PlainText"/>
        <w:rPr>
          <w:rFonts w:asciiTheme="majorHAnsi" w:hAnsiTheme="majorHAnsi" w:cstheme="majorHAnsi"/>
        </w:rPr>
      </w:pPr>
    </w:p>
    <w:p w14:paraId="35A0D41F"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Similarly, the increasing use of surveillance technologies like CCTV and facial recognition software can impact community sentiment. While these technologies promise improved public safety, they also raise concerns about privacy and civil liberties, affecting the community's overall perception of being 'policed' (Norris and Armstrong, 1999).</w:t>
      </w:r>
    </w:p>
    <w:p w14:paraId="75F66FB1" w14:textId="77777777" w:rsidR="00D117FE" w:rsidRDefault="00D117FE" w:rsidP="00D117FE">
      <w:pPr>
        <w:pStyle w:val="PlainText"/>
        <w:rPr>
          <w:rFonts w:asciiTheme="majorHAnsi" w:hAnsiTheme="majorHAnsi" w:cstheme="majorHAnsi"/>
        </w:rPr>
      </w:pPr>
    </w:p>
    <w:p w14:paraId="0A27CF9E" w14:textId="77777777" w:rsidR="00D117FE" w:rsidRDefault="00D117FE" w:rsidP="00D117FE">
      <w:pPr>
        <w:pStyle w:val="PlainText"/>
        <w:rPr>
          <w:rFonts w:asciiTheme="majorHAnsi" w:hAnsiTheme="majorHAnsi" w:cstheme="majorHAnsi"/>
        </w:rPr>
      </w:pPr>
      <w:r w:rsidRPr="00AE2AC8">
        <w:rPr>
          <w:rFonts w:asciiTheme="majorHAnsi" w:hAnsiTheme="majorHAnsi" w:cstheme="majorHAnsi"/>
        </w:rPr>
        <w:t>Furthermore, recent developments in data-driven policing techniques offer both promise and pitfalls. These methods use statistical analysis to predict where crimes are most likely to occur, aiming to allocate resources more efficiently. However, if not managed carefully, such practices can reinforce existing biases and stereotypes, contributing to deteriorated community relationships (Ferguson, 2017).</w:t>
      </w:r>
    </w:p>
    <w:p w14:paraId="34548CAF" w14:textId="77777777" w:rsidR="00D117FE" w:rsidRPr="00AE2AC8" w:rsidRDefault="00D117FE" w:rsidP="00D117FE">
      <w:pPr>
        <w:pStyle w:val="PlainText"/>
        <w:rPr>
          <w:rFonts w:asciiTheme="majorHAnsi" w:hAnsiTheme="majorHAnsi" w:cstheme="majorHAnsi"/>
        </w:rPr>
      </w:pPr>
    </w:p>
    <w:p w14:paraId="2AA5D677"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In summary, the way current policing practices are executed can significantly influence community attitudes and levels of engagement with law enforcement. This, in turn, can have long-term repercussions on the effectiveness of policing, particularly in critical incidents where community cooperation and trust are paramount.</w:t>
      </w:r>
    </w:p>
    <w:p w14:paraId="3721523F" w14:textId="77777777" w:rsidR="00D117FE" w:rsidRPr="00AE2AC8" w:rsidRDefault="00D117FE" w:rsidP="00D117FE">
      <w:pPr>
        <w:pStyle w:val="PlainText"/>
        <w:rPr>
          <w:rFonts w:asciiTheme="majorHAnsi" w:hAnsiTheme="majorHAnsi" w:cstheme="majorHAnsi"/>
        </w:rPr>
      </w:pPr>
    </w:p>
    <w:p w14:paraId="145D0B83" w14:textId="77777777" w:rsidR="00D117FE" w:rsidRPr="00AE2AC8" w:rsidRDefault="00D117FE" w:rsidP="00D117FE">
      <w:pPr>
        <w:pStyle w:val="PlainText"/>
        <w:rPr>
          <w:rFonts w:asciiTheme="majorHAnsi" w:hAnsiTheme="majorHAnsi" w:cstheme="majorHAnsi"/>
        </w:rPr>
      </w:pPr>
    </w:p>
    <w:p w14:paraId="508F6526" w14:textId="77777777" w:rsidR="00D117FE" w:rsidRPr="0006358C" w:rsidRDefault="00D117FE" w:rsidP="00D117FE">
      <w:pPr>
        <w:pStyle w:val="PlainText"/>
        <w:rPr>
          <w:rFonts w:asciiTheme="majorHAnsi" w:hAnsiTheme="majorHAnsi" w:cstheme="majorHAnsi"/>
          <w:b/>
          <w:bCs/>
        </w:rPr>
      </w:pPr>
      <w:r w:rsidRPr="0006358C">
        <w:rPr>
          <w:rFonts w:asciiTheme="majorHAnsi" w:hAnsiTheme="majorHAnsi" w:cstheme="majorHAnsi"/>
          <w:b/>
          <w:bCs/>
        </w:rPr>
        <w:t>Role of Community Policing in Cohesion</w:t>
      </w:r>
    </w:p>
    <w:p w14:paraId="2828445D" w14:textId="77777777" w:rsidR="00D117FE" w:rsidRPr="00AE2AC8" w:rsidRDefault="00D117FE" w:rsidP="00D117FE">
      <w:pPr>
        <w:pStyle w:val="PlainText"/>
        <w:rPr>
          <w:rFonts w:asciiTheme="majorHAnsi" w:hAnsiTheme="majorHAnsi" w:cstheme="majorHAnsi"/>
        </w:rPr>
      </w:pPr>
    </w:p>
    <w:p w14:paraId="2BD36A4B"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Community policing represents an alternative model that aims to foster and maintain community cohesion through active engagement, dialogue, and problem-solving between police officers and community members. The essential premise is a more democratically engaged form of policing that seeks to build trust and mutual respect (Skogan, 2006).</w:t>
      </w:r>
    </w:p>
    <w:p w14:paraId="68A19629" w14:textId="77777777" w:rsidR="00D117FE" w:rsidRPr="00AE2AC8" w:rsidRDefault="00D117FE" w:rsidP="00D117FE">
      <w:pPr>
        <w:pStyle w:val="PlainText"/>
        <w:rPr>
          <w:rFonts w:asciiTheme="majorHAnsi" w:hAnsiTheme="majorHAnsi" w:cstheme="majorHAnsi"/>
        </w:rPr>
      </w:pPr>
    </w:p>
    <w:p w14:paraId="1A0A97B6"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According to Skogan (2006), community policing has a significant positive impact on community cohesion. The study suggests that regular interactions between police officers and the public can help break down barriers and stereotypes, leading to a more cooperative and less antagonistic relationship. This cohesion can be particularly important in the aftermath of a critical incident, where the community's trust in police action is crucial for both resolving the incident and maintaining long-term community relationships.</w:t>
      </w:r>
    </w:p>
    <w:p w14:paraId="236ADB6A" w14:textId="77777777" w:rsidR="00D117FE" w:rsidRPr="00AE2AC8" w:rsidRDefault="00D117FE" w:rsidP="00D117FE">
      <w:pPr>
        <w:pStyle w:val="PlainText"/>
        <w:rPr>
          <w:rFonts w:asciiTheme="majorHAnsi" w:hAnsiTheme="majorHAnsi" w:cstheme="majorHAnsi"/>
        </w:rPr>
      </w:pPr>
    </w:p>
    <w:p w14:paraId="5570311F"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Additionally, community policing offers avenues for the public to be involved in setting policing priorities, thus giving them a sense of ownership and involvement in their own safety (Innes, n.d.). This participatory approach not only strengthens community relations but also provides law enforcement agencies with valuable insights into the specific needs and concerns of the communities they serve.</w:t>
      </w:r>
    </w:p>
    <w:p w14:paraId="4C195444" w14:textId="77777777" w:rsidR="00D117FE" w:rsidRPr="00AE2AC8" w:rsidRDefault="00D117FE" w:rsidP="00D117FE">
      <w:pPr>
        <w:pStyle w:val="PlainText"/>
        <w:rPr>
          <w:rFonts w:asciiTheme="majorHAnsi" w:hAnsiTheme="majorHAnsi" w:cstheme="majorHAnsi"/>
        </w:rPr>
      </w:pPr>
    </w:p>
    <w:p w14:paraId="02C2A506" w14:textId="77777777" w:rsidR="00D117FE" w:rsidRPr="00AE2AC8" w:rsidRDefault="00D117FE" w:rsidP="00D117FE">
      <w:pPr>
        <w:pStyle w:val="PlainText"/>
        <w:rPr>
          <w:rFonts w:asciiTheme="majorHAnsi" w:hAnsiTheme="majorHAnsi" w:cstheme="majorHAnsi"/>
        </w:rPr>
      </w:pPr>
    </w:p>
    <w:p w14:paraId="00419560"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lastRenderedPageBreak/>
        <w:t>However, it is crucial to note that community policing is not a panacea. The effectiveness of this approach can vary depending on the extent of its implementation and the existing level of community trust (Rosenbaum, 1994). Therefore, while it offers a promising path towards fostering community cohesion, its success is not guaranteed.</w:t>
      </w:r>
    </w:p>
    <w:p w14:paraId="6F0C2E36" w14:textId="77777777" w:rsidR="00D117FE" w:rsidRPr="00AE2AC8" w:rsidRDefault="00D117FE" w:rsidP="00D117FE">
      <w:pPr>
        <w:pStyle w:val="PlainText"/>
        <w:rPr>
          <w:rFonts w:asciiTheme="majorHAnsi" w:hAnsiTheme="majorHAnsi" w:cstheme="majorHAnsi"/>
        </w:rPr>
      </w:pPr>
    </w:p>
    <w:p w14:paraId="4155B025" w14:textId="77777777" w:rsidR="00D117FE" w:rsidRPr="0006358C" w:rsidRDefault="00D117FE" w:rsidP="00D117FE">
      <w:pPr>
        <w:pStyle w:val="PlainText"/>
        <w:rPr>
          <w:rFonts w:asciiTheme="majorHAnsi" w:hAnsiTheme="majorHAnsi" w:cstheme="majorHAnsi"/>
          <w:b/>
          <w:bCs/>
        </w:rPr>
      </w:pPr>
      <w:r w:rsidRPr="0006358C">
        <w:rPr>
          <w:rFonts w:asciiTheme="majorHAnsi" w:hAnsiTheme="majorHAnsi" w:cstheme="majorHAnsi"/>
          <w:b/>
          <w:bCs/>
        </w:rPr>
        <w:t>Principles of Effective Community Engagement</w:t>
      </w:r>
    </w:p>
    <w:p w14:paraId="0F533FB4" w14:textId="77777777" w:rsidR="00D117FE" w:rsidRPr="00AE2AC8" w:rsidRDefault="00D117FE" w:rsidP="00D117FE">
      <w:pPr>
        <w:pStyle w:val="PlainText"/>
        <w:rPr>
          <w:rFonts w:asciiTheme="majorHAnsi" w:hAnsiTheme="majorHAnsi" w:cstheme="majorHAnsi"/>
        </w:rPr>
      </w:pPr>
    </w:p>
    <w:p w14:paraId="07BFA214"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Effective community engagement is more than a buzzword; it's a foundational aspect of modern policing that can significantly affect public trust and cooperation, especially during critical incidents. Understanding the principles that make engagement effective is essential for maintaining community confidence.</w:t>
      </w:r>
    </w:p>
    <w:p w14:paraId="5DB989E5" w14:textId="77777777" w:rsidR="00D117FE" w:rsidRPr="00AE2AC8" w:rsidRDefault="00D117FE" w:rsidP="00D117FE">
      <w:pPr>
        <w:pStyle w:val="PlainText"/>
        <w:rPr>
          <w:rFonts w:asciiTheme="majorHAnsi" w:hAnsiTheme="majorHAnsi" w:cstheme="majorHAnsi"/>
        </w:rPr>
      </w:pPr>
    </w:p>
    <w:p w14:paraId="31EBEB9C"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Firstly, transparency is a key principle in community engagement. Providing clear, timely information during critical incidents helps build trust and manage expectations (Mazerolle et al., 2013). Research shows that when police are transparent about their actions and decision-making processes, it enhances public perception of fairness, thus elevating trust (Murphy et al., 2014).</w:t>
      </w:r>
    </w:p>
    <w:p w14:paraId="42BA9C35" w14:textId="77777777" w:rsidR="00D117FE" w:rsidRPr="00AE2AC8" w:rsidRDefault="00D117FE" w:rsidP="00D117FE">
      <w:pPr>
        <w:pStyle w:val="PlainText"/>
        <w:rPr>
          <w:rFonts w:asciiTheme="majorHAnsi" w:hAnsiTheme="majorHAnsi" w:cstheme="majorHAnsi"/>
        </w:rPr>
      </w:pPr>
    </w:p>
    <w:p w14:paraId="0C07839C"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Secondly, inclusivity should be prioritized, ensuring that diverse community voices are heard and considered in policing strategies and decision-making processes. Inclusion fosters a sense of shared responsibility and belonging, which can lead to increased community cooperation (Myhill and Quinton, 2011).</w:t>
      </w:r>
    </w:p>
    <w:p w14:paraId="1750AFCC" w14:textId="77777777" w:rsidR="00D117FE" w:rsidRPr="00AE2AC8" w:rsidRDefault="00D117FE" w:rsidP="00D117FE">
      <w:pPr>
        <w:pStyle w:val="PlainText"/>
        <w:rPr>
          <w:rFonts w:asciiTheme="majorHAnsi" w:hAnsiTheme="majorHAnsi" w:cstheme="majorHAnsi"/>
        </w:rPr>
      </w:pPr>
    </w:p>
    <w:p w14:paraId="0D74DA76"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Lastly, responsiveness is crucial. Police agencies must be willing to listen to community feedback and adapt their practices accordingly. A study by Gill et al. (2014) indicates that when police departments are responsive to community concerns, it creates a sense of agency among the public, subsequently improving the effectiveness of law enforcement efforts.</w:t>
      </w:r>
    </w:p>
    <w:p w14:paraId="56EDA0EE" w14:textId="77777777" w:rsidR="00D117FE" w:rsidRPr="00AE2AC8" w:rsidRDefault="00D117FE" w:rsidP="00D117FE">
      <w:pPr>
        <w:pStyle w:val="PlainText"/>
        <w:rPr>
          <w:rFonts w:asciiTheme="majorHAnsi" w:hAnsiTheme="majorHAnsi" w:cstheme="majorHAnsi"/>
        </w:rPr>
      </w:pPr>
    </w:p>
    <w:p w14:paraId="7543AFE9"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In summary, the principles of transparency, inclusivity, and responsiveness are vital for effective community engagement. These principles are not just theoretical constructs but practical necessities for maintaining confidence, particularly during the management of critical incidents.</w:t>
      </w:r>
    </w:p>
    <w:p w14:paraId="40C07B99" w14:textId="77777777" w:rsidR="00D117FE" w:rsidRPr="00AE2AC8" w:rsidRDefault="00D117FE" w:rsidP="00D117FE">
      <w:pPr>
        <w:pStyle w:val="PlainText"/>
        <w:rPr>
          <w:rFonts w:asciiTheme="majorHAnsi" w:hAnsiTheme="majorHAnsi" w:cstheme="majorHAnsi"/>
        </w:rPr>
      </w:pPr>
    </w:p>
    <w:p w14:paraId="33528376" w14:textId="77777777" w:rsidR="00D117FE" w:rsidRDefault="00D117FE" w:rsidP="00D117FE">
      <w:pPr>
        <w:pStyle w:val="PlainText"/>
        <w:rPr>
          <w:rFonts w:asciiTheme="majorHAnsi" w:hAnsiTheme="majorHAnsi" w:cstheme="majorHAnsi"/>
        </w:rPr>
      </w:pPr>
    </w:p>
    <w:p w14:paraId="7F8A0866" w14:textId="77777777" w:rsidR="00D117FE" w:rsidRPr="0006358C" w:rsidRDefault="00D117FE" w:rsidP="00D117FE">
      <w:pPr>
        <w:pStyle w:val="PlainText"/>
        <w:rPr>
          <w:rFonts w:asciiTheme="majorHAnsi" w:hAnsiTheme="majorHAnsi" w:cstheme="majorHAnsi"/>
        </w:rPr>
      </w:pPr>
      <w:r w:rsidRPr="00AE2AC8">
        <w:rPr>
          <w:rFonts w:asciiTheme="majorHAnsi" w:hAnsiTheme="majorHAnsi" w:cstheme="majorHAnsi"/>
          <w:b/>
          <w:bCs/>
        </w:rPr>
        <w:t>Case Study: Rebuilding Trust Post-2011 England Riots</w:t>
      </w:r>
    </w:p>
    <w:p w14:paraId="6D713CA5" w14:textId="77777777" w:rsidR="00D117FE" w:rsidRPr="00AE2AC8" w:rsidRDefault="00D117FE" w:rsidP="00D117FE">
      <w:pPr>
        <w:pStyle w:val="PlainText"/>
        <w:rPr>
          <w:rFonts w:asciiTheme="majorHAnsi" w:hAnsiTheme="majorHAnsi" w:cstheme="majorHAnsi"/>
        </w:rPr>
      </w:pPr>
    </w:p>
    <w:p w14:paraId="2C306F11"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The 2011 England riots, ignited by the police shooting of Mark Duggan in Tottenham, epitomize a 'critical incident' as defined by The College of Policing (2021), where the effectiveness of the police response has a significant impact on community confidence. The widespread disturbances that ensued highlighted the delicate balance of trust between the police and the communities they serve. The handling of this incident – marked by perceived procedural unfairness and lack of transparency – resulted in a severe erosion of public confidence and raised pressing questions about the legitimacy and accountability of law enforcement (Lewis et al., 2011).</w:t>
      </w:r>
    </w:p>
    <w:p w14:paraId="5921B305" w14:textId="77777777" w:rsidR="00D117FE" w:rsidRPr="00AE2AC8" w:rsidRDefault="00D117FE" w:rsidP="00D117FE">
      <w:pPr>
        <w:pStyle w:val="PlainText"/>
        <w:rPr>
          <w:rFonts w:asciiTheme="majorHAnsi" w:hAnsiTheme="majorHAnsi" w:cstheme="majorHAnsi"/>
        </w:rPr>
      </w:pPr>
    </w:p>
    <w:p w14:paraId="7CDDAA78"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Maintaining community confidence is paramount, as it underpins the social contract between the police and the populace they are sworn to protect. In the wake of the riots, the need for law enforcement to engage with communities through clear communication and inclusive practices was starkly evident. The police embarked on a mission to restore trust, demonstrating a commitment to the principles of effective community engagement, particularly transparency, inclusivity, and responsiveness. This mission was crucial not only for resolving the immediate crisis but also for preventing future escalations by fostering a cooperative spirit and mutual respect (Briggs, 2012).</w:t>
      </w:r>
    </w:p>
    <w:p w14:paraId="5EE1ADC3" w14:textId="77777777" w:rsidR="00D117FE" w:rsidRPr="00AE2AC8" w:rsidRDefault="00D117FE" w:rsidP="00D117FE">
      <w:pPr>
        <w:pStyle w:val="PlainText"/>
        <w:rPr>
          <w:rFonts w:asciiTheme="majorHAnsi" w:hAnsiTheme="majorHAnsi" w:cstheme="majorHAnsi"/>
        </w:rPr>
      </w:pPr>
    </w:p>
    <w:p w14:paraId="12D3E889"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lastRenderedPageBreak/>
        <w:t>This case study thus demonstrates the significance of police maintaining community confidence, especially during critical incidents. It serves as a contemporary reminder of the potential for community relations to deteriorate rapidly without a solid foundation of trust and the necessary steps that must be taken to rebuild this trust in the aftermath of such incidents.</w:t>
      </w:r>
    </w:p>
    <w:p w14:paraId="668C8950" w14:textId="77777777" w:rsidR="00D117FE" w:rsidRPr="00AE2AC8" w:rsidRDefault="00D117FE" w:rsidP="00D117FE">
      <w:pPr>
        <w:pStyle w:val="PlainText"/>
        <w:rPr>
          <w:rFonts w:asciiTheme="majorHAnsi" w:hAnsiTheme="majorHAnsi" w:cstheme="majorHAnsi"/>
        </w:rPr>
      </w:pPr>
    </w:p>
    <w:p w14:paraId="387CAF15" w14:textId="77777777" w:rsidR="00D117FE" w:rsidRPr="00BB53C1" w:rsidRDefault="00D117FE" w:rsidP="00D117FE">
      <w:pPr>
        <w:pStyle w:val="PlainText"/>
        <w:rPr>
          <w:rFonts w:asciiTheme="majorHAnsi" w:hAnsiTheme="majorHAnsi" w:cstheme="majorHAnsi"/>
        </w:rPr>
      </w:pPr>
      <w:r w:rsidRPr="00AE2AC8">
        <w:rPr>
          <w:rFonts w:asciiTheme="majorHAnsi" w:hAnsiTheme="majorHAnsi" w:cstheme="majorHAnsi"/>
          <w:b/>
          <w:bCs/>
        </w:rPr>
        <w:t>Conclusion</w:t>
      </w:r>
    </w:p>
    <w:p w14:paraId="22559D7C" w14:textId="77777777" w:rsidR="00D117FE" w:rsidRPr="00AE2AC8" w:rsidRDefault="00D117FE" w:rsidP="00D117FE">
      <w:pPr>
        <w:pStyle w:val="PlainText"/>
        <w:rPr>
          <w:rFonts w:asciiTheme="majorHAnsi" w:hAnsiTheme="majorHAnsi" w:cstheme="majorHAnsi"/>
          <w:b/>
          <w:bCs/>
        </w:rPr>
      </w:pPr>
    </w:p>
    <w:p w14:paraId="49876441"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The essence of policing, especially in the context of critical incidents, hinges on the trust and confidence placed in law enforcement by the community. This essay has delineated the profound impact that policing practices have on community relations, with the 2011 England riots serving as a salient illustration of the College of Policing's (2021) definition of a critical incident. The riots not only exemplified the immediate repercussions of eroded trust but also the enduring challenge of rebuilding confidence.</w:t>
      </w:r>
    </w:p>
    <w:p w14:paraId="6A1DF305" w14:textId="77777777" w:rsidR="00D117FE" w:rsidRPr="00AE2AC8" w:rsidRDefault="00D117FE" w:rsidP="00D117FE">
      <w:pPr>
        <w:pStyle w:val="PlainText"/>
        <w:rPr>
          <w:rFonts w:asciiTheme="majorHAnsi" w:hAnsiTheme="majorHAnsi" w:cstheme="majorHAnsi"/>
        </w:rPr>
      </w:pPr>
    </w:p>
    <w:p w14:paraId="1A00E5C1"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The discussion within this essay has reinforced the notion that community confidence is the cornerstone of effective policing. It is the undercurrent that enables cooperation, ensures public safety, and fosters a resilient social fabric. The principles of transparency, inclusivity, and responsiveness are not simply administrative protocols; they are the very tenets that can prevent the disintegration of community relations as seen during the 2011 disturbances.</w:t>
      </w:r>
    </w:p>
    <w:p w14:paraId="2F7AD5E9" w14:textId="77777777" w:rsidR="00D117FE" w:rsidRPr="00AE2AC8" w:rsidRDefault="00D117FE" w:rsidP="00D117FE">
      <w:pPr>
        <w:pStyle w:val="PlainText"/>
        <w:rPr>
          <w:rFonts w:asciiTheme="majorHAnsi" w:hAnsiTheme="majorHAnsi" w:cstheme="majorHAnsi"/>
        </w:rPr>
      </w:pPr>
    </w:p>
    <w:p w14:paraId="166D1959" w14:textId="77777777" w:rsidR="00D117FE" w:rsidRPr="00AE2AC8" w:rsidRDefault="00D117FE" w:rsidP="00D117FE">
      <w:pPr>
        <w:pStyle w:val="PlainText"/>
        <w:rPr>
          <w:rFonts w:asciiTheme="majorHAnsi" w:hAnsiTheme="majorHAnsi" w:cstheme="majorHAnsi"/>
        </w:rPr>
      </w:pPr>
      <w:r w:rsidRPr="00AE2AC8">
        <w:rPr>
          <w:rFonts w:asciiTheme="majorHAnsi" w:hAnsiTheme="majorHAnsi" w:cstheme="majorHAnsi"/>
        </w:rPr>
        <w:t>In drawing this essay to a close, it is evident that maintaining the confidence of local communities is indispensable. Police forces must not only react with integrity during critical incidents but must also proactively nurture community relations. The lessons learned from the 2011 riots and subsequent recovery efforts illuminate a path forward, emphasizing that the fabric of trust, once torn, requires time, commitment, and sincere engagement to mend. As policing moves into the future, it is the adherence to these principles that will determine the strength and stability of community-police relations and, by extension, the health of the democracy they serve.</w:t>
      </w:r>
    </w:p>
    <w:p w14:paraId="72722CAB" w14:textId="77777777" w:rsidR="00D117FE" w:rsidRPr="00AE2AC8" w:rsidRDefault="00D117FE" w:rsidP="00D117FE">
      <w:pPr>
        <w:pStyle w:val="PlainText"/>
        <w:rPr>
          <w:rFonts w:asciiTheme="majorHAnsi" w:hAnsiTheme="majorHAnsi" w:cstheme="majorHAnsi"/>
        </w:rPr>
      </w:pPr>
    </w:p>
    <w:p w14:paraId="212884F3" w14:textId="470D722A" w:rsidR="00D117FE" w:rsidRDefault="00D117FE" w:rsidP="00D117FE">
      <w:pPr>
        <w:tabs>
          <w:tab w:val="left" w:pos="2567"/>
        </w:tabs>
      </w:pPr>
      <w:r>
        <w:t>Word Count: 200</w:t>
      </w:r>
      <w:r w:rsidR="001A6127">
        <w:t>10</w:t>
      </w:r>
    </w:p>
    <w:p w14:paraId="2A811640" w14:textId="77777777" w:rsidR="00D117FE" w:rsidRDefault="00D117FE" w:rsidP="00D117FE"/>
    <w:p w14:paraId="353F6307" w14:textId="77777777" w:rsidR="00D117FE" w:rsidRPr="00952B34" w:rsidRDefault="00D117FE" w:rsidP="00D117FE"/>
    <w:p w14:paraId="5BC6CBD9" w14:textId="77777777" w:rsidR="00D117FE" w:rsidRDefault="00D117FE" w:rsidP="00D117FE"/>
    <w:p w14:paraId="74872888" w14:textId="77777777" w:rsidR="00D117FE" w:rsidRDefault="00D117FE" w:rsidP="00D117FE"/>
    <w:p w14:paraId="002AEE68" w14:textId="77777777" w:rsidR="00D117FE" w:rsidRDefault="00D117FE" w:rsidP="00D117FE"/>
    <w:p w14:paraId="0A08CF25" w14:textId="77777777" w:rsidR="00D117FE" w:rsidRDefault="00D117FE" w:rsidP="00D117FE"/>
    <w:p w14:paraId="0EFF7D3C" w14:textId="77777777" w:rsidR="00D117FE" w:rsidRDefault="00D117FE" w:rsidP="00D117FE"/>
    <w:p w14:paraId="7A7430E3" w14:textId="77777777" w:rsidR="00D117FE" w:rsidRDefault="00D117FE" w:rsidP="00D117FE"/>
    <w:p w14:paraId="56847E12" w14:textId="77777777" w:rsidR="00D117FE" w:rsidRDefault="00D117FE" w:rsidP="00D117FE"/>
    <w:p w14:paraId="33E555AD" w14:textId="77777777" w:rsidR="00D117FE" w:rsidRDefault="00D117FE" w:rsidP="00D117FE"/>
    <w:p w14:paraId="00149F39" w14:textId="77777777" w:rsidR="00D117FE" w:rsidRDefault="00D117FE" w:rsidP="00D117FE"/>
    <w:p w14:paraId="322D0B39" w14:textId="77777777" w:rsidR="00D117FE" w:rsidRDefault="00D117FE" w:rsidP="00D117FE"/>
    <w:p w14:paraId="0514686C" w14:textId="77777777" w:rsidR="00D117FE" w:rsidRDefault="00D117FE" w:rsidP="00D117FE"/>
    <w:p w14:paraId="7AF6A8C2" w14:textId="77777777" w:rsidR="00D117FE" w:rsidRPr="00BB53C1" w:rsidRDefault="00D117FE" w:rsidP="00D117FE">
      <w:pPr>
        <w:rPr>
          <w:rFonts w:asciiTheme="majorHAnsi" w:hAnsiTheme="majorHAnsi" w:cstheme="majorHAnsi"/>
          <w:b/>
          <w:bCs/>
          <w:sz w:val="24"/>
          <w:szCs w:val="24"/>
        </w:rPr>
      </w:pPr>
      <w:r w:rsidRPr="00BB53C1">
        <w:rPr>
          <w:rFonts w:asciiTheme="majorHAnsi" w:hAnsiTheme="majorHAnsi" w:cstheme="majorHAnsi"/>
          <w:b/>
          <w:bCs/>
          <w:sz w:val="24"/>
          <w:szCs w:val="24"/>
        </w:rPr>
        <w:lastRenderedPageBreak/>
        <w:t>References</w:t>
      </w:r>
    </w:p>
    <w:p w14:paraId="25418F34" w14:textId="3E48E4A3" w:rsidR="005A6211" w:rsidRDefault="005A6211" w:rsidP="005A6211">
      <w:pPr>
        <w:rPr>
          <w:rFonts w:asciiTheme="majorHAnsi" w:hAnsiTheme="majorHAnsi" w:cstheme="majorHAnsi"/>
        </w:rPr>
      </w:pPr>
      <w:r w:rsidRPr="005A6211">
        <w:rPr>
          <w:rFonts w:asciiTheme="majorHAnsi" w:hAnsiTheme="majorHAnsi" w:cstheme="majorHAnsi"/>
        </w:rPr>
        <w:t xml:space="preserve">Andrew, C. (2009) </w:t>
      </w:r>
      <w:r w:rsidR="00637756">
        <w:rPr>
          <w:rFonts w:asciiTheme="majorHAnsi" w:hAnsiTheme="majorHAnsi" w:cstheme="majorHAnsi"/>
        </w:rPr>
        <w:t>‘</w:t>
      </w:r>
      <w:r w:rsidRPr="005A6211">
        <w:rPr>
          <w:rFonts w:asciiTheme="majorHAnsi" w:hAnsiTheme="majorHAnsi" w:cstheme="majorHAnsi"/>
        </w:rPr>
        <w:t>The Defence of the Realm: The Authorized History of MI5</w:t>
      </w:r>
      <w:r w:rsidR="00637756">
        <w:rPr>
          <w:rFonts w:asciiTheme="majorHAnsi" w:hAnsiTheme="majorHAnsi" w:cstheme="majorHAnsi"/>
        </w:rPr>
        <w:t>’</w:t>
      </w:r>
      <w:r w:rsidRPr="005A6211">
        <w:rPr>
          <w:rFonts w:asciiTheme="majorHAnsi" w:hAnsiTheme="majorHAnsi" w:cstheme="majorHAnsi"/>
        </w:rPr>
        <w:t>. London: Allen Lane.</w:t>
      </w:r>
    </w:p>
    <w:p w14:paraId="7188EBEA" w14:textId="77777777" w:rsidR="005A6211" w:rsidRPr="005A6211" w:rsidRDefault="005A6211" w:rsidP="005A6211">
      <w:pPr>
        <w:rPr>
          <w:rFonts w:asciiTheme="majorHAnsi" w:hAnsiTheme="majorHAnsi" w:cstheme="majorHAnsi"/>
        </w:rPr>
      </w:pPr>
    </w:p>
    <w:p w14:paraId="5F1F729A" w14:textId="5DDB4E81"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t>Armstrong, G., &amp; Norris, C. (1999).</w:t>
      </w:r>
      <w:r w:rsidR="00637756">
        <w:rPr>
          <w:rFonts w:asciiTheme="majorHAnsi" w:eastAsia="Times New Roman" w:hAnsiTheme="majorHAnsi" w:cstheme="majorHAnsi"/>
        </w:rPr>
        <w:t xml:space="preserve"> ’</w:t>
      </w:r>
      <w:r w:rsidRPr="005A6211">
        <w:rPr>
          <w:rFonts w:asciiTheme="majorHAnsi" w:eastAsia="Times New Roman" w:hAnsiTheme="majorHAnsi" w:cstheme="majorHAnsi"/>
        </w:rPr>
        <w:t>The Maximum Surveillance Society: The Rise of CCTV</w:t>
      </w:r>
      <w:r w:rsidR="00637756">
        <w:rPr>
          <w:rFonts w:asciiTheme="majorHAnsi" w:eastAsia="Times New Roman" w:hAnsiTheme="majorHAnsi" w:cstheme="majorHAnsi"/>
        </w:rPr>
        <w:t>’</w:t>
      </w:r>
      <w:r w:rsidRPr="005A6211">
        <w:rPr>
          <w:rFonts w:asciiTheme="majorHAnsi" w:eastAsia="Times New Roman" w:hAnsiTheme="majorHAnsi" w:cstheme="majorHAnsi"/>
        </w:rPr>
        <w:t xml:space="preserve"> (1st ed.). Routledge. </w:t>
      </w:r>
      <w:hyperlink r:id="rId5" w:history="1">
        <w:r w:rsidRPr="005A6211">
          <w:rPr>
            <w:rStyle w:val="Hyperlink"/>
            <w:rFonts w:asciiTheme="majorHAnsi" w:eastAsia="Times New Roman" w:hAnsiTheme="majorHAnsi" w:cstheme="majorHAnsi"/>
          </w:rPr>
          <w:t>https://doi.org/10.4324/9781003136439</w:t>
        </w:r>
      </w:hyperlink>
    </w:p>
    <w:p w14:paraId="6EDDB244" w14:textId="77777777" w:rsidR="005A6211" w:rsidRPr="005A6211" w:rsidRDefault="005A6211" w:rsidP="00D117FE">
      <w:pPr>
        <w:rPr>
          <w:rFonts w:asciiTheme="majorHAnsi" w:eastAsia="Times New Roman" w:hAnsiTheme="majorHAnsi" w:cstheme="majorHAnsi"/>
        </w:rPr>
      </w:pPr>
    </w:p>
    <w:p w14:paraId="547C62AF" w14:textId="0BFC1E0B" w:rsidR="005A6211" w:rsidRDefault="005A6211" w:rsidP="005A6211">
      <w:pPr>
        <w:rPr>
          <w:rFonts w:asciiTheme="majorHAnsi" w:hAnsiTheme="majorHAnsi" w:cstheme="majorHAnsi"/>
        </w:rPr>
      </w:pPr>
      <w:r w:rsidRPr="005A6211">
        <w:rPr>
          <w:rFonts w:asciiTheme="majorHAnsi" w:hAnsiTheme="majorHAnsi" w:cstheme="majorHAnsi"/>
        </w:rPr>
        <w:t>BaMaung, D., McIllhatton, D., MacDonald, M. &amp; Beattie, R. (2018) 'The enemy within? The connection between insider threat and terrorism', Studies in Conflict and Terrorism, 41(2), pp. 133-150. Available at: https://doi.org/10.1080/1057610X.2016.1249776 [Accessed 16 October 2023].</w:t>
      </w:r>
    </w:p>
    <w:p w14:paraId="748A3FAD" w14:textId="77777777" w:rsidR="005A6211" w:rsidRPr="005A6211" w:rsidRDefault="005A6211" w:rsidP="005A6211">
      <w:pPr>
        <w:rPr>
          <w:rFonts w:asciiTheme="majorHAnsi" w:hAnsiTheme="majorHAnsi" w:cstheme="majorHAnsi"/>
        </w:rPr>
      </w:pPr>
    </w:p>
    <w:p w14:paraId="42E2C8E9" w14:textId="77777777" w:rsidR="005A6211" w:rsidRDefault="005A6211" w:rsidP="005A6211">
      <w:pPr>
        <w:rPr>
          <w:rFonts w:asciiTheme="majorHAnsi" w:hAnsiTheme="majorHAnsi" w:cstheme="majorHAnsi"/>
        </w:rPr>
      </w:pPr>
      <w:r w:rsidRPr="005A6211">
        <w:rPr>
          <w:rFonts w:asciiTheme="majorHAnsi" w:hAnsiTheme="majorHAnsi" w:cstheme="majorHAnsi"/>
        </w:rPr>
        <w:t>BBC News. (2017) 'Westminster attack: What happened'. Available at: https://www.bbc.co.uk/news/uk-39355108 [Accessed 16 October 2023].</w:t>
      </w:r>
    </w:p>
    <w:p w14:paraId="59F415ED" w14:textId="77777777" w:rsidR="005A6211" w:rsidRPr="005A6211" w:rsidRDefault="005A6211" w:rsidP="005A6211">
      <w:pPr>
        <w:rPr>
          <w:rFonts w:asciiTheme="majorHAnsi" w:hAnsiTheme="majorHAnsi" w:cstheme="majorHAnsi"/>
        </w:rPr>
      </w:pPr>
    </w:p>
    <w:p w14:paraId="11427DB8" w14:textId="1310197C" w:rsidR="005A6211" w:rsidRDefault="005A6211" w:rsidP="00D117FE">
      <w:pPr>
        <w:rPr>
          <w:rFonts w:asciiTheme="majorHAnsi" w:eastAsia="Times New Roman" w:hAnsiTheme="majorHAnsi" w:cstheme="majorHAnsi"/>
        </w:rPr>
      </w:pPr>
      <w:r w:rsidRPr="005A6211">
        <w:rPr>
          <w:rFonts w:asciiTheme="majorHAnsi" w:eastAsia="Times New Roman" w:hAnsiTheme="majorHAnsi" w:cstheme="majorHAnsi"/>
        </w:rPr>
        <w:t xml:space="preserve">Ben Bowling, &amp; Coretta Phillips. (2007). 'Disproportionate and Discriminatory: Reviewing the Evidence on Police Stop and Search', </w:t>
      </w:r>
      <w:r w:rsidR="00637756">
        <w:rPr>
          <w:rFonts w:asciiTheme="majorHAnsi" w:eastAsia="Times New Roman" w:hAnsiTheme="majorHAnsi" w:cstheme="majorHAnsi"/>
        </w:rPr>
        <w:t>‘</w:t>
      </w:r>
      <w:r w:rsidRPr="005A6211">
        <w:rPr>
          <w:rFonts w:asciiTheme="majorHAnsi" w:eastAsia="Times New Roman" w:hAnsiTheme="majorHAnsi" w:cstheme="majorHAnsi"/>
        </w:rPr>
        <w:t>The Modern Law Review</w:t>
      </w:r>
      <w:r w:rsidR="00637756">
        <w:rPr>
          <w:rFonts w:asciiTheme="majorHAnsi" w:eastAsia="Times New Roman" w:hAnsiTheme="majorHAnsi" w:cstheme="majorHAnsi"/>
        </w:rPr>
        <w:t>’</w:t>
      </w:r>
      <w:r w:rsidRPr="005A6211">
        <w:rPr>
          <w:rFonts w:asciiTheme="majorHAnsi" w:eastAsia="Times New Roman" w:hAnsiTheme="majorHAnsi" w:cstheme="majorHAnsi"/>
        </w:rPr>
        <w:t xml:space="preserve">, 70(6), 936–961. Available at: </w:t>
      </w:r>
      <w:hyperlink r:id="rId6" w:history="1">
        <w:r w:rsidRPr="005A6211">
          <w:rPr>
            <w:rStyle w:val="Hyperlink"/>
            <w:rFonts w:asciiTheme="majorHAnsi" w:eastAsia="Times New Roman" w:hAnsiTheme="majorHAnsi" w:cstheme="majorHAnsi"/>
          </w:rPr>
          <w:t>https://www.jstor.org/stable/4543185</w:t>
        </w:r>
      </w:hyperlink>
      <w:r w:rsidRPr="005A6211">
        <w:rPr>
          <w:rFonts w:asciiTheme="majorHAnsi" w:eastAsia="Times New Roman" w:hAnsiTheme="majorHAnsi" w:cstheme="majorHAnsi"/>
        </w:rPr>
        <w:t xml:space="preserve"> [Accessed 1 November 2023].</w:t>
      </w:r>
    </w:p>
    <w:p w14:paraId="183F45B8" w14:textId="77777777" w:rsidR="005A6211" w:rsidRPr="005A6211" w:rsidRDefault="005A6211" w:rsidP="00D117FE">
      <w:pPr>
        <w:rPr>
          <w:rFonts w:asciiTheme="majorHAnsi" w:eastAsia="Times New Roman" w:hAnsiTheme="majorHAnsi" w:cstheme="majorHAnsi"/>
        </w:rPr>
      </w:pPr>
    </w:p>
    <w:p w14:paraId="3EDDC4F9" w14:textId="30C927C0"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t xml:space="preserve">Bowling, B., &amp; Phillips, C. (2007). Disproportionate and Discriminatory: Reviewing the Evidence on Police Stop and Search. The Modern Law Review, 70(6), 936–961. </w:t>
      </w:r>
      <w:hyperlink r:id="rId7" w:history="1">
        <w:r w:rsidRPr="005A6211">
          <w:rPr>
            <w:rStyle w:val="Hyperlink"/>
            <w:rFonts w:asciiTheme="majorHAnsi" w:eastAsia="Times New Roman" w:hAnsiTheme="majorHAnsi" w:cstheme="majorHAnsi"/>
          </w:rPr>
          <w:t>https://www.jstor.org/stable/4543185</w:t>
        </w:r>
      </w:hyperlink>
    </w:p>
    <w:p w14:paraId="300FBBB1" w14:textId="77777777" w:rsidR="005A6211" w:rsidRPr="005A6211" w:rsidRDefault="005A6211" w:rsidP="00D117FE">
      <w:pPr>
        <w:rPr>
          <w:rFonts w:asciiTheme="majorHAnsi" w:eastAsia="Times New Roman" w:hAnsiTheme="majorHAnsi" w:cstheme="majorHAnsi"/>
        </w:rPr>
      </w:pPr>
    </w:p>
    <w:p w14:paraId="5CDA6916" w14:textId="77777777" w:rsidR="005A6211" w:rsidRDefault="005A6211" w:rsidP="005A6211">
      <w:pPr>
        <w:rPr>
          <w:rFonts w:asciiTheme="majorHAnsi" w:hAnsiTheme="majorHAnsi" w:cstheme="majorHAnsi"/>
        </w:rPr>
      </w:pPr>
      <w:r w:rsidRPr="005A6211">
        <w:rPr>
          <w:rFonts w:asciiTheme="majorHAnsi" w:hAnsiTheme="majorHAnsi" w:cstheme="majorHAnsi"/>
        </w:rPr>
        <w:t>Brader, C. (2020) 'Extremism in prisons: Are UK deradicalisation programmes working?'. Available at: https://lordslibrary.parliament.uk/extremism-in-prisons-are-uk-deradicalisation-programmes-working/ [Accessed 16 October 2023].</w:t>
      </w:r>
    </w:p>
    <w:p w14:paraId="2D9BDA2D" w14:textId="77777777" w:rsidR="005A6211" w:rsidRPr="005A6211" w:rsidRDefault="005A6211" w:rsidP="005A6211">
      <w:pPr>
        <w:rPr>
          <w:rFonts w:asciiTheme="majorHAnsi" w:hAnsiTheme="majorHAnsi" w:cstheme="majorHAnsi"/>
        </w:rPr>
      </w:pPr>
    </w:p>
    <w:p w14:paraId="41FE48A9" w14:textId="3DC39F6E" w:rsidR="005A6211" w:rsidRDefault="005A6211" w:rsidP="00D117FE">
      <w:pPr>
        <w:rPr>
          <w:rFonts w:asciiTheme="majorHAnsi" w:eastAsia="Times New Roman" w:hAnsiTheme="majorHAnsi" w:cstheme="majorHAnsi"/>
        </w:rPr>
      </w:pPr>
      <w:r w:rsidRPr="005A6211">
        <w:rPr>
          <w:rFonts w:asciiTheme="majorHAnsi" w:eastAsia="Times New Roman" w:hAnsiTheme="majorHAnsi" w:cstheme="majorHAnsi"/>
        </w:rPr>
        <w:t xml:space="preserve">Briggs, D. (2012). </w:t>
      </w:r>
      <w:r w:rsidR="004932CD">
        <w:rPr>
          <w:rFonts w:asciiTheme="majorHAnsi" w:eastAsia="Times New Roman" w:hAnsiTheme="majorHAnsi" w:cstheme="majorHAnsi"/>
        </w:rPr>
        <w:t>‘</w:t>
      </w:r>
      <w:r w:rsidRPr="005A6211">
        <w:rPr>
          <w:rFonts w:asciiTheme="majorHAnsi" w:eastAsia="Times New Roman" w:hAnsiTheme="majorHAnsi" w:cstheme="majorHAnsi"/>
        </w:rPr>
        <w:t>The English Riots of 2011: A Summer of Discontent</w:t>
      </w:r>
      <w:r w:rsidR="004932CD">
        <w:rPr>
          <w:rFonts w:asciiTheme="majorHAnsi" w:eastAsia="Times New Roman" w:hAnsiTheme="majorHAnsi" w:cstheme="majorHAnsi"/>
        </w:rPr>
        <w:t>’</w:t>
      </w:r>
      <w:r w:rsidRPr="005A6211">
        <w:rPr>
          <w:rFonts w:asciiTheme="majorHAnsi" w:eastAsia="Times New Roman" w:hAnsiTheme="majorHAnsi" w:cstheme="majorHAnsi"/>
        </w:rPr>
        <w:t>. Waterside Press.</w:t>
      </w:r>
    </w:p>
    <w:p w14:paraId="5CF31D8D" w14:textId="77777777" w:rsidR="005A6211" w:rsidRPr="005A6211" w:rsidRDefault="005A6211" w:rsidP="00D117FE">
      <w:pPr>
        <w:rPr>
          <w:rFonts w:asciiTheme="majorHAnsi" w:eastAsia="Times New Roman" w:hAnsiTheme="majorHAnsi" w:cstheme="majorHAnsi"/>
        </w:rPr>
      </w:pPr>
    </w:p>
    <w:p w14:paraId="533642CD" w14:textId="77777777" w:rsidR="005A6211" w:rsidRDefault="005A6211" w:rsidP="005A6211">
      <w:pPr>
        <w:rPr>
          <w:rFonts w:asciiTheme="majorHAnsi" w:hAnsiTheme="majorHAnsi" w:cstheme="majorHAnsi"/>
        </w:rPr>
      </w:pPr>
      <w:r w:rsidRPr="005A6211">
        <w:rPr>
          <w:rFonts w:asciiTheme="majorHAnsi" w:hAnsiTheme="majorHAnsi" w:cstheme="majorHAnsi"/>
        </w:rPr>
        <w:t>College of Policing (2021) 'The effectiveness of visible police patrol', College of Policing. Available at: https://www.college.police.uk/research/what-works-policing-reduce-crime/visible-police-patrol Accessed: 6 November 2023).</w:t>
      </w:r>
    </w:p>
    <w:p w14:paraId="1DA07838" w14:textId="77777777" w:rsidR="005A6211" w:rsidRPr="005A6211" w:rsidRDefault="005A6211" w:rsidP="005A6211">
      <w:pPr>
        <w:rPr>
          <w:rFonts w:asciiTheme="majorHAnsi" w:hAnsiTheme="majorHAnsi" w:cstheme="majorHAnsi"/>
        </w:rPr>
      </w:pPr>
    </w:p>
    <w:p w14:paraId="63AD9048" w14:textId="77777777" w:rsidR="005A6211" w:rsidRDefault="005A6211" w:rsidP="005A6211">
      <w:pPr>
        <w:rPr>
          <w:rFonts w:asciiTheme="majorHAnsi" w:hAnsiTheme="majorHAnsi" w:cstheme="majorHAnsi"/>
        </w:rPr>
      </w:pPr>
      <w:r w:rsidRPr="005A6211">
        <w:rPr>
          <w:rFonts w:asciiTheme="majorHAnsi" w:hAnsiTheme="majorHAnsi" w:cstheme="majorHAnsi"/>
        </w:rPr>
        <w:t>College of Policing. (2021) Identifying vulnerability – new guidelines to support police. Available at: https://www.college.police.uk/article/identifying-vulnerability-new-guidelines-support-police (Accessed: 6 November 2023)</w:t>
      </w:r>
    </w:p>
    <w:p w14:paraId="56BEDDFF" w14:textId="77777777" w:rsidR="005A6211" w:rsidRPr="005A6211" w:rsidRDefault="005A6211" w:rsidP="005A6211">
      <w:pPr>
        <w:rPr>
          <w:rFonts w:asciiTheme="majorHAnsi" w:hAnsiTheme="majorHAnsi" w:cstheme="majorHAnsi"/>
        </w:rPr>
      </w:pPr>
    </w:p>
    <w:p w14:paraId="148503E2" w14:textId="77777777" w:rsidR="005A6211" w:rsidRDefault="005A6211" w:rsidP="00D117FE">
      <w:pPr>
        <w:rPr>
          <w:rFonts w:asciiTheme="majorHAnsi" w:eastAsia="Times New Roman" w:hAnsiTheme="majorHAnsi" w:cstheme="majorHAnsi"/>
        </w:rPr>
      </w:pPr>
      <w:r w:rsidRPr="005A6211">
        <w:rPr>
          <w:rFonts w:asciiTheme="majorHAnsi" w:eastAsia="Times New Roman" w:hAnsiTheme="majorHAnsi" w:cstheme="majorHAnsi"/>
        </w:rPr>
        <w:lastRenderedPageBreak/>
        <w:t xml:space="preserve">College of Policing. (2021). Introduction and types of critical incidents. Available at: </w:t>
      </w:r>
      <w:hyperlink r:id="rId8" w:history="1">
        <w:r w:rsidRPr="005A6211">
          <w:rPr>
            <w:rStyle w:val="Hyperlink"/>
            <w:rFonts w:asciiTheme="majorHAnsi" w:eastAsia="Times New Roman" w:hAnsiTheme="majorHAnsi" w:cstheme="majorHAnsi"/>
          </w:rPr>
          <w:t>https://www.college.police.uk/app/critical-incident-management/introduction-and-types-critical-incidents</w:t>
        </w:r>
      </w:hyperlink>
      <w:r w:rsidRPr="005A6211">
        <w:rPr>
          <w:rFonts w:asciiTheme="majorHAnsi" w:eastAsia="Times New Roman" w:hAnsiTheme="majorHAnsi" w:cstheme="majorHAnsi"/>
        </w:rPr>
        <w:t xml:space="preserve"> [Accessed 1 November 2023].</w:t>
      </w:r>
    </w:p>
    <w:p w14:paraId="78303914" w14:textId="77777777" w:rsidR="005A6211" w:rsidRPr="005A6211" w:rsidRDefault="005A6211" w:rsidP="00D117FE">
      <w:pPr>
        <w:rPr>
          <w:rFonts w:asciiTheme="majorHAnsi" w:eastAsia="Times New Roman" w:hAnsiTheme="majorHAnsi" w:cstheme="majorHAnsi"/>
        </w:rPr>
      </w:pPr>
    </w:p>
    <w:p w14:paraId="4DF2B3E4" w14:textId="3EA3C16C" w:rsidR="005A6211" w:rsidRDefault="005A6211" w:rsidP="005A6211">
      <w:pPr>
        <w:rPr>
          <w:rFonts w:asciiTheme="majorHAnsi" w:hAnsiTheme="majorHAnsi" w:cstheme="majorHAnsi"/>
        </w:rPr>
      </w:pPr>
      <w:r w:rsidRPr="005A6211">
        <w:rPr>
          <w:rFonts w:asciiTheme="majorHAnsi" w:hAnsiTheme="majorHAnsi" w:cstheme="majorHAnsi"/>
        </w:rPr>
        <w:t xml:space="preserve">Conway, M. (2017) 'Determining the role of the Internet in violent extremism and terrorism: Six suggestions for progressing research', </w:t>
      </w:r>
      <w:r w:rsidR="004932CD">
        <w:rPr>
          <w:rFonts w:asciiTheme="majorHAnsi" w:hAnsiTheme="majorHAnsi" w:cstheme="majorHAnsi"/>
        </w:rPr>
        <w:t>‘</w:t>
      </w:r>
      <w:r w:rsidRPr="005A6211">
        <w:rPr>
          <w:rFonts w:asciiTheme="majorHAnsi" w:hAnsiTheme="majorHAnsi" w:cstheme="majorHAnsi"/>
        </w:rPr>
        <w:t>Studies in Conflict &amp; Terrorism</w:t>
      </w:r>
      <w:r w:rsidR="004932CD">
        <w:rPr>
          <w:rFonts w:asciiTheme="majorHAnsi" w:hAnsiTheme="majorHAnsi" w:cstheme="majorHAnsi"/>
        </w:rPr>
        <w:t>’</w:t>
      </w:r>
      <w:r w:rsidRPr="005A6211">
        <w:rPr>
          <w:rFonts w:asciiTheme="majorHAnsi" w:hAnsiTheme="majorHAnsi" w:cstheme="majorHAnsi"/>
        </w:rPr>
        <w:t>, 40(1), pp. 77–98. Available at: https://doi.org/10.1080/1057610X.2016.1157408 [Accessed 16 October 2023].</w:t>
      </w:r>
    </w:p>
    <w:p w14:paraId="4B16DB3E" w14:textId="77777777" w:rsidR="005A6211" w:rsidRPr="005A6211" w:rsidRDefault="005A6211" w:rsidP="005A6211">
      <w:pPr>
        <w:rPr>
          <w:rFonts w:asciiTheme="majorHAnsi" w:hAnsiTheme="majorHAnsi" w:cstheme="majorHAnsi"/>
        </w:rPr>
      </w:pPr>
    </w:p>
    <w:p w14:paraId="72EC13E8" w14:textId="77777777" w:rsidR="005A6211" w:rsidRDefault="005A6211" w:rsidP="005A6211">
      <w:pPr>
        <w:rPr>
          <w:rFonts w:asciiTheme="majorHAnsi" w:hAnsiTheme="majorHAnsi" w:cstheme="majorHAnsi"/>
        </w:rPr>
      </w:pPr>
      <w:r w:rsidRPr="005A6211">
        <w:rPr>
          <w:rFonts w:asciiTheme="majorHAnsi" w:hAnsiTheme="majorHAnsi" w:cstheme="majorHAnsi"/>
        </w:rPr>
        <w:t>CTP. (2020) HMICFRS Report praises police work against radicalisation. Available at: https://www.counterterrorism.police.uk/hmicfrs-report-praises-police-work-against-radicalisation/ (Accessed: 6 November 2023)</w:t>
      </w:r>
    </w:p>
    <w:p w14:paraId="74FC4A02" w14:textId="77777777" w:rsidR="005A6211" w:rsidRPr="005A6211" w:rsidRDefault="005A6211" w:rsidP="005A6211">
      <w:pPr>
        <w:rPr>
          <w:rFonts w:asciiTheme="majorHAnsi" w:hAnsiTheme="majorHAnsi" w:cstheme="majorHAnsi"/>
        </w:rPr>
      </w:pPr>
    </w:p>
    <w:p w14:paraId="65C4A291" w14:textId="77777777" w:rsidR="005A6211" w:rsidRDefault="005A6211" w:rsidP="005A6211">
      <w:pPr>
        <w:rPr>
          <w:rFonts w:asciiTheme="majorHAnsi" w:hAnsiTheme="majorHAnsi" w:cstheme="majorHAnsi"/>
        </w:rPr>
      </w:pPr>
      <w:r w:rsidRPr="005A6211">
        <w:rPr>
          <w:rFonts w:asciiTheme="majorHAnsi" w:hAnsiTheme="majorHAnsi" w:cstheme="majorHAnsi"/>
        </w:rPr>
        <w:t>CTP. (2023) 'What We Do'. Available at: https://www.counterterrorism.police.uk/what-we-do/ [Accessed 16 October 2023].</w:t>
      </w:r>
    </w:p>
    <w:p w14:paraId="36DDA20F" w14:textId="77777777" w:rsidR="005A6211" w:rsidRPr="005A6211" w:rsidRDefault="005A6211" w:rsidP="005A6211">
      <w:pPr>
        <w:rPr>
          <w:rFonts w:asciiTheme="majorHAnsi" w:hAnsiTheme="majorHAnsi" w:cstheme="majorHAnsi"/>
        </w:rPr>
      </w:pPr>
    </w:p>
    <w:p w14:paraId="439D751C" w14:textId="0695F936" w:rsidR="005A6211" w:rsidRDefault="005A6211" w:rsidP="005A6211">
      <w:pPr>
        <w:rPr>
          <w:rFonts w:asciiTheme="majorHAnsi" w:hAnsiTheme="majorHAnsi" w:cstheme="majorHAnsi"/>
        </w:rPr>
      </w:pPr>
      <w:r w:rsidRPr="005A6211">
        <w:rPr>
          <w:rFonts w:asciiTheme="majorHAnsi" w:hAnsiTheme="majorHAnsi" w:cstheme="majorHAnsi"/>
        </w:rPr>
        <w:t>Cubitt, T.I.C. (2023) 'The value of criminal history and police intelligence in vetting and selection of police', Crime Science, 12, 8. Available at: https://doi.org/10.1186/s40163-023-00186-3 [Accessed 16 October 2023].</w:t>
      </w:r>
    </w:p>
    <w:p w14:paraId="3F6C951E" w14:textId="77777777" w:rsidR="005A6211" w:rsidRPr="005A6211" w:rsidRDefault="005A6211" w:rsidP="005A6211">
      <w:pPr>
        <w:rPr>
          <w:rFonts w:asciiTheme="majorHAnsi" w:hAnsiTheme="majorHAnsi" w:cstheme="majorHAnsi"/>
        </w:rPr>
      </w:pPr>
    </w:p>
    <w:p w14:paraId="0AA2843F" w14:textId="68020EBD"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t xml:space="preserve">Ferguson, A. G. (2017). </w:t>
      </w:r>
      <w:r w:rsidR="004932CD">
        <w:rPr>
          <w:rFonts w:asciiTheme="majorHAnsi" w:eastAsia="Times New Roman" w:hAnsiTheme="majorHAnsi" w:cstheme="majorHAnsi"/>
        </w:rPr>
        <w:t>‘</w:t>
      </w:r>
      <w:r w:rsidRPr="005A6211">
        <w:rPr>
          <w:rFonts w:asciiTheme="majorHAnsi" w:eastAsia="Times New Roman" w:hAnsiTheme="majorHAnsi" w:cstheme="majorHAnsi"/>
        </w:rPr>
        <w:t>The Rise of Big Data Policing: Surveillance, Race, and the Future of Law Enforcement</w:t>
      </w:r>
      <w:r w:rsidR="004932CD">
        <w:rPr>
          <w:rFonts w:asciiTheme="majorHAnsi" w:eastAsia="Times New Roman" w:hAnsiTheme="majorHAnsi" w:cstheme="majorHAnsi"/>
        </w:rPr>
        <w:t>’</w:t>
      </w:r>
      <w:r w:rsidRPr="005A6211">
        <w:rPr>
          <w:rFonts w:asciiTheme="majorHAnsi" w:eastAsia="Times New Roman" w:hAnsiTheme="majorHAnsi" w:cstheme="majorHAnsi"/>
        </w:rPr>
        <w:t xml:space="preserve">. NYU Press. </w:t>
      </w:r>
      <w:hyperlink r:id="rId9" w:history="1">
        <w:r w:rsidRPr="005A6211">
          <w:rPr>
            <w:rStyle w:val="Hyperlink"/>
            <w:rFonts w:asciiTheme="majorHAnsi" w:eastAsia="Times New Roman" w:hAnsiTheme="majorHAnsi" w:cstheme="majorHAnsi"/>
          </w:rPr>
          <w:t>https://doi.org/10.2307/j.ctt1pwtb27</w:t>
        </w:r>
      </w:hyperlink>
    </w:p>
    <w:p w14:paraId="22893333" w14:textId="77777777" w:rsidR="005A6211" w:rsidRPr="005A6211" w:rsidRDefault="005A6211" w:rsidP="00D117FE">
      <w:pPr>
        <w:rPr>
          <w:rFonts w:asciiTheme="majorHAnsi" w:eastAsia="Times New Roman" w:hAnsiTheme="majorHAnsi" w:cstheme="majorHAnsi"/>
        </w:rPr>
      </w:pPr>
    </w:p>
    <w:p w14:paraId="17B82CE5" w14:textId="6FC2D5FC" w:rsidR="005A6211" w:rsidRDefault="005A6211" w:rsidP="005A6211">
      <w:pPr>
        <w:rPr>
          <w:rFonts w:asciiTheme="majorHAnsi" w:hAnsiTheme="majorHAnsi" w:cstheme="majorHAnsi"/>
        </w:rPr>
      </w:pPr>
      <w:r w:rsidRPr="005A6211">
        <w:rPr>
          <w:rFonts w:asciiTheme="majorHAnsi" w:hAnsiTheme="majorHAnsi" w:cstheme="majorHAnsi"/>
        </w:rPr>
        <w:t>German, M. (2020) 'The FBI warned for years that police are cozy with the far right. Is no one listening?', The Guardian. Available at: https://www.theguardian.com/commentisfree/2020/aug/28/fbi-far-right-white-supremacists-police [Accessed 18 October 2023].</w:t>
      </w:r>
    </w:p>
    <w:p w14:paraId="6E989BBC" w14:textId="77777777" w:rsidR="005A6211" w:rsidRPr="005A6211" w:rsidRDefault="005A6211" w:rsidP="005A6211">
      <w:pPr>
        <w:rPr>
          <w:rFonts w:asciiTheme="majorHAnsi" w:hAnsiTheme="majorHAnsi" w:cstheme="majorHAnsi"/>
        </w:rPr>
      </w:pPr>
    </w:p>
    <w:p w14:paraId="0F9F1606" w14:textId="77777777" w:rsidR="005A6211" w:rsidRDefault="005A6211" w:rsidP="005A6211">
      <w:pPr>
        <w:rPr>
          <w:rFonts w:asciiTheme="majorHAnsi" w:hAnsiTheme="majorHAnsi" w:cstheme="majorHAnsi"/>
        </w:rPr>
      </w:pPr>
      <w:r w:rsidRPr="005A6211">
        <w:rPr>
          <w:rFonts w:asciiTheme="majorHAnsi" w:hAnsiTheme="majorHAnsi" w:cstheme="majorHAnsi"/>
        </w:rPr>
        <w:t>HM Government. (2018) 'The Government Response to the report on the use of terrorism legislation following the Westminster Bridge Terrorist'. Available at: https://terrorismlegislationreviewer.independent.gov.uk/wp-content/uploads/2018/09/CCS207_CCS0618781 [Accessed 16 October 2023].</w:t>
      </w:r>
    </w:p>
    <w:p w14:paraId="38536674" w14:textId="77777777" w:rsidR="007E284A" w:rsidRPr="005A6211" w:rsidRDefault="007E284A" w:rsidP="005A6211">
      <w:pPr>
        <w:rPr>
          <w:rFonts w:asciiTheme="majorHAnsi" w:hAnsiTheme="majorHAnsi" w:cstheme="majorHAnsi"/>
        </w:rPr>
      </w:pPr>
    </w:p>
    <w:p w14:paraId="651CACEF" w14:textId="77777777" w:rsidR="005A6211" w:rsidRDefault="005A6211" w:rsidP="005A6211">
      <w:pPr>
        <w:rPr>
          <w:rFonts w:asciiTheme="majorHAnsi" w:hAnsiTheme="majorHAnsi" w:cstheme="majorHAnsi"/>
        </w:rPr>
      </w:pPr>
      <w:r w:rsidRPr="005A6211">
        <w:rPr>
          <w:rFonts w:asciiTheme="majorHAnsi" w:hAnsiTheme="majorHAnsi" w:cstheme="majorHAnsi"/>
        </w:rPr>
        <w:t>Home Office (2023) 'Prevent and Channel factsheet - 2023', Home Office in the media. Available at: https://homeofficemedia.blog.gov.uk/2023/09/07/prevent-and-channel-factsheet-2023/ (Accessed: 6 November 2023).</w:t>
      </w:r>
    </w:p>
    <w:p w14:paraId="540A1E46" w14:textId="77777777" w:rsidR="007E284A" w:rsidRDefault="007E284A" w:rsidP="005A6211">
      <w:pPr>
        <w:rPr>
          <w:rFonts w:asciiTheme="majorHAnsi" w:hAnsiTheme="majorHAnsi" w:cstheme="majorHAnsi"/>
        </w:rPr>
      </w:pPr>
    </w:p>
    <w:p w14:paraId="40E0C2BD" w14:textId="77777777" w:rsidR="007E284A" w:rsidRPr="005A6211" w:rsidRDefault="007E284A" w:rsidP="005A6211">
      <w:pPr>
        <w:rPr>
          <w:rFonts w:asciiTheme="majorHAnsi" w:hAnsiTheme="majorHAnsi" w:cstheme="majorHAnsi"/>
        </w:rPr>
      </w:pPr>
    </w:p>
    <w:p w14:paraId="182334FA" w14:textId="20859DCA" w:rsidR="005A6211" w:rsidRDefault="005A6211" w:rsidP="00D117FE">
      <w:pPr>
        <w:rPr>
          <w:rFonts w:asciiTheme="majorHAnsi" w:eastAsia="Times New Roman" w:hAnsiTheme="majorHAnsi" w:cstheme="majorHAnsi"/>
        </w:rPr>
      </w:pPr>
      <w:r w:rsidRPr="005A6211">
        <w:rPr>
          <w:rFonts w:asciiTheme="majorHAnsi" w:eastAsia="Times New Roman" w:hAnsiTheme="majorHAnsi" w:cstheme="majorHAnsi"/>
        </w:rPr>
        <w:lastRenderedPageBreak/>
        <w:t>Innes, M. (n.d.). Improving community policing.</w:t>
      </w:r>
      <w:r w:rsidR="005D1344">
        <w:rPr>
          <w:rFonts w:asciiTheme="majorHAnsi" w:eastAsia="Times New Roman" w:hAnsiTheme="majorHAnsi" w:cstheme="majorHAnsi"/>
        </w:rPr>
        <w:t xml:space="preserve">, </w:t>
      </w:r>
      <w:r w:rsidRPr="005A6211">
        <w:rPr>
          <w:rFonts w:asciiTheme="majorHAnsi" w:eastAsia="Times New Roman" w:hAnsiTheme="majorHAnsi" w:cstheme="majorHAnsi"/>
        </w:rPr>
        <w:t xml:space="preserve">Cardiff University. Available at: </w:t>
      </w:r>
      <w:hyperlink r:id="rId10" w:history="1">
        <w:r w:rsidRPr="005A6211">
          <w:rPr>
            <w:rStyle w:val="Hyperlink"/>
            <w:rFonts w:asciiTheme="majorHAnsi" w:eastAsia="Times New Roman" w:hAnsiTheme="majorHAnsi" w:cstheme="majorHAnsi"/>
          </w:rPr>
          <w:t>https://www.cardiff.ac.uk/police-science-institute/research</w:t>
        </w:r>
      </w:hyperlink>
      <w:r w:rsidRPr="005A6211">
        <w:rPr>
          <w:rFonts w:asciiTheme="majorHAnsi" w:eastAsia="Times New Roman" w:hAnsiTheme="majorHAnsi" w:cstheme="majorHAnsi"/>
        </w:rPr>
        <w:t xml:space="preserve"> [Accessed 1 November 2023].</w:t>
      </w:r>
    </w:p>
    <w:p w14:paraId="3097AD78" w14:textId="77777777" w:rsidR="007E284A" w:rsidRPr="005A6211" w:rsidRDefault="007E284A" w:rsidP="00D117FE">
      <w:pPr>
        <w:rPr>
          <w:rFonts w:asciiTheme="majorHAnsi" w:eastAsia="Times New Roman" w:hAnsiTheme="majorHAnsi" w:cstheme="majorHAnsi"/>
        </w:rPr>
      </w:pPr>
    </w:p>
    <w:p w14:paraId="19B420BB" w14:textId="6AFFA02F"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t>Jackson, J., Bradford, B., Hough, M., Myhill, A., Quinton, P., &amp; Tyler, T. R. (2012). Why do People Comply with the Law? Legitimacy and the Influence of Legal Institutions.</w:t>
      </w:r>
      <w:r w:rsidR="009C114D">
        <w:rPr>
          <w:rFonts w:asciiTheme="majorHAnsi" w:eastAsia="Times New Roman" w:hAnsiTheme="majorHAnsi" w:cstheme="majorHAnsi"/>
        </w:rPr>
        <w:t>,</w:t>
      </w:r>
      <w:r w:rsidRPr="005A6211">
        <w:rPr>
          <w:rFonts w:asciiTheme="majorHAnsi" w:eastAsia="Times New Roman" w:hAnsiTheme="majorHAnsi" w:cstheme="majorHAnsi"/>
        </w:rPr>
        <w:t xml:space="preserve"> The British Journal of Criminology, 52(6), 1051–1071. </w:t>
      </w:r>
      <w:hyperlink r:id="rId11" w:history="1">
        <w:r w:rsidRPr="005A6211">
          <w:rPr>
            <w:rStyle w:val="Hyperlink"/>
            <w:rFonts w:asciiTheme="majorHAnsi" w:eastAsia="Times New Roman" w:hAnsiTheme="majorHAnsi" w:cstheme="majorHAnsi"/>
          </w:rPr>
          <w:t>https://doi.org/10.1093/bjc/azs032</w:t>
        </w:r>
      </w:hyperlink>
    </w:p>
    <w:p w14:paraId="3DA7AB08" w14:textId="77777777" w:rsidR="007E284A" w:rsidRPr="005A6211" w:rsidRDefault="007E284A" w:rsidP="00D117FE">
      <w:pPr>
        <w:rPr>
          <w:rFonts w:asciiTheme="majorHAnsi" w:eastAsia="Times New Roman" w:hAnsiTheme="majorHAnsi" w:cstheme="majorHAnsi"/>
        </w:rPr>
      </w:pPr>
    </w:p>
    <w:p w14:paraId="2E586B78" w14:textId="0D0A9B97" w:rsidR="005A6211" w:rsidRDefault="005A6211" w:rsidP="005A6211">
      <w:pPr>
        <w:rPr>
          <w:rFonts w:asciiTheme="majorHAnsi" w:hAnsiTheme="majorHAnsi" w:cstheme="majorHAnsi"/>
        </w:rPr>
      </w:pPr>
      <w:r w:rsidRPr="005A6211">
        <w:rPr>
          <w:rFonts w:asciiTheme="majorHAnsi" w:hAnsiTheme="majorHAnsi" w:cstheme="majorHAnsi"/>
        </w:rPr>
        <w:t>Jacques, P. (2022) ‘Concerning police vetting process’ risks ‘insider threat’ from extremism, warns report.</w:t>
      </w:r>
      <w:r w:rsidR="009C114D">
        <w:rPr>
          <w:rFonts w:asciiTheme="majorHAnsi" w:hAnsiTheme="majorHAnsi" w:cstheme="majorHAnsi"/>
        </w:rPr>
        <w:t xml:space="preserve">, </w:t>
      </w:r>
      <w:r w:rsidRPr="005A6211">
        <w:rPr>
          <w:rFonts w:asciiTheme="majorHAnsi" w:hAnsiTheme="majorHAnsi" w:cstheme="majorHAnsi"/>
        </w:rPr>
        <w:t>Police Professional. Available at: https://www.policeprofessional.com/news/concerning-police-vetting-process-risks-insider-threat-from-extremism-warns-report/ [Accessed 16 October 2023].</w:t>
      </w:r>
    </w:p>
    <w:p w14:paraId="4B0FDA25" w14:textId="77777777" w:rsidR="007E284A" w:rsidRPr="005A6211" w:rsidRDefault="007E284A" w:rsidP="005A6211">
      <w:pPr>
        <w:rPr>
          <w:rFonts w:asciiTheme="majorHAnsi" w:hAnsiTheme="majorHAnsi" w:cstheme="majorHAnsi"/>
        </w:rPr>
      </w:pPr>
    </w:p>
    <w:p w14:paraId="111FA3A7" w14:textId="77777777" w:rsidR="005A6211" w:rsidRDefault="005A6211" w:rsidP="005A6211">
      <w:pPr>
        <w:rPr>
          <w:rFonts w:asciiTheme="majorHAnsi" w:hAnsiTheme="majorHAnsi" w:cstheme="majorHAnsi"/>
        </w:rPr>
      </w:pPr>
      <w:r w:rsidRPr="005A6211">
        <w:rPr>
          <w:rFonts w:asciiTheme="majorHAnsi" w:hAnsiTheme="majorHAnsi" w:cstheme="majorHAnsi"/>
        </w:rPr>
        <w:t>Jacques, P. (2022) ‘Concerning police vetting process’ risks ‘insider threat’ from extremism, warns report. Available at: https://www.policeprofessional.com/news/concerning-police-vetting-process-risks-insider-threat-from-extremism-warns-report/ [Accessed 16 October 2023].</w:t>
      </w:r>
    </w:p>
    <w:p w14:paraId="7744DE83" w14:textId="77777777" w:rsidR="007E284A" w:rsidRPr="005A6211" w:rsidRDefault="007E284A" w:rsidP="005A6211">
      <w:pPr>
        <w:rPr>
          <w:rFonts w:asciiTheme="majorHAnsi" w:hAnsiTheme="majorHAnsi" w:cstheme="majorHAnsi"/>
        </w:rPr>
      </w:pPr>
    </w:p>
    <w:p w14:paraId="05D5F4F8" w14:textId="77777777" w:rsidR="005A6211" w:rsidRDefault="005A6211" w:rsidP="005A6211">
      <w:pPr>
        <w:rPr>
          <w:rFonts w:asciiTheme="majorHAnsi" w:hAnsiTheme="majorHAnsi" w:cstheme="majorHAnsi"/>
        </w:rPr>
      </w:pPr>
      <w:r w:rsidRPr="005A6211">
        <w:rPr>
          <w:rFonts w:asciiTheme="majorHAnsi" w:hAnsiTheme="majorHAnsi" w:cstheme="majorHAnsi"/>
        </w:rPr>
        <w:t>JESIP. (2018) 'The Kerslake Report'. Available at: https://www.jesip.org.uk/uploads/media/Documents%20Products/Kerslake_Report_Manchester_Are.pdf [Accessed 18 October 2023].</w:t>
      </w:r>
    </w:p>
    <w:p w14:paraId="6BB35633" w14:textId="77777777" w:rsidR="007E284A" w:rsidRPr="005A6211" w:rsidRDefault="007E284A" w:rsidP="005A6211">
      <w:pPr>
        <w:rPr>
          <w:rFonts w:asciiTheme="majorHAnsi" w:hAnsiTheme="majorHAnsi" w:cstheme="majorHAnsi"/>
        </w:rPr>
      </w:pPr>
    </w:p>
    <w:p w14:paraId="7C238384" w14:textId="01FF2C35"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t xml:space="preserve">Jonathan Jackson, Ben Bradford, Mike Hough, Andy Myhill, Paul Quinton, &amp; Tom R. Tyler. (2012) 'Why do People Comply with the Law? Legitimacy and the Influence of Legal Institutions', The British Journal of Criminology, Volume 52, Issue 6, November 2012, Pages 1051–1071, DOI: </w:t>
      </w:r>
      <w:hyperlink r:id="rId12" w:history="1">
        <w:r w:rsidRPr="005A6211">
          <w:rPr>
            <w:rStyle w:val="Hyperlink"/>
            <w:rFonts w:asciiTheme="majorHAnsi" w:eastAsia="Times New Roman" w:hAnsiTheme="majorHAnsi" w:cstheme="majorHAnsi"/>
          </w:rPr>
          <w:t>https://doi.org/10.1093/bjc/azs032</w:t>
        </w:r>
      </w:hyperlink>
    </w:p>
    <w:p w14:paraId="1FC06EF7" w14:textId="77777777" w:rsidR="007E284A" w:rsidRPr="005A6211" w:rsidRDefault="007E284A" w:rsidP="00D117FE">
      <w:pPr>
        <w:rPr>
          <w:rFonts w:asciiTheme="majorHAnsi" w:eastAsia="Times New Roman" w:hAnsiTheme="majorHAnsi" w:cstheme="majorHAnsi"/>
        </w:rPr>
      </w:pPr>
    </w:p>
    <w:p w14:paraId="79794C58" w14:textId="77777777" w:rsidR="005A6211" w:rsidRDefault="005A6211" w:rsidP="005A6211">
      <w:pPr>
        <w:rPr>
          <w:rFonts w:asciiTheme="majorHAnsi" w:hAnsiTheme="majorHAnsi" w:cstheme="majorHAnsi"/>
        </w:rPr>
      </w:pPr>
      <w:r w:rsidRPr="005A6211">
        <w:rPr>
          <w:rFonts w:asciiTheme="majorHAnsi" w:hAnsiTheme="majorHAnsi" w:cstheme="majorHAnsi"/>
        </w:rPr>
        <w:t xml:space="preserve">Kitching, N. (2021) 'A critical reflection of the UK’s Counter Terrorism PREVENT strategy from a police practitioner’s perspective using ethical theory and alternative forms of justice', Criminology, Sociology and Policing at Hull. Available at: </w:t>
      </w:r>
      <w:hyperlink r:id="rId13" w:history="1">
        <w:r w:rsidRPr="005A6211">
          <w:rPr>
            <w:rStyle w:val="Hyperlink"/>
            <w:rFonts w:asciiTheme="majorHAnsi" w:hAnsiTheme="majorHAnsi" w:cstheme="majorHAnsi"/>
          </w:rPr>
          <w:t>https://crimsoc.hull.ac.uk/</w:t>
        </w:r>
      </w:hyperlink>
      <w:r w:rsidRPr="005A6211">
        <w:rPr>
          <w:rFonts w:asciiTheme="majorHAnsi" w:hAnsiTheme="majorHAnsi" w:cstheme="majorHAnsi"/>
        </w:rPr>
        <w:t xml:space="preserve"> (Accessed: 6 November 2023).</w:t>
      </w:r>
    </w:p>
    <w:p w14:paraId="70BFA339" w14:textId="77777777" w:rsidR="007E284A" w:rsidRPr="005A6211" w:rsidRDefault="007E284A" w:rsidP="005A6211">
      <w:pPr>
        <w:rPr>
          <w:rFonts w:asciiTheme="majorHAnsi" w:hAnsiTheme="majorHAnsi" w:cstheme="majorHAnsi"/>
        </w:rPr>
      </w:pPr>
    </w:p>
    <w:p w14:paraId="3D72D3AA" w14:textId="62E90DF8" w:rsidR="005A6211" w:rsidRDefault="005A6211" w:rsidP="005A6211">
      <w:pPr>
        <w:rPr>
          <w:rFonts w:asciiTheme="majorHAnsi" w:hAnsiTheme="majorHAnsi" w:cstheme="majorHAnsi"/>
        </w:rPr>
      </w:pPr>
      <w:r w:rsidRPr="005A6211">
        <w:rPr>
          <w:rFonts w:asciiTheme="majorHAnsi" w:hAnsiTheme="majorHAnsi" w:cstheme="majorHAnsi"/>
        </w:rPr>
        <w:t>Lambert, R. &amp; Parsons, T. (2017) 'Community-Based Counterterrorism Policing: Recommendations for Practitioners', Studies in Conflict &amp; Terrorism, 40(12), pp. 1054-1071. Available at: https://doi.org/10.1080/1057610X.2016.1253989 [Accessed 16 October 2023].</w:t>
      </w:r>
    </w:p>
    <w:p w14:paraId="4041DC5D" w14:textId="77777777" w:rsidR="007E284A" w:rsidRPr="005A6211" w:rsidRDefault="007E284A" w:rsidP="005A6211">
      <w:pPr>
        <w:rPr>
          <w:rFonts w:asciiTheme="majorHAnsi" w:hAnsiTheme="majorHAnsi" w:cstheme="majorHAnsi"/>
        </w:rPr>
      </w:pPr>
    </w:p>
    <w:p w14:paraId="256A3D35" w14:textId="404F4369" w:rsidR="007E284A" w:rsidRPr="005A6211" w:rsidRDefault="005A6211" w:rsidP="00D117FE">
      <w:pPr>
        <w:rPr>
          <w:rFonts w:asciiTheme="majorHAnsi" w:eastAsia="Times New Roman" w:hAnsiTheme="majorHAnsi" w:cstheme="majorHAnsi"/>
        </w:rPr>
      </w:pPr>
      <w:r w:rsidRPr="005A6211">
        <w:rPr>
          <w:rFonts w:asciiTheme="majorHAnsi" w:eastAsia="Times New Roman" w:hAnsiTheme="majorHAnsi" w:cstheme="majorHAnsi"/>
        </w:rPr>
        <w:t>Lewis, P., Newburn, T., Taylor, M., Mcgillivray, C., Greenhill, A., Frayman, H., &amp; Proctor, R. (2011).</w:t>
      </w:r>
      <w:r w:rsidR="009C114D">
        <w:rPr>
          <w:rFonts w:asciiTheme="majorHAnsi" w:eastAsia="Times New Roman" w:hAnsiTheme="majorHAnsi" w:cstheme="majorHAnsi"/>
        </w:rPr>
        <w:t xml:space="preserve">, </w:t>
      </w:r>
      <w:r w:rsidRPr="005A6211">
        <w:rPr>
          <w:rFonts w:asciiTheme="majorHAnsi" w:eastAsia="Times New Roman" w:hAnsiTheme="majorHAnsi" w:cstheme="majorHAnsi"/>
        </w:rPr>
        <w:t xml:space="preserve">Reading the riots: Investigating England's summer of disorder. The London School of Economics and Political Science and The Guardian, London, UK. Available at: </w:t>
      </w:r>
      <w:hyperlink r:id="rId14" w:history="1">
        <w:r w:rsidRPr="005A6211">
          <w:rPr>
            <w:rStyle w:val="Hyperlink"/>
            <w:rFonts w:asciiTheme="majorHAnsi" w:eastAsia="Times New Roman" w:hAnsiTheme="majorHAnsi" w:cstheme="majorHAnsi"/>
          </w:rPr>
          <w:t>https://www.theguardian.com/uk/interactive/2011/dec/14/reading-the-riots-investigating-england-s-summer-of-disorder-full-report</w:t>
        </w:r>
      </w:hyperlink>
      <w:r w:rsidRPr="005A6211">
        <w:rPr>
          <w:rFonts w:asciiTheme="majorHAnsi" w:eastAsia="Times New Roman" w:hAnsiTheme="majorHAnsi" w:cstheme="majorHAnsi"/>
        </w:rPr>
        <w:t xml:space="preserve"> [Accessed 1 November 2023].</w:t>
      </w:r>
    </w:p>
    <w:p w14:paraId="1A0B945C" w14:textId="2BB3DFC1" w:rsidR="005A6211" w:rsidRDefault="005A6211" w:rsidP="005A6211">
      <w:pPr>
        <w:rPr>
          <w:rFonts w:asciiTheme="majorHAnsi" w:hAnsiTheme="majorHAnsi" w:cstheme="majorHAnsi"/>
        </w:rPr>
      </w:pPr>
      <w:r w:rsidRPr="005A6211">
        <w:rPr>
          <w:rFonts w:asciiTheme="majorHAnsi" w:hAnsiTheme="majorHAnsi" w:cstheme="majorHAnsi"/>
        </w:rPr>
        <w:lastRenderedPageBreak/>
        <w:t>Makarenko, T. (2004) 'The Crime-Terror Continuum: Tracing the Interplay between Transnational Organised Crime and Terrorism', Global Crime</w:t>
      </w:r>
      <w:r w:rsidR="00930F7A">
        <w:rPr>
          <w:rFonts w:asciiTheme="majorHAnsi" w:hAnsiTheme="majorHAnsi" w:cstheme="majorHAnsi"/>
        </w:rPr>
        <w:t>.</w:t>
      </w:r>
      <w:r w:rsidRPr="005A6211">
        <w:rPr>
          <w:rFonts w:asciiTheme="majorHAnsi" w:hAnsiTheme="majorHAnsi" w:cstheme="majorHAnsi"/>
        </w:rPr>
        <w:t xml:space="preserve"> 6(1), pp. 129-145. Available at: https://doi.org/10.1080/1744057042000297025 [Accessed 16 October 2023].</w:t>
      </w:r>
    </w:p>
    <w:p w14:paraId="4C161B09" w14:textId="77777777" w:rsidR="0069406F" w:rsidRPr="005A6211" w:rsidRDefault="0069406F" w:rsidP="005A6211">
      <w:pPr>
        <w:rPr>
          <w:rFonts w:asciiTheme="majorHAnsi" w:hAnsiTheme="majorHAnsi" w:cstheme="majorHAnsi"/>
        </w:rPr>
      </w:pPr>
    </w:p>
    <w:p w14:paraId="494756C7" w14:textId="77777777" w:rsidR="005A6211" w:rsidRDefault="005A6211" w:rsidP="005A6211">
      <w:pPr>
        <w:rPr>
          <w:rFonts w:asciiTheme="majorHAnsi" w:hAnsiTheme="majorHAnsi" w:cstheme="majorHAnsi"/>
        </w:rPr>
      </w:pPr>
      <w:r w:rsidRPr="005A6211">
        <w:rPr>
          <w:rFonts w:asciiTheme="majorHAnsi" w:hAnsiTheme="majorHAnsi" w:cstheme="majorHAnsi"/>
        </w:rPr>
        <w:t>MI5. (2023) 'MI5's Resources and Links'. Available at: https://www.mi5.gov.uk/resources-and-links [Accessed 16 October 2023].</w:t>
      </w:r>
    </w:p>
    <w:p w14:paraId="3E60A5FE" w14:textId="77777777" w:rsidR="0069406F" w:rsidRPr="005A6211" w:rsidRDefault="0069406F" w:rsidP="005A6211">
      <w:pPr>
        <w:rPr>
          <w:rFonts w:asciiTheme="majorHAnsi" w:hAnsiTheme="majorHAnsi" w:cstheme="majorHAnsi"/>
        </w:rPr>
      </w:pPr>
    </w:p>
    <w:p w14:paraId="50D8E376" w14:textId="77777777" w:rsidR="005A6211" w:rsidRDefault="005A6211" w:rsidP="005A6211">
      <w:pPr>
        <w:rPr>
          <w:rFonts w:asciiTheme="majorHAnsi" w:hAnsiTheme="majorHAnsi" w:cstheme="majorHAnsi"/>
        </w:rPr>
      </w:pPr>
      <w:r w:rsidRPr="005A6211">
        <w:rPr>
          <w:rFonts w:asciiTheme="majorHAnsi" w:hAnsiTheme="majorHAnsi" w:cstheme="majorHAnsi"/>
        </w:rPr>
        <w:t>Neumann, P. (2010) 'Prisons and Terrorism Radicalisation and De-radicalisation in 15 Countries'. Available at: https://www.clingendael.org/sites/default/files/pdfs/Prisons-and-terrorism-15-countries.pdf [Accessed 16 October 2023].</w:t>
      </w:r>
    </w:p>
    <w:p w14:paraId="7897695F" w14:textId="77777777" w:rsidR="0069406F" w:rsidRPr="005A6211" w:rsidRDefault="0069406F" w:rsidP="005A6211">
      <w:pPr>
        <w:rPr>
          <w:rFonts w:asciiTheme="majorHAnsi" w:hAnsiTheme="majorHAnsi" w:cstheme="majorHAnsi"/>
        </w:rPr>
      </w:pPr>
    </w:p>
    <w:p w14:paraId="2B9B1789" w14:textId="77777777" w:rsidR="005A6211" w:rsidRDefault="005A6211" w:rsidP="005A6211">
      <w:pPr>
        <w:rPr>
          <w:rFonts w:asciiTheme="majorHAnsi" w:hAnsiTheme="majorHAnsi" w:cstheme="majorHAnsi"/>
        </w:rPr>
      </w:pPr>
      <w:r w:rsidRPr="005A6211">
        <w:rPr>
          <w:rFonts w:asciiTheme="majorHAnsi" w:hAnsiTheme="majorHAnsi" w:cstheme="majorHAnsi"/>
        </w:rPr>
        <w:t>NPSA. (2023) 'Reducing Insider Risk'. Available at: https://www.npsa.gov.uk/reducing-insider-risk [Accessed 16 October 2023].</w:t>
      </w:r>
    </w:p>
    <w:p w14:paraId="4A0001D2" w14:textId="77777777" w:rsidR="0069406F" w:rsidRPr="005A6211" w:rsidRDefault="0069406F" w:rsidP="005A6211">
      <w:pPr>
        <w:rPr>
          <w:rFonts w:asciiTheme="majorHAnsi" w:hAnsiTheme="majorHAnsi" w:cstheme="majorHAnsi"/>
        </w:rPr>
      </w:pPr>
    </w:p>
    <w:p w14:paraId="77E2AB4C" w14:textId="77777777" w:rsidR="005A6211" w:rsidRDefault="005A6211" w:rsidP="005A6211">
      <w:pPr>
        <w:rPr>
          <w:rFonts w:asciiTheme="majorHAnsi" w:hAnsiTheme="majorHAnsi" w:cstheme="majorHAnsi"/>
        </w:rPr>
      </w:pPr>
      <w:r w:rsidRPr="005A6211">
        <w:rPr>
          <w:rFonts w:asciiTheme="majorHAnsi" w:hAnsiTheme="majorHAnsi" w:cstheme="majorHAnsi"/>
        </w:rPr>
        <w:t>POLFED. (2017) 'Whistleblowing Advice on raising an issue of concern'. Available at: https://www.polfed.org/media/13730/whistleblowing-2017-9-web.pdf [Accessed 16 October 2023].</w:t>
      </w:r>
    </w:p>
    <w:p w14:paraId="68B36F8C" w14:textId="77777777" w:rsidR="0069406F" w:rsidRPr="005A6211" w:rsidRDefault="0069406F" w:rsidP="005A6211">
      <w:pPr>
        <w:rPr>
          <w:rFonts w:asciiTheme="majorHAnsi" w:hAnsiTheme="majorHAnsi" w:cstheme="majorHAnsi"/>
        </w:rPr>
      </w:pPr>
    </w:p>
    <w:p w14:paraId="4DD27C38" w14:textId="1B46FC67" w:rsidR="005A6211" w:rsidRDefault="005A6211" w:rsidP="005A6211">
      <w:pPr>
        <w:rPr>
          <w:rFonts w:asciiTheme="majorHAnsi" w:hAnsiTheme="majorHAnsi" w:cstheme="majorHAnsi"/>
        </w:rPr>
      </w:pPr>
      <w:r w:rsidRPr="005A6211">
        <w:rPr>
          <w:rFonts w:asciiTheme="majorHAnsi" w:hAnsiTheme="majorHAnsi" w:cstheme="majorHAnsi"/>
        </w:rPr>
        <w:t>Probst, C.W., Hunker, J., Gollmann, D. &amp; Bishop, M. (eds) (2010)</w:t>
      </w:r>
      <w:r w:rsidR="00F80450">
        <w:rPr>
          <w:rFonts w:asciiTheme="majorHAnsi" w:hAnsiTheme="majorHAnsi" w:cstheme="majorHAnsi"/>
        </w:rPr>
        <w:t xml:space="preserve">., </w:t>
      </w:r>
      <w:r w:rsidRPr="005A6211">
        <w:rPr>
          <w:rFonts w:asciiTheme="majorHAnsi" w:hAnsiTheme="majorHAnsi" w:cstheme="majorHAnsi"/>
        </w:rPr>
        <w:t>Insider Threats in Cyber Security, Advances in Information Security, no. 49, Springer. Available at: https://www.springer.com/gp/book/9781441971326 [Accessed 16 October 2023].</w:t>
      </w:r>
    </w:p>
    <w:p w14:paraId="7B378A44" w14:textId="77777777" w:rsidR="0069406F" w:rsidRPr="005A6211" w:rsidRDefault="0069406F" w:rsidP="005A6211">
      <w:pPr>
        <w:rPr>
          <w:rFonts w:asciiTheme="majorHAnsi" w:hAnsiTheme="majorHAnsi" w:cstheme="majorHAnsi"/>
        </w:rPr>
      </w:pPr>
    </w:p>
    <w:p w14:paraId="1EF442B1" w14:textId="77777777" w:rsidR="005A6211" w:rsidRDefault="005A6211" w:rsidP="005A6211">
      <w:pPr>
        <w:rPr>
          <w:rFonts w:asciiTheme="majorHAnsi" w:hAnsiTheme="majorHAnsi" w:cstheme="majorHAnsi"/>
        </w:rPr>
      </w:pPr>
      <w:r w:rsidRPr="005A6211">
        <w:rPr>
          <w:rFonts w:asciiTheme="majorHAnsi" w:hAnsiTheme="majorHAnsi" w:cstheme="majorHAnsi"/>
        </w:rPr>
        <w:t>ProtectUK. (2023) 'Security and Policing Conference'. Available at: https://www.protectuk.police.uk/security-and-policing-conference-resource-list [Accessed 16 October 2023].</w:t>
      </w:r>
    </w:p>
    <w:p w14:paraId="163702B1" w14:textId="77777777" w:rsidR="0069406F" w:rsidRPr="005A6211" w:rsidRDefault="0069406F" w:rsidP="005A6211">
      <w:pPr>
        <w:rPr>
          <w:rFonts w:asciiTheme="majorHAnsi" w:hAnsiTheme="majorHAnsi" w:cstheme="majorHAnsi"/>
        </w:rPr>
      </w:pPr>
    </w:p>
    <w:p w14:paraId="1BAF4BAE" w14:textId="3199C6E7" w:rsidR="005A6211" w:rsidRDefault="005A6211" w:rsidP="005A6211">
      <w:pPr>
        <w:rPr>
          <w:rFonts w:asciiTheme="majorHAnsi" w:hAnsiTheme="majorHAnsi" w:cstheme="majorHAnsi"/>
        </w:rPr>
      </w:pPr>
      <w:r w:rsidRPr="005A6211">
        <w:rPr>
          <w:rFonts w:asciiTheme="majorHAnsi" w:hAnsiTheme="majorHAnsi" w:cstheme="majorHAnsi"/>
        </w:rPr>
        <w:t>Rogers, A. (2023) 'Government hits manifesto target of recruiting 20,000 police officers in England and Wales'</w:t>
      </w:r>
      <w:r w:rsidR="00930F7A">
        <w:rPr>
          <w:rFonts w:asciiTheme="majorHAnsi" w:hAnsiTheme="majorHAnsi" w:cstheme="majorHAnsi"/>
        </w:rPr>
        <w:t xml:space="preserve">, </w:t>
      </w:r>
      <w:r w:rsidRPr="005A6211">
        <w:rPr>
          <w:rFonts w:asciiTheme="majorHAnsi" w:hAnsiTheme="majorHAnsi" w:cstheme="majorHAnsi"/>
        </w:rPr>
        <w:t>Sky News. Available at: https://news.sky.com/story/suella-braverman-confident-government-is-on-track-to-reach-20-000-police-officers-target-12378000 [Accessed 18 October 2023].</w:t>
      </w:r>
    </w:p>
    <w:p w14:paraId="564E8DAE" w14:textId="77777777" w:rsidR="0069406F" w:rsidRPr="005A6211" w:rsidRDefault="0069406F" w:rsidP="005A6211">
      <w:pPr>
        <w:rPr>
          <w:rFonts w:asciiTheme="majorHAnsi" w:hAnsiTheme="majorHAnsi" w:cstheme="majorHAnsi"/>
        </w:rPr>
      </w:pPr>
    </w:p>
    <w:p w14:paraId="2EF721B6" w14:textId="1FA2A9D0"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t xml:space="preserve"> Rosenbaum, D. P. (Ed.). (1994).</w:t>
      </w:r>
      <w:r w:rsidR="00930F7A">
        <w:rPr>
          <w:rFonts w:asciiTheme="majorHAnsi" w:eastAsia="Times New Roman" w:hAnsiTheme="majorHAnsi" w:cstheme="majorHAnsi"/>
        </w:rPr>
        <w:t xml:space="preserve">, </w:t>
      </w:r>
      <w:r w:rsidRPr="005A6211">
        <w:rPr>
          <w:rFonts w:asciiTheme="majorHAnsi" w:eastAsia="Times New Roman" w:hAnsiTheme="majorHAnsi" w:cstheme="majorHAnsi"/>
        </w:rPr>
        <w:t xml:space="preserve">The challenge of community policing: Testing the promises. SAGE Publications, Inc. </w:t>
      </w:r>
      <w:hyperlink r:id="rId15" w:history="1">
        <w:r w:rsidRPr="005A6211">
          <w:rPr>
            <w:rStyle w:val="Hyperlink"/>
            <w:rFonts w:asciiTheme="majorHAnsi" w:eastAsia="Times New Roman" w:hAnsiTheme="majorHAnsi" w:cstheme="majorHAnsi"/>
          </w:rPr>
          <w:t>https://doi.org/10.4135/9781483327006</w:t>
        </w:r>
      </w:hyperlink>
    </w:p>
    <w:p w14:paraId="358DE23B" w14:textId="77777777" w:rsidR="0069406F" w:rsidRPr="005A6211" w:rsidRDefault="0069406F" w:rsidP="00D117FE">
      <w:pPr>
        <w:rPr>
          <w:rFonts w:asciiTheme="majorHAnsi" w:eastAsia="Times New Roman" w:hAnsiTheme="majorHAnsi" w:cstheme="majorHAnsi"/>
        </w:rPr>
      </w:pPr>
    </w:p>
    <w:p w14:paraId="59D5123D" w14:textId="02FB5525" w:rsidR="005A6211" w:rsidRDefault="005A6211" w:rsidP="005A6211">
      <w:pPr>
        <w:rPr>
          <w:rFonts w:asciiTheme="majorHAnsi" w:hAnsiTheme="majorHAnsi" w:cstheme="majorHAnsi"/>
        </w:rPr>
      </w:pPr>
      <w:r w:rsidRPr="005A6211">
        <w:rPr>
          <w:rFonts w:asciiTheme="majorHAnsi" w:hAnsiTheme="majorHAnsi" w:cstheme="majorHAnsi"/>
        </w:rPr>
        <w:t>Rushchenko, J. (2019) 'Terrorist recruitment and prison radicalization: Assessing the UK experiment of ‘separation centres’', European Journal of Criminology, 16(3), pp. 295-314. Available at: https://doi.org/10.1177/1477370819828946 [Accessed 16 October 2023].</w:t>
      </w:r>
    </w:p>
    <w:p w14:paraId="11F84B34" w14:textId="77777777" w:rsidR="0069406F" w:rsidRDefault="0069406F" w:rsidP="005A6211">
      <w:pPr>
        <w:rPr>
          <w:rFonts w:asciiTheme="majorHAnsi" w:hAnsiTheme="majorHAnsi" w:cstheme="majorHAnsi"/>
        </w:rPr>
      </w:pPr>
    </w:p>
    <w:p w14:paraId="5D7B6658" w14:textId="77777777" w:rsidR="0069406F" w:rsidRPr="005A6211" w:rsidRDefault="0069406F" w:rsidP="005A6211">
      <w:pPr>
        <w:rPr>
          <w:rFonts w:asciiTheme="majorHAnsi" w:hAnsiTheme="majorHAnsi" w:cstheme="majorHAnsi"/>
        </w:rPr>
      </w:pPr>
    </w:p>
    <w:p w14:paraId="5E29A72B" w14:textId="4ACF0CB6" w:rsidR="005A6211" w:rsidRDefault="005A6211" w:rsidP="00D117FE">
      <w:pPr>
        <w:rPr>
          <w:rFonts w:asciiTheme="majorHAnsi" w:eastAsia="Times New Roman" w:hAnsiTheme="majorHAnsi" w:cstheme="majorHAnsi"/>
        </w:rPr>
      </w:pPr>
      <w:r w:rsidRPr="005A6211">
        <w:rPr>
          <w:rFonts w:asciiTheme="majorHAnsi" w:eastAsia="Times New Roman" w:hAnsiTheme="majorHAnsi" w:cstheme="majorHAnsi"/>
        </w:rPr>
        <w:lastRenderedPageBreak/>
        <w:t>Scraton, P. (2009).</w:t>
      </w:r>
      <w:r w:rsidR="00930F7A">
        <w:rPr>
          <w:rFonts w:asciiTheme="majorHAnsi" w:eastAsia="Times New Roman" w:hAnsiTheme="majorHAnsi" w:cstheme="majorHAnsi"/>
        </w:rPr>
        <w:t xml:space="preserve">, </w:t>
      </w:r>
      <w:r w:rsidRPr="005A6211">
        <w:rPr>
          <w:rFonts w:asciiTheme="majorHAnsi" w:eastAsia="Times New Roman" w:hAnsiTheme="majorHAnsi" w:cstheme="majorHAnsi"/>
        </w:rPr>
        <w:t>Hillsborough: The Truth</w:t>
      </w:r>
      <w:r w:rsidR="00930F7A">
        <w:rPr>
          <w:rFonts w:asciiTheme="majorHAnsi" w:eastAsia="Times New Roman" w:hAnsiTheme="majorHAnsi" w:cstheme="majorHAnsi"/>
        </w:rPr>
        <w:t xml:space="preserve"> </w:t>
      </w:r>
      <w:r w:rsidRPr="005A6211">
        <w:rPr>
          <w:rFonts w:asciiTheme="majorHAnsi" w:eastAsia="Times New Roman" w:hAnsiTheme="majorHAnsi" w:cstheme="majorHAnsi"/>
        </w:rPr>
        <w:t>(3rd edn.). Mainstream Publishing.</w:t>
      </w:r>
    </w:p>
    <w:p w14:paraId="6CD19EBA" w14:textId="77777777" w:rsidR="0069406F" w:rsidRPr="005A6211" w:rsidRDefault="0069406F" w:rsidP="00D117FE">
      <w:pPr>
        <w:rPr>
          <w:rFonts w:asciiTheme="majorHAnsi" w:eastAsia="Times New Roman" w:hAnsiTheme="majorHAnsi" w:cstheme="majorHAnsi"/>
        </w:rPr>
      </w:pPr>
    </w:p>
    <w:p w14:paraId="18446764" w14:textId="29A14881"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t xml:space="preserve">Skogan, W. G. (2006). Asymmetry in the Impact of Encounters with Police. Policing and Society, 16(2), 99-126. </w:t>
      </w:r>
      <w:hyperlink r:id="rId16" w:history="1">
        <w:r w:rsidRPr="005A6211">
          <w:rPr>
            <w:rStyle w:val="Hyperlink"/>
            <w:rFonts w:asciiTheme="majorHAnsi" w:eastAsia="Times New Roman" w:hAnsiTheme="majorHAnsi" w:cstheme="majorHAnsi"/>
          </w:rPr>
          <w:t>https://doi.org/10.1080/10439460600662098</w:t>
        </w:r>
      </w:hyperlink>
    </w:p>
    <w:p w14:paraId="29654B28" w14:textId="77777777" w:rsidR="00C574F4" w:rsidRPr="005A6211" w:rsidRDefault="00C574F4" w:rsidP="00D117FE">
      <w:pPr>
        <w:rPr>
          <w:rFonts w:asciiTheme="majorHAnsi" w:eastAsia="Times New Roman" w:hAnsiTheme="majorHAnsi" w:cstheme="majorHAnsi"/>
        </w:rPr>
      </w:pPr>
    </w:p>
    <w:p w14:paraId="133F3807" w14:textId="337F2B35" w:rsidR="005A6211" w:rsidRDefault="005A6211" w:rsidP="005A6211">
      <w:pPr>
        <w:rPr>
          <w:rFonts w:asciiTheme="majorHAnsi" w:hAnsiTheme="majorHAnsi" w:cstheme="majorHAnsi"/>
        </w:rPr>
      </w:pPr>
      <w:r w:rsidRPr="005A6211">
        <w:rPr>
          <w:rFonts w:asciiTheme="majorHAnsi" w:hAnsiTheme="majorHAnsi" w:cstheme="majorHAnsi"/>
        </w:rPr>
        <w:t>Spalek, B. (2010) 'Community Policing, Trust, and Muslim Communities in Relation to “New Terrorism”', Politics &amp; Policy, 38, pp. 789-815. Available at: https://doi.org/10.1111/j.1747-1346.2010.00258.x [Accessed 16 October 2023].</w:t>
      </w:r>
    </w:p>
    <w:p w14:paraId="75B1C551" w14:textId="77777777" w:rsidR="00C574F4" w:rsidRPr="005A6211" w:rsidRDefault="00C574F4" w:rsidP="005A6211">
      <w:pPr>
        <w:rPr>
          <w:rFonts w:asciiTheme="majorHAnsi" w:hAnsiTheme="majorHAnsi" w:cstheme="majorHAnsi"/>
        </w:rPr>
      </w:pPr>
    </w:p>
    <w:p w14:paraId="7B553011" w14:textId="77777777" w:rsidR="005A6211" w:rsidRDefault="005A6211" w:rsidP="005A6211">
      <w:pPr>
        <w:rPr>
          <w:rFonts w:asciiTheme="majorHAnsi" w:hAnsiTheme="majorHAnsi" w:cstheme="majorHAnsi"/>
        </w:rPr>
      </w:pPr>
      <w:r w:rsidRPr="005A6211">
        <w:rPr>
          <w:rFonts w:asciiTheme="majorHAnsi" w:hAnsiTheme="majorHAnsi" w:cstheme="majorHAnsi"/>
        </w:rPr>
        <w:t>Sumpter, C. (2018) Why neighbourhood policing is critical to preventing terrorism. Lowy Institute. Available at: https://www.lowyinstitute.org/the-interpreter/why-neighbourhood-policing-critical-preventing-terrorism (Accessed: 6 November 2023).</w:t>
      </w:r>
    </w:p>
    <w:p w14:paraId="50243A2B" w14:textId="77777777" w:rsidR="00C574F4" w:rsidRPr="005A6211" w:rsidRDefault="00C574F4" w:rsidP="005A6211">
      <w:pPr>
        <w:rPr>
          <w:rFonts w:asciiTheme="majorHAnsi" w:hAnsiTheme="majorHAnsi" w:cstheme="majorHAnsi"/>
        </w:rPr>
      </w:pPr>
    </w:p>
    <w:p w14:paraId="0E21FFFA" w14:textId="6A97D795" w:rsidR="005A6211" w:rsidRDefault="005A6211" w:rsidP="00D117FE">
      <w:pPr>
        <w:rPr>
          <w:rFonts w:asciiTheme="majorHAnsi" w:eastAsia="Times New Roman" w:hAnsiTheme="majorHAnsi" w:cstheme="majorHAnsi"/>
        </w:rPr>
      </w:pPr>
      <w:r w:rsidRPr="005A6211">
        <w:rPr>
          <w:rFonts w:asciiTheme="majorHAnsi" w:eastAsia="Times New Roman" w:hAnsiTheme="majorHAnsi" w:cstheme="majorHAnsi"/>
        </w:rPr>
        <w:t xml:space="preserve">Sunshine, J., &amp; Tyler, T. R. (2003). 'The Role of Procedural Justice and Legitimacy in Shaping Public Support for Policing', Law &amp; Society Review, 37(3), 513–548. Available at: </w:t>
      </w:r>
      <w:hyperlink r:id="rId17" w:history="1">
        <w:r w:rsidRPr="005A6211">
          <w:rPr>
            <w:rStyle w:val="Hyperlink"/>
            <w:rFonts w:asciiTheme="majorHAnsi" w:eastAsia="Times New Roman" w:hAnsiTheme="majorHAnsi" w:cstheme="majorHAnsi"/>
          </w:rPr>
          <w:t>https://www.jstor.org/stable/1555077</w:t>
        </w:r>
      </w:hyperlink>
      <w:r w:rsidRPr="005A6211">
        <w:rPr>
          <w:rFonts w:asciiTheme="majorHAnsi" w:eastAsia="Times New Roman" w:hAnsiTheme="majorHAnsi" w:cstheme="majorHAnsi"/>
        </w:rPr>
        <w:t xml:space="preserve"> [Accessed 1 November 2023].</w:t>
      </w:r>
    </w:p>
    <w:p w14:paraId="415AD476" w14:textId="77777777" w:rsidR="00C574F4" w:rsidRPr="005A6211" w:rsidRDefault="00C574F4" w:rsidP="00D117FE">
      <w:pPr>
        <w:rPr>
          <w:rFonts w:asciiTheme="majorHAnsi" w:eastAsia="Times New Roman" w:hAnsiTheme="majorHAnsi" w:cstheme="majorHAnsi"/>
        </w:rPr>
      </w:pPr>
    </w:p>
    <w:p w14:paraId="4965E0C7" w14:textId="68966A58"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t xml:space="preserve">Sunshine, J., &amp; Tyler, T. R. (2003). The Role of Procedural Justice and Legitimacy in Shaping Public Support for Policing. Law &amp; Society Review, 37(3), 513–548. </w:t>
      </w:r>
      <w:hyperlink r:id="rId18" w:history="1">
        <w:r w:rsidRPr="005A6211">
          <w:rPr>
            <w:rStyle w:val="Hyperlink"/>
            <w:rFonts w:asciiTheme="majorHAnsi" w:eastAsia="Times New Roman" w:hAnsiTheme="majorHAnsi" w:cstheme="majorHAnsi"/>
          </w:rPr>
          <w:t>https://www.jstor.org/stable/1555077</w:t>
        </w:r>
      </w:hyperlink>
    </w:p>
    <w:p w14:paraId="05444FF6" w14:textId="77777777" w:rsidR="00C574F4" w:rsidRPr="005A6211" w:rsidRDefault="00C574F4" w:rsidP="00D117FE">
      <w:pPr>
        <w:rPr>
          <w:rFonts w:asciiTheme="majorHAnsi" w:eastAsia="Times New Roman" w:hAnsiTheme="majorHAnsi" w:cstheme="majorHAnsi"/>
        </w:rPr>
      </w:pPr>
    </w:p>
    <w:p w14:paraId="646D0CA8" w14:textId="77777777" w:rsidR="005A6211" w:rsidRDefault="005A6211" w:rsidP="005A6211">
      <w:pPr>
        <w:rPr>
          <w:rFonts w:asciiTheme="majorHAnsi" w:hAnsiTheme="majorHAnsi" w:cstheme="majorHAnsi"/>
        </w:rPr>
      </w:pPr>
      <w:r w:rsidRPr="005A6211">
        <w:rPr>
          <w:rFonts w:asciiTheme="majorHAnsi" w:hAnsiTheme="majorHAnsi" w:cstheme="majorHAnsi"/>
        </w:rPr>
        <w:t>The Guardian. (2021) 'Met dismisses police officer who belonged to banned neo-Nazi terror group', Available at: https://www.theguardian.com/uk-news/2021/apr/21/met-dismisses-police-officer-who-belonged-to-banned-neo-nazi-terror-group [Accessed 18 October 2023].</w:t>
      </w:r>
    </w:p>
    <w:p w14:paraId="579DBCFF" w14:textId="77777777" w:rsidR="00C574F4" w:rsidRPr="005A6211" w:rsidRDefault="00C574F4" w:rsidP="005A6211">
      <w:pPr>
        <w:rPr>
          <w:rFonts w:asciiTheme="majorHAnsi" w:hAnsiTheme="majorHAnsi" w:cstheme="majorHAnsi"/>
        </w:rPr>
      </w:pPr>
    </w:p>
    <w:p w14:paraId="468B651E" w14:textId="3B217B75" w:rsidR="005A6211" w:rsidRDefault="005A6211" w:rsidP="005A6211">
      <w:pPr>
        <w:rPr>
          <w:rFonts w:asciiTheme="majorHAnsi" w:hAnsiTheme="majorHAnsi" w:cstheme="majorHAnsi"/>
        </w:rPr>
      </w:pPr>
      <w:r w:rsidRPr="005A6211">
        <w:rPr>
          <w:rFonts w:asciiTheme="majorHAnsi" w:hAnsiTheme="majorHAnsi" w:cstheme="majorHAnsi"/>
        </w:rPr>
        <w:t xml:space="preserve">Thornton, A., &amp; Bouhana, N. (2019) Preventing Radicalization in the UK: Expanding the Knowledge-Base on the Channel Programme. Policing: A Journal of Policy and Practice, 13(3), 331-344. doi: </w:t>
      </w:r>
      <w:hyperlink r:id="rId19" w:history="1">
        <w:r w:rsidR="00C574F4" w:rsidRPr="00247EC6">
          <w:rPr>
            <w:rStyle w:val="Hyperlink"/>
            <w:rFonts w:asciiTheme="majorHAnsi" w:hAnsiTheme="majorHAnsi" w:cstheme="majorHAnsi"/>
          </w:rPr>
          <w:t>https://doi.org/10.1093/police/pax036</w:t>
        </w:r>
      </w:hyperlink>
      <w:r w:rsidRPr="005A6211">
        <w:rPr>
          <w:rFonts w:asciiTheme="majorHAnsi" w:hAnsiTheme="majorHAnsi" w:cstheme="majorHAnsi"/>
        </w:rPr>
        <w:t>.</w:t>
      </w:r>
    </w:p>
    <w:p w14:paraId="14825C8E" w14:textId="77777777" w:rsidR="00C574F4" w:rsidRPr="005A6211" w:rsidRDefault="00C574F4" w:rsidP="005A6211">
      <w:pPr>
        <w:rPr>
          <w:rFonts w:asciiTheme="majorHAnsi" w:hAnsiTheme="majorHAnsi" w:cstheme="majorHAnsi"/>
        </w:rPr>
      </w:pPr>
    </w:p>
    <w:p w14:paraId="6CB312CD" w14:textId="1301827A"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t xml:space="preserve">Wankhade, P., McCann, L., &amp; Murphy, P. (2019). Critical Perspectives on the Management and Organization of Emergency Services (1st ed.). Routledge. </w:t>
      </w:r>
      <w:hyperlink r:id="rId20" w:history="1">
        <w:r w:rsidRPr="005A6211">
          <w:rPr>
            <w:rStyle w:val="Hyperlink"/>
            <w:rFonts w:asciiTheme="majorHAnsi" w:eastAsia="Times New Roman" w:hAnsiTheme="majorHAnsi" w:cstheme="majorHAnsi"/>
          </w:rPr>
          <w:t>https://doi.org/10.4324/9781315104447</w:t>
        </w:r>
      </w:hyperlink>
    </w:p>
    <w:p w14:paraId="75F35E29" w14:textId="77777777" w:rsidR="00C574F4" w:rsidRPr="005A6211" w:rsidRDefault="00C574F4" w:rsidP="00D117FE">
      <w:pPr>
        <w:rPr>
          <w:rFonts w:asciiTheme="majorHAnsi" w:eastAsia="Times New Roman" w:hAnsiTheme="majorHAnsi" w:cstheme="majorHAnsi"/>
        </w:rPr>
      </w:pPr>
    </w:p>
    <w:p w14:paraId="2CE539AF" w14:textId="38189B9C"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t>Wankhade, P., McCann, L., &amp; Murphy, P. (2019).</w:t>
      </w:r>
      <w:r w:rsidR="00930F7A">
        <w:rPr>
          <w:rFonts w:asciiTheme="majorHAnsi" w:eastAsia="Times New Roman" w:hAnsiTheme="majorHAnsi" w:cstheme="majorHAnsi"/>
        </w:rPr>
        <w:t>,</w:t>
      </w:r>
      <w:r w:rsidRPr="005A6211">
        <w:rPr>
          <w:rFonts w:asciiTheme="majorHAnsi" w:eastAsia="Times New Roman" w:hAnsiTheme="majorHAnsi" w:cstheme="majorHAnsi"/>
        </w:rPr>
        <w:t xml:space="preserve">Critical Perspectives on the Management and Organization of Emergency Services. 1st ed. Routledge. DOI: </w:t>
      </w:r>
      <w:hyperlink r:id="rId21" w:history="1">
        <w:r w:rsidRPr="005A6211">
          <w:rPr>
            <w:rStyle w:val="Hyperlink"/>
            <w:rFonts w:asciiTheme="majorHAnsi" w:eastAsia="Times New Roman" w:hAnsiTheme="majorHAnsi" w:cstheme="majorHAnsi"/>
          </w:rPr>
          <w:t>https://doi.org/10.4324/9781315104447</w:t>
        </w:r>
      </w:hyperlink>
    </w:p>
    <w:p w14:paraId="32A793B6" w14:textId="77777777" w:rsidR="00C574F4" w:rsidRDefault="00C574F4" w:rsidP="00D117FE">
      <w:pPr>
        <w:rPr>
          <w:rStyle w:val="Hyperlink"/>
          <w:rFonts w:asciiTheme="majorHAnsi" w:eastAsia="Times New Roman" w:hAnsiTheme="majorHAnsi" w:cstheme="majorHAnsi"/>
        </w:rPr>
      </w:pPr>
    </w:p>
    <w:p w14:paraId="13FA3EE6" w14:textId="77777777" w:rsidR="00C574F4" w:rsidRPr="005A6211" w:rsidRDefault="00C574F4" w:rsidP="00D117FE">
      <w:pPr>
        <w:rPr>
          <w:rFonts w:asciiTheme="majorHAnsi" w:eastAsia="Times New Roman" w:hAnsiTheme="majorHAnsi" w:cstheme="majorHAnsi"/>
        </w:rPr>
      </w:pPr>
    </w:p>
    <w:p w14:paraId="70E2C81C" w14:textId="43943C92" w:rsidR="005A6211" w:rsidRDefault="005A6211" w:rsidP="00D117FE">
      <w:pPr>
        <w:rPr>
          <w:rStyle w:val="Hyperlink"/>
          <w:rFonts w:asciiTheme="majorHAnsi" w:eastAsia="Times New Roman" w:hAnsiTheme="majorHAnsi" w:cstheme="majorHAnsi"/>
        </w:rPr>
      </w:pPr>
      <w:r w:rsidRPr="005A6211">
        <w:rPr>
          <w:rFonts w:asciiTheme="majorHAnsi" w:eastAsia="Times New Roman" w:hAnsiTheme="majorHAnsi" w:cstheme="majorHAnsi"/>
        </w:rPr>
        <w:lastRenderedPageBreak/>
        <w:t xml:space="preserve">Wesley G. Skogan. (2006). 'Asymmetry in the Impact of Encounters with Police', Policing and Society, 16:2, 99-126, DOI: </w:t>
      </w:r>
      <w:hyperlink r:id="rId22" w:history="1">
        <w:r w:rsidRPr="005A6211">
          <w:rPr>
            <w:rStyle w:val="Hyperlink"/>
            <w:rFonts w:asciiTheme="majorHAnsi" w:eastAsia="Times New Roman" w:hAnsiTheme="majorHAnsi" w:cstheme="majorHAnsi"/>
          </w:rPr>
          <w:t>https://doi.org/10.1080/10439460600662098</w:t>
        </w:r>
      </w:hyperlink>
    </w:p>
    <w:p w14:paraId="2F1AD754" w14:textId="77777777" w:rsidR="00C574F4" w:rsidRPr="005A6211" w:rsidRDefault="00C574F4" w:rsidP="00D117FE">
      <w:pPr>
        <w:rPr>
          <w:rFonts w:asciiTheme="majorHAnsi" w:eastAsia="Times New Roman" w:hAnsiTheme="majorHAnsi" w:cstheme="majorHAnsi"/>
        </w:rPr>
      </w:pPr>
    </w:p>
    <w:p w14:paraId="4723DCB2" w14:textId="5B959ADC" w:rsidR="005A6211" w:rsidRDefault="005A6211" w:rsidP="005A6211">
      <w:pPr>
        <w:rPr>
          <w:rFonts w:asciiTheme="majorHAnsi" w:hAnsiTheme="majorHAnsi" w:cstheme="majorHAnsi"/>
        </w:rPr>
      </w:pPr>
      <w:r w:rsidRPr="005A6211">
        <w:rPr>
          <w:rFonts w:asciiTheme="majorHAnsi" w:hAnsiTheme="majorHAnsi" w:cstheme="majorHAnsi"/>
        </w:rPr>
        <w:t>Westmarland, L. &amp; Conway, S. (2020) 'Police ethics and integrity: Keeping the ‘blue code’ of silence', International Journal of Police Science &amp; Management, 22(4), pp. 378-392. Available at: https://doi.org/10.1177/1461355720947762 [Accessed 16 October 2023].</w:t>
      </w:r>
    </w:p>
    <w:p w14:paraId="6B11A0EB" w14:textId="77777777" w:rsidR="00C574F4" w:rsidRPr="005A6211" w:rsidRDefault="00C574F4" w:rsidP="005A6211">
      <w:pPr>
        <w:rPr>
          <w:rFonts w:asciiTheme="majorHAnsi" w:hAnsiTheme="majorHAnsi" w:cstheme="majorHAnsi"/>
        </w:rPr>
      </w:pPr>
    </w:p>
    <w:p w14:paraId="45D682B0" w14:textId="5CE6500F" w:rsidR="005A6211" w:rsidRDefault="005A6211" w:rsidP="005A6211">
      <w:pPr>
        <w:rPr>
          <w:rFonts w:asciiTheme="majorHAnsi" w:hAnsiTheme="majorHAnsi" w:cstheme="majorHAnsi"/>
        </w:rPr>
      </w:pPr>
      <w:r w:rsidRPr="005A6211">
        <w:rPr>
          <w:rFonts w:asciiTheme="majorHAnsi" w:hAnsiTheme="majorHAnsi" w:cstheme="majorHAnsi"/>
        </w:rPr>
        <w:t>Wong, J. (2022) 'Sharing terrorism intelligence: insights from UK law enforcement agencies', Journal of Policing, Intelligence and Counter Terrorism, 17(2), pp. 218-228. Available at: https://doi.org/10.1080/18335330.2021.2016898 [Accessed 16 October 2023].</w:t>
      </w:r>
    </w:p>
    <w:p w14:paraId="1668C3EE" w14:textId="77777777" w:rsidR="00C574F4" w:rsidRPr="005A6211" w:rsidRDefault="00C574F4" w:rsidP="005A6211">
      <w:pPr>
        <w:rPr>
          <w:rFonts w:asciiTheme="majorHAnsi" w:hAnsiTheme="majorHAnsi" w:cstheme="majorHAnsi"/>
        </w:rPr>
      </w:pPr>
    </w:p>
    <w:p w14:paraId="5160749A" w14:textId="2FD1D8DA" w:rsidR="005A6211" w:rsidRPr="005A6211" w:rsidRDefault="005A6211" w:rsidP="005A6211">
      <w:pPr>
        <w:rPr>
          <w:rFonts w:asciiTheme="majorHAnsi" w:hAnsiTheme="majorHAnsi" w:cstheme="majorHAnsi"/>
        </w:rPr>
      </w:pPr>
      <w:r w:rsidRPr="005A6211">
        <w:rPr>
          <w:rFonts w:asciiTheme="majorHAnsi" w:hAnsiTheme="majorHAnsi" w:cstheme="majorHAnsi"/>
        </w:rPr>
        <w:t>Wright, R. (2021) 'Police rapid recruitment drive risks gang infiltration, watchdog warns', Financial Times. Available at: https://www.ft.com/content/c3207a1a-bb84-4425-ba82-97b3978a92d5 [Accessed 18 October 2023].</w:t>
      </w:r>
    </w:p>
    <w:p w14:paraId="2290B990" w14:textId="77777777" w:rsidR="005A6211" w:rsidRDefault="005A6211" w:rsidP="00D117FE">
      <w:pPr>
        <w:rPr>
          <w:rFonts w:eastAsia="Times New Roman"/>
        </w:rPr>
      </w:pPr>
    </w:p>
    <w:p w14:paraId="3EEA69A1" w14:textId="77777777" w:rsidR="001E7246" w:rsidRDefault="001E7246"/>
    <w:sectPr w:rsidR="001E72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246"/>
    <w:rsid w:val="000F69AF"/>
    <w:rsid w:val="001A6127"/>
    <w:rsid w:val="001E7246"/>
    <w:rsid w:val="002C7744"/>
    <w:rsid w:val="004932CD"/>
    <w:rsid w:val="005A6211"/>
    <w:rsid w:val="005D1344"/>
    <w:rsid w:val="00637756"/>
    <w:rsid w:val="0069406F"/>
    <w:rsid w:val="007E284A"/>
    <w:rsid w:val="00930F7A"/>
    <w:rsid w:val="009C114D"/>
    <w:rsid w:val="00C574F4"/>
    <w:rsid w:val="00D117FE"/>
    <w:rsid w:val="00F80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F5D91"/>
  <w15:chartTrackingRefBased/>
  <w15:docId w15:val="{03048256-A5CE-438E-8AA6-7535E96A3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2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7246"/>
    <w:rPr>
      <w:color w:val="0563C1" w:themeColor="hyperlink"/>
      <w:u w:val="single"/>
    </w:rPr>
  </w:style>
  <w:style w:type="paragraph" w:styleId="PlainText">
    <w:name w:val="Plain Text"/>
    <w:basedOn w:val="Normal"/>
    <w:link w:val="PlainTextChar"/>
    <w:uiPriority w:val="99"/>
    <w:semiHidden/>
    <w:unhideWhenUsed/>
    <w:rsid w:val="00D117FE"/>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D117FE"/>
    <w:rPr>
      <w:rFonts w:ascii="Calibri" w:hAnsi="Calibri"/>
      <w:szCs w:val="21"/>
    </w:rPr>
  </w:style>
  <w:style w:type="character" w:styleId="UnresolvedMention">
    <w:name w:val="Unresolved Mention"/>
    <w:basedOn w:val="DefaultParagraphFont"/>
    <w:uiPriority w:val="99"/>
    <w:semiHidden/>
    <w:unhideWhenUsed/>
    <w:rsid w:val="00C574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critical-incident-management/introduction-and-types-critical-incidents" TargetMode="External"/><Relationship Id="rId13" Type="http://schemas.openxmlformats.org/officeDocument/2006/relationships/hyperlink" Target="https://crimsoc.hull.ac.uk/" TargetMode="External"/><Relationship Id="rId18" Type="http://schemas.openxmlformats.org/officeDocument/2006/relationships/hyperlink" Target="https://www.jstor.org/stable/1555077" TargetMode="External"/><Relationship Id="rId3" Type="http://schemas.openxmlformats.org/officeDocument/2006/relationships/settings" Target="settings.xml"/><Relationship Id="rId21" Type="http://schemas.openxmlformats.org/officeDocument/2006/relationships/hyperlink" Target="https://doi.org/10.4324/9781315104447" TargetMode="External"/><Relationship Id="rId7" Type="http://schemas.openxmlformats.org/officeDocument/2006/relationships/hyperlink" Target="https://www.jstor.org/stable/4543185" TargetMode="External"/><Relationship Id="rId12" Type="http://schemas.openxmlformats.org/officeDocument/2006/relationships/hyperlink" Target="https://doi.org/10.1093/bjc/azs032" TargetMode="External"/><Relationship Id="rId17" Type="http://schemas.openxmlformats.org/officeDocument/2006/relationships/hyperlink" Target="https://www.jstor.org/stable/1555077" TargetMode="External"/><Relationship Id="rId2" Type="http://schemas.openxmlformats.org/officeDocument/2006/relationships/styles" Target="styles.xml"/><Relationship Id="rId16" Type="http://schemas.openxmlformats.org/officeDocument/2006/relationships/hyperlink" Target="https://doi.org/10.1080/10439460600662098" TargetMode="External"/><Relationship Id="rId20" Type="http://schemas.openxmlformats.org/officeDocument/2006/relationships/hyperlink" Target="https://doi.org/10.4324/9781315104447" TargetMode="External"/><Relationship Id="rId1" Type="http://schemas.openxmlformats.org/officeDocument/2006/relationships/customXml" Target="../customXml/item1.xml"/><Relationship Id="rId6" Type="http://schemas.openxmlformats.org/officeDocument/2006/relationships/hyperlink" Target="https://www.jstor.org/stable/4543185" TargetMode="External"/><Relationship Id="rId11" Type="http://schemas.openxmlformats.org/officeDocument/2006/relationships/hyperlink" Target="https://doi.org/10.1093/bjc/azs032" TargetMode="External"/><Relationship Id="rId24" Type="http://schemas.openxmlformats.org/officeDocument/2006/relationships/theme" Target="theme/theme1.xml"/><Relationship Id="rId5" Type="http://schemas.openxmlformats.org/officeDocument/2006/relationships/hyperlink" Target="https://doi.org/10.4324/9781003136439" TargetMode="External"/><Relationship Id="rId15" Type="http://schemas.openxmlformats.org/officeDocument/2006/relationships/hyperlink" Target="https://doi.org/10.4135/9781483327006" TargetMode="External"/><Relationship Id="rId23" Type="http://schemas.openxmlformats.org/officeDocument/2006/relationships/fontTable" Target="fontTable.xml"/><Relationship Id="rId10" Type="http://schemas.openxmlformats.org/officeDocument/2006/relationships/hyperlink" Target="https://www.cardiff.ac.uk/police-science-institute/research" TargetMode="External"/><Relationship Id="rId19" Type="http://schemas.openxmlformats.org/officeDocument/2006/relationships/hyperlink" Target="https://doi.org/10.1093/police/pax036" TargetMode="External"/><Relationship Id="rId4" Type="http://schemas.openxmlformats.org/officeDocument/2006/relationships/webSettings" Target="webSettings.xml"/><Relationship Id="rId9" Type="http://schemas.openxmlformats.org/officeDocument/2006/relationships/hyperlink" Target="https://doi.org/10.2307/j.ctt1pwtb27" TargetMode="External"/><Relationship Id="rId14" Type="http://schemas.openxmlformats.org/officeDocument/2006/relationships/hyperlink" Target="https://www.theguardian.com/uk/interactive/2011/dec/14/reading-the-riots-investigating-england-s-summer-of-disorder-full-report" TargetMode="External"/><Relationship Id="rId22" Type="http://schemas.openxmlformats.org/officeDocument/2006/relationships/hyperlink" Target="https://doi.org/10.1080/104394606006620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0B97A-7D25-4B7D-9182-D7D83E651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6478</Words>
  <Characters>36931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Lee,William swp8127</dc:creator>
  <cp:keywords/>
  <dc:description/>
  <cp:lastModifiedBy>Lee,William swp8127</cp:lastModifiedBy>
  <cp:revision>12</cp:revision>
  <dcterms:created xsi:type="dcterms:W3CDTF">2023-11-13T10:15:00Z</dcterms:created>
  <dcterms:modified xsi:type="dcterms:W3CDTF">2023-11-13T10:55:00Z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2023-11-13T10:33:26Z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418139ca-6f4a-4ad2-b217-05c632b46479</vt:lpwstr>
  </property>
  <property fmtid="{D5CDD505-2E9C-101B-9397-08002B2CF9AE}" pid="8" name="MSIP_Label_66cf8fe5-b7b7-4df7-b38d-1c61ac2f6639_ContentBits">
    <vt:lpwstr>0</vt:lpwstr>
  </property>
</Properties>
</file>