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7323" w:rsidRDefault="001858DA">
      <w:r>
        <w:t>Ceri Thomas – 2205819</w:t>
      </w:r>
    </w:p>
    <w:p w:rsidR="001858DA" w:rsidRDefault="001858DA">
      <w:r>
        <w:t>Festivals, Conventions &amp; Events – BMTP6017</w:t>
      </w:r>
    </w:p>
    <w:p w:rsidR="001858DA" w:rsidRDefault="001858DA">
      <w:r>
        <w:t>Lecturer – Deborah Jenkins</w:t>
      </w:r>
    </w:p>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p w:rsidR="001858DA" w:rsidRDefault="001858DA" w:rsidP="001858DA">
      <w:pPr>
        <w:spacing w:line="360" w:lineRule="auto"/>
        <w:rPr>
          <w:rFonts w:ascii="Arial" w:hAnsi="Arial" w:cs="Arial"/>
          <w:sz w:val="24"/>
          <w:szCs w:val="24"/>
        </w:rPr>
      </w:pPr>
      <w:r w:rsidRPr="00A16B64">
        <w:rPr>
          <w:rFonts w:ascii="Arial" w:hAnsi="Arial" w:cs="Arial"/>
          <w:sz w:val="24"/>
          <w:szCs w:val="24"/>
        </w:rPr>
        <w:t>“The Complex Evolution of the Events Industry in the Modern Era ‘The events industry, including festivals, meetings, conferences, exhibitions, is rapidly developing and makes a significant contribution to business- and leisure-related tourism. With increased regulation and the growth of government and corporate involvement in events, the environment has become much more complex. Event managers are now required to identify and service a wide range of stakeholders and to balance their needs and objectives’ (Getz and Page, 2020).</w:t>
      </w:r>
    </w:p>
    <w:p w:rsidR="00B35B69" w:rsidRDefault="00B35B69" w:rsidP="00B35B69">
      <w:pPr>
        <w:spacing w:line="360" w:lineRule="auto"/>
        <w:rPr>
          <w:rFonts w:ascii="Arial" w:hAnsi="Arial" w:cs="Arial"/>
          <w:sz w:val="24"/>
          <w:szCs w:val="24"/>
        </w:rPr>
      </w:pPr>
      <w:r w:rsidRPr="005118B9">
        <w:rPr>
          <w:rFonts w:ascii="Arial" w:hAnsi="Arial" w:cs="Arial"/>
          <w:sz w:val="24"/>
          <w:szCs w:val="24"/>
        </w:rPr>
        <w:t>This essay will examine the role of sustainability in even</w:t>
      </w:r>
      <w:r>
        <w:rPr>
          <w:rFonts w:ascii="Arial" w:hAnsi="Arial" w:cs="Arial"/>
          <w:sz w:val="24"/>
          <w:szCs w:val="24"/>
        </w:rPr>
        <w:t>t planning and execution, analyse</w:t>
      </w:r>
      <w:r w:rsidRPr="005118B9">
        <w:rPr>
          <w:rFonts w:ascii="Arial" w:hAnsi="Arial" w:cs="Arial"/>
          <w:sz w:val="24"/>
          <w:szCs w:val="24"/>
        </w:rPr>
        <w:t xml:space="preserve"> adaptive strategies and risk management, and evaluate case studies to illustrate how these practices shape th</w:t>
      </w:r>
      <w:r>
        <w:rPr>
          <w:rFonts w:ascii="Arial" w:hAnsi="Arial" w:cs="Arial"/>
          <w:sz w:val="24"/>
          <w:szCs w:val="24"/>
        </w:rPr>
        <w:t>e future of the events industry, with particular insight into these processes involved in recent Olympic Games.</w:t>
      </w:r>
    </w:p>
    <w:p w:rsidR="00B35B69" w:rsidRPr="00A16B64" w:rsidRDefault="00B35B69" w:rsidP="001858DA">
      <w:pPr>
        <w:spacing w:line="360" w:lineRule="auto"/>
        <w:rPr>
          <w:rFonts w:ascii="Arial" w:hAnsi="Arial" w:cs="Arial"/>
          <w:sz w:val="24"/>
          <w:szCs w:val="24"/>
        </w:rPr>
      </w:pPr>
    </w:p>
    <w:p w:rsidR="00B35BD3" w:rsidRPr="00A16B64" w:rsidRDefault="001858DA" w:rsidP="001858DA">
      <w:pPr>
        <w:spacing w:line="360" w:lineRule="auto"/>
        <w:rPr>
          <w:rFonts w:ascii="Arial" w:hAnsi="Arial" w:cs="Arial"/>
          <w:b/>
          <w:sz w:val="24"/>
          <w:szCs w:val="24"/>
          <w:u w:val="single"/>
        </w:rPr>
      </w:pPr>
      <w:r w:rsidRPr="00A16B64">
        <w:rPr>
          <w:rFonts w:ascii="Arial" w:hAnsi="Arial" w:cs="Arial"/>
          <w:b/>
          <w:sz w:val="24"/>
          <w:szCs w:val="24"/>
          <w:u w:val="single"/>
        </w:rPr>
        <w:t>The Environmental Impact of Global Events: Balancing Sustainability and Legacy</w:t>
      </w:r>
      <w:r w:rsidR="00B35BD3">
        <w:rPr>
          <w:rFonts w:ascii="Arial" w:hAnsi="Arial" w:cs="Arial"/>
          <w:b/>
          <w:sz w:val="24"/>
          <w:szCs w:val="24"/>
          <w:u w:val="single"/>
        </w:rPr>
        <w:t>.</w:t>
      </w:r>
    </w:p>
    <w:p w:rsidR="005118B9" w:rsidRDefault="00A16B64" w:rsidP="001858DA">
      <w:pPr>
        <w:spacing w:line="360" w:lineRule="auto"/>
        <w:rPr>
          <w:rFonts w:ascii="Arial" w:hAnsi="Arial" w:cs="Arial"/>
          <w:sz w:val="24"/>
          <w:szCs w:val="24"/>
        </w:rPr>
      </w:pPr>
      <w:r>
        <w:rPr>
          <w:rFonts w:ascii="Arial" w:hAnsi="Arial" w:cs="Arial"/>
          <w:sz w:val="24"/>
          <w:szCs w:val="24"/>
        </w:rPr>
        <w:t>The 2016 Rio Olympics</w:t>
      </w:r>
      <w:r w:rsidR="00CF7F1E">
        <w:rPr>
          <w:rFonts w:ascii="Arial" w:hAnsi="Arial" w:cs="Arial"/>
          <w:sz w:val="24"/>
          <w:szCs w:val="24"/>
        </w:rPr>
        <w:t xml:space="preserve"> generated an estimated 4.5</w:t>
      </w:r>
      <w:r w:rsidR="00B35BD3">
        <w:rPr>
          <w:rFonts w:ascii="Arial" w:hAnsi="Arial" w:cs="Arial"/>
          <w:sz w:val="24"/>
          <w:szCs w:val="24"/>
        </w:rPr>
        <w:t xml:space="preserve"> million tonnes of CO2 emissions, sparking Global debates on the environmental sustainability of </w:t>
      </w:r>
      <w:r w:rsidR="00CF7F1E">
        <w:rPr>
          <w:rFonts w:ascii="Arial" w:hAnsi="Arial" w:cs="Arial"/>
          <w:sz w:val="24"/>
          <w:szCs w:val="24"/>
        </w:rPr>
        <w:t>mega events (Bassetti, F., 2021).  In recent decades the events industry has experienced substantial global expansion</w:t>
      </w:r>
      <w:r w:rsidR="001560CE">
        <w:rPr>
          <w:rFonts w:ascii="Arial" w:hAnsi="Arial" w:cs="Arial"/>
          <w:sz w:val="24"/>
          <w:szCs w:val="24"/>
        </w:rPr>
        <w:t>, h</w:t>
      </w:r>
      <w:r w:rsidR="00CF7F1E">
        <w:rPr>
          <w:rFonts w:ascii="Arial" w:hAnsi="Arial" w:cs="Arial"/>
          <w:sz w:val="24"/>
          <w:szCs w:val="24"/>
        </w:rPr>
        <w:t>owever</w:t>
      </w:r>
      <w:r w:rsidR="001560CE">
        <w:rPr>
          <w:rFonts w:ascii="Arial" w:hAnsi="Arial" w:cs="Arial"/>
          <w:sz w:val="24"/>
          <w:szCs w:val="24"/>
        </w:rPr>
        <w:t>,</w:t>
      </w:r>
      <w:r w:rsidR="00CF7F1E">
        <w:rPr>
          <w:rFonts w:ascii="Arial" w:hAnsi="Arial" w:cs="Arial"/>
          <w:sz w:val="24"/>
          <w:szCs w:val="24"/>
        </w:rPr>
        <w:t xml:space="preserve"> this growth has been accompanied by significant environment consequences and p</w:t>
      </w:r>
      <w:r w:rsidR="00AB3C81">
        <w:rPr>
          <w:rFonts w:ascii="Arial" w:hAnsi="Arial" w:cs="Arial"/>
          <w:sz w:val="24"/>
          <w:szCs w:val="24"/>
        </w:rPr>
        <w:t xml:space="preserve">oorly managed events, resulting in </w:t>
      </w:r>
      <w:r w:rsidR="00CF7F1E">
        <w:rPr>
          <w:rFonts w:ascii="Arial" w:hAnsi="Arial" w:cs="Arial"/>
          <w:sz w:val="24"/>
          <w:szCs w:val="24"/>
        </w:rPr>
        <w:t>major environmental issues, such as higher carbon emissions, excessive waste production an</w:t>
      </w:r>
      <w:r w:rsidR="00AB3C81">
        <w:rPr>
          <w:rFonts w:ascii="Arial" w:hAnsi="Arial" w:cs="Arial"/>
          <w:sz w:val="24"/>
          <w:szCs w:val="24"/>
        </w:rPr>
        <w:t>d overuse of resources (Toscani, A., Vendraminelli, L., and Vinelli, A., 2024)</w:t>
      </w:r>
      <w:r w:rsidR="00846C39">
        <w:rPr>
          <w:rFonts w:ascii="Arial" w:hAnsi="Arial" w:cs="Arial"/>
          <w:sz w:val="24"/>
          <w:szCs w:val="24"/>
        </w:rPr>
        <w:t>, Further, According to the International Association of Events Hosts (2023) events generate environmental impacts in ways that are not at first obvious, such as construction and transportation of attendees and participants</w:t>
      </w:r>
      <w:r w:rsidR="001560CE">
        <w:rPr>
          <w:rFonts w:ascii="Arial" w:hAnsi="Arial" w:cs="Arial"/>
          <w:sz w:val="24"/>
          <w:szCs w:val="24"/>
        </w:rPr>
        <w:t>, despite such activities contributing</w:t>
      </w:r>
      <w:r w:rsidR="00846C39">
        <w:rPr>
          <w:rFonts w:ascii="Arial" w:hAnsi="Arial" w:cs="Arial"/>
          <w:sz w:val="24"/>
          <w:szCs w:val="24"/>
        </w:rPr>
        <w:t xml:space="preserve"> to critical issues such as climate change and depletion of natural resources.  </w:t>
      </w:r>
      <w:r w:rsidR="005118B9">
        <w:rPr>
          <w:rFonts w:ascii="Arial" w:hAnsi="Arial" w:cs="Arial"/>
          <w:sz w:val="24"/>
          <w:szCs w:val="24"/>
        </w:rPr>
        <w:t>Understanding t</w:t>
      </w:r>
      <w:r w:rsidR="00846C39">
        <w:rPr>
          <w:rFonts w:ascii="Arial" w:hAnsi="Arial" w:cs="Arial"/>
          <w:sz w:val="24"/>
          <w:szCs w:val="24"/>
        </w:rPr>
        <w:t xml:space="preserve">he importance of sustainability in the events industry is </w:t>
      </w:r>
      <w:r w:rsidR="001560CE">
        <w:rPr>
          <w:rFonts w:ascii="Arial" w:hAnsi="Arial" w:cs="Arial"/>
          <w:sz w:val="24"/>
          <w:szCs w:val="24"/>
        </w:rPr>
        <w:t>imperative in terms of increased environmental challenges and social expectations, the events industry must foster a strong dedication to social impact in order to strengthen an event’s influence, improve brand image and increase trust</w:t>
      </w:r>
      <w:r w:rsidR="005118B9">
        <w:rPr>
          <w:rFonts w:ascii="Arial" w:hAnsi="Arial" w:cs="Arial"/>
          <w:sz w:val="24"/>
          <w:szCs w:val="24"/>
        </w:rPr>
        <w:t xml:space="preserve"> in the product (Kaye, J., 2024).</w:t>
      </w:r>
    </w:p>
    <w:p w:rsidR="00492955" w:rsidRDefault="00492955" w:rsidP="001858DA">
      <w:pPr>
        <w:spacing w:line="360" w:lineRule="auto"/>
        <w:rPr>
          <w:rFonts w:ascii="Arial" w:hAnsi="Arial" w:cs="Arial"/>
          <w:sz w:val="24"/>
          <w:szCs w:val="24"/>
        </w:rPr>
      </w:pPr>
      <w:r>
        <w:rPr>
          <w:rFonts w:ascii="Arial" w:hAnsi="Arial" w:cs="Arial"/>
          <w:sz w:val="24"/>
          <w:szCs w:val="24"/>
        </w:rPr>
        <w:lastRenderedPageBreak/>
        <w:t>Having established the environmental challenges faced by the events industry, it is essential to explore how these concerns influence the bid</w:t>
      </w:r>
      <w:r w:rsidR="00F53E9C">
        <w:rPr>
          <w:rFonts w:ascii="Arial" w:hAnsi="Arial" w:cs="Arial"/>
          <w:sz w:val="24"/>
          <w:szCs w:val="24"/>
        </w:rPr>
        <w:t xml:space="preserve">ding and funding processes </w:t>
      </w:r>
      <w:r>
        <w:rPr>
          <w:rFonts w:ascii="Arial" w:hAnsi="Arial" w:cs="Arial"/>
          <w:sz w:val="24"/>
          <w:szCs w:val="24"/>
        </w:rPr>
        <w:t>underpin</w:t>
      </w:r>
      <w:r w:rsidR="00F53E9C">
        <w:rPr>
          <w:rFonts w:ascii="Arial" w:hAnsi="Arial" w:cs="Arial"/>
          <w:sz w:val="24"/>
          <w:szCs w:val="24"/>
        </w:rPr>
        <w:t>ning</w:t>
      </w:r>
      <w:r>
        <w:rPr>
          <w:rFonts w:ascii="Arial" w:hAnsi="Arial" w:cs="Arial"/>
          <w:sz w:val="24"/>
          <w:szCs w:val="24"/>
        </w:rPr>
        <w:t xml:space="preserve"> global events.  As sustainability practices have become a priority, event organisers must integrate eco-friendly practices into the early stages of event planning, including the proposal stage, to secure necessary funding and align with government and corporate expectations.  Understanding these processes is crucial in addressing the complex environmental demands that shape modern events.</w:t>
      </w:r>
    </w:p>
    <w:p w:rsidR="00E61AAF" w:rsidRPr="00E61AAF" w:rsidRDefault="00E61AAF" w:rsidP="00E61AAF">
      <w:pPr>
        <w:spacing w:line="360" w:lineRule="auto"/>
        <w:rPr>
          <w:rFonts w:ascii="Arial" w:hAnsi="Arial" w:cs="Arial"/>
          <w:sz w:val="24"/>
          <w:szCs w:val="24"/>
        </w:rPr>
      </w:pPr>
      <w:r w:rsidRPr="00E61AAF">
        <w:rPr>
          <w:rFonts w:ascii="Arial" w:hAnsi="Arial" w:cs="Arial"/>
          <w:b/>
          <w:sz w:val="24"/>
          <w:szCs w:val="24"/>
          <w:u w:val="single"/>
        </w:rPr>
        <w:t>Understanding the Context of Event Bidding and Funding:</w:t>
      </w:r>
    </w:p>
    <w:p w:rsidR="00E61AAF" w:rsidRDefault="00E61AAF" w:rsidP="00E61AAF">
      <w:pPr>
        <w:spacing w:before="100" w:beforeAutospacing="1" w:after="100" w:afterAutospacing="1" w:line="360" w:lineRule="auto"/>
        <w:rPr>
          <w:rFonts w:ascii="Arial" w:eastAsia="Times New Roman" w:hAnsi="Arial" w:cs="Arial"/>
          <w:spacing w:val="9"/>
          <w:sz w:val="24"/>
          <w:szCs w:val="24"/>
          <w:lang w:eastAsia="en-GB"/>
        </w:rPr>
      </w:pPr>
      <w:r>
        <w:rPr>
          <w:rFonts w:ascii="Arial" w:hAnsi="Arial" w:cs="Arial"/>
          <w:sz w:val="24"/>
          <w:szCs w:val="24"/>
        </w:rPr>
        <w:t>Several experts agree that funding is a critical element in the success of events, particularly those on the mega, global stage.  Getz and Page (2020) highlight that event funding, underpins the ability to plan and execute events successfully and further, go on to argue that both sponsorship and government funding are essential in ensuring an events financial viability, Edinburgh International Festival is supported by public bodies such as Creative Scotland (Isabella Feros, 2024).  Bowden et al (2011) emphasise the importance of sponsorship which they believe provides the dual benefit of both financial backing and marketing support.  Sponsorship allows companies to reach new audiences while providing events with the necessary resources to run smoothly (Masterman, G., 2021).  Examples of cross over marketing include Coca-Cola and Adidas sponsoring FIFA (Fifa.com, 2024). Additional revenue streams include, merchandising and licencing and ticket sales. In essence, experts agree that revenue funding streams such as sponsorship, grants and government backing ensure that events not only run smoothly but also generate lasting impact and sustainability which in turn, is vital in the bidding process.  Successful event bids, such as hosting the Olympic Games are complex processes, which begin life approximately 11 years before the games are due to take place and several elements are considered by the National Olympic Committee (Netherland, R., 2024) such as:</w:t>
      </w:r>
      <w:r>
        <w:rPr>
          <w:rFonts w:ascii="Arial" w:eastAsia="Times New Roman" w:hAnsi="Arial" w:cs="Arial"/>
          <w:spacing w:val="9"/>
          <w:sz w:val="24"/>
          <w:szCs w:val="24"/>
          <w:lang w:eastAsia="en-GB"/>
        </w:rPr>
        <w:t xml:space="preserve"> “Geopolitical, socio-economic, human development and environmental factors, vision and venue masterplan, alignment with existing long-term development plans, envisaged sustainability and legacy impacts, political and public support, funding strategy, sports event experience, accommodation capacity, transport infrastructure, and safety and security” (International Olympic Committee, 2020). The Covid 19 pandemic exposed </w:t>
      </w:r>
      <w:r>
        <w:rPr>
          <w:rFonts w:ascii="Arial" w:eastAsia="Times New Roman" w:hAnsi="Arial" w:cs="Arial"/>
          <w:spacing w:val="9"/>
          <w:sz w:val="24"/>
          <w:szCs w:val="24"/>
          <w:lang w:eastAsia="en-GB"/>
        </w:rPr>
        <w:lastRenderedPageBreak/>
        <w:t xml:space="preserve">vulnerabilities in the traditional event funding model.  Events that had secured funding well in advance, such as the Tokyo 2020 Olympics were forced to postpone until 2021 Paris 2024 winning bid, focussed greatly on sustainability, being eco-friendly and cost effective (Smith, P., 2024).  </w:t>
      </w:r>
    </w:p>
    <w:p w:rsidR="00E61AAF" w:rsidRDefault="002057B4" w:rsidP="00E61AAF">
      <w:pPr>
        <w:spacing w:line="360" w:lineRule="auto"/>
        <w:rPr>
          <w:rFonts w:ascii="Arial" w:hAnsi="Arial" w:cs="Arial"/>
          <w:sz w:val="24"/>
          <w:szCs w:val="24"/>
        </w:rPr>
      </w:pPr>
      <w:r>
        <w:rPr>
          <w:rFonts w:ascii="Arial" w:hAnsi="Arial" w:cs="Arial"/>
          <w:sz w:val="24"/>
          <w:szCs w:val="24"/>
        </w:rPr>
        <w:t>The Paris 2024 winning bid provides</w:t>
      </w:r>
      <w:r w:rsidR="009707DD">
        <w:rPr>
          <w:rFonts w:ascii="Arial" w:hAnsi="Arial" w:cs="Arial"/>
          <w:sz w:val="24"/>
          <w:szCs w:val="24"/>
        </w:rPr>
        <w:t xml:space="preserve"> insights into</w:t>
      </w:r>
      <w:r w:rsidR="009707DD" w:rsidRPr="009707DD">
        <w:rPr>
          <w:rFonts w:ascii="Arial" w:hAnsi="Arial" w:cs="Arial"/>
          <w:sz w:val="24"/>
          <w:szCs w:val="24"/>
        </w:rPr>
        <w:t xml:space="preserve"> how successful bids </w:t>
      </w:r>
      <w:r>
        <w:rPr>
          <w:rFonts w:ascii="Arial" w:hAnsi="Arial" w:cs="Arial"/>
          <w:sz w:val="24"/>
          <w:szCs w:val="24"/>
        </w:rPr>
        <w:t xml:space="preserve">are </w:t>
      </w:r>
      <w:r w:rsidR="009707DD" w:rsidRPr="009707DD">
        <w:rPr>
          <w:rFonts w:ascii="Arial" w:hAnsi="Arial" w:cs="Arial"/>
          <w:sz w:val="24"/>
          <w:szCs w:val="24"/>
        </w:rPr>
        <w:t>increasingly depend</w:t>
      </w:r>
      <w:r>
        <w:rPr>
          <w:rFonts w:ascii="Arial" w:hAnsi="Arial" w:cs="Arial"/>
          <w:sz w:val="24"/>
          <w:szCs w:val="24"/>
        </w:rPr>
        <w:t>ent</w:t>
      </w:r>
      <w:r w:rsidR="009707DD" w:rsidRPr="009707DD">
        <w:rPr>
          <w:rFonts w:ascii="Arial" w:hAnsi="Arial" w:cs="Arial"/>
          <w:sz w:val="24"/>
          <w:szCs w:val="24"/>
        </w:rPr>
        <w:t xml:space="preserve"> on aligning with global priorities, such as sustainability and cost-effectiveness, to address societal and environmental expectations. Analysing the key components of winning bids highlights the strategic planning and innovation required to secure hosting rights for global events.</w:t>
      </w:r>
    </w:p>
    <w:p w:rsidR="009707DD" w:rsidRDefault="009707DD" w:rsidP="00E61AAF">
      <w:pPr>
        <w:spacing w:line="360" w:lineRule="auto"/>
        <w:rPr>
          <w:rFonts w:ascii="Arial" w:hAnsi="Arial" w:cs="Arial"/>
          <w:sz w:val="24"/>
          <w:szCs w:val="24"/>
        </w:rPr>
      </w:pPr>
      <w:r>
        <w:rPr>
          <w:rFonts w:ascii="Arial" w:hAnsi="Arial" w:cs="Arial"/>
          <w:sz w:val="24"/>
          <w:szCs w:val="24"/>
        </w:rPr>
        <w:t>Paris 2024 demonstrated</w:t>
      </w:r>
      <w:r w:rsidR="008626DE">
        <w:rPr>
          <w:rFonts w:ascii="Arial" w:hAnsi="Arial" w:cs="Arial"/>
          <w:sz w:val="24"/>
          <w:szCs w:val="24"/>
        </w:rPr>
        <w:t xml:space="preserve"> a forward thinking approach to sustainability by committing to cutting its carbon footprint by 50% compared to previous games like London 2012 and Rio 2016 (International Olympic Committee, 2024).  It became the first Olympic event to align with the Paris agreement (2015) (United Nations, 2024) on climate change, incorporating a carbon budget that accounted for all planning and oper</w:t>
      </w:r>
      <w:r w:rsidR="00991188">
        <w:rPr>
          <w:rFonts w:ascii="Arial" w:hAnsi="Arial" w:cs="Arial"/>
          <w:sz w:val="24"/>
          <w:szCs w:val="24"/>
        </w:rPr>
        <w:t>ations, including, construction, t</w:t>
      </w:r>
      <w:r w:rsidR="008626DE">
        <w:rPr>
          <w:rFonts w:ascii="Arial" w:hAnsi="Arial" w:cs="Arial"/>
          <w:sz w:val="24"/>
          <w:szCs w:val="24"/>
        </w:rPr>
        <w:t>ransport and spectator travel, the organisers also</w:t>
      </w:r>
      <w:r w:rsidR="00F43ACA">
        <w:rPr>
          <w:rFonts w:ascii="Arial" w:hAnsi="Arial" w:cs="Arial"/>
          <w:sz w:val="24"/>
          <w:szCs w:val="24"/>
        </w:rPr>
        <w:t xml:space="preserve"> pioneered a ‘material footprint’ analysis to minimise resource use across venues and assets, carefully planning their lifecycle, before, during and after the games. </w:t>
      </w:r>
      <w:r w:rsidR="00F43ACA" w:rsidRPr="00F43ACA">
        <w:rPr>
          <w:rFonts w:ascii="Arial" w:hAnsi="Arial" w:cs="Arial"/>
          <w:sz w:val="24"/>
          <w:szCs w:val="24"/>
        </w:rPr>
        <w:t>Innovative measures included using 100% renewable energy, limiting diesel generators, and adopting biofuel and battery-powered alternatives. Additionally, Paris 2024 incorporated biodiversity-friendly designs in temporary venues, setting new standards for sustainability in global events.</w:t>
      </w:r>
      <w:r w:rsidR="00F43ACA">
        <w:rPr>
          <w:rFonts w:ascii="Arial" w:hAnsi="Arial" w:cs="Arial"/>
          <w:sz w:val="24"/>
          <w:szCs w:val="24"/>
        </w:rPr>
        <w:t xml:space="preserve"> (International Olympic Committee, 2024).</w:t>
      </w:r>
      <w:r w:rsidR="002057B4">
        <w:rPr>
          <w:rFonts w:ascii="Arial" w:hAnsi="Arial" w:cs="Arial"/>
          <w:sz w:val="24"/>
          <w:szCs w:val="24"/>
        </w:rPr>
        <w:t xml:space="preserve">  Additional key sustainability initiatives driving the Paris 2024 winning bid was the extensive use of existing and temporary venues, with 95% of infrastructure repurposed instead of building new facilitiesTo further enhance sustainability and innovation, the Games adopted measures such as, offering public transport and eco-friendly travel options for spectators</w:t>
      </w:r>
      <w:r w:rsidR="00991188">
        <w:rPr>
          <w:rFonts w:ascii="Arial" w:hAnsi="Arial" w:cs="Arial"/>
          <w:sz w:val="24"/>
          <w:szCs w:val="24"/>
        </w:rPr>
        <w:t xml:space="preserve"> and whilst global events strive to minimise their environmental</w:t>
      </w:r>
      <w:r w:rsidR="002057B4">
        <w:rPr>
          <w:rFonts w:ascii="Arial" w:hAnsi="Arial" w:cs="Arial"/>
          <w:sz w:val="24"/>
          <w:szCs w:val="24"/>
        </w:rPr>
        <w:t>, protecting biodiversity and managing water resources effectively, sourcing sustainable food and promoting a circular economy (Greenly. Institute, 2024)</w:t>
      </w:r>
      <w:r w:rsidR="001502C6">
        <w:rPr>
          <w:rFonts w:ascii="Arial" w:hAnsi="Arial" w:cs="Arial"/>
          <w:sz w:val="24"/>
          <w:szCs w:val="24"/>
        </w:rPr>
        <w:t>.</w:t>
      </w:r>
    </w:p>
    <w:p w:rsidR="00991188" w:rsidRPr="00991188" w:rsidRDefault="001502C6" w:rsidP="00E61AAF">
      <w:pPr>
        <w:spacing w:line="360" w:lineRule="auto"/>
        <w:rPr>
          <w:rFonts w:ascii="Arial" w:hAnsi="Arial" w:cs="Arial"/>
          <w:sz w:val="24"/>
          <w:szCs w:val="24"/>
        </w:rPr>
      </w:pPr>
      <w:r w:rsidRPr="001502C6">
        <w:rPr>
          <w:rFonts w:ascii="Arial" w:hAnsi="Arial" w:cs="Arial"/>
          <w:sz w:val="24"/>
          <w:szCs w:val="24"/>
        </w:rPr>
        <w:t xml:space="preserve">Building on the success of the Paris 2024 bid, it is critical to evaluate how adaptive strategies and risk management are applied during event planning and execution. These practices ensure that events meet sustainability targets while balancing the </w:t>
      </w:r>
      <w:r w:rsidRPr="001502C6">
        <w:rPr>
          <w:rFonts w:ascii="Arial" w:hAnsi="Arial" w:cs="Arial"/>
          <w:sz w:val="24"/>
          <w:szCs w:val="24"/>
        </w:rPr>
        <w:lastRenderedPageBreak/>
        <w:t>diverse needs of stakeholders, which is increasingly essential in the face of global uncertainties.</w:t>
      </w:r>
    </w:p>
    <w:p w:rsidR="001502C6" w:rsidRDefault="001502C6" w:rsidP="00E61AAF">
      <w:pPr>
        <w:spacing w:line="360" w:lineRule="auto"/>
        <w:rPr>
          <w:rFonts w:ascii="Arial" w:hAnsi="Arial" w:cs="Arial"/>
          <w:b/>
          <w:sz w:val="24"/>
          <w:szCs w:val="24"/>
          <w:u w:val="single"/>
        </w:rPr>
      </w:pPr>
      <w:r w:rsidRPr="001502C6">
        <w:rPr>
          <w:rFonts w:ascii="Arial" w:hAnsi="Arial" w:cs="Arial"/>
          <w:b/>
          <w:sz w:val="24"/>
          <w:szCs w:val="24"/>
          <w:u w:val="single"/>
        </w:rPr>
        <w:t>Adaptive Strategies and Risk Management</w:t>
      </w:r>
    </w:p>
    <w:p w:rsidR="002C72AF" w:rsidRDefault="002C72AF" w:rsidP="002C72AF">
      <w:pPr>
        <w:pStyle w:val="NormalWeb"/>
        <w:spacing w:line="360" w:lineRule="auto"/>
        <w:rPr>
          <w:rFonts w:ascii="Arial" w:hAnsi="Arial" w:cs="Arial"/>
        </w:rPr>
      </w:pPr>
      <w:r w:rsidRPr="002C72AF">
        <w:rPr>
          <w:rFonts w:ascii="Arial" w:hAnsi="Arial" w:cs="Arial"/>
        </w:rPr>
        <w:t>Adaptive strategies involve planning approaches that allow events to adjust to unexpected changes while still achieving goals. This includes flexibility in decision-making, contingency plans, and innovative solutions to overcome challenges like environmental risks, funding issues, or shifting stakeholder expecta</w:t>
      </w:r>
      <w:r>
        <w:rPr>
          <w:rFonts w:ascii="Arial" w:hAnsi="Arial" w:cs="Arial"/>
        </w:rPr>
        <w:t>tions (Pinto, P.J., 2017).</w:t>
      </w:r>
    </w:p>
    <w:p w:rsidR="00E10F63" w:rsidRDefault="0075299D" w:rsidP="00E10F63">
      <w:pPr>
        <w:pStyle w:val="NormalWeb"/>
        <w:spacing w:line="360" w:lineRule="auto"/>
        <w:rPr>
          <w:rFonts w:ascii="Arial" w:hAnsi="Arial" w:cs="Arial"/>
        </w:rPr>
      </w:pPr>
      <w:r>
        <w:rPr>
          <w:rFonts w:ascii="Arial" w:hAnsi="Arial" w:cs="Arial"/>
        </w:rPr>
        <w:t>Having adaptive strategies in place, allows event planners options to manage or mitigate adverse challenges or threats to the s</w:t>
      </w:r>
      <w:r w:rsidR="00683ACB">
        <w:rPr>
          <w:rFonts w:ascii="Arial" w:hAnsi="Arial" w:cs="Arial"/>
        </w:rPr>
        <w:t xml:space="preserve">uccess of an event.  </w:t>
      </w:r>
      <w:r w:rsidR="00683ACB" w:rsidRPr="00683ACB">
        <w:rPr>
          <w:rFonts w:ascii="Arial" w:hAnsi="Arial" w:cs="Arial"/>
        </w:rPr>
        <w:t>Various potential</w:t>
      </w:r>
      <w:r w:rsidR="00683ACB">
        <w:t xml:space="preserve"> </w:t>
      </w:r>
      <w:r w:rsidR="00683ACB">
        <w:rPr>
          <w:rFonts w:ascii="Arial" w:hAnsi="Arial" w:cs="Arial"/>
        </w:rPr>
        <w:t xml:space="preserve">risks during an </w:t>
      </w:r>
      <w:r w:rsidR="00683ACB" w:rsidRPr="00683ACB">
        <w:rPr>
          <w:rFonts w:ascii="Arial" w:hAnsi="Arial" w:cs="Arial"/>
        </w:rPr>
        <w:t xml:space="preserve">event's </w:t>
      </w:r>
      <w:r w:rsidR="00683ACB">
        <w:rPr>
          <w:rFonts w:ascii="Arial" w:hAnsi="Arial" w:cs="Arial"/>
        </w:rPr>
        <w:t xml:space="preserve">planning and </w:t>
      </w:r>
      <w:r w:rsidR="00683ACB" w:rsidRPr="00683ACB">
        <w:rPr>
          <w:rFonts w:ascii="Arial" w:hAnsi="Arial" w:cs="Arial"/>
        </w:rPr>
        <w:t>execution could lead to negative outcomes, such as delays, damages, defects, disruptions</w:t>
      </w:r>
      <w:r w:rsidR="00683ACB">
        <w:rPr>
          <w:rFonts w:ascii="Arial" w:hAnsi="Arial" w:cs="Arial"/>
        </w:rPr>
        <w:t xml:space="preserve">, injuries, theft, or vandalism </w:t>
      </w:r>
      <w:r>
        <w:rPr>
          <w:rFonts w:ascii="Arial" w:hAnsi="Arial" w:cs="Arial"/>
        </w:rPr>
        <w:t xml:space="preserve">(Santos Brito, J.A., Torres, N., Da Costa Diniz, R., </w:t>
      </w:r>
      <w:r w:rsidR="00683ACB">
        <w:rPr>
          <w:rFonts w:ascii="Arial" w:hAnsi="Arial" w:cs="Arial"/>
        </w:rPr>
        <w:t xml:space="preserve">2024).  </w:t>
      </w:r>
      <w:r w:rsidR="008D34E3" w:rsidRPr="008D34E3">
        <w:rPr>
          <w:rFonts w:ascii="Arial" w:hAnsi="Arial" w:cs="Arial"/>
        </w:rPr>
        <w:t>A common adaptive strategy is integrating a time buffer into the planning phase, which accounts for unexpected delays in setup or execution. Similarly, budgeting for unforeseen damages based on a thorough risk assessment ensures that financial resources are available to address such issues without compromising the event's overall qualit</w:t>
      </w:r>
      <w:r w:rsidR="008D34E3">
        <w:rPr>
          <w:rFonts w:ascii="Arial" w:hAnsi="Arial" w:cs="Arial"/>
        </w:rPr>
        <w:t>y. Further, insurance</w:t>
      </w:r>
      <w:r w:rsidR="00E10F63">
        <w:rPr>
          <w:rFonts w:ascii="Arial" w:hAnsi="Arial" w:cs="Arial"/>
        </w:rPr>
        <w:t xml:space="preserve"> plays a pivotal</w:t>
      </w:r>
      <w:r w:rsidR="008D34E3" w:rsidRPr="008D34E3">
        <w:rPr>
          <w:rFonts w:ascii="Arial" w:hAnsi="Arial" w:cs="Arial"/>
        </w:rPr>
        <w:t xml:space="preserve"> role, providing coverage for incidents like theft, injury, or property damage.</w:t>
      </w:r>
    </w:p>
    <w:p w:rsidR="008D34E3" w:rsidRPr="008D34E3" w:rsidRDefault="008D34E3" w:rsidP="00E10F63">
      <w:pPr>
        <w:pStyle w:val="NormalWeb"/>
        <w:spacing w:line="360" w:lineRule="auto"/>
        <w:rPr>
          <w:rFonts w:ascii="Arial" w:hAnsi="Arial" w:cs="Arial"/>
        </w:rPr>
      </w:pPr>
      <w:r w:rsidRPr="008D34E3">
        <w:rPr>
          <w:rFonts w:ascii="Arial" w:hAnsi="Arial" w:cs="Arial"/>
        </w:rPr>
        <w:t>Proactive collaborati</w:t>
      </w:r>
      <w:r w:rsidR="00417445">
        <w:rPr>
          <w:rFonts w:ascii="Arial" w:hAnsi="Arial" w:cs="Arial"/>
        </w:rPr>
        <w:t xml:space="preserve">on with stakeholders is a </w:t>
      </w:r>
      <w:r w:rsidRPr="008D34E3">
        <w:rPr>
          <w:rFonts w:ascii="Arial" w:hAnsi="Arial" w:cs="Arial"/>
        </w:rPr>
        <w:t>key strategy. For instance, engaging with local authorities and security experts helps mitigate risks such as vandalism or theft. Additionally, ensuring contracts with suppliers are flexible allows event organisers to adapt to disruptions, such as late deliveries or defects in materials.</w:t>
      </w:r>
    </w:p>
    <w:p w:rsidR="008D34E3" w:rsidRPr="008D34E3" w:rsidRDefault="008D34E3" w:rsidP="008D34E3">
      <w:pPr>
        <w:spacing w:before="100" w:beforeAutospacing="1" w:after="100" w:afterAutospacing="1" w:line="360" w:lineRule="auto"/>
        <w:rPr>
          <w:rFonts w:ascii="Arial" w:eastAsia="Times New Roman" w:hAnsi="Arial" w:cs="Arial"/>
          <w:sz w:val="24"/>
          <w:szCs w:val="24"/>
          <w:lang w:eastAsia="en-GB"/>
        </w:rPr>
      </w:pPr>
      <w:r w:rsidRPr="008D34E3">
        <w:rPr>
          <w:rFonts w:ascii="Arial" w:eastAsia="Times New Roman" w:hAnsi="Arial" w:cs="Arial"/>
          <w:sz w:val="24"/>
          <w:szCs w:val="24"/>
          <w:lang w:eastAsia="en-GB"/>
        </w:rPr>
        <w:t>Technology has become a vital tool in risk management, offering real-time monitoring and AI-driven risk prediction systems that help organisers respond swiftly to challenges. For example, advanced security systems, such as biometric access controls or digital tracking of equipment, not only reduce theft risks but also enhance overall event safety.</w:t>
      </w:r>
    </w:p>
    <w:p w:rsidR="008D34E3" w:rsidRPr="008D34E3" w:rsidRDefault="008D34E3" w:rsidP="008D34E3">
      <w:pPr>
        <w:spacing w:before="100" w:beforeAutospacing="1" w:after="100" w:afterAutospacing="1" w:line="360" w:lineRule="auto"/>
        <w:rPr>
          <w:rFonts w:ascii="Arial" w:eastAsia="Times New Roman" w:hAnsi="Arial" w:cs="Arial"/>
          <w:sz w:val="24"/>
          <w:szCs w:val="24"/>
          <w:lang w:eastAsia="en-GB"/>
        </w:rPr>
      </w:pPr>
      <w:r w:rsidRPr="008D34E3">
        <w:rPr>
          <w:rFonts w:ascii="Arial" w:eastAsia="Times New Roman" w:hAnsi="Arial" w:cs="Arial"/>
          <w:sz w:val="24"/>
          <w:szCs w:val="24"/>
          <w:lang w:eastAsia="en-GB"/>
        </w:rPr>
        <w:t xml:space="preserve">Health </w:t>
      </w:r>
      <w:r w:rsidR="00417445">
        <w:rPr>
          <w:rFonts w:ascii="Arial" w:eastAsia="Times New Roman" w:hAnsi="Arial" w:cs="Arial"/>
          <w:sz w:val="24"/>
          <w:szCs w:val="24"/>
          <w:lang w:eastAsia="en-GB"/>
        </w:rPr>
        <w:t>and safety protocols are a</w:t>
      </w:r>
      <w:r w:rsidRPr="008D34E3">
        <w:rPr>
          <w:rFonts w:ascii="Arial" w:eastAsia="Times New Roman" w:hAnsi="Arial" w:cs="Arial"/>
          <w:sz w:val="24"/>
          <w:szCs w:val="24"/>
          <w:lang w:eastAsia="en-GB"/>
        </w:rPr>
        <w:t xml:space="preserve"> critical component of adaptive strategies. Providing staff with comprehensive safety training, implementing crowd control measures, and </w:t>
      </w:r>
      <w:r w:rsidRPr="008D34E3">
        <w:rPr>
          <w:rFonts w:ascii="Arial" w:eastAsia="Times New Roman" w:hAnsi="Arial" w:cs="Arial"/>
          <w:sz w:val="24"/>
          <w:szCs w:val="24"/>
          <w:lang w:eastAsia="en-GB"/>
        </w:rPr>
        <w:lastRenderedPageBreak/>
        <w:t>ensuring on-site medical support are ways to reduce the risk of injuries or disruptions during the event. These measures not only safeguard participants but also reinforce confidence in the event's execution.</w:t>
      </w:r>
    </w:p>
    <w:p w:rsidR="008D34E3" w:rsidRPr="008D34E3" w:rsidRDefault="008D34E3" w:rsidP="008D34E3">
      <w:pPr>
        <w:spacing w:before="100" w:beforeAutospacing="1" w:after="100" w:afterAutospacing="1" w:line="360" w:lineRule="auto"/>
        <w:rPr>
          <w:rFonts w:ascii="Arial" w:eastAsia="Times New Roman" w:hAnsi="Arial" w:cs="Arial"/>
          <w:sz w:val="24"/>
          <w:szCs w:val="24"/>
          <w:lang w:eastAsia="en-GB"/>
        </w:rPr>
      </w:pPr>
      <w:r w:rsidRPr="008D34E3">
        <w:rPr>
          <w:rFonts w:ascii="Arial" w:eastAsia="Times New Roman" w:hAnsi="Arial" w:cs="Arial"/>
          <w:sz w:val="24"/>
          <w:szCs w:val="24"/>
          <w:lang w:eastAsia="en-GB"/>
        </w:rPr>
        <w:t>Finally, communication is paramount in managing disruptions. Establishing clear crisis communication protocols and using tools like social media or event apps can ensure attendees and stakeholders are kept informed in real time, minimizin</w:t>
      </w:r>
      <w:r w:rsidR="00417445">
        <w:rPr>
          <w:rFonts w:ascii="Arial" w:eastAsia="Times New Roman" w:hAnsi="Arial" w:cs="Arial"/>
          <w:sz w:val="24"/>
          <w:szCs w:val="24"/>
          <w:lang w:eastAsia="en-GB"/>
        </w:rPr>
        <w:t>g confusion and dissatisfaction (Bowdin, et al, 2011)</w:t>
      </w:r>
      <w:r w:rsidR="00E10F63">
        <w:rPr>
          <w:rFonts w:ascii="Arial" w:eastAsia="Times New Roman" w:hAnsi="Arial" w:cs="Arial"/>
          <w:sz w:val="24"/>
          <w:szCs w:val="24"/>
          <w:lang w:eastAsia="en-GB"/>
        </w:rPr>
        <w:t>.</w:t>
      </w:r>
    </w:p>
    <w:p w:rsidR="002C72AF" w:rsidRDefault="00E10F63" w:rsidP="008D34E3">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Some examples based on real life adaption and risk management strategies are:</w:t>
      </w:r>
    </w:p>
    <w:p w:rsidR="00E10F63" w:rsidRDefault="00E10F63" w:rsidP="008D34E3">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Tokyo 2020 Olympic Games (Pandemic Management) </w:t>
      </w:r>
    </w:p>
    <w:p w:rsidR="00E10F63" w:rsidRDefault="00E10F63" w:rsidP="008D34E3">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During the Covid 19 pandemic, the Tokyo 2020 Olympics faced immense challenges, adaptive strategies included: Hosting events without live audiences to prevent viral spread.  Implementing strict biosecurity measures for athletes and staff, including regular testing and isolation protocols and digital broadcasting and enhanced online engagement ensured global particip</w:t>
      </w:r>
      <w:r w:rsidR="001D7BD4">
        <w:rPr>
          <w:rFonts w:ascii="Arial" w:eastAsia="Times New Roman" w:hAnsi="Arial" w:cs="Arial"/>
          <w:sz w:val="24"/>
          <w:szCs w:val="24"/>
          <w:lang w:eastAsia="en-GB"/>
        </w:rPr>
        <w:t>ation without physical presence (Career navigator, 2024)</w:t>
      </w:r>
    </w:p>
    <w:p w:rsidR="00E10F63" w:rsidRDefault="00E10F63" w:rsidP="008D34E3">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Glastonbury Festival (Environmental Adaptions</w:t>
      </w:r>
      <w:r w:rsidR="001D7BD4">
        <w:rPr>
          <w:rFonts w:ascii="Arial" w:eastAsia="Times New Roman" w:hAnsi="Arial" w:cs="Arial"/>
          <w:sz w:val="24"/>
          <w:szCs w:val="24"/>
          <w:lang w:eastAsia="en-GB"/>
        </w:rPr>
        <w:t>)</w:t>
      </w:r>
    </w:p>
    <w:p w:rsidR="001D7BD4" w:rsidRDefault="001D7BD4" w:rsidP="008D34E3">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Glastonbury has faced weather related challenges, including flooding.  To address this issue</w:t>
      </w:r>
      <w:r w:rsidR="00D02E69">
        <w:rPr>
          <w:rFonts w:ascii="Arial" w:eastAsia="Times New Roman" w:hAnsi="Arial" w:cs="Arial"/>
          <w:sz w:val="24"/>
          <w:szCs w:val="24"/>
          <w:lang w:eastAsia="en-GB"/>
        </w:rPr>
        <w:t xml:space="preserve"> Glastonbury Organisers installed drainage systems at the venue, developed real-time weather monitoring and contingency plans to manage severe weather disruptions and promoted sustainable practices such as the “leave no trace” campaign, to reduce environmental risks (Glastonbury Festival, 2023)</w:t>
      </w:r>
    </w:p>
    <w:p w:rsidR="00D02E69" w:rsidRDefault="00D02E69" w:rsidP="008D34E3">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The Super Bowl (Logistics and Security)</w:t>
      </w:r>
    </w:p>
    <w:p w:rsidR="008178DC" w:rsidRDefault="00D02E69" w:rsidP="008D34E3">
      <w:pPr>
        <w:spacing w:before="100" w:beforeAutospacing="1" w:after="100" w:afterAutospacing="1" w:line="360" w:lineRule="auto"/>
        <w:rPr>
          <w:rFonts w:ascii="Arial" w:hAnsi="Arial" w:cs="Arial"/>
          <w:sz w:val="24"/>
          <w:szCs w:val="24"/>
        </w:rPr>
      </w:pPr>
      <w:r>
        <w:rPr>
          <w:rFonts w:ascii="Arial" w:eastAsia="Times New Roman" w:hAnsi="Arial" w:cs="Arial"/>
          <w:sz w:val="24"/>
          <w:szCs w:val="24"/>
          <w:lang w:eastAsia="en-GB"/>
        </w:rPr>
        <w:t xml:space="preserve">The annual Super Bowl demonstrates advanced adaptive strategies, particularly in logistics and security, examples include: Designing flexible transport networks to mitigate potential crowding and delays and employing surveillance and collaboration with law enforcement to address threats </w:t>
      </w:r>
      <w:r w:rsidR="008178DC">
        <w:rPr>
          <w:rFonts w:ascii="Arial" w:eastAsia="Times New Roman" w:hAnsi="Arial" w:cs="Arial"/>
          <w:sz w:val="24"/>
          <w:szCs w:val="24"/>
          <w:lang w:eastAsia="en-GB"/>
        </w:rPr>
        <w:t xml:space="preserve">such as vandalism and terrorism </w:t>
      </w:r>
      <w:r w:rsidR="008178DC">
        <w:rPr>
          <w:rFonts w:ascii="Arial" w:hAnsi="Arial" w:cs="Arial"/>
          <w:sz w:val="24"/>
          <w:szCs w:val="24"/>
        </w:rPr>
        <w:t>(Homeland Security, 2024).</w:t>
      </w:r>
    </w:p>
    <w:p w:rsidR="008178DC" w:rsidRPr="008178DC" w:rsidRDefault="008178DC" w:rsidP="008178DC">
      <w:pPr>
        <w:pStyle w:val="NormalWeb"/>
        <w:spacing w:line="360" w:lineRule="auto"/>
        <w:rPr>
          <w:rFonts w:ascii="Arial" w:hAnsi="Arial" w:cs="Arial"/>
        </w:rPr>
      </w:pPr>
      <w:r w:rsidRPr="008178DC">
        <w:rPr>
          <w:rFonts w:ascii="Arial" w:hAnsi="Arial" w:cs="Arial"/>
        </w:rPr>
        <w:lastRenderedPageBreak/>
        <w:t>While adaptive strategies address immediate challenges and risks, sustainability strategies focus on long-term impacts, ensuring that events leave a positive legacy that aligns with societal and environmental priorities.</w:t>
      </w:r>
    </w:p>
    <w:p w:rsidR="00B02450" w:rsidRDefault="00B02450" w:rsidP="008D34E3">
      <w:pPr>
        <w:spacing w:before="100" w:beforeAutospacing="1" w:after="100" w:afterAutospacing="1" w:line="360" w:lineRule="auto"/>
        <w:rPr>
          <w:rFonts w:ascii="Arial" w:hAnsi="Arial" w:cs="Arial"/>
          <w:b/>
          <w:sz w:val="24"/>
          <w:szCs w:val="24"/>
          <w:u w:val="single"/>
        </w:rPr>
      </w:pPr>
      <w:r w:rsidRPr="00B02450">
        <w:rPr>
          <w:rFonts w:ascii="Arial" w:hAnsi="Arial" w:cs="Arial"/>
          <w:b/>
          <w:sz w:val="24"/>
          <w:szCs w:val="24"/>
          <w:u w:val="single"/>
        </w:rPr>
        <w:t>Sustainability and Legacy</w:t>
      </w:r>
    </w:p>
    <w:p w:rsidR="008178DC" w:rsidRDefault="008178DC" w:rsidP="008D34E3">
      <w:pPr>
        <w:spacing w:before="100" w:beforeAutospacing="1" w:after="100" w:afterAutospacing="1" w:line="360" w:lineRule="auto"/>
        <w:rPr>
          <w:rFonts w:ascii="Arial" w:hAnsi="Arial" w:cs="Arial"/>
          <w:sz w:val="24"/>
          <w:szCs w:val="24"/>
        </w:rPr>
      </w:pPr>
      <w:r>
        <w:rPr>
          <w:rFonts w:ascii="Arial" w:hAnsi="Arial" w:cs="Arial"/>
          <w:sz w:val="24"/>
          <w:szCs w:val="24"/>
        </w:rPr>
        <w:t>Global events have a dual responsibility</w:t>
      </w:r>
      <w:r w:rsidR="00364AE4">
        <w:rPr>
          <w:rFonts w:ascii="Arial" w:hAnsi="Arial" w:cs="Arial"/>
          <w:sz w:val="24"/>
          <w:szCs w:val="24"/>
        </w:rPr>
        <w:t xml:space="preserve"> to both deliver memorable experiences and to minimise and their environmental and societal impacts while creating lasting benefits for host communities.  A commitment to sustainability is no longer optional but integral to an event’s planning and execution, with successful legacies shaping the long term perception of events and their organisers (Masterman, G., 2014).</w:t>
      </w:r>
    </w:p>
    <w:p w:rsidR="00364AE4" w:rsidRDefault="00364AE4" w:rsidP="008D34E3">
      <w:pPr>
        <w:spacing w:before="100" w:beforeAutospacing="1" w:after="100" w:afterAutospacing="1" w:line="360" w:lineRule="auto"/>
        <w:rPr>
          <w:rFonts w:ascii="Arial" w:hAnsi="Arial" w:cs="Arial"/>
          <w:sz w:val="24"/>
          <w:szCs w:val="24"/>
        </w:rPr>
      </w:pPr>
      <w:r>
        <w:rPr>
          <w:rFonts w:ascii="Arial" w:hAnsi="Arial" w:cs="Arial"/>
          <w:sz w:val="24"/>
          <w:szCs w:val="24"/>
        </w:rPr>
        <w:t>Sustainable energy practices are at the forefront of modern event planning such as Renewable Energy usage, Paris 2024</w:t>
      </w:r>
      <w:r w:rsidR="00AC3ED5">
        <w:rPr>
          <w:rFonts w:ascii="Arial" w:hAnsi="Arial" w:cs="Arial"/>
          <w:sz w:val="24"/>
          <w:szCs w:val="24"/>
        </w:rPr>
        <w:t xml:space="preserve"> for example, committed to 100% renewable energy, minimising dependence of fossil fuels.  </w:t>
      </w:r>
    </w:p>
    <w:p w:rsidR="00AC3ED5" w:rsidRDefault="00AC3ED5" w:rsidP="008D34E3">
      <w:pPr>
        <w:spacing w:before="100" w:beforeAutospacing="1" w:after="100" w:afterAutospacing="1" w:line="360" w:lineRule="auto"/>
        <w:rPr>
          <w:rFonts w:ascii="Arial" w:hAnsi="Arial" w:cs="Arial"/>
          <w:sz w:val="24"/>
          <w:szCs w:val="24"/>
        </w:rPr>
      </w:pPr>
      <w:r>
        <w:rPr>
          <w:rFonts w:ascii="Arial" w:hAnsi="Arial" w:cs="Arial"/>
          <w:sz w:val="24"/>
          <w:szCs w:val="24"/>
        </w:rPr>
        <w:t>Waste Management initiatives such as those used at Glastonbury, with their “leave no waste” campaign and their ban of single use plastics at their event, have set benchmarks for effective waste reduction</w:t>
      </w:r>
      <w:r w:rsidR="002E2AC2">
        <w:rPr>
          <w:rFonts w:ascii="Arial" w:hAnsi="Arial" w:cs="Arial"/>
          <w:sz w:val="24"/>
          <w:szCs w:val="24"/>
        </w:rPr>
        <w:t xml:space="preserve"> and recycling (BBC News, 2022).</w:t>
      </w:r>
    </w:p>
    <w:p w:rsidR="002E2AC2" w:rsidRDefault="002E2AC2" w:rsidP="002E2AC2">
      <w:pPr>
        <w:pStyle w:val="NormalWeb"/>
        <w:spacing w:line="360" w:lineRule="auto"/>
        <w:rPr>
          <w:rFonts w:ascii="Arial" w:hAnsi="Arial" w:cs="Arial"/>
        </w:rPr>
      </w:pPr>
      <w:r w:rsidRPr="002E2AC2">
        <w:rPr>
          <w:rFonts w:ascii="Arial" w:hAnsi="Arial" w:cs="Arial"/>
        </w:rPr>
        <w:t>Repurposing materials and infrastructure significantly reduces waste, conserves resources, and aligns events with sustainable development goals</w:t>
      </w:r>
      <w:r w:rsidR="004B5C29">
        <w:rPr>
          <w:rFonts w:ascii="Arial" w:hAnsi="Arial" w:cs="Arial"/>
        </w:rPr>
        <w:t xml:space="preserve"> (Potter, C and Calmann, J., 2021)</w:t>
      </w:r>
      <w:r w:rsidRPr="002E2AC2">
        <w:rPr>
          <w:rFonts w:ascii="Arial" w:hAnsi="Arial" w:cs="Arial"/>
        </w:rPr>
        <w:t>. Paris 2024’s decision to reuse 95% of its venues demonstrates a commitment to the principles of a circular economy, where materials and resources are kept in use for as long as p</w:t>
      </w:r>
      <w:r>
        <w:rPr>
          <w:rFonts w:ascii="Arial" w:hAnsi="Arial" w:cs="Arial"/>
        </w:rPr>
        <w:t>ossible to minimis</w:t>
      </w:r>
      <w:r w:rsidRPr="002E2AC2">
        <w:rPr>
          <w:rFonts w:ascii="Arial" w:hAnsi="Arial" w:cs="Arial"/>
        </w:rPr>
        <w:t>e environmental impact.</w:t>
      </w:r>
      <w:r>
        <w:rPr>
          <w:rFonts w:ascii="Arial" w:hAnsi="Arial" w:cs="Arial"/>
        </w:rPr>
        <w:t xml:space="preserve"> </w:t>
      </w:r>
      <w:r w:rsidRPr="002E2AC2">
        <w:rPr>
          <w:rFonts w:ascii="Arial" w:hAnsi="Arial" w:cs="Arial"/>
        </w:rPr>
        <w:t xml:space="preserve">This approach avoids the environmental cost of constructing new facilities and instead focuses on maximizing the lifespan of existing infrastructure. For example, by repurposing existing stadiums or temporarily modifying </w:t>
      </w:r>
      <w:r>
        <w:rPr>
          <w:rFonts w:ascii="Arial" w:hAnsi="Arial" w:cs="Arial"/>
        </w:rPr>
        <w:t>public spaces, the Games minimis</w:t>
      </w:r>
      <w:r w:rsidRPr="002E2AC2">
        <w:rPr>
          <w:rFonts w:ascii="Arial" w:hAnsi="Arial" w:cs="Arial"/>
        </w:rPr>
        <w:t xml:space="preserve">e the need for </w:t>
      </w:r>
      <w:r>
        <w:rPr>
          <w:rFonts w:ascii="Arial" w:hAnsi="Arial" w:cs="Arial"/>
        </w:rPr>
        <w:t xml:space="preserve">new </w:t>
      </w:r>
      <w:r w:rsidRPr="002E2AC2">
        <w:rPr>
          <w:rFonts w:ascii="Arial" w:hAnsi="Arial" w:cs="Arial"/>
        </w:rPr>
        <w:t>raw materials, energy, and labo</w:t>
      </w:r>
      <w:r>
        <w:rPr>
          <w:rFonts w:ascii="Arial" w:hAnsi="Arial" w:cs="Arial"/>
        </w:rPr>
        <w:t>u</w:t>
      </w:r>
      <w:r w:rsidRPr="002E2AC2">
        <w:rPr>
          <w:rFonts w:ascii="Arial" w:hAnsi="Arial" w:cs="Arial"/>
        </w:rPr>
        <w:t>r, thereby reducing the carbon footprint associated with construction.</w:t>
      </w:r>
    </w:p>
    <w:p w:rsidR="004B5C29" w:rsidRDefault="004B5C29" w:rsidP="002E2AC2">
      <w:pPr>
        <w:pStyle w:val="NormalWeb"/>
        <w:spacing w:line="360" w:lineRule="auto"/>
        <w:rPr>
          <w:rFonts w:ascii="Arial" w:hAnsi="Arial" w:cs="Arial"/>
        </w:rPr>
      </w:pPr>
      <w:r>
        <w:rPr>
          <w:rFonts w:ascii="Arial" w:hAnsi="Arial" w:cs="Arial"/>
        </w:rPr>
        <w:t xml:space="preserve">The importance of such practices extend beyond resource conservation, adopting circular economy practices is often more cost efficient, </w:t>
      </w:r>
      <w:r w:rsidR="00E018CD">
        <w:rPr>
          <w:rFonts w:ascii="Arial" w:hAnsi="Arial" w:cs="Arial"/>
        </w:rPr>
        <w:t xml:space="preserve">enhances the public perception by demonstrating environmental responsibility and attracting stakeholders and attendees who value sustainability and contribute to the broader economy by </w:t>
      </w:r>
      <w:r w:rsidR="00E018CD">
        <w:rPr>
          <w:rFonts w:ascii="Arial" w:hAnsi="Arial" w:cs="Arial"/>
        </w:rPr>
        <w:lastRenderedPageBreak/>
        <w:t xml:space="preserve">encouraging innovation in material design reuse and recycling.  </w:t>
      </w:r>
      <w:r w:rsidR="00E018CD" w:rsidRPr="00E018CD">
        <w:rPr>
          <w:rFonts w:ascii="Arial" w:hAnsi="Arial" w:cs="Arial"/>
        </w:rPr>
        <w:t>Incorporating such adaptive reuse strategies showcases the feasibility of aligning large-scale events with sustainable and economic goals, creating a mo</w:t>
      </w:r>
      <w:r w:rsidR="00E018CD">
        <w:rPr>
          <w:rFonts w:ascii="Arial" w:hAnsi="Arial" w:cs="Arial"/>
        </w:rPr>
        <w:t>del for future hosts to emulate. Adopting circular economy practices not only supports immediate sustainability goals but contributes to the enduring legac</w:t>
      </w:r>
      <w:r w:rsidR="00957C0B">
        <w:rPr>
          <w:rFonts w:ascii="Arial" w:hAnsi="Arial" w:cs="Arial"/>
        </w:rPr>
        <w:t>y of events (Circular, 2024).</w:t>
      </w:r>
    </w:p>
    <w:p w:rsidR="00957C0B" w:rsidRDefault="006568BD" w:rsidP="002E2AC2">
      <w:pPr>
        <w:pStyle w:val="NormalWeb"/>
        <w:spacing w:line="360" w:lineRule="auto"/>
        <w:rPr>
          <w:rFonts w:ascii="Arial" w:hAnsi="Arial" w:cs="Arial"/>
        </w:rPr>
      </w:pPr>
      <w:r>
        <w:rPr>
          <w:rFonts w:ascii="Arial" w:hAnsi="Arial" w:cs="Arial"/>
        </w:rPr>
        <w:t>Events can transform communities by fostering economic growth, enhancing social cohesion, and providing improved infrastructure.  For example, the Barcelona 1992 Olympics revitalised urban spaces and boosted tourism through strategic city planning (Euklidiadas, M.M., 2021) and the London 2012 games focussed on community engagement and increased local participation in sports</w:t>
      </w:r>
      <w:r w:rsidR="00826239">
        <w:rPr>
          <w:rFonts w:ascii="Arial" w:hAnsi="Arial" w:cs="Arial"/>
        </w:rPr>
        <w:t xml:space="preserve"> (Olympics.com, 2021).</w:t>
      </w:r>
    </w:p>
    <w:p w:rsidR="00826239" w:rsidRDefault="00826239" w:rsidP="002E2AC2">
      <w:pPr>
        <w:pStyle w:val="NormalWeb"/>
        <w:spacing w:line="360" w:lineRule="auto"/>
        <w:rPr>
          <w:rFonts w:ascii="Arial" w:hAnsi="Arial" w:cs="Arial"/>
        </w:rPr>
      </w:pPr>
      <w:r>
        <w:rPr>
          <w:rFonts w:ascii="Arial" w:hAnsi="Arial" w:cs="Arial"/>
        </w:rPr>
        <w:t xml:space="preserve">Balancing environmental impact with events benefits still remains a challenge though some important efforts have been made and include: The Tokyo 2020 Olympics </w:t>
      </w:r>
      <w:r w:rsidR="00DB428A">
        <w:rPr>
          <w:rFonts w:ascii="Arial" w:hAnsi="Arial" w:cs="Arial"/>
        </w:rPr>
        <w:t xml:space="preserve">whose organisers </w:t>
      </w:r>
      <w:r>
        <w:rPr>
          <w:rFonts w:ascii="Arial" w:hAnsi="Arial" w:cs="Arial"/>
        </w:rPr>
        <w:t>introduced medal</w:t>
      </w:r>
      <w:r w:rsidR="00DB428A">
        <w:rPr>
          <w:rFonts w:ascii="Arial" w:hAnsi="Arial" w:cs="Arial"/>
        </w:rPr>
        <w:t>s</w:t>
      </w:r>
      <w:r>
        <w:rPr>
          <w:rFonts w:ascii="Arial" w:hAnsi="Arial" w:cs="Arial"/>
        </w:rPr>
        <w:t xml:space="preserve"> made from recycled electronic waste </w:t>
      </w:r>
      <w:r w:rsidR="00DB428A">
        <w:rPr>
          <w:rFonts w:ascii="Arial" w:hAnsi="Arial" w:cs="Arial"/>
        </w:rPr>
        <w:t xml:space="preserve">(The Guardian, 2019) </w:t>
      </w:r>
      <w:r>
        <w:rPr>
          <w:rFonts w:ascii="Arial" w:hAnsi="Arial" w:cs="Arial"/>
        </w:rPr>
        <w:t>which both reduced the carbon footprint from mining new materials and sent a strong message to the public and future Olympic hosts</w:t>
      </w:r>
      <w:r w:rsidR="00DB428A">
        <w:rPr>
          <w:rFonts w:ascii="Arial" w:hAnsi="Arial" w:cs="Arial"/>
        </w:rPr>
        <w:t xml:space="preserve">, that sustainability is paramount to the legacy of large scale events.  A second example is FIFA 2022 whose organisers invested in carbon offsetting initiatives and sustainable cooling technologies for stadiums.  </w:t>
      </w:r>
      <w:r w:rsidR="00DB428A" w:rsidRPr="00DB428A">
        <w:rPr>
          <w:rFonts w:ascii="Arial" w:hAnsi="Arial" w:cs="Arial"/>
        </w:rPr>
        <w:t xml:space="preserve">By adhering to strict sustainability guidelines, tournament organizers have successfully reduced </w:t>
      </w:r>
      <w:r w:rsidR="006E486C">
        <w:rPr>
          <w:rFonts w:ascii="Arial" w:hAnsi="Arial" w:cs="Arial"/>
        </w:rPr>
        <w:t>the resources needed and minimis</w:t>
      </w:r>
      <w:r w:rsidR="00DB428A" w:rsidRPr="00DB428A">
        <w:rPr>
          <w:rFonts w:ascii="Arial" w:hAnsi="Arial" w:cs="Arial"/>
        </w:rPr>
        <w:t xml:space="preserve">ed the environmental impact associated with constructing and operating event venues. These efforts have not only mitigated negative outcomes but also established a meaningful and enduring </w:t>
      </w:r>
      <w:r w:rsidR="006E486C">
        <w:rPr>
          <w:rFonts w:ascii="Arial" w:hAnsi="Arial" w:cs="Arial"/>
        </w:rPr>
        <w:t>legacy for the surrounding area (FIFA, 2022).</w:t>
      </w:r>
    </w:p>
    <w:p w:rsidR="0021701A" w:rsidRDefault="0021701A" w:rsidP="002E2AC2">
      <w:pPr>
        <w:pStyle w:val="NormalWeb"/>
        <w:spacing w:line="360" w:lineRule="auto"/>
        <w:rPr>
          <w:rFonts w:ascii="Arial" w:hAnsi="Arial" w:cs="Arial"/>
        </w:rPr>
      </w:pPr>
      <w:r>
        <w:rPr>
          <w:rFonts w:ascii="Arial" w:hAnsi="Arial" w:cs="Arial"/>
        </w:rPr>
        <w:t>While these examples illustrate commendable steps toward sustainability, they also highlight the spectrum of commitment to environmental action in the events industry.  The Tokyo 2020 Olympics set a new standard with transparent and measurable efforts such as their recycled medals initiative, demonstrating both innovation and accountability.  Similarly, FIFA 2022 showcased advances in sustainable technology, however critics argue that its broader claims of carbon neutrality lacked sufficient transparency</w:t>
      </w:r>
      <w:r w:rsidR="007530C4">
        <w:rPr>
          <w:rFonts w:ascii="Arial" w:hAnsi="Arial" w:cs="Arial"/>
        </w:rPr>
        <w:t xml:space="preserve">, raising questions about whether these initiatives were substantive or merely symbolic (Lockwood, D and Warwick, M., 2022).  This brings into focus the </w:t>
      </w:r>
      <w:r w:rsidR="007530C4">
        <w:rPr>
          <w:rFonts w:ascii="Arial" w:hAnsi="Arial" w:cs="Arial"/>
        </w:rPr>
        <w:lastRenderedPageBreak/>
        <w:t>issue of greenwashing, a practice where organisations exaggerate or misrepresent their environmental efforts to enhance public perception.</w:t>
      </w:r>
    </w:p>
    <w:p w:rsidR="007530C4" w:rsidRDefault="007530C4" w:rsidP="002E2AC2">
      <w:pPr>
        <w:pStyle w:val="NormalWeb"/>
        <w:spacing w:line="360" w:lineRule="auto"/>
        <w:rPr>
          <w:rFonts w:ascii="Arial" w:hAnsi="Arial" w:cs="Arial"/>
        </w:rPr>
      </w:pPr>
      <w:r w:rsidRPr="009F0CF4">
        <w:rPr>
          <w:rFonts w:ascii="Arial" w:hAnsi="Arial" w:cs="Arial"/>
        </w:rPr>
        <w:t>These challenges underscore the critical need for transparent and authentic sustainability practices in global events. As the industry evolves, it must navigate the fine line between ambition and credibility, ensuring that initiatives are not only impactful but also genuinely transformative. This leads to a broader discussion on how events can leave a lasting legacy that transcends environmental efforts and aligns with economic and social goals.</w:t>
      </w:r>
    </w:p>
    <w:p w:rsidR="00D74A56" w:rsidRDefault="00D74A56" w:rsidP="002E2AC2">
      <w:pPr>
        <w:pStyle w:val="NormalWeb"/>
        <w:spacing w:line="360" w:lineRule="auto"/>
        <w:rPr>
          <w:rFonts w:ascii="Arial" w:hAnsi="Arial" w:cs="Arial"/>
          <w:b/>
          <w:u w:val="single"/>
        </w:rPr>
      </w:pPr>
      <w:r w:rsidRPr="00D74A56">
        <w:rPr>
          <w:rFonts w:ascii="Arial" w:hAnsi="Arial" w:cs="Arial"/>
          <w:b/>
          <w:u w:val="single"/>
        </w:rPr>
        <w:t>Impacts of Travel &amp; Tourism on Sustainability</w:t>
      </w:r>
    </w:p>
    <w:p w:rsidR="006D39BE" w:rsidRPr="00D74A56" w:rsidRDefault="00D74A56" w:rsidP="002E2AC2">
      <w:pPr>
        <w:pStyle w:val="NormalWeb"/>
        <w:spacing w:line="360" w:lineRule="auto"/>
        <w:rPr>
          <w:rFonts w:ascii="Arial" w:hAnsi="Arial" w:cs="Arial"/>
          <w:b/>
          <w:u w:val="single"/>
        </w:rPr>
      </w:pPr>
      <w:r>
        <w:rPr>
          <w:rFonts w:ascii="Arial" w:hAnsi="Arial" w:cs="Arial"/>
        </w:rPr>
        <w:t>.  Whilst global events strive to minimise their environmental impact through sustainable practices during the event itself, the travel and tourism aspects leading up to and following these events also require careful consideration.  The accessibility of the event for attendees across various demographics and the appeal of convenient and diverse travel options contribute significantly to its success.  Paris 2024, with their emphasis on “public transport and eco-friendly options for spectators” (International Olympic Committee, 2024), serve as positive examples.  However, “events generate environmental impacts in ways that are not at fist obvious, such as construction and transportation of attendees and participants” (International Association of Event Hosts, 2023), presenting a challenge to achieving overall sustainability.  Organisers can mitigate this impact by incentivising public transport providers, and implementing carbon offsetting programs.  Events like the Super Bowl demonstrate effective “flexible transport networks” (Homeland Security, 2024) to manage transportation and crowds, addressing potential tourism related challenged such as infrastructure strain and traffic congestion.  Further, incorporating strategic city planning, as seen in Barcelona 1992 Olympics’ urban revitalisation (Euklidiadias, 2021), can yield long term benefits for host communities.  By integrating sustainable travel planning into the event experience and proactively addressing tourism related challenges, event organisers can ensure a more sustainable and positive impact on both the environment and the host community.</w:t>
      </w:r>
    </w:p>
    <w:p w:rsidR="001E1202" w:rsidRDefault="001E1202" w:rsidP="002E2AC2">
      <w:pPr>
        <w:pStyle w:val="NormalWeb"/>
        <w:spacing w:line="360" w:lineRule="auto"/>
        <w:rPr>
          <w:rFonts w:ascii="Arial" w:hAnsi="Arial" w:cs="Arial"/>
          <w:b/>
          <w:u w:val="single"/>
        </w:rPr>
      </w:pPr>
    </w:p>
    <w:p w:rsidR="009F0CF4" w:rsidRDefault="009F0CF4" w:rsidP="002E2AC2">
      <w:pPr>
        <w:pStyle w:val="NormalWeb"/>
        <w:spacing w:line="360" w:lineRule="auto"/>
        <w:rPr>
          <w:rFonts w:ascii="Arial" w:hAnsi="Arial" w:cs="Arial"/>
          <w:b/>
          <w:u w:val="single"/>
        </w:rPr>
      </w:pPr>
      <w:r w:rsidRPr="006D39BE">
        <w:rPr>
          <w:rFonts w:ascii="Arial" w:hAnsi="Arial" w:cs="Arial"/>
          <w:b/>
          <w:u w:val="single"/>
        </w:rPr>
        <w:lastRenderedPageBreak/>
        <w:t>Stakeholder Theory in the Bidding and Funding Process</w:t>
      </w:r>
    </w:p>
    <w:p w:rsidR="006D39BE" w:rsidRDefault="006D39BE" w:rsidP="002E2AC2">
      <w:pPr>
        <w:pStyle w:val="NormalWeb"/>
        <w:spacing w:line="360" w:lineRule="auto"/>
        <w:rPr>
          <w:rFonts w:ascii="Arial" w:hAnsi="Arial" w:cs="Arial"/>
        </w:rPr>
      </w:pPr>
      <w:r w:rsidRPr="006D39BE">
        <w:rPr>
          <w:rFonts w:ascii="Arial" w:hAnsi="Arial" w:cs="Arial"/>
        </w:rPr>
        <w:t>Stakeholder t</w:t>
      </w:r>
      <w:r w:rsidR="007F0FDF">
        <w:rPr>
          <w:rFonts w:ascii="Arial" w:hAnsi="Arial" w:cs="Arial"/>
        </w:rPr>
        <w:t>heory, as introduced by Freeman, et al (2010), emphasis</w:t>
      </w:r>
      <w:r w:rsidRPr="006D39BE">
        <w:rPr>
          <w:rFonts w:ascii="Arial" w:hAnsi="Arial" w:cs="Arial"/>
        </w:rPr>
        <w:t>es the importance of identifying and balancing the needs of all parties involved in an event. For large-scale events like the Olympics or FIFA World Cup, this means understanding the expectations of various stakeholders, including governments, local communities,</w:t>
      </w:r>
      <w:r>
        <w:rPr>
          <w:rFonts w:ascii="Arial" w:hAnsi="Arial" w:cs="Arial"/>
        </w:rPr>
        <w:t xml:space="preserve"> sponsors, environmental organis</w:t>
      </w:r>
      <w:r w:rsidRPr="006D39BE">
        <w:rPr>
          <w:rFonts w:ascii="Arial" w:hAnsi="Arial" w:cs="Arial"/>
        </w:rPr>
        <w:t>ations, and the general public. Stakeholder theory suggests that successful event bids depend on aligning the goals of these diverse groups, addressing both short-term needs and long-term sustainability.</w:t>
      </w:r>
    </w:p>
    <w:p w:rsidR="00F53E9C" w:rsidRPr="00F53E9C" w:rsidRDefault="00F53E9C" w:rsidP="002E2AC2">
      <w:pPr>
        <w:pStyle w:val="NormalWeb"/>
        <w:spacing w:line="360" w:lineRule="auto"/>
        <w:rPr>
          <w:rFonts w:ascii="Arial" w:hAnsi="Arial" w:cs="Arial"/>
        </w:rPr>
      </w:pPr>
      <w:r w:rsidRPr="00F53E9C">
        <w:rPr>
          <w:rFonts w:ascii="Arial" w:hAnsi="Arial" w:cs="Arial"/>
          <w:b/>
          <w:u w:val="single"/>
        </w:rPr>
        <w:t>Conclusion</w:t>
      </w:r>
    </w:p>
    <w:p w:rsidR="006E486C" w:rsidRDefault="007F0FDF" w:rsidP="002E2AC2">
      <w:pPr>
        <w:pStyle w:val="NormalWeb"/>
        <w:spacing w:line="360" w:lineRule="auto"/>
        <w:rPr>
          <w:rFonts w:ascii="Arial" w:hAnsi="Arial" w:cs="Arial"/>
        </w:rPr>
      </w:pPr>
      <w:r>
        <w:rPr>
          <w:rFonts w:ascii="Arial" w:hAnsi="Arial" w:cs="Arial"/>
        </w:rPr>
        <w:t>In conclusion, stakeholder theory underscores the importance of understanding and balancing the diverse needs of all parties involved in large scale events such as the Olympics.  Successful event bids such as Paris 2024, hinge on aligning the objectives of various stakeholders</w:t>
      </w:r>
      <w:r w:rsidR="007C040D">
        <w:rPr>
          <w:rFonts w:ascii="Arial" w:hAnsi="Arial" w:cs="Arial"/>
        </w:rPr>
        <w:t xml:space="preserve"> – governments, local communities, sponsors, environmental organisations and the public, simultaneously ensuring that both immediate goals and long term sustainability are met.  By considering these multiple perspectives, event organisers can avoid pitfalls such as greenwashing and build trust with their stakeholders.  Further, stakeholder engagement plays a crucial role in managing risk, securing funding and ensuring the event leaves a positive legacy. Ultimately, the integration of stakeholder theory into the bidding and funding process should be taken into account at the earliest of planning stages as it not only enhances the likelihood of success but also promotes a more sustainable and socially responsible approach to hosting major, global events, setting a precedent for future event organisers to follow.</w:t>
      </w:r>
    </w:p>
    <w:p w:rsidR="00CA2FB1" w:rsidRPr="00CA2FB1" w:rsidRDefault="00CA2FB1" w:rsidP="002E2AC2">
      <w:pPr>
        <w:pStyle w:val="NormalWeb"/>
        <w:spacing w:line="360" w:lineRule="auto"/>
        <w:rPr>
          <w:rFonts w:ascii="Arial" w:hAnsi="Arial" w:cs="Arial"/>
        </w:rPr>
      </w:pPr>
      <w:r w:rsidRPr="00CA2FB1">
        <w:rPr>
          <w:rFonts w:ascii="Arial" w:hAnsi="Arial" w:cs="Arial"/>
        </w:rPr>
        <w:t>In addition to balancing stakeholder needs, it is crucia</w:t>
      </w:r>
      <w:r>
        <w:rPr>
          <w:rFonts w:ascii="Arial" w:hAnsi="Arial" w:cs="Arial"/>
        </w:rPr>
        <w:t>l for global events to prioritis</w:t>
      </w:r>
      <w:r w:rsidRPr="00CA2FB1">
        <w:rPr>
          <w:rFonts w:ascii="Arial" w:hAnsi="Arial" w:cs="Arial"/>
        </w:rPr>
        <w:t xml:space="preserve">e long-term sustainability in both environmental and social dimensions. By integrating adaptive strategies and robust risk management, the events industry can navigate uncertainties while achieving positive legacies. The examples of the Paris 2024 Olympics, Tokyo 2020, and FIFA 2022 highlight the growing emphasis on eco-friendly practices and community engagement, yet underscore the need for transparent and accountable actions. As the industry continues to evolve, it must </w:t>
      </w:r>
      <w:r w:rsidRPr="00CA2FB1">
        <w:rPr>
          <w:rFonts w:ascii="Arial" w:hAnsi="Arial" w:cs="Arial"/>
        </w:rPr>
        <w:lastRenderedPageBreak/>
        <w:t>remain committed to ensuring that sustainability and legacy are not only buzzwords but integral aspects of every event's planning and execution, fostering a future where both the environment and host communities thrive.</w:t>
      </w:r>
    </w:p>
    <w:p w:rsidR="00E018CD" w:rsidRDefault="00C41609" w:rsidP="002E2AC2">
      <w:pPr>
        <w:pStyle w:val="NormalWeb"/>
        <w:spacing w:line="360" w:lineRule="auto"/>
        <w:rPr>
          <w:rFonts w:ascii="Arial" w:hAnsi="Arial" w:cs="Arial"/>
        </w:rPr>
      </w:pPr>
      <w:r>
        <w:rPr>
          <w:rFonts w:ascii="Arial" w:hAnsi="Arial" w:cs="Arial"/>
        </w:rPr>
        <w:t xml:space="preserve"> </w:t>
      </w:r>
    </w:p>
    <w:p w:rsidR="00E018CD" w:rsidRPr="002E2AC2" w:rsidRDefault="00E018CD" w:rsidP="002E2AC2">
      <w:pPr>
        <w:pStyle w:val="NormalWeb"/>
        <w:spacing w:line="360" w:lineRule="auto"/>
        <w:rPr>
          <w:rFonts w:ascii="Arial" w:hAnsi="Arial" w:cs="Arial"/>
        </w:rPr>
      </w:pPr>
    </w:p>
    <w:p w:rsidR="002E2AC2" w:rsidRDefault="002E2AC2" w:rsidP="008D34E3">
      <w:pPr>
        <w:spacing w:before="100" w:beforeAutospacing="1" w:after="100" w:afterAutospacing="1" w:line="360" w:lineRule="auto"/>
        <w:rPr>
          <w:rFonts w:ascii="Arial" w:hAnsi="Arial" w:cs="Arial"/>
          <w:sz w:val="24"/>
          <w:szCs w:val="24"/>
        </w:rPr>
      </w:pPr>
    </w:p>
    <w:p w:rsidR="00AC3ED5" w:rsidRPr="008178DC" w:rsidRDefault="00AC3ED5" w:rsidP="008D34E3">
      <w:pPr>
        <w:spacing w:before="100" w:beforeAutospacing="1" w:after="100" w:afterAutospacing="1" w:line="360" w:lineRule="auto"/>
        <w:rPr>
          <w:rFonts w:ascii="Arial" w:hAnsi="Arial" w:cs="Arial"/>
          <w:sz w:val="24"/>
          <w:szCs w:val="24"/>
        </w:rPr>
      </w:pPr>
    </w:p>
    <w:p w:rsidR="00B8697C" w:rsidRDefault="00B8697C">
      <w:pPr>
        <w:spacing w:line="360" w:lineRule="auto"/>
        <w:rPr>
          <w:rFonts w:ascii="Arial" w:hAnsi="Arial" w:cs="Arial"/>
          <w:b/>
          <w:sz w:val="24"/>
          <w:szCs w:val="24"/>
          <w:u w:val="single"/>
        </w:rPr>
      </w:pPr>
    </w:p>
    <w:p w:rsidR="00B8697C" w:rsidRDefault="00B8697C">
      <w:pPr>
        <w:spacing w:line="360" w:lineRule="auto"/>
        <w:rPr>
          <w:rFonts w:ascii="Arial" w:hAnsi="Arial" w:cs="Arial"/>
          <w:b/>
          <w:sz w:val="24"/>
          <w:szCs w:val="24"/>
          <w:u w:val="single"/>
        </w:rPr>
      </w:pPr>
    </w:p>
    <w:p w:rsidR="00B8697C" w:rsidRDefault="00B8697C">
      <w:pPr>
        <w:spacing w:line="360" w:lineRule="auto"/>
        <w:rPr>
          <w:rFonts w:ascii="Arial" w:hAnsi="Arial" w:cs="Arial"/>
          <w:b/>
          <w:sz w:val="24"/>
          <w:szCs w:val="24"/>
          <w:u w:val="single"/>
        </w:rPr>
      </w:pPr>
    </w:p>
    <w:p w:rsidR="00B8697C" w:rsidRDefault="00B8697C">
      <w:pPr>
        <w:spacing w:line="360" w:lineRule="auto"/>
        <w:rPr>
          <w:rFonts w:ascii="Arial" w:hAnsi="Arial" w:cs="Arial"/>
          <w:b/>
          <w:sz w:val="24"/>
          <w:szCs w:val="24"/>
          <w:u w:val="single"/>
        </w:rPr>
      </w:pPr>
    </w:p>
    <w:p w:rsidR="00B8697C" w:rsidRDefault="00B8697C">
      <w:pPr>
        <w:spacing w:line="360" w:lineRule="auto"/>
        <w:rPr>
          <w:rFonts w:ascii="Arial" w:hAnsi="Arial" w:cs="Arial"/>
          <w:b/>
          <w:sz w:val="24"/>
          <w:szCs w:val="24"/>
          <w:u w:val="single"/>
        </w:rPr>
      </w:pPr>
    </w:p>
    <w:p w:rsidR="00B8697C" w:rsidRDefault="00B8697C">
      <w:pPr>
        <w:spacing w:line="360" w:lineRule="auto"/>
        <w:rPr>
          <w:rFonts w:ascii="Arial" w:hAnsi="Arial" w:cs="Arial"/>
          <w:b/>
          <w:sz w:val="24"/>
          <w:szCs w:val="24"/>
          <w:u w:val="single"/>
        </w:rPr>
      </w:pPr>
    </w:p>
    <w:p w:rsidR="00B8697C" w:rsidRDefault="00B8697C">
      <w:pPr>
        <w:spacing w:line="360" w:lineRule="auto"/>
        <w:rPr>
          <w:rFonts w:ascii="Arial" w:hAnsi="Arial" w:cs="Arial"/>
          <w:b/>
          <w:sz w:val="24"/>
          <w:szCs w:val="24"/>
          <w:u w:val="single"/>
        </w:rPr>
      </w:pPr>
    </w:p>
    <w:p w:rsidR="00B8697C" w:rsidRDefault="00B8697C">
      <w:pPr>
        <w:spacing w:line="360" w:lineRule="auto"/>
        <w:rPr>
          <w:rFonts w:ascii="Arial" w:hAnsi="Arial" w:cs="Arial"/>
          <w:b/>
          <w:sz w:val="24"/>
          <w:szCs w:val="24"/>
          <w:u w:val="single"/>
        </w:rPr>
      </w:pPr>
    </w:p>
    <w:p w:rsidR="00B8697C" w:rsidRDefault="00B8697C">
      <w:pPr>
        <w:spacing w:line="360" w:lineRule="auto"/>
        <w:rPr>
          <w:rFonts w:ascii="Arial" w:hAnsi="Arial" w:cs="Arial"/>
          <w:b/>
          <w:sz w:val="24"/>
          <w:szCs w:val="24"/>
          <w:u w:val="single"/>
        </w:rPr>
      </w:pPr>
    </w:p>
    <w:p w:rsidR="00B8697C" w:rsidRDefault="00B8697C">
      <w:pPr>
        <w:spacing w:line="360" w:lineRule="auto"/>
        <w:rPr>
          <w:rFonts w:ascii="Arial" w:hAnsi="Arial" w:cs="Arial"/>
          <w:b/>
          <w:sz w:val="24"/>
          <w:szCs w:val="24"/>
          <w:u w:val="single"/>
        </w:rPr>
      </w:pPr>
    </w:p>
    <w:p w:rsidR="00B8697C" w:rsidRDefault="00B8697C">
      <w:pPr>
        <w:spacing w:line="360" w:lineRule="auto"/>
        <w:rPr>
          <w:rFonts w:ascii="Arial" w:hAnsi="Arial" w:cs="Arial"/>
          <w:b/>
          <w:sz w:val="24"/>
          <w:szCs w:val="24"/>
          <w:u w:val="single"/>
        </w:rPr>
      </w:pPr>
    </w:p>
    <w:p w:rsidR="00B8697C" w:rsidRDefault="00B8697C">
      <w:pPr>
        <w:spacing w:line="360" w:lineRule="auto"/>
        <w:rPr>
          <w:rFonts w:ascii="Arial" w:hAnsi="Arial" w:cs="Arial"/>
          <w:b/>
          <w:sz w:val="24"/>
          <w:szCs w:val="24"/>
          <w:u w:val="single"/>
        </w:rPr>
      </w:pPr>
    </w:p>
    <w:p w:rsidR="00B8697C" w:rsidRDefault="00B8697C">
      <w:pPr>
        <w:spacing w:line="360" w:lineRule="auto"/>
        <w:rPr>
          <w:rFonts w:ascii="Arial" w:hAnsi="Arial" w:cs="Arial"/>
          <w:b/>
          <w:sz w:val="24"/>
          <w:szCs w:val="24"/>
          <w:u w:val="single"/>
        </w:rPr>
      </w:pPr>
    </w:p>
    <w:p w:rsidR="00B8697C" w:rsidRDefault="00B8697C">
      <w:pPr>
        <w:spacing w:line="360" w:lineRule="auto"/>
        <w:rPr>
          <w:rFonts w:ascii="Arial" w:hAnsi="Arial" w:cs="Arial"/>
          <w:b/>
          <w:sz w:val="24"/>
          <w:szCs w:val="24"/>
          <w:u w:val="single"/>
        </w:rPr>
      </w:pPr>
    </w:p>
    <w:p w:rsidR="00B8697C" w:rsidRDefault="00B8697C">
      <w:pPr>
        <w:spacing w:line="360" w:lineRule="auto"/>
        <w:rPr>
          <w:rFonts w:ascii="Arial" w:hAnsi="Arial" w:cs="Arial"/>
          <w:b/>
          <w:sz w:val="24"/>
          <w:szCs w:val="24"/>
          <w:u w:val="single"/>
        </w:rPr>
      </w:pPr>
    </w:p>
    <w:p w:rsidR="00B8697C" w:rsidRDefault="00B8697C">
      <w:pPr>
        <w:spacing w:line="360" w:lineRule="auto"/>
        <w:rPr>
          <w:rFonts w:ascii="Arial" w:hAnsi="Arial" w:cs="Arial"/>
          <w:b/>
          <w:sz w:val="24"/>
          <w:szCs w:val="24"/>
          <w:u w:val="single"/>
        </w:rPr>
      </w:pPr>
    </w:p>
    <w:p w:rsidR="00B8697C" w:rsidRDefault="00B8697C">
      <w:pPr>
        <w:spacing w:line="360" w:lineRule="auto"/>
        <w:rPr>
          <w:rFonts w:ascii="Arial" w:hAnsi="Arial" w:cs="Arial"/>
          <w:b/>
          <w:sz w:val="24"/>
          <w:szCs w:val="24"/>
          <w:u w:val="single"/>
        </w:rPr>
      </w:pPr>
    </w:p>
    <w:p w:rsidR="00F53E9C" w:rsidRDefault="001E1202">
      <w:pPr>
        <w:spacing w:line="360" w:lineRule="auto"/>
        <w:rPr>
          <w:rFonts w:ascii="Arial" w:hAnsi="Arial" w:cs="Arial"/>
          <w:sz w:val="24"/>
          <w:szCs w:val="24"/>
        </w:rPr>
      </w:pPr>
      <w:bookmarkStart w:id="0" w:name="_GoBack"/>
      <w:bookmarkEnd w:id="0"/>
      <w:r w:rsidRPr="001E1202">
        <w:rPr>
          <w:rFonts w:ascii="Arial" w:hAnsi="Arial" w:cs="Arial"/>
          <w:b/>
          <w:sz w:val="24"/>
          <w:szCs w:val="24"/>
          <w:u w:val="single"/>
        </w:rPr>
        <w:lastRenderedPageBreak/>
        <w:t>References</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Abrar, M., Safeer, A.A., Baig, S.A. and Ghafoor, A. (2016). E-Marketing and Its Implementation on Developing Social Perceptions of Customers through Effective Marketing Mix of Organic Textile Products. </w:t>
      </w:r>
      <w:r w:rsidRPr="001E1202">
        <w:rPr>
          <w:rFonts w:ascii="Times New Roman" w:eastAsia="Times New Roman" w:hAnsi="Times New Roman" w:cs="Times New Roman"/>
          <w:i/>
          <w:iCs/>
          <w:sz w:val="24"/>
          <w:szCs w:val="24"/>
          <w:lang w:eastAsia="en-GB"/>
        </w:rPr>
        <w:t>American Journal of Industrial and Business Management</w:t>
      </w:r>
      <w:r w:rsidRPr="001E1202">
        <w:rPr>
          <w:rFonts w:ascii="Times New Roman" w:eastAsia="Times New Roman" w:hAnsi="Times New Roman" w:cs="Times New Roman"/>
          <w:sz w:val="24"/>
          <w:szCs w:val="24"/>
          <w:lang w:eastAsia="en-GB"/>
        </w:rPr>
        <w:t>, 06(12), pp.1194–1211. doi:https://doi.org/10.4236/ajibm.2016.612110.</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Binder, J. (2024). </w:t>
      </w:r>
      <w:r w:rsidRPr="001E1202">
        <w:rPr>
          <w:rFonts w:ascii="Times New Roman" w:eastAsia="Times New Roman" w:hAnsi="Times New Roman" w:cs="Times New Roman"/>
          <w:i/>
          <w:iCs/>
          <w:sz w:val="24"/>
          <w:szCs w:val="24"/>
          <w:lang w:eastAsia="en-GB"/>
        </w:rPr>
        <w:t>Paris 2024: The ‘greenest ever Games’ has set a new standard for global events - I by IMD</w:t>
      </w:r>
      <w:r w:rsidRPr="001E1202">
        <w:rPr>
          <w:rFonts w:ascii="Times New Roman" w:eastAsia="Times New Roman" w:hAnsi="Times New Roman" w:cs="Times New Roman"/>
          <w:sz w:val="24"/>
          <w:szCs w:val="24"/>
          <w:lang w:eastAsia="en-GB"/>
        </w:rPr>
        <w:t>. [online] I by IMD. Available at: https://www.imd.org/ibyimd/sustainability/paris-2024-the-greenest-ever-games-has-set-a-new-standard-for-global-events/.</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Eason-Basset, C. and Reic, I. (2020). </w:t>
      </w:r>
      <w:r w:rsidRPr="001E1202">
        <w:rPr>
          <w:rFonts w:ascii="Times New Roman" w:eastAsia="Times New Roman" w:hAnsi="Times New Roman" w:cs="Times New Roman"/>
          <w:i/>
          <w:iCs/>
          <w:sz w:val="24"/>
          <w:szCs w:val="24"/>
          <w:lang w:eastAsia="en-GB"/>
        </w:rPr>
        <w:t>Edinburgh International Festival’s 2024 Programme Brings Audiences and Artists Closer Together Than Ever Before</w:t>
      </w:r>
      <w:r w:rsidRPr="001E1202">
        <w:rPr>
          <w:rFonts w:ascii="Times New Roman" w:eastAsia="Times New Roman" w:hAnsi="Times New Roman" w:cs="Times New Roman"/>
          <w:sz w:val="24"/>
          <w:szCs w:val="24"/>
          <w:lang w:eastAsia="en-GB"/>
        </w:rPr>
        <w:t>. [online] www.creativescotland.com. Available at: https://www.creativescotland.com/news-stories/latest-news/archive/2024/03/edinburgh-international-festivals-2024-programme-brings-audiences-and-artists-closer-together-than-ever-before [Accessed 22 Mar. 2024].</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Fifa.com (2024). </w:t>
      </w:r>
      <w:r w:rsidRPr="001E1202">
        <w:rPr>
          <w:rFonts w:ascii="Times New Roman" w:eastAsia="Times New Roman" w:hAnsi="Times New Roman" w:cs="Times New Roman"/>
          <w:i/>
          <w:iCs/>
          <w:sz w:val="24"/>
          <w:szCs w:val="24"/>
          <w:lang w:eastAsia="en-GB"/>
        </w:rPr>
        <w:t>Partners</w:t>
      </w:r>
      <w:r w:rsidRPr="001E1202">
        <w:rPr>
          <w:rFonts w:ascii="Times New Roman" w:eastAsia="Times New Roman" w:hAnsi="Times New Roman" w:cs="Times New Roman"/>
          <w:sz w:val="24"/>
          <w:szCs w:val="24"/>
          <w:lang w:eastAsia="en-GB"/>
        </w:rPr>
        <w:t>. [online] inside.fifa.com. Available at: https://inside.fifa.com/about-fifa/commercial/partners.</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G A J Bowdin, Getz, D. and Wunsch, U. (2011). </w:t>
      </w:r>
      <w:r w:rsidRPr="001E1202">
        <w:rPr>
          <w:rFonts w:ascii="Times New Roman" w:eastAsia="Times New Roman" w:hAnsi="Times New Roman" w:cs="Times New Roman"/>
          <w:i/>
          <w:iCs/>
          <w:sz w:val="24"/>
          <w:szCs w:val="24"/>
          <w:lang w:eastAsia="en-GB"/>
        </w:rPr>
        <w:t xml:space="preserve">Events management </w:t>
      </w:r>
      <w:r w:rsidRPr="001E1202">
        <w:rPr>
          <w:rFonts w:ascii="Times New Roman" w:eastAsia="Times New Roman" w:hAnsi="Times New Roman" w:cs="Times New Roman"/>
          <w:sz w:val="24"/>
          <w:szCs w:val="24"/>
          <w:lang w:eastAsia="en-GB"/>
        </w:rPr>
        <w:t>. Oxford: Butterworth-Heinemann.</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Getz, D. and Page, S.J. (2020). </w:t>
      </w:r>
      <w:r w:rsidRPr="001E1202">
        <w:rPr>
          <w:rFonts w:ascii="Times New Roman" w:eastAsia="Times New Roman" w:hAnsi="Times New Roman" w:cs="Times New Roman"/>
          <w:i/>
          <w:iCs/>
          <w:sz w:val="24"/>
          <w:szCs w:val="24"/>
          <w:lang w:eastAsia="en-GB"/>
        </w:rPr>
        <w:t>Event Studies</w:t>
      </w:r>
      <w:r w:rsidRPr="001E1202">
        <w:rPr>
          <w:rFonts w:ascii="Times New Roman" w:eastAsia="Times New Roman" w:hAnsi="Times New Roman" w:cs="Times New Roman"/>
          <w:sz w:val="24"/>
          <w:szCs w:val="24"/>
          <w:lang w:eastAsia="en-GB"/>
        </w:rPr>
        <w:t>. 4th ed. Routledge.</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International Association of Event Hosts (2023). </w:t>
      </w:r>
      <w:r w:rsidRPr="001E1202">
        <w:rPr>
          <w:rFonts w:ascii="Times New Roman" w:eastAsia="Times New Roman" w:hAnsi="Times New Roman" w:cs="Times New Roman"/>
          <w:i/>
          <w:iCs/>
          <w:sz w:val="24"/>
          <w:szCs w:val="24"/>
          <w:lang w:eastAsia="en-GB"/>
        </w:rPr>
        <w:t>Environmental Impacts</w:t>
      </w:r>
      <w:r w:rsidRPr="001E1202">
        <w:rPr>
          <w:rFonts w:ascii="Times New Roman" w:eastAsia="Times New Roman" w:hAnsi="Times New Roman" w:cs="Times New Roman"/>
          <w:sz w:val="24"/>
          <w:szCs w:val="24"/>
          <w:lang w:eastAsia="en-GB"/>
        </w:rPr>
        <w:t>. [online] International Association of Event Hosts. Available at: https://www.eventhosts.org/resources/event-impact-standards/environmental-impacts-2/.</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International Olympic Committee (2020). </w:t>
      </w:r>
      <w:r w:rsidRPr="001E1202">
        <w:rPr>
          <w:rFonts w:ascii="Times New Roman" w:eastAsia="Times New Roman" w:hAnsi="Times New Roman" w:cs="Times New Roman"/>
          <w:i/>
          <w:iCs/>
          <w:sz w:val="24"/>
          <w:szCs w:val="24"/>
          <w:lang w:eastAsia="en-GB"/>
        </w:rPr>
        <w:t>Requirements to host the Olympic Games</w:t>
      </w:r>
      <w:r w:rsidRPr="001E1202">
        <w:rPr>
          <w:rFonts w:ascii="Times New Roman" w:eastAsia="Times New Roman" w:hAnsi="Times New Roman" w:cs="Times New Roman"/>
          <w:sz w:val="24"/>
          <w:szCs w:val="24"/>
          <w:lang w:eastAsia="en-GB"/>
        </w:rPr>
        <w:t>. [online] Olympics.com. Available at: https://olympics.com/ioc/becoming-an-olympic-games-host/requirements-to-host-the-olympic-games.</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Isabella Feros (2024). </w:t>
      </w:r>
      <w:r w:rsidRPr="001E1202">
        <w:rPr>
          <w:rFonts w:ascii="Times New Roman" w:eastAsia="Times New Roman" w:hAnsi="Times New Roman" w:cs="Times New Roman"/>
          <w:i/>
          <w:iCs/>
          <w:sz w:val="24"/>
          <w:szCs w:val="24"/>
          <w:lang w:eastAsia="en-GB"/>
        </w:rPr>
        <w:t>Edinburgh International Festival’s 2024 Programme Brings Audiences and Artists Closer Together Than Ever Before</w:t>
      </w:r>
      <w:r w:rsidRPr="001E1202">
        <w:rPr>
          <w:rFonts w:ascii="Times New Roman" w:eastAsia="Times New Roman" w:hAnsi="Times New Roman" w:cs="Times New Roman"/>
          <w:sz w:val="24"/>
          <w:szCs w:val="24"/>
          <w:lang w:eastAsia="en-GB"/>
        </w:rPr>
        <w:t>. [online] www.creativescotland.com. Available at: https://www.creativescotland.com/news-stories/latest-</w:t>
      </w:r>
      <w:r w:rsidRPr="001E1202">
        <w:rPr>
          <w:rFonts w:ascii="Times New Roman" w:eastAsia="Times New Roman" w:hAnsi="Times New Roman" w:cs="Times New Roman"/>
          <w:sz w:val="24"/>
          <w:szCs w:val="24"/>
          <w:lang w:eastAsia="en-GB"/>
        </w:rPr>
        <w:lastRenderedPageBreak/>
        <w:t>news/archive/2024/03/edinburgh-international-festivals-2024-programme-brings-audiences-and-artists-closer-together-than-ever-before.</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Ji, X. and Shen, H. (2013). The Research of ‘Crossover’ Marketing Strategy. </w:t>
      </w:r>
      <w:r w:rsidRPr="001E1202">
        <w:rPr>
          <w:rFonts w:ascii="Times New Roman" w:eastAsia="Times New Roman" w:hAnsi="Times New Roman" w:cs="Times New Roman"/>
          <w:i/>
          <w:iCs/>
          <w:sz w:val="24"/>
          <w:szCs w:val="24"/>
          <w:lang w:eastAsia="en-GB"/>
        </w:rPr>
        <w:t>The 19th International Conference on Industrial Engineering and Engineering Management</w:t>
      </w:r>
      <w:r w:rsidRPr="001E1202">
        <w:rPr>
          <w:rFonts w:ascii="Times New Roman" w:eastAsia="Times New Roman" w:hAnsi="Times New Roman" w:cs="Times New Roman"/>
          <w:sz w:val="24"/>
          <w:szCs w:val="24"/>
          <w:lang w:eastAsia="en-GB"/>
        </w:rPr>
        <w:t>, pp.1363–1370. doi:https://doi.org/10.1007/978-3-642-38442-4_143.</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Jones, M. (2018). </w:t>
      </w:r>
      <w:r w:rsidRPr="001E1202">
        <w:rPr>
          <w:rFonts w:ascii="Times New Roman" w:eastAsia="Times New Roman" w:hAnsi="Times New Roman" w:cs="Times New Roman"/>
          <w:i/>
          <w:iCs/>
          <w:sz w:val="24"/>
          <w:szCs w:val="24"/>
          <w:lang w:eastAsia="en-GB"/>
        </w:rPr>
        <w:t>Sustainable event management : a practical guide</w:t>
      </w:r>
      <w:r w:rsidRPr="001E1202">
        <w:rPr>
          <w:rFonts w:ascii="Times New Roman" w:eastAsia="Times New Roman" w:hAnsi="Times New Roman" w:cs="Times New Roman"/>
          <w:sz w:val="24"/>
          <w:szCs w:val="24"/>
          <w:lang w:eastAsia="en-GB"/>
        </w:rPr>
        <w:t>. London ; New York: Routledge.</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Masterman, G. (2021). </w:t>
      </w:r>
      <w:r w:rsidRPr="001E1202">
        <w:rPr>
          <w:rFonts w:ascii="Times New Roman" w:eastAsia="Times New Roman" w:hAnsi="Times New Roman" w:cs="Times New Roman"/>
          <w:i/>
          <w:iCs/>
          <w:sz w:val="24"/>
          <w:szCs w:val="24"/>
          <w:lang w:eastAsia="en-GB"/>
        </w:rPr>
        <w:t>Strategic sports event management</w:t>
      </w:r>
      <w:r w:rsidRPr="001E1202">
        <w:rPr>
          <w:rFonts w:ascii="Times New Roman" w:eastAsia="Times New Roman" w:hAnsi="Times New Roman" w:cs="Times New Roman"/>
          <w:sz w:val="24"/>
          <w:szCs w:val="24"/>
          <w:lang w:eastAsia="en-GB"/>
        </w:rPr>
        <w:t>. New York, Ny Routledge C.</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McGillivray, D. and Turner, D. (2017). </w:t>
      </w:r>
      <w:r w:rsidRPr="001E1202">
        <w:rPr>
          <w:rFonts w:ascii="Times New Roman" w:eastAsia="Times New Roman" w:hAnsi="Times New Roman" w:cs="Times New Roman"/>
          <w:i/>
          <w:iCs/>
          <w:sz w:val="24"/>
          <w:szCs w:val="24"/>
          <w:lang w:eastAsia="en-GB"/>
        </w:rPr>
        <w:t>Event Bidding</w:t>
      </w:r>
      <w:r w:rsidRPr="001E1202">
        <w:rPr>
          <w:rFonts w:ascii="Times New Roman" w:eastAsia="Times New Roman" w:hAnsi="Times New Roman" w:cs="Times New Roman"/>
          <w:sz w:val="24"/>
          <w:szCs w:val="24"/>
          <w:lang w:eastAsia="en-GB"/>
        </w:rPr>
        <w:t>. Routledge.</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Netherland, R. (2024). </w:t>
      </w:r>
      <w:r w:rsidRPr="001E1202">
        <w:rPr>
          <w:rFonts w:ascii="Times New Roman" w:eastAsia="Times New Roman" w:hAnsi="Times New Roman" w:cs="Times New Roman"/>
          <w:i/>
          <w:iCs/>
          <w:sz w:val="24"/>
          <w:szCs w:val="24"/>
          <w:lang w:eastAsia="en-GB"/>
        </w:rPr>
        <w:t>How does an Olympic host city get chosen?</w:t>
      </w:r>
      <w:r w:rsidRPr="001E1202">
        <w:rPr>
          <w:rFonts w:ascii="Times New Roman" w:eastAsia="Times New Roman" w:hAnsi="Times New Roman" w:cs="Times New Roman"/>
          <w:sz w:val="24"/>
          <w:szCs w:val="24"/>
          <w:lang w:eastAsia="en-GB"/>
        </w:rPr>
        <w:t xml:space="preserve"> [online] KNWA FOX24. Available at: https://www.nwahomepage.com/2024-olympics/how-does-an-olympic-host-city-get-chosen/.</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O’Toole, W. (2011). </w:t>
      </w:r>
      <w:r w:rsidRPr="001E1202">
        <w:rPr>
          <w:rFonts w:ascii="Times New Roman" w:eastAsia="Times New Roman" w:hAnsi="Times New Roman" w:cs="Times New Roman"/>
          <w:i/>
          <w:iCs/>
          <w:sz w:val="24"/>
          <w:szCs w:val="24"/>
          <w:lang w:eastAsia="en-GB"/>
        </w:rPr>
        <w:t>Events Feasibility and Development.</w:t>
      </w:r>
      <w:r w:rsidRPr="001E1202">
        <w:rPr>
          <w:rFonts w:ascii="Times New Roman" w:eastAsia="Times New Roman" w:hAnsi="Times New Roman" w:cs="Times New Roman"/>
          <w:sz w:val="24"/>
          <w:szCs w:val="24"/>
          <w:lang w:eastAsia="en-GB"/>
        </w:rPr>
        <w:t xml:space="preserve"> Taylor &amp; Francis.</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Olympics.com (2024). </w:t>
      </w:r>
      <w:r w:rsidRPr="001E1202">
        <w:rPr>
          <w:rFonts w:ascii="Times New Roman" w:eastAsia="Times New Roman" w:hAnsi="Times New Roman" w:cs="Times New Roman"/>
          <w:i/>
          <w:iCs/>
          <w:sz w:val="24"/>
          <w:szCs w:val="24"/>
          <w:lang w:eastAsia="en-GB"/>
        </w:rPr>
        <w:t>Partners of the organization committee of Paris 2024</w:t>
      </w:r>
      <w:r w:rsidRPr="001E1202">
        <w:rPr>
          <w:rFonts w:ascii="Times New Roman" w:eastAsia="Times New Roman" w:hAnsi="Times New Roman" w:cs="Times New Roman"/>
          <w:sz w:val="24"/>
          <w:szCs w:val="24"/>
          <w:lang w:eastAsia="en-GB"/>
        </w:rPr>
        <w:t>. [online] Olympics.com. Available at: https://olympics.com/en/paris-2024/committee/games-stakeholder/partners#premium-partners [Accessed 20 Oct. 2024].</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SkyQuest Technology (2022). </w:t>
      </w:r>
      <w:r w:rsidRPr="001E1202">
        <w:rPr>
          <w:rFonts w:ascii="Times New Roman" w:eastAsia="Times New Roman" w:hAnsi="Times New Roman" w:cs="Times New Roman"/>
          <w:i/>
          <w:iCs/>
          <w:sz w:val="24"/>
          <w:szCs w:val="24"/>
          <w:lang w:eastAsia="en-GB"/>
        </w:rPr>
        <w:t>Mice Market Size, Share, Growth Analysis, By Type of Event(Meetings, incentives, conferences, and exhibitions), By Application(Corporate, healthcare, technology, tourism &amp; hospitality), By Region - Industry Forecast 2024-2031</w:t>
      </w:r>
      <w:r w:rsidRPr="001E1202">
        <w:rPr>
          <w:rFonts w:ascii="Times New Roman" w:eastAsia="Times New Roman" w:hAnsi="Times New Roman" w:cs="Times New Roman"/>
          <w:sz w:val="24"/>
          <w:szCs w:val="24"/>
          <w:lang w:eastAsia="en-GB"/>
        </w:rPr>
        <w:t>. [online] Skyquestt.com. Available at: https://www.skyquestt.com/report/mice-market [Accessed 20 Oct. 2024].</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Smith, P. (2024). </w:t>
      </w:r>
      <w:r w:rsidRPr="001E1202">
        <w:rPr>
          <w:rFonts w:ascii="Times New Roman" w:eastAsia="Times New Roman" w:hAnsi="Times New Roman" w:cs="Times New Roman"/>
          <w:i/>
          <w:iCs/>
          <w:sz w:val="24"/>
          <w:szCs w:val="24"/>
          <w:lang w:eastAsia="en-GB"/>
        </w:rPr>
        <w:t>Paris 2024: How Paris Won the Bid and Current Controversies</w:t>
      </w:r>
      <w:r w:rsidRPr="001E1202">
        <w:rPr>
          <w:rFonts w:ascii="Times New Roman" w:eastAsia="Times New Roman" w:hAnsi="Times New Roman" w:cs="Times New Roman"/>
          <w:sz w:val="24"/>
          <w:szCs w:val="24"/>
          <w:lang w:eastAsia="en-GB"/>
        </w:rPr>
        <w:t>. [online] BYU Daily Universe. Available at: https://universe.byu.edu/2024/07/05/paris-2024-how-paris-won-the-bid-and-current-controversies/ [Accessed 6 Nov. 2024].</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Antonio Cavallin Toscani, Luca Vendraminelli and Vinelli, A. (2024). Environmental sustainability in the event industry: a systematic review and a research agenda. </w:t>
      </w:r>
      <w:r w:rsidRPr="001E1202">
        <w:rPr>
          <w:rFonts w:ascii="Times New Roman" w:eastAsia="Times New Roman" w:hAnsi="Times New Roman" w:cs="Times New Roman"/>
          <w:i/>
          <w:iCs/>
          <w:sz w:val="24"/>
          <w:szCs w:val="24"/>
          <w:lang w:eastAsia="en-GB"/>
        </w:rPr>
        <w:t>Journal of Sustainable Tourism</w:t>
      </w:r>
      <w:r w:rsidRPr="001E1202">
        <w:rPr>
          <w:rFonts w:ascii="Times New Roman" w:eastAsia="Times New Roman" w:hAnsi="Times New Roman" w:cs="Times New Roman"/>
          <w:sz w:val="24"/>
          <w:szCs w:val="24"/>
          <w:lang w:eastAsia="en-GB"/>
        </w:rPr>
        <w:t>, pp.1–35. doi:https://doi.org/10.1080/09669582.2024.2309544.</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lastRenderedPageBreak/>
        <w:t xml:space="preserve">Bassetti, F. (2021). </w:t>
      </w:r>
      <w:r w:rsidRPr="001E1202">
        <w:rPr>
          <w:rFonts w:ascii="Times New Roman" w:eastAsia="Times New Roman" w:hAnsi="Times New Roman" w:cs="Times New Roman"/>
          <w:i/>
          <w:iCs/>
          <w:sz w:val="24"/>
          <w:szCs w:val="24"/>
          <w:lang w:eastAsia="en-GB"/>
        </w:rPr>
        <w:t>Olympics for Climate Action</w:t>
      </w:r>
      <w:r w:rsidRPr="001E1202">
        <w:rPr>
          <w:rFonts w:ascii="Times New Roman" w:eastAsia="Times New Roman" w:hAnsi="Times New Roman" w:cs="Times New Roman"/>
          <w:sz w:val="24"/>
          <w:szCs w:val="24"/>
          <w:lang w:eastAsia="en-GB"/>
        </w:rPr>
        <w:t>. [online] Foresight. Available at: https://www.climateforesight.eu/articles/olympics-for-climate-action/ [Accessed 3 Aug. 2023].</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BBC News (2022). Glastonbury Festival: Dedicated Water Supply Aids Plastic Ban. </w:t>
      </w:r>
      <w:r w:rsidRPr="001E1202">
        <w:rPr>
          <w:rFonts w:ascii="Times New Roman" w:eastAsia="Times New Roman" w:hAnsi="Times New Roman" w:cs="Times New Roman"/>
          <w:i/>
          <w:iCs/>
          <w:sz w:val="24"/>
          <w:szCs w:val="24"/>
          <w:lang w:eastAsia="en-GB"/>
        </w:rPr>
        <w:t>BBC News</w:t>
      </w:r>
      <w:r w:rsidRPr="001E1202">
        <w:rPr>
          <w:rFonts w:ascii="Times New Roman" w:eastAsia="Times New Roman" w:hAnsi="Times New Roman" w:cs="Times New Roman"/>
          <w:sz w:val="24"/>
          <w:szCs w:val="24"/>
          <w:lang w:eastAsia="en-GB"/>
        </w:rPr>
        <w:t>. [online] 25 Jun. Available at: https://www.bbc.co.uk/news/uk-england-somerset-61936553.</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Bowdin, G., Allen, J., Harris, R., McDonnell, I. and O’Toole, W. (2011). </w:t>
      </w:r>
      <w:r w:rsidRPr="001E1202">
        <w:rPr>
          <w:rFonts w:ascii="Times New Roman" w:eastAsia="Times New Roman" w:hAnsi="Times New Roman" w:cs="Times New Roman"/>
          <w:i/>
          <w:iCs/>
          <w:sz w:val="24"/>
          <w:szCs w:val="24"/>
          <w:lang w:eastAsia="en-GB"/>
        </w:rPr>
        <w:t>Events Management</w:t>
      </w:r>
      <w:r w:rsidRPr="001E1202">
        <w:rPr>
          <w:rFonts w:ascii="Times New Roman" w:eastAsia="Times New Roman" w:hAnsi="Times New Roman" w:cs="Times New Roman"/>
          <w:sz w:val="24"/>
          <w:szCs w:val="24"/>
          <w:lang w:eastAsia="en-GB"/>
        </w:rPr>
        <w:t>. 3rd ed. Routledge.</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Career Navigator (2024). </w:t>
      </w:r>
      <w:r w:rsidRPr="001E1202">
        <w:rPr>
          <w:rFonts w:ascii="Times New Roman" w:eastAsia="Times New Roman" w:hAnsi="Times New Roman" w:cs="Times New Roman"/>
          <w:i/>
          <w:iCs/>
          <w:sz w:val="24"/>
          <w:szCs w:val="24"/>
          <w:lang w:eastAsia="en-GB"/>
        </w:rPr>
        <w:t>Case Studies of Successful Risk Management</w:t>
      </w:r>
      <w:r w:rsidRPr="001E1202">
        <w:rPr>
          <w:rFonts w:ascii="Times New Roman" w:eastAsia="Times New Roman" w:hAnsi="Times New Roman" w:cs="Times New Roman"/>
          <w:sz w:val="24"/>
          <w:szCs w:val="24"/>
          <w:lang w:eastAsia="en-GB"/>
        </w:rPr>
        <w:t>. [online] American Profession Guide. Available at: https://americanprofessionguide.com/risk-management/.</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Circular (2024). </w:t>
      </w:r>
      <w:r w:rsidRPr="001E1202">
        <w:rPr>
          <w:rFonts w:ascii="Times New Roman" w:eastAsia="Times New Roman" w:hAnsi="Times New Roman" w:cs="Times New Roman"/>
          <w:i/>
          <w:iCs/>
          <w:sz w:val="24"/>
          <w:szCs w:val="24"/>
          <w:lang w:eastAsia="en-GB"/>
        </w:rPr>
        <w:t>Paris 2024 Olympics: a New Standard for Circular Economy events?</w:t>
      </w:r>
      <w:r w:rsidRPr="001E1202">
        <w:rPr>
          <w:rFonts w:ascii="Times New Roman" w:eastAsia="Times New Roman" w:hAnsi="Times New Roman" w:cs="Times New Roman"/>
          <w:sz w:val="24"/>
          <w:szCs w:val="24"/>
          <w:lang w:eastAsia="en-GB"/>
        </w:rPr>
        <w:t xml:space="preserve"> [online] Circular Online. Available at: https://www.circularonline.co.uk/case-studies/paris-2024-olympics-a-new-standard-for-circular-economy-events/ [Accessed 23 Nov. 2024].</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Climate ADAPT (2023). Climate-ADAPT 10 Case Studies How Europe Is Adapting to Climate Change Climate-ADAPT. [online] doi:https://doi.org/10.2800/097442.</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Euklidiadas, M.M. (2021). </w:t>
      </w:r>
      <w:r w:rsidRPr="001E1202">
        <w:rPr>
          <w:rFonts w:ascii="Times New Roman" w:eastAsia="Times New Roman" w:hAnsi="Times New Roman" w:cs="Times New Roman"/>
          <w:i/>
          <w:iCs/>
          <w:sz w:val="24"/>
          <w:szCs w:val="24"/>
          <w:lang w:eastAsia="en-GB"/>
        </w:rPr>
        <w:t>Barcelona 92: the Impact of Hosting the Olympics in the Interest of Global Exposure</w:t>
      </w:r>
      <w:r w:rsidRPr="001E1202">
        <w:rPr>
          <w:rFonts w:ascii="Times New Roman" w:eastAsia="Times New Roman" w:hAnsi="Times New Roman" w:cs="Times New Roman"/>
          <w:sz w:val="24"/>
          <w:szCs w:val="24"/>
          <w:lang w:eastAsia="en-GB"/>
        </w:rPr>
        <w:t>. [online] Tomorrow.City - The biggest platform about urban innovation. Available at: https://www.tomorrow.city/olympics-economic-impact-of-host-cities/.</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FIFA (2022). </w:t>
      </w:r>
      <w:r w:rsidRPr="001E1202">
        <w:rPr>
          <w:rFonts w:ascii="Times New Roman" w:eastAsia="Times New Roman" w:hAnsi="Times New Roman" w:cs="Times New Roman"/>
          <w:i/>
          <w:iCs/>
          <w:sz w:val="24"/>
          <w:szCs w:val="24"/>
          <w:lang w:eastAsia="en-GB"/>
        </w:rPr>
        <w:t>Sustainability: Sustainable Stadiums and Offices</w:t>
      </w:r>
      <w:r w:rsidRPr="001E1202">
        <w:rPr>
          <w:rFonts w:ascii="Times New Roman" w:eastAsia="Times New Roman" w:hAnsi="Times New Roman" w:cs="Times New Roman"/>
          <w:sz w:val="24"/>
          <w:szCs w:val="24"/>
          <w:lang w:eastAsia="en-GB"/>
        </w:rPr>
        <w:t>. [online] FIFA Publications. Available at: https://publications.fifa.com/en/final-sustainability-report/environmental-pillar/sustainable-building/sustainable-stadiums-and-offices/.</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Freeman, R.E., Harrison, J.S., Wicks, A.C., Parmar, B.L. and De Colle, S. (2010). </w:t>
      </w:r>
      <w:r w:rsidRPr="001E1202">
        <w:rPr>
          <w:rFonts w:ascii="Times New Roman" w:eastAsia="Times New Roman" w:hAnsi="Times New Roman" w:cs="Times New Roman"/>
          <w:i/>
          <w:iCs/>
          <w:sz w:val="24"/>
          <w:szCs w:val="24"/>
          <w:lang w:eastAsia="en-GB"/>
        </w:rPr>
        <w:t>Stakeholder Theory: the State of the Art</w:t>
      </w:r>
      <w:r w:rsidRPr="001E1202">
        <w:rPr>
          <w:rFonts w:ascii="Times New Roman" w:eastAsia="Times New Roman" w:hAnsi="Times New Roman" w:cs="Times New Roman"/>
          <w:sz w:val="24"/>
          <w:szCs w:val="24"/>
          <w:lang w:eastAsia="en-GB"/>
        </w:rPr>
        <w:t>. Cambridge: Cambridge University Press.</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from, Greenly.Institute. (2024). </w:t>
      </w:r>
      <w:r w:rsidRPr="001E1202">
        <w:rPr>
          <w:rFonts w:ascii="Times New Roman" w:eastAsia="Times New Roman" w:hAnsi="Times New Roman" w:cs="Times New Roman"/>
          <w:i/>
          <w:iCs/>
          <w:sz w:val="24"/>
          <w:szCs w:val="24"/>
          <w:lang w:eastAsia="en-GB"/>
        </w:rPr>
        <w:t>Paris Olympics</w:t>
      </w:r>
      <w:r w:rsidRPr="001E1202">
        <w:rPr>
          <w:rFonts w:ascii="Times New Roman" w:eastAsia="Times New Roman" w:hAnsi="Times New Roman" w:cs="Times New Roman"/>
          <w:sz w:val="24"/>
          <w:szCs w:val="24"/>
          <w:lang w:eastAsia="en-GB"/>
        </w:rPr>
        <w:t>. [online] Greenly.earth. Available at: https://greenly.earth/en-gb/data-stories/ecology-news/paris-olympics [Accessed 22 Nov. 2024].</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lastRenderedPageBreak/>
        <w:t xml:space="preserve">Glastonbury Festival (2023). </w:t>
      </w:r>
      <w:r w:rsidRPr="001E1202">
        <w:rPr>
          <w:rFonts w:ascii="Times New Roman" w:eastAsia="Times New Roman" w:hAnsi="Times New Roman" w:cs="Times New Roman"/>
          <w:i/>
          <w:iCs/>
          <w:sz w:val="24"/>
          <w:szCs w:val="24"/>
          <w:lang w:eastAsia="en-GB"/>
        </w:rPr>
        <w:t>Glastonbury Festival - Think before You Pack for This year’s Festival!</w:t>
      </w:r>
      <w:r w:rsidRPr="001E1202">
        <w:rPr>
          <w:rFonts w:ascii="Times New Roman" w:eastAsia="Times New Roman" w:hAnsi="Times New Roman" w:cs="Times New Roman"/>
          <w:sz w:val="24"/>
          <w:szCs w:val="24"/>
          <w:lang w:eastAsia="en-GB"/>
        </w:rPr>
        <w:t xml:space="preserve"> [online] Glastonburyfestivals.co.uk. Available at: https://www.glastonburyfestivals.co.uk/news/think-before-you-pack-for-this-years-festival/.</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Homeland Security (2024). </w:t>
      </w:r>
      <w:r w:rsidRPr="001E1202">
        <w:rPr>
          <w:rFonts w:ascii="Times New Roman" w:eastAsia="Times New Roman" w:hAnsi="Times New Roman" w:cs="Times New Roman"/>
          <w:i/>
          <w:iCs/>
          <w:sz w:val="24"/>
          <w:szCs w:val="24"/>
          <w:lang w:eastAsia="en-GB"/>
        </w:rPr>
        <w:t>Written Testimony of ICE for a House Homeland Security Subcommittee on Emergency Preparedness, Response, &amp; Communications Hearing Titled “Mass Gathering Security: a Look at the Coordinated Approach to Super Bowl XLVIII in New Jersey and Other Large Scale | Homeland Security</w:t>
      </w:r>
      <w:r w:rsidRPr="001E1202">
        <w:rPr>
          <w:rFonts w:ascii="Times New Roman" w:eastAsia="Times New Roman" w:hAnsi="Times New Roman" w:cs="Times New Roman"/>
          <w:sz w:val="24"/>
          <w:szCs w:val="24"/>
          <w:lang w:eastAsia="en-GB"/>
        </w:rPr>
        <w:t>. [online] U.S. Department of Homeland Security. Available at: https://www.dhs.gov/news/2014/06/23/written-testimony-ice-house-homeland-security-subcommittee-emergency-preparedness [Accessed 22 Nov. 2024].</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International Association of Event Hosts (2023). </w:t>
      </w:r>
      <w:r w:rsidRPr="001E1202">
        <w:rPr>
          <w:rFonts w:ascii="Times New Roman" w:eastAsia="Times New Roman" w:hAnsi="Times New Roman" w:cs="Times New Roman"/>
          <w:i/>
          <w:iCs/>
          <w:sz w:val="24"/>
          <w:szCs w:val="24"/>
          <w:lang w:eastAsia="en-GB"/>
        </w:rPr>
        <w:t>Environmental Impacts</w:t>
      </w:r>
      <w:r w:rsidRPr="001E1202">
        <w:rPr>
          <w:rFonts w:ascii="Times New Roman" w:eastAsia="Times New Roman" w:hAnsi="Times New Roman" w:cs="Times New Roman"/>
          <w:sz w:val="24"/>
          <w:szCs w:val="24"/>
          <w:lang w:eastAsia="en-GB"/>
        </w:rPr>
        <w:t>. [online] International Association of Event Hosts. Available at: https://www.eventhosts.org/resources/event-impact-standards/environmental-impacts-2/.</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International Olympic Committee (2021). </w:t>
      </w:r>
      <w:r w:rsidRPr="001E1202">
        <w:rPr>
          <w:rFonts w:ascii="Times New Roman" w:eastAsia="Times New Roman" w:hAnsi="Times New Roman" w:cs="Times New Roman"/>
          <w:i/>
          <w:iCs/>
          <w:sz w:val="24"/>
          <w:szCs w:val="24"/>
          <w:lang w:eastAsia="en-GB"/>
        </w:rPr>
        <w:t>London 2012: engaging, Inspiring and Transforming</w:t>
      </w:r>
      <w:r w:rsidRPr="001E1202">
        <w:rPr>
          <w:rFonts w:ascii="Times New Roman" w:eastAsia="Times New Roman" w:hAnsi="Times New Roman" w:cs="Times New Roman"/>
          <w:sz w:val="24"/>
          <w:szCs w:val="24"/>
          <w:lang w:eastAsia="en-GB"/>
        </w:rPr>
        <w:t>. [online] Olympics.com. Available at: https://olympics.com/ioc/news/london-2012-engaging-inspiring-and-transforming.</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International Olympic Committee (2024). </w:t>
      </w:r>
      <w:r w:rsidRPr="001E1202">
        <w:rPr>
          <w:rFonts w:ascii="Times New Roman" w:eastAsia="Times New Roman" w:hAnsi="Times New Roman" w:cs="Times New Roman"/>
          <w:i/>
          <w:iCs/>
          <w:sz w:val="24"/>
          <w:szCs w:val="24"/>
          <w:lang w:eastAsia="en-GB"/>
        </w:rPr>
        <w:t>Less, Better and for longer: Five Ways Paris 2024 Is Delivering More Sustainable Games</w:t>
      </w:r>
      <w:r w:rsidRPr="001E1202">
        <w:rPr>
          <w:rFonts w:ascii="Times New Roman" w:eastAsia="Times New Roman" w:hAnsi="Times New Roman" w:cs="Times New Roman"/>
          <w:sz w:val="24"/>
          <w:szCs w:val="24"/>
          <w:lang w:eastAsia="en-GB"/>
        </w:rPr>
        <w:t>. [online] Olympics.com. Available at: https://olympics.com/ioc/news/less-better-and-for-longer-five-ways-paris-2024-is-delivering-more-sustainable-games.</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Kaye, J. (2024). Why Events Need to Be More Sustainable. </w:t>
      </w:r>
      <w:r w:rsidRPr="001E1202">
        <w:rPr>
          <w:rFonts w:ascii="Times New Roman" w:eastAsia="Times New Roman" w:hAnsi="Times New Roman" w:cs="Times New Roman"/>
          <w:i/>
          <w:iCs/>
          <w:sz w:val="24"/>
          <w:szCs w:val="24"/>
          <w:lang w:eastAsia="en-GB"/>
        </w:rPr>
        <w:t>Forbes</w:t>
      </w:r>
      <w:r w:rsidRPr="001E1202">
        <w:rPr>
          <w:rFonts w:ascii="Times New Roman" w:eastAsia="Times New Roman" w:hAnsi="Times New Roman" w:cs="Times New Roman"/>
          <w:sz w:val="24"/>
          <w:szCs w:val="24"/>
          <w:lang w:eastAsia="en-GB"/>
        </w:rPr>
        <w:t>. [online] 19 Mar. Available at: https://www.forbes.com/councils/forbesagencycouncil/2024/03/19/why-events-need-to-be-more-sustainable/.</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Lockwood, D. and Warwick, M. (2022). Fifa’s World Cup Carbon Neutrality Claim ‘dangerous’. </w:t>
      </w:r>
      <w:r w:rsidRPr="001E1202">
        <w:rPr>
          <w:rFonts w:ascii="Times New Roman" w:eastAsia="Times New Roman" w:hAnsi="Times New Roman" w:cs="Times New Roman"/>
          <w:i/>
          <w:iCs/>
          <w:sz w:val="24"/>
          <w:szCs w:val="24"/>
          <w:lang w:eastAsia="en-GB"/>
        </w:rPr>
        <w:t>BBC Sport</w:t>
      </w:r>
      <w:r w:rsidRPr="001E1202">
        <w:rPr>
          <w:rFonts w:ascii="Times New Roman" w:eastAsia="Times New Roman" w:hAnsi="Times New Roman" w:cs="Times New Roman"/>
          <w:sz w:val="24"/>
          <w:szCs w:val="24"/>
          <w:lang w:eastAsia="en-GB"/>
        </w:rPr>
        <w:t>. [online] 2 Nov. Available at: https://www.bbc.co.uk/sport/football/63466168.</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Masterman, G. (2014). </w:t>
      </w:r>
      <w:r w:rsidRPr="001E1202">
        <w:rPr>
          <w:rFonts w:ascii="Times New Roman" w:eastAsia="Times New Roman" w:hAnsi="Times New Roman" w:cs="Times New Roman"/>
          <w:i/>
          <w:iCs/>
          <w:sz w:val="24"/>
          <w:szCs w:val="24"/>
          <w:lang w:eastAsia="en-GB"/>
        </w:rPr>
        <w:t>Strategic Sports Event Management : Third edition.</w:t>
      </w:r>
      <w:r w:rsidRPr="001E1202">
        <w:rPr>
          <w:rFonts w:ascii="Times New Roman" w:eastAsia="Times New Roman" w:hAnsi="Times New Roman" w:cs="Times New Roman"/>
          <w:sz w:val="24"/>
          <w:szCs w:val="24"/>
          <w:lang w:eastAsia="en-GB"/>
        </w:rPr>
        <w:t xml:space="preserve"> Taylor &amp; Francis Ltd.</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lastRenderedPageBreak/>
        <w:t xml:space="preserve">Nitin Kumar Singh, Pandey, S., Sharma, H. and Goel, S. (2020). </w:t>
      </w:r>
      <w:r w:rsidRPr="001E1202">
        <w:rPr>
          <w:rFonts w:ascii="Times New Roman" w:eastAsia="Times New Roman" w:hAnsi="Times New Roman" w:cs="Times New Roman"/>
          <w:i/>
          <w:iCs/>
          <w:sz w:val="24"/>
          <w:szCs w:val="24"/>
          <w:lang w:eastAsia="en-GB"/>
        </w:rPr>
        <w:t>Green Innovation, Sustainable Development, and Circular Economy</w:t>
      </w:r>
      <w:r w:rsidRPr="001E1202">
        <w:rPr>
          <w:rFonts w:ascii="Times New Roman" w:eastAsia="Times New Roman" w:hAnsi="Times New Roman" w:cs="Times New Roman"/>
          <w:sz w:val="24"/>
          <w:szCs w:val="24"/>
          <w:lang w:eastAsia="en-GB"/>
        </w:rPr>
        <w:t>. CRC Press.</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Pinto, P.J. (2017). Adapting to adaptation: Flexible planning, Policy making, and the Transition from Reaction to (pro)action. In: </w:t>
      </w:r>
      <w:r w:rsidRPr="001E1202">
        <w:rPr>
          <w:rFonts w:ascii="Times New Roman" w:eastAsia="Times New Roman" w:hAnsi="Times New Roman" w:cs="Times New Roman"/>
          <w:i/>
          <w:iCs/>
          <w:sz w:val="24"/>
          <w:szCs w:val="24"/>
          <w:lang w:eastAsia="en-GB"/>
        </w:rPr>
        <w:t>Researchgate</w:t>
      </w:r>
      <w:r w:rsidRPr="001E1202">
        <w:rPr>
          <w:rFonts w:ascii="Times New Roman" w:eastAsia="Times New Roman" w:hAnsi="Times New Roman" w:cs="Times New Roman"/>
          <w:sz w:val="24"/>
          <w:szCs w:val="24"/>
          <w:lang w:eastAsia="en-GB"/>
        </w:rPr>
        <w:t>. Researchgate.</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Potter, C. and Calmann, J. (2021). </w:t>
      </w:r>
      <w:r w:rsidRPr="001E1202">
        <w:rPr>
          <w:rFonts w:ascii="Times New Roman" w:eastAsia="Times New Roman" w:hAnsi="Times New Roman" w:cs="Times New Roman"/>
          <w:i/>
          <w:iCs/>
          <w:sz w:val="24"/>
          <w:szCs w:val="24"/>
          <w:lang w:eastAsia="en-GB"/>
        </w:rPr>
        <w:t>Welcome to the Circular Economy The next step in sustainable living</w:t>
      </w:r>
      <w:r w:rsidRPr="001E1202">
        <w:rPr>
          <w:rFonts w:ascii="Times New Roman" w:eastAsia="Times New Roman" w:hAnsi="Times New Roman" w:cs="Times New Roman"/>
          <w:sz w:val="24"/>
          <w:szCs w:val="24"/>
          <w:lang w:eastAsia="en-GB"/>
        </w:rPr>
        <w:t>. London Laurence King Publishing.</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Santos Brito, J.A., Torres, N. and Da Costa Diniz, R. (2024). Operations Flexibility in Events Organization. </w:t>
      </w:r>
      <w:r w:rsidRPr="001E1202">
        <w:rPr>
          <w:rFonts w:ascii="Times New Roman" w:eastAsia="Times New Roman" w:hAnsi="Times New Roman" w:cs="Times New Roman"/>
          <w:i/>
          <w:iCs/>
          <w:sz w:val="24"/>
          <w:szCs w:val="24"/>
          <w:lang w:eastAsia="en-GB"/>
        </w:rPr>
        <w:t>Tourism Managemnt</w:t>
      </w:r>
      <w:r w:rsidRPr="001E1202">
        <w:rPr>
          <w:rFonts w:ascii="Times New Roman" w:eastAsia="Times New Roman" w:hAnsi="Times New Roman" w:cs="Times New Roman"/>
          <w:sz w:val="24"/>
          <w:szCs w:val="24"/>
          <w:lang w:eastAsia="en-GB"/>
        </w:rPr>
        <w:t>, [online] 76(104959), 22 Nov. Available at: https://www.sciencedirect.com/science/article/abs/pii/S0261517719301578 [Accessed 22 Nov. 2024].</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The Guardian (2019). Tokyo 2020 Medals to Be Made from Discarded Smartphones and Laptops. </w:t>
      </w:r>
      <w:r w:rsidRPr="001E1202">
        <w:rPr>
          <w:rFonts w:ascii="Times New Roman" w:eastAsia="Times New Roman" w:hAnsi="Times New Roman" w:cs="Times New Roman"/>
          <w:i/>
          <w:iCs/>
          <w:sz w:val="24"/>
          <w:szCs w:val="24"/>
          <w:lang w:eastAsia="en-GB"/>
        </w:rPr>
        <w:t>The Guardian</w:t>
      </w:r>
      <w:r w:rsidRPr="001E1202">
        <w:rPr>
          <w:rFonts w:ascii="Times New Roman" w:eastAsia="Times New Roman" w:hAnsi="Times New Roman" w:cs="Times New Roman"/>
          <w:sz w:val="24"/>
          <w:szCs w:val="24"/>
          <w:lang w:eastAsia="en-GB"/>
        </w:rPr>
        <w:t>. [online] 8 Feb. Available at: https://www.theguardian.com/sport/2019/feb/08/olympics-medals-recycled-gadgets-electronic-waste.</w:t>
      </w:r>
    </w:p>
    <w:p w:rsidR="001E1202" w:rsidRPr="001E1202" w:rsidRDefault="001E1202" w:rsidP="001E1202">
      <w:pPr>
        <w:spacing w:after="240" w:line="360" w:lineRule="auto"/>
        <w:rPr>
          <w:rFonts w:ascii="Times New Roman" w:eastAsia="Times New Roman" w:hAnsi="Times New Roman" w:cs="Times New Roman"/>
          <w:sz w:val="24"/>
          <w:szCs w:val="24"/>
          <w:lang w:eastAsia="en-GB"/>
        </w:rPr>
      </w:pPr>
      <w:r w:rsidRPr="001E1202">
        <w:rPr>
          <w:rFonts w:ascii="Times New Roman" w:eastAsia="Times New Roman" w:hAnsi="Times New Roman" w:cs="Times New Roman"/>
          <w:sz w:val="24"/>
          <w:szCs w:val="24"/>
          <w:lang w:eastAsia="en-GB"/>
        </w:rPr>
        <w:t xml:space="preserve">United Nations (2024). </w:t>
      </w:r>
      <w:r w:rsidRPr="001E1202">
        <w:rPr>
          <w:rFonts w:ascii="Times New Roman" w:eastAsia="Times New Roman" w:hAnsi="Times New Roman" w:cs="Times New Roman"/>
          <w:i/>
          <w:iCs/>
          <w:sz w:val="24"/>
          <w:szCs w:val="24"/>
          <w:lang w:eastAsia="en-GB"/>
        </w:rPr>
        <w:t>The Paris Agreement</w:t>
      </w:r>
      <w:r w:rsidRPr="001E1202">
        <w:rPr>
          <w:rFonts w:ascii="Times New Roman" w:eastAsia="Times New Roman" w:hAnsi="Times New Roman" w:cs="Times New Roman"/>
          <w:sz w:val="24"/>
          <w:szCs w:val="24"/>
          <w:lang w:eastAsia="en-GB"/>
        </w:rPr>
        <w:t>. [online] United Nations. Available at: https://www.un.org/en/climatechange/paris-agreement.</w:t>
      </w:r>
    </w:p>
    <w:p w:rsidR="001E1202" w:rsidRPr="001E1202" w:rsidRDefault="001E1202">
      <w:pPr>
        <w:spacing w:line="360" w:lineRule="auto"/>
        <w:rPr>
          <w:rFonts w:ascii="Arial" w:hAnsi="Arial" w:cs="Arial"/>
          <w:sz w:val="24"/>
          <w:szCs w:val="24"/>
        </w:rPr>
      </w:pPr>
    </w:p>
    <w:sectPr w:rsidR="001E1202" w:rsidRPr="001E12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58DA"/>
    <w:rsid w:val="001502C6"/>
    <w:rsid w:val="001560CE"/>
    <w:rsid w:val="001858DA"/>
    <w:rsid w:val="001D7BD4"/>
    <w:rsid w:val="001E1202"/>
    <w:rsid w:val="002057B4"/>
    <w:rsid w:val="0021701A"/>
    <w:rsid w:val="002C4BA4"/>
    <w:rsid w:val="002C72AF"/>
    <w:rsid w:val="002E2AC2"/>
    <w:rsid w:val="00364AE4"/>
    <w:rsid w:val="00417445"/>
    <w:rsid w:val="00492955"/>
    <w:rsid w:val="004B5C29"/>
    <w:rsid w:val="005118B9"/>
    <w:rsid w:val="006568BD"/>
    <w:rsid w:val="00683ACB"/>
    <w:rsid w:val="006D39BE"/>
    <w:rsid w:val="006E486C"/>
    <w:rsid w:val="0075299D"/>
    <w:rsid w:val="007530C4"/>
    <w:rsid w:val="007C040D"/>
    <w:rsid w:val="007F0FDF"/>
    <w:rsid w:val="008178DC"/>
    <w:rsid w:val="00826239"/>
    <w:rsid w:val="00846C39"/>
    <w:rsid w:val="008626DE"/>
    <w:rsid w:val="008D34E3"/>
    <w:rsid w:val="00957C0B"/>
    <w:rsid w:val="009707DD"/>
    <w:rsid w:val="00991188"/>
    <w:rsid w:val="009F0CF4"/>
    <w:rsid w:val="00A16B64"/>
    <w:rsid w:val="00AB3C81"/>
    <w:rsid w:val="00AC3ED5"/>
    <w:rsid w:val="00B02450"/>
    <w:rsid w:val="00B35B69"/>
    <w:rsid w:val="00B35BD3"/>
    <w:rsid w:val="00B4423A"/>
    <w:rsid w:val="00B8697C"/>
    <w:rsid w:val="00C41609"/>
    <w:rsid w:val="00CA2FB1"/>
    <w:rsid w:val="00CF7F1E"/>
    <w:rsid w:val="00D02E69"/>
    <w:rsid w:val="00D74A56"/>
    <w:rsid w:val="00DB428A"/>
    <w:rsid w:val="00E018CD"/>
    <w:rsid w:val="00E10F63"/>
    <w:rsid w:val="00E61AAF"/>
    <w:rsid w:val="00F43ACA"/>
    <w:rsid w:val="00F53E9C"/>
    <w:rsid w:val="00FA7323"/>
    <w:rsid w:val="00FB54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9B5D72-95EB-49C3-B4D2-99AAC659A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1AAF"/>
    <w:pPr>
      <w:spacing w:line="256" w:lineRule="auto"/>
      <w:ind w:left="720"/>
      <w:contextualSpacing/>
    </w:pPr>
  </w:style>
  <w:style w:type="paragraph" w:styleId="NormalWeb">
    <w:name w:val="Normal (Web)"/>
    <w:basedOn w:val="Normal"/>
    <w:uiPriority w:val="99"/>
    <w:unhideWhenUsed/>
    <w:rsid w:val="002C72A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9565095">
      <w:bodyDiv w:val="1"/>
      <w:marLeft w:val="0"/>
      <w:marRight w:val="0"/>
      <w:marTop w:val="0"/>
      <w:marBottom w:val="0"/>
      <w:divBdr>
        <w:top w:val="none" w:sz="0" w:space="0" w:color="auto"/>
        <w:left w:val="none" w:sz="0" w:space="0" w:color="auto"/>
        <w:bottom w:val="none" w:sz="0" w:space="0" w:color="auto"/>
        <w:right w:val="none" w:sz="0" w:space="0" w:color="auto"/>
      </w:divBdr>
      <w:divsChild>
        <w:div w:id="2087411946">
          <w:marLeft w:val="0"/>
          <w:marRight w:val="0"/>
          <w:marTop w:val="0"/>
          <w:marBottom w:val="0"/>
          <w:divBdr>
            <w:top w:val="none" w:sz="0" w:space="0" w:color="auto"/>
            <w:left w:val="none" w:sz="0" w:space="0" w:color="auto"/>
            <w:bottom w:val="none" w:sz="0" w:space="0" w:color="auto"/>
            <w:right w:val="none" w:sz="0" w:space="0" w:color="auto"/>
          </w:divBdr>
        </w:div>
      </w:divsChild>
    </w:div>
    <w:div w:id="595939338">
      <w:bodyDiv w:val="1"/>
      <w:marLeft w:val="0"/>
      <w:marRight w:val="0"/>
      <w:marTop w:val="0"/>
      <w:marBottom w:val="0"/>
      <w:divBdr>
        <w:top w:val="none" w:sz="0" w:space="0" w:color="auto"/>
        <w:left w:val="none" w:sz="0" w:space="0" w:color="auto"/>
        <w:bottom w:val="none" w:sz="0" w:space="0" w:color="auto"/>
        <w:right w:val="none" w:sz="0" w:space="0" w:color="auto"/>
      </w:divBdr>
      <w:divsChild>
        <w:div w:id="1093277552">
          <w:marLeft w:val="0"/>
          <w:marRight w:val="0"/>
          <w:marTop w:val="0"/>
          <w:marBottom w:val="0"/>
          <w:divBdr>
            <w:top w:val="none" w:sz="0" w:space="0" w:color="auto"/>
            <w:left w:val="none" w:sz="0" w:space="0" w:color="auto"/>
            <w:bottom w:val="none" w:sz="0" w:space="0" w:color="auto"/>
            <w:right w:val="none" w:sz="0" w:space="0" w:color="auto"/>
          </w:divBdr>
        </w:div>
      </w:divsChild>
    </w:div>
    <w:div w:id="900285295">
      <w:bodyDiv w:val="1"/>
      <w:marLeft w:val="0"/>
      <w:marRight w:val="0"/>
      <w:marTop w:val="0"/>
      <w:marBottom w:val="0"/>
      <w:divBdr>
        <w:top w:val="none" w:sz="0" w:space="0" w:color="auto"/>
        <w:left w:val="none" w:sz="0" w:space="0" w:color="auto"/>
        <w:bottom w:val="none" w:sz="0" w:space="0" w:color="auto"/>
        <w:right w:val="none" w:sz="0" w:space="0" w:color="auto"/>
      </w:divBdr>
    </w:div>
    <w:div w:id="977806596">
      <w:bodyDiv w:val="1"/>
      <w:marLeft w:val="0"/>
      <w:marRight w:val="0"/>
      <w:marTop w:val="0"/>
      <w:marBottom w:val="0"/>
      <w:divBdr>
        <w:top w:val="none" w:sz="0" w:space="0" w:color="auto"/>
        <w:left w:val="none" w:sz="0" w:space="0" w:color="auto"/>
        <w:bottom w:val="none" w:sz="0" w:space="0" w:color="auto"/>
        <w:right w:val="none" w:sz="0" w:space="0" w:color="auto"/>
      </w:divBdr>
    </w:div>
    <w:div w:id="1503735713">
      <w:bodyDiv w:val="1"/>
      <w:marLeft w:val="0"/>
      <w:marRight w:val="0"/>
      <w:marTop w:val="0"/>
      <w:marBottom w:val="0"/>
      <w:divBdr>
        <w:top w:val="none" w:sz="0" w:space="0" w:color="auto"/>
        <w:left w:val="none" w:sz="0" w:space="0" w:color="auto"/>
        <w:bottom w:val="none" w:sz="0" w:space="0" w:color="auto"/>
        <w:right w:val="none" w:sz="0" w:space="0" w:color="auto"/>
      </w:divBdr>
      <w:divsChild>
        <w:div w:id="1167405392">
          <w:marLeft w:val="0"/>
          <w:marRight w:val="0"/>
          <w:marTop w:val="0"/>
          <w:marBottom w:val="0"/>
          <w:divBdr>
            <w:top w:val="none" w:sz="0" w:space="0" w:color="auto"/>
            <w:left w:val="none" w:sz="0" w:space="0" w:color="auto"/>
            <w:bottom w:val="none" w:sz="0" w:space="0" w:color="auto"/>
            <w:right w:val="none" w:sz="0" w:space="0" w:color="auto"/>
          </w:divBdr>
        </w:div>
      </w:divsChild>
    </w:div>
    <w:div w:id="1588035104">
      <w:bodyDiv w:val="1"/>
      <w:marLeft w:val="0"/>
      <w:marRight w:val="0"/>
      <w:marTop w:val="0"/>
      <w:marBottom w:val="0"/>
      <w:divBdr>
        <w:top w:val="none" w:sz="0" w:space="0" w:color="auto"/>
        <w:left w:val="none" w:sz="0" w:space="0" w:color="auto"/>
        <w:bottom w:val="none" w:sz="0" w:space="0" w:color="auto"/>
        <w:right w:val="none" w:sz="0" w:space="0" w:color="auto"/>
      </w:divBdr>
    </w:div>
    <w:div w:id="1707757964">
      <w:bodyDiv w:val="1"/>
      <w:marLeft w:val="0"/>
      <w:marRight w:val="0"/>
      <w:marTop w:val="0"/>
      <w:marBottom w:val="0"/>
      <w:divBdr>
        <w:top w:val="none" w:sz="0" w:space="0" w:color="auto"/>
        <w:left w:val="none" w:sz="0" w:space="0" w:color="auto"/>
        <w:bottom w:val="none" w:sz="0" w:space="0" w:color="auto"/>
        <w:right w:val="none" w:sz="0" w:space="0" w:color="auto"/>
      </w:divBdr>
    </w:div>
    <w:div w:id="1888906205">
      <w:bodyDiv w:val="1"/>
      <w:marLeft w:val="0"/>
      <w:marRight w:val="0"/>
      <w:marTop w:val="0"/>
      <w:marBottom w:val="0"/>
      <w:divBdr>
        <w:top w:val="none" w:sz="0" w:space="0" w:color="auto"/>
        <w:left w:val="none" w:sz="0" w:space="0" w:color="auto"/>
        <w:bottom w:val="none" w:sz="0" w:space="0" w:color="auto"/>
        <w:right w:val="none" w:sz="0" w:space="0" w:color="auto"/>
      </w:divBdr>
      <w:divsChild>
        <w:div w:id="94520197">
          <w:marLeft w:val="0"/>
          <w:marRight w:val="0"/>
          <w:marTop w:val="0"/>
          <w:marBottom w:val="0"/>
          <w:divBdr>
            <w:top w:val="none" w:sz="0" w:space="0" w:color="auto"/>
            <w:left w:val="none" w:sz="0" w:space="0" w:color="auto"/>
            <w:bottom w:val="none" w:sz="0" w:space="0" w:color="auto"/>
            <w:right w:val="none" w:sz="0" w:space="0" w:color="auto"/>
          </w:divBdr>
        </w:div>
      </w:divsChild>
    </w:div>
    <w:div w:id="1991859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4418</Words>
  <Characters>25183</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4</cp:revision>
  <dcterms:created xsi:type="dcterms:W3CDTF">2024-11-23T17:01:00Z</dcterms:created>
  <dcterms:modified xsi:type="dcterms:W3CDTF">2024-11-23T17:02:00Z</dcterms:modified>
</cp:coreProperties>
</file>