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DFA14" w14:textId="57784831" w:rsidR="006B4E0A" w:rsidRDefault="008E7843" w:rsidP="00A8348B">
      <w:pPr>
        <w:jc w:val="both"/>
      </w:pPr>
      <w:r>
        <w:rPr>
          <w:noProof/>
        </w:rPr>
        <w:drawing>
          <wp:inline distT="0" distB="0" distL="0" distR="0" wp14:anchorId="3C765FEF" wp14:editId="244B2F63">
            <wp:extent cx="5354608" cy="2514600"/>
            <wp:effectExtent l="0" t="0" r="0" b="0"/>
            <wp:docPr id="200987349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73497"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2037" cy="2546265"/>
                    </a:xfrm>
                    <a:prstGeom prst="rect">
                      <a:avLst/>
                    </a:prstGeom>
                    <a:noFill/>
                  </pic:spPr>
                </pic:pic>
              </a:graphicData>
            </a:graphic>
          </wp:inline>
        </w:drawing>
      </w:r>
    </w:p>
    <w:p w14:paraId="36804FDB" w14:textId="77777777" w:rsidR="0059547A" w:rsidRPr="00663AAF" w:rsidRDefault="0059547A" w:rsidP="00A8348B">
      <w:pPr>
        <w:jc w:val="both"/>
        <w:rPr>
          <w:rFonts w:ascii="Arial" w:hAnsi="Arial" w:cs="Arial"/>
          <w:sz w:val="28"/>
          <w:szCs w:val="28"/>
        </w:rPr>
      </w:pPr>
    </w:p>
    <w:p w14:paraId="1AA6E696" w14:textId="0BB193D0" w:rsidR="00DD6FE4" w:rsidRPr="00663AAF" w:rsidRDefault="00DD6FE4" w:rsidP="00A8348B">
      <w:pPr>
        <w:jc w:val="both"/>
        <w:rPr>
          <w:rFonts w:ascii="Arial" w:hAnsi="Arial" w:cs="Arial"/>
          <w:sz w:val="28"/>
          <w:szCs w:val="28"/>
        </w:rPr>
      </w:pPr>
      <w:r w:rsidRPr="00663AAF">
        <w:rPr>
          <w:rFonts w:ascii="Arial" w:hAnsi="Arial" w:cs="Arial"/>
          <w:sz w:val="28"/>
          <w:szCs w:val="28"/>
        </w:rPr>
        <w:t>Student Name: Ala Uzun</w:t>
      </w:r>
    </w:p>
    <w:p w14:paraId="0FE8CCC1" w14:textId="77777777" w:rsidR="00DD6FE4" w:rsidRPr="00663AAF" w:rsidRDefault="00DD6FE4" w:rsidP="00A8348B">
      <w:pPr>
        <w:jc w:val="both"/>
        <w:rPr>
          <w:rFonts w:ascii="Arial" w:hAnsi="Arial" w:cs="Arial"/>
          <w:sz w:val="28"/>
          <w:szCs w:val="28"/>
        </w:rPr>
      </w:pPr>
      <w:r w:rsidRPr="00663AAF">
        <w:rPr>
          <w:rFonts w:ascii="Arial" w:hAnsi="Arial" w:cs="Arial"/>
          <w:sz w:val="28"/>
          <w:szCs w:val="28"/>
        </w:rPr>
        <w:t>Student Number: 2243112</w:t>
      </w:r>
    </w:p>
    <w:p w14:paraId="7103CDCB" w14:textId="6347AFFF" w:rsidR="00DD6FE4" w:rsidRPr="00663AAF" w:rsidRDefault="00DD6FE4" w:rsidP="00A8348B">
      <w:pPr>
        <w:jc w:val="both"/>
        <w:rPr>
          <w:rFonts w:ascii="Arial" w:hAnsi="Arial" w:cs="Arial"/>
          <w:sz w:val="28"/>
          <w:szCs w:val="28"/>
        </w:rPr>
      </w:pPr>
      <w:r w:rsidRPr="00663AAF">
        <w:rPr>
          <w:rFonts w:ascii="Arial" w:hAnsi="Arial" w:cs="Arial"/>
          <w:sz w:val="28"/>
          <w:szCs w:val="28"/>
        </w:rPr>
        <w:t>Course Name:</w:t>
      </w:r>
      <w:r w:rsidR="00E517B8" w:rsidRPr="00663AAF">
        <w:rPr>
          <w:rFonts w:ascii="Arial" w:hAnsi="Arial" w:cs="Arial"/>
          <w:sz w:val="28"/>
          <w:szCs w:val="28"/>
        </w:rPr>
        <w:t xml:space="preserve"> Principles of Marketing (</w:t>
      </w:r>
      <w:r w:rsidR="00A4497C" w:rsidRPr="00663AAF">
        <w:rPr>
          <w:rFonts w:ascii="Arial" w:hAnsi="Arial" w:cs="Arial"/>
          <w:sz w:val="28"/>
          <w:szCs w:val="28"/>
        </w:rPr>
        <w:t>LCBB5015</w:t>
      </w:r>
      <w:r w:rsidR="00E517B8" w:rsidRPr="00663AAF">
        <w:rPr>
          <w:rFonts w:ascii="Arial" w:hAnsi="Arial" w:cs="Arial"/>
          <w:sz w:val="28"/>
          <w:szCs w:val="28"/>
        </w:rPr>
        <w:t>)</w:t>
      </w:r>
    </w:p>
    <w:p w14:paraId="39FAE21A" w14:textId="2449248F" w:rsidR="00DD6FE4" w:rsidRPr="00663AAF" w:rsidRDefault="00DD6FE4" w:rsidP="00A8348B">
      <w:pPr>
        <w:jc w:val="both"/>
        <w:rPr>
          <w:rFonts w:ascii="Arial" w:hAnsi="Arial" w:cs="Arial"/>
          <w:sz w:val="28"/>
          <w:szCs w:val="28"/>
        </w:rPr>
      </w:pPr>
      <w:r w:rsidRPr="00663AAF">
        <w:rPr>
          <w:rFonts w:ascii="Arial" w:hAnsi="Arial" w:cs="Arial"/>
          <w:sz w:val="28"/>
          <w:szCs w:val="28"/>
        </w:rPr>
        <w:t xml:space="preserve">Lecturer Name: </w:t>
      </w:r>
      <w:proofErr w:type="spellStart"/>
      <w:r w:rsidR="00A15E13" w:rsidRPr="00663AAF">
        <w:rPr>
          <w:rFonts w:ascii="Arial" w:hAnsi="Arial" w:cs="Arial"/>
          <w:sz w:val="28"/>
          <w:szCs w:val="28"/>
        </w:rPr>
        <w:t>Piyumika</w:t>
      </w:r>
      <w:proofErr w:type="spellEnd"/>
      <w:r w:rsidR="00A15E13" w:rsidRPr="00663AAF">
        <w:rPr>
          <w:rFonts w:ascii="Arial" w:hAnsi="Arial" w:cs="Arial"/>
          <w:sz w:val="28"/>
          <w:szCs w:val="28"/>
        </w:rPr>
        <w:t xml:space="preserve"> K. Gamage </w:t>
      </w:r>
    </w:p>
    <w:p w14:paraId="5630FDE1" w14:textId="55988DCF" w:rsidR="00DD6FE4" w:rsidRPr="00663AAF" w:rsidRDefault="00DD6FE4" w:rsidP="00A8348B">
      <w:pPr>
        <w:jc w:val="both"/>
        <w:rPr>
          <w:rFonts w:ascii="Arial" w:hAnsi="Arial" w:cs="Arial"/>
          <w:sz w:val="28"/>
          <w:szCs w:val="28"/>
        </w:rPr>
      </w:pPr>
      <w:r w:rsidRPr="00663AAF">
        <w:rPr>
          <w:rFonts w:ascii="Arial" w:hAnsi="Arial" w:cs="Arial"/>
          <w:sz w:val="28"/>
          <w:szCs w:val="28"/>
        </w:rPr>
        <w:t xml:space="preserve">Session: </w:t>
      </w:r>
      <w:r w:rsidR="00B22A69" w:rsidRPr="00663AAF">
        <w:rPr>
          <w:rFonts w:ascii="Arial" w:hAnsi="Arial" w:cs="Arial"/>
          <w:sz w:val="28"/>
          <w:szCs w:val="28"/>
        </w:rPr>
        <w:t xml:space="preserve">October </w:t>
      </w:r>
      <w:r w:rsidRPr="00663AAF">
        <w:rPr>
          <w:rFonts w:ascii="Arial" w:hAnsi="Arial" w:cs="Arial"/>
          <w:sz w:val="28"/>
          <w:szCs w:val="28"/>
        </w:rPr>
        <w:t>2025 Term</w:t>
      </w:r>
    </w:p>
    <w:p w14:paraId="2017425E" w14:textId="77777777" w:rsidR="00663AAF" w:rsidRDefault="00663AAF" w:rsidP="00A8348B">
      <w:pPr>
        <w:jc w:val="both"/>
        <w:rPr>
          <w:rFonts w:ascii="Arial" w:hAnsi="Arial" w:cs="Arial"/>
          <w:b/>
          <w:bCs/>
          <w:sz w:val="32"/>
          <w:szCs w:val="32"/>
        </w:rPr>
      </w:pPr>
    </w:p>
    <w:p w14:paraId="4E61D5B0" w14:textId="3759D0D0" w:rsidR="005868D1" w:rsidRDefault="005868D1" w:rsidP="00A8348B">
      <w:pPr>
        <w:jc w:val="both"/>
        <w:rPr>
          <w:rFonts w:ascii="Arial" w:hAnsi="Arial" w:cs="Arial"/>
          <w:b/>
          <w:bCs/>
          <w:sz w:val="32"/>
          <w:szCs w:val="32"/>
        </w:rPr>
      </w:pPr>
      <w:r w:rsidRPr="00663AAF">
        <w:rPr>
          <w:rFonts w:ascii="Arial" w:hAnsi="Arial" w:cs="Arial"/>
          <w:b/>
          <w:bCs/>
          <w:sz w:val="32"/>
          <w:szCs w:val="32"/>
        </w:rPr>
        <w:t>“Strategic Responses to Macro-Environmental Dynamics: A PESTEL Analysis of Rolls-Royce Holdings plc”</w:t>
      </w:r>
    </w:p>
    <w:p w14:paraId="730E0FE2" w14:textId="77777777" w:rsidR="00602351" w:rsidRDefault="00602351" w:rsidP="00A8348B">
      <w:pPr>
        <w:jc w:val="both"/>
        <w:rPr>
          <w:rFonts w:ascii="Arial" w:hAnsi="Arial" w:cs="Arial"/>
          <w:b/>
          <w:bCs/>
          <w:sz w:val="32"/>
          <w:szCs w:val="32"/>
        </w:rPr>
      </w:pPr>
    </w:p>
    <w:p w14:paraId="56FF3CCA" w14:textId="77777777" w:rsidR="00602351" w:rsidRDefault="00602351" w:rsidP="00A8348B">
      <w:pPr>
        <w:jc w:val="both"/>
        <w:rPr>
          <w:rFonts w:ascii="Arial" w:hAnsi="Arial" w:cs="Arial"/>
          <w:b/>
          <w:bCs/>
          <w:sz w:val="32"/>
          <w:szCs w:val="32"/>
        </w:rPr>
      </w:pPr>
    </w:p>
    <w:p w14:paraId="6541D664" w14:textId="77777777" w:rsidR="00602351" w:rsidRDefault="00602351" w:rsidP="00A8348B">
      <w:pPr>
        <w:jc w:val="both"/>
        <w:rPr>
          <w:rFonts w:ascii="Arial" w:hAnsi="Arial" w:cs="Arial"/>
          <w:b/>
          <w:bCs/>
          <w:sz w:val="32"/>
          <w:szCs w:val="32"/>
        </w:rPr>
      </w:pPr>
    </w:p>
    <w:p w14:paraId="5D29F5B4" w14:textId="77777777" w:rsidR="00602351" w:rsidRDefault="00602351" w:rsidP="00A8348B">
      <w:pPr>
        <w:jc w:val="both"/>
        <w:rPr>
          <w:rFonts w:ascii="Arial" w:hAnsi="Arial" w:cs="Arial"/>
          <w:b/>
          <w:bCs/>
          <w:sz w:val="32"/>
          <w:szCs w:val="32"/>
        </w:rPr>
      </w:pPr>
    </w:p>
    <w:p w14:paraId="4EDF5404" w14:textId="77777777" w:rsidR="00602351" w:rsidRDefault="00602351" w:rsidP="00A8348B">
      <w:pPr>
        <w:jc w:val="both"/>
        <w:rPr>
          <w:rFonts w:ascii="Arial" w:hAnsi="Arial" w:cs="Arial"/>
          <w:b/>
          <w:bCs/>
          <w:sz w:val="32"/>
          <w:szCs w:val="32"/>
        </w:rPr>
      </w:pPr>
    </w:p>
    <w:p w14:paraId="69444016" w14:textId="77777777" w:rsidR="00602351" w:rsidRDefault="00602351" w:rsidP="00A8348B">
      <w:pPr>
        <w:jc w:val="both"/>
        <w:rPr>
          <w:rFonts w:ascii="Arial" w:hAnsi="Arial" w:cs="Arial"/>
          <w:b/>
          <w:bCs/>
          <w:sz w:val="32"/>
          <w:szCs w:val="32"/>
        </w:rPr>
      </w:pPr>
    </w:p>
    <w:p w14:paraId="241B777A" w14:textId="77777777" w:rsidR="00602351" w:rsidRDefault="00602351" w:rsidP="00A8348B">
      <w:pPr>
        <w:jc w:val="both"/>
        <w:rPr>
          <w:rFonts w:ascii="Arial" w:hAnsi="Arial" w:cs="Arial"/>
          <w:b/>
          <w:bCs/>
          <w:sz w:val="32"/>
          <w:szCs w:val="32"/>
        </w:rPr>
      </w:pPr>
    </w:p>
    <w:p w14:paraId="7BDFD653" w14:textId="31C730C8" w:rsidR="0045483E" w:rsidRDefault="0045483E" w:rsidP="00A8348B">
      <w:pPr>
        <w:jc w:val="both"/>
        <w:rPr>
          <w:rFonts w:ascii="Arial" w:hAnsi="Arial" w:cs="Arial"/>
          <w:b/>
          <w:bCs/>
          <w:sz w:val="32"/>
          <w:szCs w:val="32"/>
        </w:rPr>
      </w:pPr>
    </w:p>
    <w:sdt>
      <w:sdtPr>
        <w:rPr>
          <w:rFonts w:asciiTheme="minorHAnsi" w:eastAsiaTheme="minorHAnsi" w:hAnsiTheme="minorHAnsi" w:cstheme="minorBidi"/>
          <w:b w:val="0"/>
          <w:sz w:val="24"/>
          <w:szCs w:val="24"/>
        </w:rPr>
        <w:id w:val="598525398"/>
        <w:docPartObj>
          <w:docPartGallery w:val="Table of Contents"/>
          <w:docPartUnique/>
        </w:docPartObj>
      </w:sdtPr>
      <w:sdtEndPr>
        <w:rPr>
          <w:bCs/>
        </w:rPr>
      </w:sdtEndPr>
      <w:sdtContent>
        <w:p w14:paraId="2256D75D" w14:textId="2F8B6609" w:rsidR="00C05452" w:rsidRDefault="00C05452" w:rsidP="00A8348B">
          <w:pPr>
            <w:pStyle w:val="Style2"/>
            <w:jc w:val="both"/>
          </w:pPr>
          <w:r>
            <w:t>Table of Contents</w:t>
          </w:r>
        </w:p>
        <w:p w14:paraId="6A31878C" w14:textId="0257325C" w:rsidR="00C05452" w:rsidRDefault="00C05452" w:rsidP="00A8348B">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212839358" w:history="1">
            <w:r w:rsidRPr="00D91A90">
              <w:rPr>
                <w:rStyle w:val="Hyperlink"/>
                <w:noProof/>
              </w:rPr>
              <w:t>1. Introduction</w:t>
            </w:r>
            <w:r>
              <w:rPr>
                <w:noProof/>
                <w:webHidden/>
              </w:rPr>
              <w:tab/>
            </w:r>
            <w:r>
              <w:rPr>
                <w:noProof/>
                <w:webHidden/>
              </w:rPr>
              <w:fldChar w:fldCharType="begin"/>
            </w:r>
            <w:r>
              <w:rPr>
                <w:noProof/>
                <w:webHidden/>
              </w:rPr>
              <w:instrText xml:space="preserve"> PAGEREF _Toc212839358 \h </w:instrText>
            </w:r>
            <w:r>
              <w:rPr>
                <w:noProof/>
                <w:webHidden/>
              </w:rPr>
            </w:r>
            <w:r>
              <w:rPr>
                <w:noProof/>
                <w:webHidden/>
              </w:rPr>
              <w:fldChar w:fldCharType="separate"/>
            </w:r>
            <w:r w:rsidR="00BF383A">
              <w:rPr>
                <w:noProof/>
                <w:webHidden/>
              </w:rPr>
              <w:t>3</w:t>
            </w:r>
            <w:r>
              <w:rPr>
                <w:noProof/>
                <w:webHidden/>
              </w:rPr>
              <w:fldChar w:fldCharType="end"/>
            </w:r>
          </w:hyperlink>
        </w:p>
        <w:p w14:paraId="092A070A" w14:textId="4DF992EC" w:rsidR="00C05452" w:rsidRDefault="00C05452" w:rsidP="00A8348B">
          <w:pPr>
            <w:pStyle w:val="TOC1"/>
            <w:tabs>
              <w:tab w:val="right" w:leader="dot" w:pos="9016"/>
            </w:tabs>
            <w:jc w:val="both"/>
            <w:rPr>
              <w:rFonts w:eastAsiaTheme="minorEastAsia"/>
              <w:noProof/>
              <w:lang w:eastAsia="en-GB"/>
            </w:rPr>
          </w:pPr>
          <w:hyperlink w:anchor="_Toc212839359" w:history="1">
            <w:r w:rsidRPr="00D91A90">
              <w:rPr>
                <w:rStyle w:val="Hyperlink"/>
                <w:bCs/>
                <w:noProof/>
              </w:rPr>
              <w:t>2. Situational Analysis: PESTLE Framework</w:t>
            </w:r>
            <w:r>
              <w:rPr>
                <w:noProof/>
                <w:webHidden/>
              </w:rPr>
              <w:tab/>
            </w:r>
            <w:r>
              <w:rPr>
                <w:noProof/>
                <w:webHidden/>
              </w:rPr>
              <w:fldChar w:fldCharType="begin"/>
            </w:r>
            <w:r>
              <w:rPr>
                <w:noProof/>
                <w:webHidden/>
              </w:rPr>
              <w:instrText xml:space="preserve"> PAGEREF _Toc212839359 \h </w:instrText>
            </w:r>
            <w:r>
              <w:rPr>
                <w:noProof/>
                <w:webHidden/>
              </w:rPr>
            </w:r>
            <w:r>
              <w:rPr>
                <w:noProof/>
                <w:webHidden/>
              </w:rPr>
              <w:fldChar w:fldCharType="separate"/>
            </w:r>
            <w:r w:rsidR="00BF383A">
              <w:rPr>
                <w:noProof/>
                <w:webHidden/>
              </w:rPr>
              <w:t>3</w:t>
            </w:r>
            <w:r>
              <w:rPr>
                <w:noProof/>
                <w:webHidden/>
              </w:rPr>
              <w:fldChar w:fldCharType="end"/>
            </w:r>
          </w:hyperlink>
        </w:p>
        <w:p w14:paraId="2C5CC3CE" w14:textId="22721BCE" w:rsidR="00C05452" w:rsidRDefault="00C05452" w:rsidP="00A8348B">
          <w:pPr>
            <w:pStyle w:val="TOC1"/>
            <w:tabs>
              <w:tab w:val="right" w:leader="dot" w:pos="9016"/>
            </w:tabs>
            <w:jc w:val="both"/>
            <w:rPr>
              <w:rFonts w:eastAsiaTheme="minorEastAsia"/>
              <w:noProof/>
              <w:lang w:eastAsia="en-GB"/>
            </w:rPr>
          </w:pPr>
          <w:hyperlink w:anchor="_Toc212839360" w:history="1">
            <w:r w:rsidRPr="00D91A90">
              <w:rPr>
                <w:rStyle w:val="Hyperlink"/>
                <w:noProof/>
              </w:rPr>
              <w:t>2.1 Political Factors</w:t>
            </w:r>
            <w:r>
              <w:rPr>
                <w:noProof/>
                <w:webHidden/>
              </w:rPr>
              <w:tab/>
            </w:r>
            <w:r>
              <w:rPr>
                <w:noProof/>
                <w:webHidden/>
              </w:rPr>
              <w:fldChar w:fldCharType="begin"/>
            </w:r>
            <w:r>
              <w:rPr>
                <w:noProof/>
                <w:webHidden/>
              </w:rPr>
              <w:instrText xml:space="preserve"> PAGEREF _Toc212839360 \h </w:instrText>
            </w:r>
            <w:r>
              <w:rPr>
                <w:noProof/>
                <w:webHidden/>
              </w:rPr>
            </w:r>
            <w:r>
              <w:rPr>
                <w:noProof/>
                <w:webHidden/>
              </w:rPr>
              <w:fldChar w:fldCharType="separate"/>
            </w:r>
            <w:r w:rsidR="00BF383A">
              <w:rPr>
                <w:noProof/>
                <w:webHidden/>
              </w:rPr>
              <w:t>3</w:t>
            </w:r>
            <w:r>
              <w:rPr>
                <w:noProof/>
                <w:webHidden/>
              </w:rPr>
              <w:fldChar w:fldCharType="end"/>
            </w:r>
          </w:hyperlink>
        </w:p>
        <w:p w14:paraId="7DD08003" w14:textId="05B89EFF" w:rsidR="00C05452" w:rsidRDefault="00C05452" w:rsidP="00A8348B">
          <w:pPr>
            <w:pStyle w:val="TOC1"/>
            <w:tabs>
              <w:tab w:val="right" w:leader="dot" w:pos="9016"/>
            </w:tabs>
            <w:jc w:val="both"/>
            <w:rPr>
              <w:rFonts w:eastAsiaTheme="minorEastAsia"/>
              <w:noProof/>
              <w:lang w:eastAsia="en-GB"/>
            </w:rPr>
          </w:pPr>
          <w:hyperlink w:anchor="_Toc212839361" w:history="1">
            <w:r w:rsidRPr="00D91A90">
              <w:rPr>
                <w:rStyle w:val="Hyperlink"/>
                <w:noProof/>
              </w:rPr>
              <w:t>2.2 Economic Factors</w:t>
            </w:r>
            <w:r>
              <w:rPr>
                <w:noProof/>
                <w:webHidden/>
              </w:rPr>
              <w:tab/>
            </w:r>
            <w:r>
              <w:rPr>
                <w:noProof/>
                <w:webHidden/>
              </w:rPr>
              <w:fldChar w:fldCharType="begin"/>
            </w:r>
            <w:r>
              <w:rPr>
                <w:noProof/>
                <w:webHidden/>
              </w:rPr>
              <w:instrText xml:space="preserve"> PAGEREF _Toc212839361 \h </w:instrText>
            </w:r>
            <w:r>
              <w:rPr>
                <w:noProof/>
                <w:webHidden/>
              </w:rPr>
            </w:r>
            <w:r>
              <w:rPr>
                <w:noProof/>
                <w:webHidden/>
              </w:rPr>
              <w:fldChar w:fldCharType="separate"/>
            </w:r>
            <w:r w:rsidR="00BF383A">
              <w:rPr>
                <w:noProof/>
                <w:webHidden/>
              </w:rPr>
              <w:t>3</w:t>
            </w:r>
            <w:r>
              <w:rPr>
                <w:noProof/>
                <w:webHidden/>
              </w:rPr>
              <w:fldChar w:fldCharType="end"/>
            </w:r>
          </w:hyperlink>
        </w:p>
        <w:p w14:paraId="42CBEC8C" w14:textId="48937DE6" w:rsidR="00C05452" w:rsidRDefault="00C05452" w:rsidP="00A8348B">
          <w:pPr>
            <w:pStyle w:val="TOC1"/>
            <w:tabs>
              <w:tab w:val="right" w:leader="dot" w:pos="9016"/>
            </w:tabs>
            <w:jc w:val="both"/>
            <w:rPr>
              <w:rFonts w:eastAsiaTheme="minorEastAsia"/>
              <w:noProof/>
              <w:lang w:eastAsia="en-GB"/>
            </w:rPr>
          </w:pPr>
          <w:hyperlink w:anchor="_Toc212839362" w:history="1">
            <w:r w:rsidRPr="00D91A90">
              <w:rPr>
                <w:rStyle w:val="Hyperlink"/>
                <w:noProof/>
              </w:rPr>
              <w:t>2.3 Social Factors</w:t>
            </w:r>
            <w:r>
              <w:rPr>
                <w:noProof/>
                <w:webHidden/>
              </w:rPr>
              <w:tab/>
            </w:r>
            <w:r>
              <w:rPr>
                <w:noProof/>
                <w:webHidden/>
              </w:rPr>
              <w:fldChar w:fldCharType="begin"/>
            </w:r>
            <w:r>
              <w:rPr>
                <w:noProof/>
                <w:webHidden/>
              </w:rPr>
              <w:instrText xml:space="preserve"> PAGEREF _Toc212839362 \h </w:instrText>
            </w:r>
            <w:r>
              <w:rPr>
                <w:noProof/>
                <w:webHidden/>
              </w:rPr>
            </w:r>
            <w:r>
              <w:rPr>
                <w:noProof/>
                <w:webHidden/>
              </w:rPr>
              <w:fldChar w:fldCharType="separate"/>
            </w:r>
            <w:r w:rsidR="00BF383A">
              <w:rPr>
                <w:noProof/>
                <w:webHidden/>
              </w:rPr>
              <w:t>4</w:t>
            </w:r>
            <w:r>
              <w:rPr>
                <w:noProof/>
                <w:webHidden/>
              </w:rPr>
              <w:fldChar w:fldCharType="end"/>
            </w:r>
          </w:hyperlink>
        </w:p>
        <w:p w14:paraId="243EA1A2" w14:textId="5E381F18" w:rsidR="00C05452" w:rsidRDefault="00C05452" w:rsidP="00A8348B">
          <w:pPr>
            <w:pStyle w:val="TOC1"/>
            <w:tabs>
              <w:tab w:val="right" w:leader="dot" w:pos="9016"/>
            </w:tabs>
            <w:jc w:val="both"/>
            <w:rPr>
              <w:rFonts w:eastAsiaTheme="minorEastAsia"/>
              <w:noProof/>
              <w:lang w:eastAsia="en-GB"/>
            </w:rPr>
          </w:pPr>
          <w:hyperlink w:anchor="_Toc212839363" w:history="1">
            <w:r w:rsidRPr="00D91A90">
              <w:rPr>
                <w:rStyle w:val="Hyperlink"/>
                <w:bCs/>
                <w:noProof/>
              </w:rPr>
              <w:t>2.4 Technological Factors</w:t>
            </w:r>
            <w:r>
              <w:rPr>
                <w:noProof/>
                <w:webHidden/>
              </w:rPr>
              <w:tab/>
            </w:r>
            <w:r>
              <w:rPr>
                <w:noProof/>
                <w:webHidden/>
              </w:rPr>
              <w:fldChar w:fldCharType="begin"/>
            </w:r>
            <w:r>
              <w:rPr>
                <w:noProof/>
                <w:webHidden/>
              </w:rPr>
              <w:instrText xml:space="preserve"> PAGEREF _Toc212839363 \h </w:instrText>
            </w:r>
            <w:r>
              <w:rPr>
                <w:noProof/>
                <w:webHidden/>
              </w:rPr>
            </w:r>
            <w:r>
              <w:rPr>
                <w:noProof/>
                <w:webHidden/>
              </w:rPr>
              <w:fldChar w:fldCharType="separate"/>
            </w:r>
            <w:r w:rsidR="00BF383A">
              <w:rPr>
                <w:noProof/>
                <w:webHidden/>
              </w:rPr>
              <w:t>4</w:t>
            </w:r>
            <w:r>
              <w:rPr>
                <w:noProof/>
                <w:webHidden/>
              </w:rPr>
              <w:fldChar w:fldCharType="end"/>
            </w:r>
          </w:hyperlink>
        </w:p>
        <w:p w14:paraId="11CB977A" w14:textId="1CC3FDD9" w:rsidR="00C05452" w:rsidRDefault="00C05452" w:rsidP="00A8348B">
          <w:pPr>
            <w:pStyle w:val="TOC1"/>
            <w:tabs>
              <w:tab w:val="right" w:leader="dot" w:pos="9016"/>
            </w:tabs>
            <w:jc w:val="both"/>
            <w:rPr>
              <w:rFonts w:eastAsiaTheme="minorEastAsia"/>
              <w:noProof/>
              <w:lang w:eastAsia="en-GB"/>
            </w:rPr>
          </w:pPr>
          <w:hyperlink w:anchor="_Toc212839364" w:history="1">
            <w:r w:rsidRPr="00D91A90">
              <w:rPr>
                <w:rStyle w:val="Hyperlink"/>
                <w:bCs/>
                <w:noProof/>
              </w:rPr>
              <w:t>2.5 Legal Factors</w:t>
            </w:r>
            <w:r>
              <w:rPr>
                <w:noProof/>
                <w:webHidden/>
              </w:rPr>
              <w:tab/>
            </w:r>
            <w:r>
              <w:rPr>
                <w:noProof/>
                <w:webHidden/>
              </w:rPr>
              <w:fldChar w:fldCharType="begin"/>
            </w:r>
            <w:r>
              <w:rPr>
                <w:noProof/>
                <w:webHidden/>
              </w:rPr>
              <w:instrText xml:space="preserve"> PAGEREF _Toc212839364 \h </w:instrText>
            </w:r>
            <w:r>
              <w:rPr>
                <w:noProof/>
                <w:webHidden/>
              </w:rPr>
            </w:r>
            <w:r>
              <w:rPr>
                <w:noProof/>
                <w:webHidden/>
              </w:rPr>
              <w:fldChar w:fldCharType="separate"/>
            </w:r>
            <w:r w:rsidR="00BF383A">
              <w:rPr>
                <w:noProof/>
                <w:webHidden/>
              </w:rPr>
              <w:t>5</w:t>
            </w:r>
            <w:r>
              <w:rPr>
                <w:noProof/>
                <w:webHidden/>
              </w:rPr>
              <w:fldChar w:fldCharType="end"/>
            </w:r>
          </w:hyperlink>
        </w:p>
        <w:p w14:paraId="4A7ECBB5" w14:textId="64BAA31E" w:rsidR="00C05452" w:rsidRDefault="00C05452" w:rsidP="00A8348B">
          <w:pPr>
            <w:pStyle w:val="TOC1"/>
            <w:tabs>
              <w:tab w:val="right" w:leader="dot" w:pos="9016"/>
            </w:tabs>
            <w:jc w:val="both"/>
            <w:rPr>
              <w:rFonts w:eastAsiaTheme="minorEastAsia"/>
              <w:noProof/>
              <w:lang w:eastAsia="en-GB"/>
            </w:rPr>
          </w:pPr>
          <w:hyperlink w:anchor="_Toc212839365" w:history="1">
            <w:r w:rsidRPr="00D91A90">
              <w:rPr>
                <w:rStyle w:val="Hyperlink"/>
                <w:bCs/>
                <w:noProof/>
              </w:rPr>
              <w:t>2.6 Environmental Factors</w:t>
            </w:r>
            <w:r>
              <w:rPr>
                <w:noProof/>
                <w:webHidden/>
              </w:rPr>
              <w:tab/>
            </w:r>
            <w:r>
              <w:rPr>
                <w:noProof/>
                <w:webHidden/>
              </w:rPr>
              <w:fldChar w:fldCharType="begin"/>
            </w:r>
            <w:r>
              <w:rPr>
                <w:noProof/>
                <w:webHidden/>
              </w:rPr>
              <w:instrText xml:space="preserve"> PAGEREF _Toc212839365 \h </w:instrText>
            </w:r>
            <w:r>
              <w:rPr>
                <w:noProof/>
                <w:webHidden/>
              </w:rPr>
            </w:r>
            <w:r>
              <w:rPr>
                <w:noProof/>
                <w:webHidden/>
              </w:rPr>
              <w:fldChar w:fldCharType="separate"/>
            </w:r>
            <w:r w:rsidR="00BF383A">
              <w:rPr>
                <w:noProof/>
                <w:webHidden/>
              </w:rPr>
              <w:t>5</w:t>
            </w:r>
            <w:r>
              <w:rPr>
                <w:noProof/>
                <w:webHidden/>
              </w:rPr>
              <w:fldChar w:fldCharType="end"/>
            </w:r>
          </w:hyperlink>
        </w:p>
        <w:p w14:paraId="7D59B4EB" w14:textId="25751948" w:rsidR="00C05452" w:rsidRDefault="00C05452" w:rsidP="00A8348B">
          <w:pPr>
            <w:pStyle w:val="TOC1"/>
            <w:tabs>
              <w:tab w:val="right" w:leader="dot" w:pos="9016"/>
            </w:tabs>
            <w:jc w:val="both"/>
            <w:rPr>
              <w:rFonts w:eastAsiaTheme="minorEastAsia"/>
              <w:noProof/>
              <w:lang w:eastAsia="en-GB"/>
            </w:rPr>
          </w:pPr>
          <w:hyperlink w:anchor="_Toc212839366" w:history="1">
            <w:r w:rsidRPr="00D91A90">
              <w:rPr>
                <w:rStyle w:val="Hyperlink"/>
                <w:noProof/>
              </w:rPr>
              <w:t>3. Critical Analysis and Evaluation</w:t>
            </w:r>
            <w:r>
              <w:rPr>
                <w:noProof/>
                <w:webHidden/>
              </w:rPr>
              <w:tab/>
            </w:r>
            <w:r>
              <w:rPr>
                <w:noProof/>
                <w:webHidden/>
              </w:rPr>
              <w:fldChar w:fldCharType="begin"/>
            </w:r>
            <w:r>
              <w:rPr>
                <w:noProof/>
                <w:webHidden/>
              </w:rPr>
              <w:instrText xml:space="preserve"> PAGEREF _Toc212839366 \h </w:instrText>
            </w:r>
            <w:r>
              <w:rPr>
                <w:noProof/>
                <w:webHidden/>
              </w:rPr>
            </w:r>
            <w:r>
              <w:rPr>
                <w:noProof/>
                <w:webHidden/>
              </w:rPr>
              <w:fldChar w:fldCharType="separate"/>
            </w:r>
            <w:r w:rsidR="00BF383A">
              <w:rPr>
                <w:noProof/>
                <w:webHidden/>
              </w:rPr>
              <w:t>5</w:t>
            </w:r>
            <w:r>
              <w:rPr>
                <w:noProof/>
                <w:webHidden/>
              </w:rPr>
              <w:fldChar w:fldCharType="end"/>
            </w:r>
          </w:hyperlink>
        </w:p>
        <w:p w14:paraId="757E973A" w14:textId="576C1312" w:rsidR="00C05452" w:rsidRDefault="00C05452" w:rsidP="00A8348B">
          <w:pPr>
            <w:pStyle w:val="TOC1"/>
            <w:tabs>
              <w:tab w:val="right" w:leader="dot" w:pos="9016"/>
            </w:tabs>
            <w:jc w:val="both"/>
            <w:rPr>
              <w:rFonts w:eastAsiaTheme="minorEastAsia"/>
              <w:noProof/>
              <w:lang w:eastAsia="en-GB"/>
            </w:rPr>
          </w:pPr>
          <w:hyperlink w:anchor="_Toc212839367" w:history="1">
            <w:r w:rsidRPr="00D91A90">
              <w:rPr>
                <w:rStyle w:val="Hyperlink"/>
                <w:bCs/>
                <w:noProof/>
              </w:rPr>
              <w:t>4. Conclusion:</w:t>
            </w:r>
            <w:r>
              <w:rPr>
                <w:noProof/>
                <w:webHidden/>
              </w:rPr>
              <w:tab/>
            </w:r>
            <w:r>
              <w:rPr>
                <w:noProof/>
                <w:webHidden/>
              </w:rPr>
              <w:fldChar w:fldCharType="begin"/>
            </w:r>
            <w:r>
              <w:rPr>
                <w:noProof/>
                <w:webHidden/>
              </w:rPr>
              <w:instrText xml:space="preserve"> PAGEREF _Toc212839367 \h </w:instrText>
            </w:r>
            <w:r>
              <w:rPr>
                <w:noProof/>
                <w:webHidden/>
              </w:rPr>
            </w:r>
            <w:r>
              <w:rPr>
                <w:noProof/>
                <w:webHidden/>
              </w:rPr>
              <w:fldChar w:fldCharType="separate"/>
            </w:r>
            <w:r w:rsidR="00BF383A">
              <w:rPr>
                <w:noProof/>
                <w:webHidden/>
              </w:rPr>
              <w:t>6</w:t>
            </w:r>
            <w:r>
              <w:rPr>
                <w:noProof/>
                <w:webHidden/>
              </w:rPr>
              <w:fldChar w:fldCharType="end"/>
            </w:r>
          </w:hyperlink>
        </w:p>
        <w:p w14:paraId="147C6FA7" w14:textId="02870484" w:rsidR="00C05452" w:rsidRDefault="00C05452" w:rsidP="00A8348B">
          <w:pPr>
            <w:pStyle w:val="TOC1"/>
            <w:tabs>
              <w:tab w:val="right" w:leader="dot" w:pos="9016"/>
            </w:tabs>
            <w:jc w:val="both"/>
            <w:rPr>
              <w:rFonts w:eastAsiaTheme="minorEastAsia"/>
              <w:noProof/>
              <w:lang w:eastAsia="en-GB"/>
            </w:rPr>
          </w:pPr>
          <w:hyperlink w:anchor="_Toc212839368" w:history="1">
            <w:r w:rsidRPr="00D91A90">
              <w:rPr>
                <w:rStyle w:val="Hyperlink"/>
                <w:noProof/>
              </w:rPr>
              <w:t>5. Reference List</w:t>
            </w:r>
            <w:r>
              <w:rPr>
                <w:noProof/>
                <w:webHidden/>
              </w:rPr>
              <w:tab/>
            </w:r>
            <w:r>
              <w:rPr>
                <w:noProof/>
                <w:webHidden/>
              </w:rPr>
              <w:fldChar w:fldCharType="begin"/>
            </w:r>
            <w:r>
              <w:rPr>
                <w:noProof/>
                <w:webHidden/>
              </w:rPr>
              <w:instrText xml:space="preserve"> PAGEREF _Toc212839368 \h </w:instrText>
            </w:r>
            <w:r>
              <w:rPr>
                <w:noProof/>
                <w:webHidden/>
              </w:rPr>
            </w:r>
            <w:r>
              <w:rPr>
                <w:noProof/>
                <w:webHidden/>
              </w:rPr>
              <w:fldChar w:fldCharType="separate"/>
            </w:r>
            <w:r w:rsidR="00BF383A">
              <w:rPr>
                <w:noProof/>
                <w:webHidden/>
              </w:rPr>
              <w:t>8</w:t>
            </w:r>
            <w:r>
              <w:rPr>
                <w:noProof/>
                <w:webHidden/>
              </w:rPr>
              <w:fldChar w:fldCharType="end"/>
            </w:r>
          </w:hyperlink>
        </w:p>
        <w:p w14:paraId="7890C06E" w14:textId="6E9A4664" w:rsidR="00C05452" w:rsidRDefault="00C05452" w:rsidP="00A8348B">
          <w:pPr>
            <w:jc w:val="both"/>
          </w:pPr>
          <w:r>
            <w:rPr>
              <w:b/>
              <w:bCs/>
            </w:rPr>
            <w:fldChar w:fldCharType="end"/>
          </w:r>
        </w:p>
      </w:sdtContent>
    </w:sdt>
    <w:p w14:paraId="49A87FCC" w14:textId="6C68EA63" w:rsidR="002D3675" w:rsidRDefault="0045483E" w:rsidP="00F95090">
      <w:pPr>
        <w:spacing w:before="120" w:after="120" w:line="360" w:lineRule="auto"/>
        <w:rPr>
          <w:rFonts w:ascii="Arial" w:hAnsi="Arial" w:cs="Arial"/>
          <w:b/>
          <w:bCs/>
          <w:sz w:val="32"/>
          <w:szCs w:val="32"/>
        </w:rPr>
      </w:pPr>
      <w:r>
        <w:rPr>
          <w:rFonts w:ascii="Arial" w:hAnsi="Arial" w:cs="Arial"/>
          <w:b/>
          <w:bCs/>
          <w:sz w:val="32"/>
          <w:szCs w:val="32"/>
        </w:rPr>
        <w:br w:type="page"/>
      </w:r>
    </w:p>
    <w:p w14:paraId="6719F1C9" w14:textId="041A7124" w:rsidR="00602351" w:rsidRPr="00F92E3B" w:rsidRDefault="00DA41BE" w:rsidP="00281977">
      <w:pPr>
        <w:pStyle w:val="Style1"/>
        <w:spacing w:before="120" w:after="120" w:line="360" w:lineRule="auto"/>
        <w:jc w:val="both"/>
      </w:pPr>
      <w:bookmarkStart w:id="0" w:name="_Toc212839358"/>
      <w:r w:rsidRPr="00F92E3B">
        <w:lastRenderedPageBreak/>
        <w:t>1.</w:t>
      </w:r>
      <w:r w:rsidR="00530550" w:rsidRPr="00F92E3B">
        <w:t xml:space="preserve"> </w:t>
      </w:r>
      <w:r w:rsidR="00A014C6" w:rsidRPr="00F92E3B">
        <w:t>Introduction</w:t>
      </w:r>
      <w:bookmarkEnd w:id="0"/>
    </w:p>
    <w:p w14:paraId="3792C109" w14:textId="77777777" w:rsidR="00BF3C89" w:rsidRDefault="00675A04" w:rsidP="00281977">
      <w:pPr>
        <w:spacing w:before="120" w:after="120" w:line="360" w:lineRule="auto"/>
        <w:jc w:val="both"/>
        <w:rPr>
          <w:rFonts w:ascii="Arial" w:hAnsi="Arial" w:cs="Arial"/>
        </w:rPr>
      </w:pPr>
      <w:r w:rsidRPr="00675A04">
        <w:rPr>
          <w:rFonts w:ascii="Arial" w:hAnsi="Arial" w:cs="Arial"/>
        </w:rPr>
        <w:t xml:space="preserve">Rolls-Royce Holdings plc is a British multinational engineering firm headquartered in London, specialising in power and propulsion systems across civil and military aerospace, maritime, and energy sectors (Rolls-Royce, 2024). Operating in a highly competitive global market alongside rivals such as General Electric and Pratt &amp; Whitney, the company maintains technological leadership through strategic investments in innovation, digitalisation, and sustainability (MarketLine Advantage, 2025b). Its commitment to achieving net-zero emissions by 2050 and advancing propulsion technologies reflects a long-term vision for sustainable growth (Rolls-Royce, 2023). </w:t>
      </w:r>
    </w:p>
    <w:p w14:paraId="3107DCB0" w14:textId="09DF45A9" w:rsidR="00985A22" w:rsidRDefault="00BF3C89" w:rsidP="00281977">
      <w:pPr>
        <w:spacing w:before="120" w:after="120" w:line="360" w:lineRule="auto"/>
        <w:jc w:val="both"/>
        <w:rPr>
          <w:rFonts w:ascii="Arial" w:hAnsi="Arial" w:cs="Arial"/>
        </w:rPr>
      </w:pPr>
      <w:r w:rsidRPr="00675A04">
        <w:rPr>
          <w:rFonts w:ascii="Arial" w:hAnsi="Arial" w:cs="Arial"/>
        </w:rPr>
        <w:t>Considering</w:t>
      </w:r>
      <w:r w:rsidR="00675A04" w:rsidRPr="00675A04">
        <w:rPr>
          <w:rFonts w:ascii="Arial" w:hAnsi="Arial" w:cs="Arial"/>
        </w:rPr>
        <w:t xml:space="preserve"> post-Brexit trade complexities, global decarbonisation pressures, and evolving supply chain dynamics, assessing the external environment is essential. This report applies the PESTEL framework </w:t>
      </w:r>
      <w:r w:rsidR="00323B0D">
        <w:rPr>
          <w:rFonts w:ascii="Arial" w:hAnsi="Arial" w:cs="Arial"/>
        </w:rPr>
        <w:t>to evaluate macro-environmental factors critically</w:t>
      </w:r>
      <w:r w:rsidR="00675A04" w:rsidRPr="00675A04">
        <w:rPr>
          <w:rFonts w:ascii="Arial" w:hAnsi="Arial" w:cs="Arial"/>
        </w:rPr>
        <w:t>, identifying strategic opportunities and threats that influence Rolls-Royce’s marketing and decision-making processes (Kotler et al., 2019).</w:t>
      </w:r>
    </w:p>
    <w:p w14:paraId="46CBF631" w14:textId="50D1539F" w:rsidR="00A32DA6" w:rsidRPr="000803AA" w:rsidRDefault="0041645F" w:rsidP="00281977">
      <w:pPr>
        <w:pStyle w:val="Style1"/>
        <w:spacing w:before="120" w:after="120" w:line="360" w:lineRule="auto"/>
        <w:jc w:val="both"/>
        <w:rPr>
          <w:b w:val="0"/>
          <w:bCs/>
        </w:rPr>
      </w:pPr>
      <w:bookmarkStart w:id="1" w:name="_Toc212839359"/>
      <w:r w:rsidRPr="000803AA">
        <w:rPr>
          <w:bCs/>
        </w:rPr>
        <w:t>2. Situational Analysis: PESTLE Framework</w:t>
      </w:r>
      <w:bookmarkEnd w:id="1"/>
    </w:p>
    <w:p w14:paraId="024E5B1B" w14:textId="6CF67AA5" w:rsidR="00CE2B0E" w:rsidRPr="00F92E3B" w:rsidRDefault="00CE2B0E" w:rsidP="00281977">
      <w:pPr>
        <w:pStyle w:val="Style2"/>
        <w:spacing w:before="120" w:after="120" w:line="360" w:lineRule="auto"/>
        <w:jc w:val="both"/>
      </w:pPr>
      <w:bookmarkStart w:id="2" w:name="_Toc212839360"/>
      <w:r w:rsidRPr="00F92E3B">
        <w:t>2.1 Political Factors</w:t>
      </w:r>
      <w:bookmarkEnd w:id="2"/>
    </w:p>
    <w:p w14:paraId="648144AC" w14:textId="5FB9F26E" w:rsidR="00D50313" w:rsidRDefault="00BC2CB3" w:rsidP="00281977">
      <w:pPr>
        <w:spacing w:before="120" w:after="120" w:line="360" w:lineRule="auto"/>
        <w:jc w:val="both"/>
        <w:rPr>
          <w:rFonts w:ascii="Arial" w:hAnsi="Arial" w:cs="Arial"/>
        </w:rPr>
      </w:pPr>
      <w:bookmarkStart w:id="3" w:name="_Toc212839361"/>
      <w:r>
        <w:rPr>
          <w:rFonts w:ascii="Arial" w:hAnsi="Arial" w:cs="Arial"/>
        </w:rPr>
        <w:t>Rolls-Royce operates in a politically sensitive industry heavily influenced by government policy, defence spending, and international relations. The £9 billion Unity contract secured in January 2025 with the UK Ministry of Defence exemplifies how government expenditure directly drives revenue and workforce planning (Rolls-Royce, 2025). Broader geopolitical tensions, such as the Ukraine conflict, have increased NATO defence budgets, boosting demand for military propulsion systems. Additionally, alignment with the UK’s Advanced Manufacturing Sector Plan supports innovation and decarbonisation goals (GOV.UK, 2025), while expanding partnerships in India enhances geopolitical diversification (MarketLine Advantage, 2025c). However, Brexit-related regulatory divergence and reliance on defence contracts expose the company to policy shifts (Thompson, 2025), requiring adaptable strategic planning.</w:t>
      </w:r>
    </w:p>
    <w:p w14:paraId="50604BAD" w14:textId="638E4887" w:rsidR="00DF6D1F" w:rsidRDefault="00DF6D1F" w:rsidP="00281977">
      <w:pPr>
        <w:pStyle w:val="Style2"/>
        <w:spacing w:before="120" w:after="120" w:line="360" w:lineRule="auto"/>
        <w:jc w:val="both"/>
      </w:pPr>
      <w:r w:rsidRPr="00DF6D1F">
        <w:t>2.2 Economic Factors</w:t>
      </w:r>
      <w:bookmarkEnd w:id="3"/>
    </w:p>
    <w:p w14:paraId="07F56208" w14:textId="15694879" w:rsidR="006A5A4F" w:rsidRDefault="00883434" w:rsidP="00281977">
      <w:pPr>
        <w:spacing w:before="120" w:after="120" w:line="360" w:lineRule="auto"/>
        <w:jc w:val="both"/>
        <w:rPr>
          <w:rFonts w:ascii="Arial" w:hAnsi="Arial" w:cs="Arial"/>
        </w:rPr>
      </w:pPr>
      <w:r>
        <w:rPr>
          <w:rFonts w:ascii="Arial" w:hAnsi="Arial" w:cs="Arial"/>
        </w:rPr>
        <w:t xml:space="preserve">Economic factors exert a moderately strategic influence on Rolls-Royce’s business cycles. The post-pandemic recovery has resulted in a 21.25% increase in civil </w:t>
      </w:r>
      <w:r>
        <w:rPr>
          <w:rFonts w:ascii="Arial" w:hAnsi="Arial" w:cs="Arial"/>
        </w:rPr>
        <w:lastRenderedPageBreak/>
        <w:t>aerospace revenue for FY 2023, with an anticipated 17% growth for H1 2025 driven by rising global air travel demand (Rolls-Royce, 2025). However, persistent inflation at 3.8% and a 0.5% increase in output prices continue to pressure profit margins (Bank of England, 2025). Additionally, exchange rate volatility presents further risks, with $9 billion in exposure and an estimated £10–12 million impact per percentage point movement (Rolls-Royce, 2025). These challenges highlight the importance of robust treasury hedging and flexible marketing strategies to sustain operational efficiency and maintain global competitiveness.</w:t>
      </w:r>
    </w:p>
    <w:p w14:paraId="1C72B7DC" w14:textId="160DE6DB" w:rsidR="00850681" w:rsidRDefault="00A56255" w:rsidP="00281977">
      <w:pPr>
        <w:pStyle w:val="Style2"/>
        <w:spacing w:before="120" w:after="120" w:line="360" w:lineRule="auto"/>
        <w:jc w:val="both"/>
      </w:pPr>
      <w:bookmarkStart w:id="4" w:name="_Toc212839362"/>
      <w:r w:rsidRPr="00A56255">
        <w:t>2.3 Social Factors</w:t>
      </w:r>
      <w:bookmarkEnd w:id="4"/>
    </w:p>
    <w:p w14:paraId="5172DEEA" w14:textId="40907350" w:rsidR="004E01D1" w:rsidRPr="004E01D1" w:rsidRDefault="00B70272" w:rsidP="00281977">
      <w:pPr>
        <w:spacing w:before="120" w:after="120" w:line="360" w:lineRule="auto"/>
        <w:jc w:val="both"/>
        <w:rPr>
          <w:rFonts w:ascii="Arial" w:hAnsi="Arial" w:cs="Arial"/>
        </w:rPr>
      </w:pPr>
      <w:r>
        <w:rPr>
          <w:rFonts w:ascii="Arial" w:hAnsi="Arial" w:cs="Arial"/>
        </w:rPr>
        <w:t>Social factors play a positive and strategically vital role in enhancing Rolls-Royce’s market position. Increasing public concern about aviation’s carbon footprint is spurring demand for sustainable innovation, aligning with Rolls-Royce’s net-zero strategy (Rolls-Royce, 2023a). The brand benefits from strong consumer trust, with a 2023 YouGov poll ranking it among the top five most favourably regarded UK engineering firms (Autocar, 2023). Stakeholders' expectations for ethical governance are rising, particularly among younger investors prioritising ESG (Institute of Directors, 2025). Additionally, demographic growth and rising affluence in Asia-Pacific markets are increasing demand for civil aerospace and business aviation solutions (Rolls-Royce, 2025a), supporting global competitiveness and long-term growth prospects.</w:t>
      </w:r>
    </w:p>
    <w:p w14:paraId="071B896C" w14:textId="77777777" w:rsidR="002F297F" w:rsidRDefault="002F297F" w:rsidP="00281977">
      <w:pPr>
        <w:pStyle w:val="Style2"/>
        <w:spacing w:before="120" w:after="120" w:line="360" w:lineRule="auto"/>
        <w:jc w:val="both"/>
        <w:rPr>
          <w:bCs/>
          <w:szCs w:val="28"/>
        </w:rPr>
      </w:pPr>
      <w:bookmarkStart w:id="5" w:name="_Toc212839363"/>
      <w:r w:rsidRPr="002F297F">
        <w:rPr>
          <w:bCs/>
          <w:szCs w:val="28"/>
        </w:rPr>
        <w:t>2.4 Technological Factors</w:t>
      </w:r>
      <w:bookmarkEnd w:id="5"/>
    </w:p>
    <w:p w14:paraId="6B2C5E99" w14:textId="085F1E80" w:rsidR="00095150" w:rsidRDefault="009A0C5D" w:rsidP="00281977">
      <w:pPr>
        <w:spacing w:before="120" w:after="120" w:line="360" w:lineRule="auto"/>
        <w:jc w:val="both"/>
        <w:rPr>
          <w:rFonts w:ascii="Arial" w:hAnsi="Arial" w:cs="Arial"/>
        </w:rPr>
      </w:pPr>
      <w:r>
        <w:rPr>
          <w:rFonts w:ascii="Arial" w:hAnsi="Arial" w:cs="Arial"/>
        </w:rPr>
        <w:t>Technological factors have a strongly positive impact on Rolls-Royce’s strategic position and long-term competitiveness. The company’s leadership in the EU’s Clean Aviation Project UNIFIED, which focuses on hydrogen and electric propulsion, demonstrates its dedication to decarbonisation and innovation (MarketLine Advantage, 2025d).</w:t>
      </w:r>
      <w:r w:rsidR="00B7036D">
        <w:rPr>
          <w:rFonts w:ascii="Arial" w:hAnsi="Arial" w:cs="Arial"/>
        </w:rPr>
        <w:t xml:space="preserve"> </w:t>
      </w:r>
      <w:r w:rsidR="00B7036D" w:rsidRPr="00B7036D">
        <w:rPr>
          <w:rFonts w:ascii="Arial" w:hAnsi="Arial" w:cs="Arial"/>
        </w:rPr>
        <w:t>Additionally, emerging technologies in nuclear energy and hybrid propulsion support diversification outside aerospace (MarketLine Advantage, 2025a).</w:t>
      </w:r>
      <w:r>
        <w:rPr>
          <w:rFonts w:ascii="Arial" w:hAnsi="Arial" w:cs="Arial"/>
        </w:rPr>
        <w:t xml:space="preserve"> </w:t>
      </w:r>
      <w:r w:rsidR="00DE58E7">
        <w:rPr>
          <w:rFonts w:ascii="Arial" w:hAnsi="Arial" w:cs="Arial"/>
        </w:rPr>
        <w:t>Investments in digital twin technology, AI-driven predictive maintenance, and additive manufacturing improve operational efficiency and service differentiation. Partnerships with government and academia also enhance innovation and market growth in safety-critical sectors (Rolls-Royce, 2025).</w:t>
      </w:r>
    </w:p>
    <w:p w14:paraId="2519DF37" w14:textId="538857E8" w:rsidR="005A2EC1" w:rsidRPr="005A2EC1" w:rsidRDefault="005A2EC1" w:rsidP="00281977">
      <w:pPr>
        <w:pStyle w:val="Style2"/>
        <w:spacing w:before="120" w:after="120" w:line="360" w:lineRule="auto"/>
        <w:jc w:val="both"/>
      </w:pPr>
      <w:r w:rsidRPr="005A2EC1">
        <w:lastRenderedPageBreak/>
        <w:t>2.</w:t>
      </w:r>
      <w:r>
        <w:t xml:space="preserve">5 </w:t>
      </w:r>
      <w:r w:rsidRPr="005A2EC1">
        <w:t>Environmental Factors</w:t>
      </w:r>
    </w:p>
    <w:p w14:paraId="5FBD300F" w14:textId="6C9517BF" w:rsidR="005A2EC1" w:rsidRPr="00095150" w:rsidRDefault="005A2EC1" w:rsidP="00281977">
      <w:pPr>
        <w:spacing w:before="120" w:after="120" w:line="360" w:lineRule="auto"/>
        <w:jc w:val="both"/>
        <w:rPr>
          <w:rFonts w:ascii="Arial" w:hAnsi="Arial" w:cs="Arial"/>
        </w:rPr>
      </w:pPr>
      <w:r w:rsidRPr="005A2EC1">
        <w:rPr>
          <w:rFonts w:ascii="Arial" w:hAnsi="Arial" w:cs="Arial"/>
        </w:rPr>
        <w:t>Environmental factors significantly enhance Rolls-Royce’s long-term competitiveness through a positive and strategic outlook. The company’s dedication to reaching net-zero emissions by 2050 aligns with the increasing global pressure to decarbonise aviation (Rolls-Royce, 2023). Advancements in hydrogen propulsion, hybrid-electric systems, and sustainable aviation fuel position Rolls-Royce as a leader in clean aerospace innovation. Its participation in the EU’s Clean Aviation Project further highlights its proactive commitment to sustainability and regulatory compliance (MarketLine Advantage, 2025d). Nonetheless, climate-related risks like resource scarcity and supply chain disruptions demand operational flexibility and resilient sourcing strategies (GOV.UK, 2025). As environmental standards progress, sustainability becomes not only a regulatory necessity but also a key differentiator and a way to build stakeholder trust.</w:t>
      </w:r>
    </w:p>
    <w:p w14:paraId="48BB1807" w14:textId="369FEED6" w:rsidR="00FA3CB3" w:rsidRPr="00F37F22" w:rsidRDefault="00F37F22" w:rsidP="00281977">
      <w:pPr>
        <w:pStyle w:val="Style2"/>
        <w:spacing w:before="120" w:after="120" w:line="360" w:lineRule="auto"/>
        <w:jc w:val="both"/>
        <w:rPr>
          <w:b w:val="0"/>
          <w:bCs/>
          <w:szCs w:val="28"/>
        </w:rPr>
      </w:pPr>
      <w:bookmarkStart w:id="6" w:name="_Toc212839364"/>
      <w:r w:rsidRPr="00F37F22">
        <w:rPr>
          <w:bCs/>
          <w:szCs w:val="28"/>
        </w:rPr>
        <w:t>2.</w:t>
      </w:r>
      <w:r w:rsidR="005A2EC1">
        <w:rPr>
          <w:bCs/>
          <w:szCs w:val="28"/>
        </w:rPr>
        <w:t>6</w:t>
      </w:r>
      <w:r w:rsidRPr="00F37F22">
        <w:rPr>
          <w:bCs/>
          <w:szCs w:val="28"/>
        </w:rPr>
        <w:t xml:space="preserve"> Legal Factors</w:t>
      </w:r>
      <w:bookmarkEnd w:id="6"/>
    </w:p>
    <w:p w14:paraId="28F03976" w14:textId="4B18D260" w:rsidR="005F4BF9" w:rsidRDefault="00E74A5B" w:rsidP="00281977">
      <w:pPr>
        <w:spacing w:before="120" w:after="120" w:line="360" w:lineRule="auto"/>
        <w:jc w:val="both"/>
        <w:rPr>
          <w:rFonts w:ascii="Arial" w:hAnsi="Arial" w:cs="Arial"/>
        </w:rPr>
      </w:pPr>
      <w:bookmarkStart w:id="7" w:name="_Toc212839365"/>
      <w:r>
        <w:rPr>
          <w:rFonts w:ascii="Arial" w:hAnsi="Arial" w:cs="Arial"/>
        </w:rPr>
        <w:t xml:space="preserve">Rolls-Royce operates within strict legal frameworks that offer both strategic benefits and operational challenges. Strong internal controls and compliance with international trade regulations boost the company's credibility in defence and civil markets (Rolls-Royce, 2023a). Following the UK’s Procurement Act 2023 and cybersecurity laws promotes ethical governance and boosts investor confidence (Gov.uk, 2023). However, post-Brexit regulatory divergence </w:t>
      </w:r>
      <w:r w:rsidR="00E1262A">
        <w:rPr>
          <w:rFonts w:ascii="Arial" w:hAnsi="Arial" w:cs="Arial"/>
        </w:rPr>
        <w:t>increases administrative burdens in certification processes and cross-border operations</w:t>
      </w:r>
      <w:r>
        <w:rPr>
          <w:rFonts w:ascii="Arial" w:hAnsi="Arial" w:cs="Arial"/>
        </w:rPr>
        <w:t xml:space="preserve"> (Thompson, 2025). Export controls and defence procurement laws can cause delays in contracts and limit market access (MarketLine Advantage, 2025e). Additionally, new legal requirements regarding emissions and disclosures require proactive compliance to avoid reputational damage, making the legal environment both moderate in impact and complex in shaping Rolls-Royce's operations.</w:t>
      </w:r>
    </w:p>
    <w:p w14:paraId="12DF84D3" w14:textId="198565BD" w:rsidR="002B337F" w:rsidRDefault="00742093" w:rsidP="00281977">
      <w:pPr>
        <w:pStyle w:val="Style1"/>
        <w:spacing w:before="120" w:after="120" w:line="360" w:lineRule="auto"/>
        <w:jc w:val="both"/>
      </w:pPr>
      <w:bookmarkStart w:id="8" w:name="_Toc212839366"/>
      <w:bookmarkEnd w:id="7"/>
      <w:r w:rsidRPr="00742093">
        <w:t>3. Critical Analysis and Evaluation</w:t>
      </w:r>
      <w:bookmarkEnd w:id="8"/>
    </w:p>
    <w:p w14:paraId="5D77FD2C" w14:textId="54D1E00B" w:rsidR="00CB787C" w:rsidRPr="00CB787C" w:rsidRDefault="00547ED3" w:rsidP="00281977">
      <w:pPr>
        <w:spacing w:before="120" w:after="120" w:line="360" w:lineRule="auto"/>
        <w:jc w:val="both"/>
        <w:rPr>
          <w:rFonts w:ascii="Arial" w:hAnsi="Arial" w:cs="Arial"/>
        </w:rPr>
      </w:pPr>
      <w:r>
        <w:rPr>
          <w:rFonts w:ascii="Arial" w:hAnsi="Arial" w:cs="Arial"/>
        </w:rPr>
        <w:t xml:space="preserve">Rolls-Royce operates within a complex macro-environment influenced by political alignment, technological innovation, and sustainability imperatives, presenting both strategic opportunities and operational threats. Politically, defence contracts and inclusion in the UK’s Advanced Manufacturing Sector Plan support growth, while </w:t>
      </w:r>
      <w:r>
        <w:rPr>
          <w:rFonts w:ascii="Arial" w:hAnsi="Arial" w:cs="Arial"/>
        </w:rPr>
        <w:lastRenderedPageBreak/>
        <w:t>Brexit-related regulatory divergence introduces compliance challenges (GOV.UK, 2025; MarketLine Advantage, 2025c). Economically, post-pandemic recovery and rising aerospace demand drive revenue</w:t>
      </w:r>
      <w:r w:rsidR="00940600">
        <w:rPr>
          <w:rFonts w:ascii="Arial" w:hAnsi="Arial" w:cs="Arial"/>
        </w:rPr>
        <w:t>;</w:t>
      </w:r>
      <w:r>
        <w:rPr>
          <w:rFonts w:ascii="Arial" w:hAnsi="Arial" w:cs="Arial"/>
        </w:rPr>
        <w:t xml:space="preserve"> </w:t>
      </w:r>
      <w:r w:rsidR="00940600">
        <w:rPr>
          <w:rFonts w:ascii="Arial" w:hAnsi="Arial" w:cs="Arial"/>
        </w:rPr>
        <w:t>however,</w:t>
      </w:r>
      <w:r>
        <w:rPr>
          <w:rFonts w:ascii="Arial" w:hAnsi="Arial" w:cs="Arial"/>
        </w:rPr>
        <w:t xml:space="preserve"> inflation and currency volatility threaten margins (ONS, 2025). The “Power by the Hour” model helps stabilise income amid cyclical pressures (Sheridan, 2025). Socially, strong consumer trust and increasing ESG expectations</w:t>
      </w:r>
      <w:r w:rsidR="00940600">
        <w:rPr>
          <w:rFonts w:ascii="Arial" w:hAnsi="Arial" w:cs="Arial"/>
        </w:rPr>
        <w:t xml:space="preserve">, </w:t>
      </w:r>
      <w:r>
        <w:rPr>
          <w:rFonts w:ascii="Arial" w:hAnsi="Arial" w:cs="Arial"/>
        </w:rPr>
        <w:t>particularly among younger investors</w:t>
      </w:r>
      <w:r w:rsidR="00940600">
        <w:rPr>
          <w:rFonts w:ascii="Arial" w:hAnsi="Arial" w:cs="Arial"/>
        </w:rPr>
        <w:t xml:space="preserve">, </w:t>
      </w:r>
      <w:r>
        <w:rPr>
          <w:rFonts w:ascii="Arial" w:hAnsi="Arial" w:cs="Arial"/>
        </w:rPr>
        <w:t>enhance brand value. Technologically, leadership in hydrogen propulsion, AI-enabled maintenance, and SMRs strengthens competitive advantage and diversification</w:t>
      </w:r>
      <w:r w:rsidR="00AF164B">
        <w:rPr>
          <w:rFonts w:ascii="Arial" w:hAnsi="Arial" w:cs="Arial"/>
        </w:rPr>
        <w:t>.</w:t>
      </w:r>
      <w:r>
        <w:rPr>
          <w:rFonts w:ascii="Arial" w:hAnsi="Arial" w:cs="Arial"/>
        </w:rPr>
        <w:t xml:space="preserve"> Legally, compliance boosts credibility, although export controls and evolving disclosure laws add complexity (Thompson, 2025). Environmentally, net-zero commitments and Clean Aviation leadership differentiate the brand, </w:t>
      </w:r>
      <w:r w:rsidR="00DA4BF8">
        <w:rPr>
          <w:rFonts w:ascii="Arial" w:hAnsi="Arial" w:cs="Arial"/>
        </w:rPr>
        <w:t>while</w:t>
      </w:r>
      <w:r>
        <w:rPr>
          <w:rFonts w:ascii="Arial" w:hAnsi="Arial" w:cs="Arial"/>
        </w:rPr>
        <w:t xml:space="preserve"> resource scarcity and supply chain risks require resilience</w:t>
      </w:r>
      <w:r w:rsidR="00DA4BF8">
        <w:rPr>
          <w:rFonts w:ascii="Arial" w:hAnsi="Arial" w:cs="Arial"/>
        </w:rPr>
        <w:t>.</w:t>
      </w:r>
      <w:r>
        <w:rPr>
          <w:rFonts w:ascii="Arial" w:hAnsi="Arial" w:cs="Arial"/>
        </w:rPr>
        <w:t xml:space="preserve"> However, gaps remain in managing geopolitical risks and regulations. For Rolls-Royce, future success depends on matching technological innovation, ethical leadership, and sustainability within its marketing and strategic planning processes.</w:t>
      </w:r>
    </w:p>
    <w:p w14:paraId="73E918AD" w14:textId="314728A1" w:rsidR="00786E6C" w:rsidRPr="00B339E3" w:rsidRDefault="00B339E3" w:rsidP="00281977">
      <w:pPr>
        <w:pStyle w:val="Style1"/>
        <w:spacing w:before="120" w:after="120" w:line="360" w:lineRule="auto"/>
        <w:jc w:val="both"/>
        <w:rPr>
          <w:b w:val="0"/>
          <w:bCs/>
        </w:rPr>
      </w:pPr>
      <w:bookmarkStart w:id="9" w:name="_Toc212839367"/>
      <w:r w:rsidRPr="00B339E3">
        <w:rPr>
          <w:bCs/>
        </w:rPr>
        <w:t>4. Conclusion:</w:t>
      </w:r>
      <w:bookmarkEnd w:id="9"/>
    </w:p>
    <w:p w14:paraId="1F5D4E49" w14:textId="41473401" w:rsidR="004A3DD8" w:rsidRDefault="00FE3A30" w:rsidP="00281977">
      <w:pPr>
        <w:spacing w:before="120" w:after="120" w:line="360" w:lineRule="auto"/>
        <w:jc w:val="both"/>
        <w:rPr>
          <w:rFonts w:ascii="Arial" w:hAnsi="Arial" w:cs="Arial"/>
        </w:rPr>
      </w:pPr>
      <w:r>
        <w:rPr>
          <w:rFonts w:ascii="Arial" w:hAnsi="Arial" w:cs="Arial"/>
        </w:rPr>
        <w:t xml:space="preserve">The PESTLE analysis </w:t>
      </w:r>
      <w:r w:rsidR="00A32DA6">
        <w:rPr>
          <w:rFonts w:ascii="Arial" w:hAnsi="Arial" w:cs="Arial"/>
        </w:rPr>
        <w:t>reveals that Rolls-Royce operates in a highly regulated, innovation-driven environment, shaped by political factors, economic shifts, social responsibilities, technological advancements</w:t>
      </w:r>
      <w:r>
        <w:rPr>
          <w:rFonts w:ascii="Arial" w:hAnsi="Arial" w:cs="Arial"/>
        </w:rPr>
        <w:t xml:space="preserve">, legal issues, and environmental concerns. Its key strengths include alignment with the UK’s industrial strategy, leadership in clean aviation, and diversification of global supply chains. However, regulatory differences </w:t>
      </w:r>
      <w:r w:rsidR="00A32DA6">
        <w:rPr>
          <w:rFonts w:ascii="Arial" w:hAnsi="Arial" w:cs="Arial"/>
        </w:rPr>
        <w:t>resulting from Brexit, inflationary pressures, and ESG compliance challenges necessitate</w:t>
      </w:r>
      <w:r>
        <w:rPr>
          <w:rFonts w:ascii="Arial" w:hAnsi="Arial" w:cs="Arial"/>
        </w:rPr>
        <w:t xml:space="preserve"> strategic adaptability. To address these, Rolls-Royce should improve its ESG-focused marketing communications to meet the evolving expectations of stakeholders and investors, especially among sustainability-conscious audiences. Expanding digital and AI-based services, such as predictive maintenance and digital twin technologies, will boost efficiency and reinforce its position in high-value markets. Additionally, strengthening international partnerships, especially with India, can enhance supply chain resilience and reduce geopolitical risks. These suggestions </w:t>
      </w:r>
      <w:r w:rsidR="005C030F">
        <w:rPr>
          <w:rFonts w:ascii="Arial" w:hAnsi="Arial" w:cs="Arial"/>
        </w:rPr>
        <w:t>align with Hooley’s (2025) principle that marketing strategies should be tailored to</w:t>
      </w:r>
      <w:r>
        <w:rPr>
          <w:rFonts w:ascii="Arial" w:hAnsi="Arial" w:cs="Arial"/>
        </w:rPr>
        <w:t xml:space="preserve"> environmental scanning and stakeholder needs. Such situational analysis enables Rolls-Royce to </w:t>
      </w:r>
      <w:r w:rsidR="00A32DA6">
        <w:rPr>
          <w:rFonts w:ascii="Arial" w:hAnsi="Arial" w:cs="Arial"/>
        </w:rPr>
        <w:t>anticipate changes, adapt its capabilities, and remain competitive through informed and</w:t>
      </w:r>
      <w:r>
        <w:rPr>
          <w:rFonts w:ascii="Arial" w:hAnsi="Arial" w:cs="Arial"/>
        </w:rPr>
        <w:t xml:space="preserve"> innovative decisions.</w:t>
      </w:r>
    </w:p>
    <w:p w14:paraId="11FBE6EC" w14:textId="77777777" w:rsidR="002E3B9E" w:rsidRDefault="002E3B9E" w:rsidP="00A8348B">
      <w:pPr>
        <w:pStyle w:val="Style1"/>
        <w:jc w:val="both"/>
        <w:rPr>
          <w:bCs/>
        </w:rPr>
      </w:pPr>
    </w:p>
    <w:p w14:paraId="4F3F30F2" w14:textId="77777777" w:rsidR="002E3B9E" w:rsidRDefault="002E3B9E" w:rsidP="00A8348B">
      <w:pPr>
        <w:pStyle w:val="Style1"/>
        <w:jc w:val="both"/>
        <w:rPr>
          <w:bCs/>
        </w:rPr>
      </w:pPr>
    </w:p>
    <w:p w14:paraId="7487405A" w14:textId="77777777" w:rsidR="002E3B9E" w:rsidRDefault="002E3B9E" w:rsidP="00A8348B">
      <w:pPr>
        <w:pStyle w:val="Style1"/>
        <w:jc w:val="both"/>
        <w:rPr>
          <w:bCs/>
        </w:rPr>
      </w:pPr>
    </w:p>
    <w:p w14:paraId="7A4B9970" w14:textId="77777777" w:rsidR="002E3B9E" w:rsidRDefault="002E3B9E" w:rsidP="00A8348B">
      <w:pPr>
        <w:pStyle w:val="Style1"/>
        <w:jc w:val="both"/>
        <w:rPr>
          <w:bCs/>
        </w:rPr>
      </w:pPr>
    </w:p>
    <w:p w14:paraId="5ABEFFA5" w14:textId="77777777" w:rsidR="002E3B9E" w:rsidRDefault="002E3B9E" w:rsidP="00A8348B">
      <w:pPr>
        <w:pStyle w:val="Style1"/>
        <w:jc w:val="both"/>
        <w:rPr>
          <w:bCs/>
        </w:rPr>
      </w:pPr>
    </w:p>
    <w:p w14:paraId="0E890C15" w14:textId="77777777" w:rsidR="002E3B9E" w:rsidRDefault="002E3B9E" w:rsidP="00A8348B">
      <w:pPr>
        <w:pStyle w:val="Style1"/>
        <w:jc w:val="both"/>
        <w:rPr>
          <w:bCs/>
        </w:rPr>
      </w:pPr>
    </w:p>
    <w:p w14:paraId="153CBF69" w14:textId="77777777" w:rsidR="00707823" w:rsidRDefault="00707823" w:rsidP="00A8348B">
      <w:pPr>
        <w:pStyle w:val="Style1"/>
        <w:jc w:val="both"/>
        <w:rPr>
          <w:bCs/>
        </w:rPr>
      </w:pPr>
    </w:p>
    <w:p w14:paraId="374E2567" w14:textId="77777777" w:rsidR="00707823" w:rsidRDefault="00707823" w:rsidP="00A8348B">
      <w:pPr>
        <w:pStyle w:val="Style1"/>
        <w:jc w:val="both"/>
        <w:rPr>
          <w:bCs/>
        </w:rPr>
      </w:pPr>
    </w:p>
    <w:p w14:paraId="604F629A" w14:textId="77777777" w:rsidR="00707823" w:rsidRDefault="00707823" w:rsidP="00A8348B">
      <w:pPr>
        <w:pStyle w:val="Style1"/>
        <w:jc w:val="both"/>
        <w:rPr>
          <w:bCs/>
        </w:rPr>
      </w:pPr>
    </w:p>
    <w:p w14:paraId="28ABA6CD" w14:textId="77777777" w:rsidR="00707823" w:rsidRDefault="00707823" w:rsidP="00A8348B">
      <w:pPr>
        <w:pStyle w:val="Style1"/>
        <w:jc w:val="both"/>
        <w:rPr>
          <w:bCs/>
        </w:rPr>
      </w:pPr>
    </w:p>
    <w:p w14:paraId="6E7A0D74" w14:textId="77777777" w:rsidR="00707823" w:rsidRDefault="00707823" w:rsidP="00A8348B">
      <w:pPr>
        <w:pStyle w:val="Style1"/>
        <w:jc w:val="both"/>
        <w:rPr>
          <w:bCs/>
        </w:rPr>
      </w:pPr>
    </w:p>
    <w:p w14:paraId="049E2AD3" w14:textId="77777777" w:rsidR="00707823" w:rsidRDefault="00707823" w:rsidP="00A8348B">
      <w:pPr>
        <w:jc w:val="both"/>
      </w:pPr>
    </w:p>
    <w:p w14:paraId="32CC7A32" w14:textId="77777777" w:rsidR="001D43D3" w:rsidRDefault="001D43D3" w:rsidP="00A8348B">
      <w:pPr>
        <w:jc w:val="both"/>
      </w:pPr>
    </w:p>
    <w:p w14:paraId="44453A38" w14:textId="77777777" w:rsidR="00707823" w:rsidRDefault="00707823" w:rsidP="00A8348B">
      <w:pPr>
        <w:pStyle w:val="Style1"/>
        <w:jc w:val="both"/>
        <w:rPr>
          <w:bCs/>
        </w:rPr>
      </w:pPr>
    </w:p>
    <w:p w14:paraId="36407358" w14:textId="77777777" w:rsidR="00BC06FB" w:rsidRDefault="00BC06FB" w:rsidP="00A8348B">
      <w:pPr>
        <w:pStyle w:val="Style1"/>
        <w:jc w:val="both"/>
        <w:rPr>
          <w:bCs/>
        </w:rPr>
      </w:pPr>
    </w:p>
    <w:p w14:paraId="5D51176D" w14:textId="77777777" w:rsidR="00281977" w:rsidRDefault="00281977" w:rsidP="00A8348B">
      <w:pPr>
        <w:pStyle w:val="Style1"/>
        <w:jc w:val="both"/>
        <w:rPr>
          <w:bCs/>
        </w:rPr>
      </w:pPr>
    </w:p>
    <w:p w14:paraId="069D0536" w14:textId="77777777" w:rsidR="001D43D3" w:rsidRDefault="001D43D3" w:rsidP="00A8348B">
      <w:pPr>
        <w:jc w:val="both"/>
      </w:pPr>
    </w:p>
    <w:p w14:paraId="3EF05D20" w14:textId="77777777" w:rsidR="00F95090" w:rsidRDefault="00F95090" w:rsidP="00A8348B">
      <w:pPr>
        <w:jc w:val="both"/>
      </w:pPr>
    </w:p>
    <w:p w14:paraId="37FB234A" w14:textId="77777777" w:rsidR="00F95090" w:rsidRDefault="00F95090" w:rsidP="00A8348B">
      <w:pPr>
        <w:jc w:val="both"/>
      </w:pPr>
    </w:p>
    <w:p w14:paraId="620E4B14" w14:textId="2ED740E6" w:rsidR="00D37164" w:rsidRDefault="004A3DD8" w:rsidP="00A8348B">
      <w:pPr>
        <w:pStyle w:val="Style1"/>
        <w:jc w:val="both"/>
      </w:pPr>
      <w:bookmarkStart w:id="10" w:name="_Toc212839368"/>
      <w:r w:rsidRPr="004A3DD8">
        <w:lastRenderedPageBreak/>
        <w:t>5. Reference List</w:t>
      </w:r>
      <w:bookmarkEnd w:id="10"/>
    </w:p>
    <w:p w14:paraId="29D18142" w14:textId="7777DB29" w:rsidR="00257FEC" w:rsidRDefault="00257FEC" w:rsidP="00281977">
      <w:pPr>
        <w:rPr>
          <w:rFonts w:ascii="Arial" w:hAnsi="Arial" w:cs="Arial"/>
        </w:rPr>
      </w:pPr>
      <w:proofErr w:type="spellStart"/>
      <w:r w:rsidRPr="00281977">
        <w:rPr>
          <w:rFonts w:ascii="Arial" w:hAnsi="Arial" w:cs="Arial"/>
        </w:rPr>
        <w:t>Aotocar</w:t>
      </w:r>
      <w:proofErr w:type="spellEnd"/>
      <w:r w:rsidRPr="00281977">
        <w:rPr>
          <w:rFonts w:ascii="Arial" w:hAnsi="Arial" w:cs="Arial"/>
        </w:rPr>
        <w:t xml:space="preserve"> (2023) Rolls-Royce CEO: Post-Brexit woes won’t affect Goodwood plant. (online) Autocar. Available at: </w:t>
      </w:r>
      <w:hyperlink r:id="rId9" w:history="1">
        <w:r w:rsidRPr="00281977">
          <w:rPr>
            <w:rStyle w:val="Hyperlink"/>
            <w:rFonts w:ascii="Arial" w:hAnsi="Arial" w:cs="Arial"/>
          </w:rPr>
          <w:t>https://www.autocar.co.uk/car-news/business-manufacturing/rolls-royce-ceo-post-brexit-woes-wont-affect-goodwood-plant</w:t>
        </w:r>
      </w:hyperlink>
      <w:r w:rsidRPr="00281977">
        <w:rPr>
          <w:rFonts w:ascii="Arial" w:hAnsi="Arial" w:cs="Arial"/>
        </w:rPr>
        <w:t xml:space="preserve"> (Accessed 31.10.25)</w:t>
      </w:r>
    </w:p>
    <w:p w14:paraId="0317A036" w14:textId="71927D98" w:rsidR="00443D43" w:rsidRPr="00281977" w:rsidRDefault="00443D43" w:rsidP="00281977">
      <w:pPr>
        <w:rPr>
          <w:rFonts w:ascii="Arial" w:hAnsi="Arial" w:cs="Arial"/>
        </w:rPr>
      </w:pPr>
      <w:r w:rsidRPr="00443D43">
        <w:rPr>
          <w:rFonts w:ascii="Arial" w:hAnsi="Arial" w:cs="Arial"/>
        </w:rPr>
        <w:t xml:space="preserve">Bank of England (2025) </w:t>
      </w:r>
      <w:r w:rsidRPr="00443D43">
        <w:rPr>
          <w:rFonts w:ascii="Arial" w:hAnsi="Arial" w:cs="Arial"/>
          <w:i/>
          <w:iCs/>
        </w:rPr>
        <w:t>Interest Rates and Bank Rate</w:t>
      </w:r>
      <w:r w:rsidRPr="00443D43">
        <w:rPr>
          <w:rFonts w:ascii="Arial" w:hAnsi="Arial" w:cs="Arial"/>
        </w:rPr>
        <w:t xml:space="preserve">, </w:t>
      </w:r>
      <w:r w:rsidRPr="00443D43">
        <w:rPr>
          <w:rFonts w:ascii="Arial" w:hAnsi="Arial" w:cs="Arial"/>
          <w:i/>
          <w:iCs/>
        </w:rPr>
        <w:t>Bank of England</w:t>
      </w:r>
      <w:r w:rsidRPr="00443D43">
        <w:rPr>
          <w:rFonts w:ascii="Arial" w:hAnsi="Arial" w:cs="Arial"/>
        </w:rPr>
        <w:t xml:space="preserve">. Bank of England. Available at: </w:t>
      </w:r>
      <w:hyperlink r:id="rId10" w:history="1">
        <w:r w:rsidRPr="00443D43">
          <w:rPr>
            <w:rStyle w:val="Hyperlink"/>
            <w:rFonts w:ascii="Arial" w:hAnsi="Arial" w:cs="Arial"/>
          </w:rPr>
          <w:t>https://www.bankofengland.co.uk/monetary-policy/the-interest-rate-bank-rate</w:t>
        </w:r>
      </w:hyperlink>
      <w:r>
        <w:rPr>
          <w:rFonts w:ascii="Arial" w:hAnsi="Arial" w:cs="Arial"/>
        </w:rPr>
        <w:t xml:space="preserve"> </w:t>
      </w:r>
      <w:r w:rsidRPr="00443D43">
        <w:rPr>
          <w:rFonts w:ascii="Arial" w:hAnsi="Arial" w:cs="Arial"/>
        </w:rPr>
        <w:t>(Accessed: 3 November 2025).</w:t>
      </w:r>
    </w:p>
    <w:p w14:paraId="3FA86F3C" w14:textId="60E515B6" w:rsidR="004A3DD8" w:rsidRPr="002D1265" w:rsidRDefault="004A3DD8" w:rsidP="00281977">
      <w:pPr>
        <w:rPr>
          <w:rFonts w:ascii="Arial" w:hAnsi="Arial" w:cs="Arial"/>
        </w:rPr>
      </w:pPr>
      <w:r w:rsidRPr="002D1265">
        <w:rPr>
          <w:rFonts w:ascii="Arial" w:hAnsi="Arial" w:cs="Arial"/>
        </w:rPr>
        <w:t>G</w:t>
      </w:r>
      <w:r w:rsidR="009C643A">
        <w:rPr>
          <w:rFonts w:ascii="Arial" w:hAnsi="Arial" w:cs="Arial"/>
        </w:rPr>
        <w:t xml:space="preserve">ov.uk </w:t>
      </w:r>
      <w:r w:rsidRPr="002D1265">
        <w:rPr>
          <w:rFonts w:ascii="Arial" w:hAnsi="Arial" w:cs="Arial"/>
        </w:rPr>
        <w:t xml:space="preserve">(2025) </w:t>
      </w:r>
      <w:r w:rsidRPr="002D1265">
        <w:rPr>
          <w:rFonts w:ascii="Arial" w:hAnsi="Arial" w:cs="Arial"/>
          <w:i/>
          <w:iCs/>
        </w:rPr>
        <w:t>Sector Plan</w:t>
      </w:r>
      <w:r w:rsidRPr="002D1265">
        <w:rPr>
          <w:rFonts w:ascii="Arial" w:hAnsi="Arial" w:cs="Arial"/>
        </w:rPr>
        <w:t xml:space="preserve">. </w:t>
      </w:r>
      <w:r w:rsidR="00816132">
        <w:rPr>
          <w:rFonts w:ascii="Arial" w:hAnsi="Arial" w:cs="Arial"/>
        </w:rPr>
        <w:t>(</w:t>
      </w:r>
      <w:r w:rsidRPr="002D1265">
        <w:rPr>
          <w:rFonts w:ascii="Arial" w:hAnsi="Arial" w:cs="Arial"/>
        </w:rPr>
        <w:t>online</w:t>
      </w:r>
      <w:r w:rsidR="00816132">
        <w:rPr>
          <w:rFonts w:ascii="Arial" w:hAnsi="Arial" w:cs="Arial"/>
        </w:rPr>
        <w:t>)</w:t>
      </w:r>
      <w:r w:rsidRPr="002D1265">
        <w:rPr>
          <w:rFonts w:ascii="Arial" w:hAnsi="Arial" w:cs="Arial"/>
        </w:rPr>
        <w:t xml:space="preserve"> GOV.UK. Available at: </w:t>
      </w:r>
      <w:hyperlink r:id="rId11" w:history="1">
        <w:r w:rsidR="00474376" w:rsidRPr="002D1265">
          <w:rPr>
            <w:rStyle w:val="Hyperlink"/>
            <w:rFonts w:ascii="Arial" w:hAnsi="Arial" w:cs="Arial"/>
          </w:rPr>
          <w:t>https://www.gov.uk/government/publications/advanced-manufacturing-sector-plan</w:t>
        </w:r>
      </w:hyperlink>
      <w:r w:rsidR="00474376" w:rsidRPr="002D1265">
        <w:rPr>
          <w:rFonts w:ascii="Arial" w:hAnsi="Arial" w:cs="Arial"/>
        </w:rPr>
        <w:t xml:space="preserve"> </w:t>
      </w:r>
      <w:r w:rsidR="00B94C4B" w:rsidRPr="002D1265">
        <w:rPr>
          <w:rFonts w:ascii="Arial" w:hAnsi="Arial" w:cs="Arial"/>
        </w:rPr>
        <w:t>(</w:t>
      </w:r>
      <w:r w:rsidRPr="002D1265">
        <w:rPr>
          <w:rFonts w:ascii="Arial" w:hAnsi="Arial" w:cs="Arial"/>
        </w:rPr>
        <w:t>Accessed 31</w:t>
      </w:r>
      <w:r w:rsidR="00B94C4B" w:rsidRPr="002D1265">
        <w:rPr>
          <w:rFonts w:ascii="Arial" w:hAnsi="Arial" w:cs="Arial"/>
        </w:rPr>
        <w:t>.10</w:t>
      </w:r>
      <w:r w:rsidR="00FA2CA9">
        <w:rPr>
          <w:rFonts w:ascii="Arial" w:hAnsi="Arial" w:cs="Arial"/>
        </w:rPr>
        <w:t>.</w:t>
      </w:r>
      <w:r w:rsidRPr="002D1265">
        <w:rPr>
          <w:rFonts w:ascii="Arial" w:hAnsi="Arial" w:cs="Arial"/>
        </w:rPr>
        <w:t>25</w:t>
      </w:r>
      <w:r w:rsidR="00B94C4B" w:rsidRPr="002D1265">
        <w:rPr>
          <w:rFonts w:ascii="Arial" w:hAnsi="Arial" w:cs="Arial"/>
        </w:rPr>
        <w:t>)</w:t>
      </w:r>
    </w:p>
    <w:p w14:paraId="3BC022FE" w14:textId="508B27B3" w:rsidR="004A3DD8" w:rsidRPr="002D1265" w:rsidRDefault="004A3DD8" w:rsidP="00281977">
      <w:pPr>
        <w:rPr>
          <w:rFonts w:ascii="Arial" w:hAnsi="Arial" w:cs="Arial"/>
        </w:rPr>
      </w:pPr>
      <w:r w:rsidRPr="002D1265">
        <w:rPr>
          <w:rFonts w:ascii="Arial" w:hAnsi="Arial" w:cs="Arial"/>
        </w:rPr>
        <w:t xml:space="preserve">Gov.uk (2023) </w:t>
      </w:r>
      <w:r w:rsidRPr="002D1265">
        <w:rPr>
          <w:rFonts w:ascii="Arial" w:hAnsi="Arial" w:cs="Arial"/>
          <w:i/>
          <w:iCs/>
        </w:rPr>
        <w:t>Procurement Act 2023</w:t>
      </w:r>
      <w:r w:rsidRPr="002D1265">
        <w:rPr>
          <w:rFonts w:ascii="Arial" w:hAnsi="Arial" w:cs="Arial"/>
        </w:rPr>
        <w:t xml:space="preserve">. </w:t>
      </w:r>
      <w:r w:rsidR="00816132">
        <w:rPr>
          <w:rFonts w:ascii="Arial" w:hAnsi="Arial" w:cs="Arial"/>
        </w:rPr>
        <w:t>(</w:t>
      </w:r>
      <w:r w:rsidRPr="002D1265">
        <w:rPr>
          <w:rFonts w:ascii="Arial" w:hAnsi="Arial" w:cs="Arial"/>
        </w:rPr>
        <w:t>online</w:t>
      </w:r>
      <w:r w:rsidR="00816132">
        <w:rPr>
          <w:rFonts w:ascii="Arial" w:hAnsi="Arial" w:cs="Arial"/>
        </w:rPr>
        <w:t>)</w:t>
      </w:r>
      <w:r w:rsidRPr="002D1265">
        <w:rPr>
          <w:rFonts w:ascii="Arial" w:hAnsi="Arial" w:cs="Arial"/>
        </w:rPr>
        <w:t xml:space="preserve"> Legislation.gov.uk. Available at: </w:t>
      </w:r>
      <w:hyperlink r:id="rId12" w:history="1">
        <w:r w:rsidR="00474376" w:rsidRPr="002D1265">
          <w:rPr>
            <w:rStyle w:val="Hyperlink"/>
            <w:rFonts w:ascii="Arial" w:hAnsi="Arial" w:cs="Arial"/>
          </w:rPr>
          <w:t>https://www.legislation.gov.uk/ukpga/2023/54/contents</w:t>
        </w:r>
      </w:hyperlink>
      <w:r w:rsidR="00474376" w:rsidRPr="002D1265">
        <w:rPr>
          <w:rFonts w:ascii="Arial" w:hAnsi="Arial" w:cs="Arial"/>
        </w:rPr>
        <w:t xml:space="preserve"> (</w:t>
      </w:r>
      <w:r w:rsidRPr="002D1265">
        <w:rPr>
          <w:rFonts w:ascii="Arial" w:hAnsi="Arial" w:cs="Arial"/>
        </w:rPr>
        <w:t>Accessed 31</w:t>
      </w:r>
      <w:r w:rsidR="00474376" w:rsidRPr="002D1265">
        <w:rPr>
          <w:rFonts w:ascii="Arial" w:hAnsi="Arial" w:cs="Arial"/>
        </w:rPr>
        <w:t>.10</w:t>
      </w:r>
      <w:r w:rsidR="00FA2CA9">
        <w:rPr>
          <w:rFonts w:ascii="Arial" w:hAnsi="Arial" w:cs="Arial"/>
        </w:rPr>
        <w:t>.</w:t>
      </w:r>
      <w:r w:rsidRPr="002D1265">
        <w:rPr>
          <w:rFonts w:ascii="Arial" w:hAnsi="Arial" w:cs="Arial"/>
        </w:rPr>
        <w:t>25</w:t>
      </w:r>
      <w:r w:rsidR="00474376" w:rsidRPr="002D1265">
        <w:rPr>
          <w:rFonts w:ascii="Arial" w:hAnsi="Arial" w:cs="Arial"/>
        </w:rPr>
        <w:t>)</w:t>
      </w:r>
      <w:r w:rsidRPr="002D1265">
        <w:rPr>
          <w:rFonts w:ascii="Arial" w:hAnsi="Arial" w:cs="Arial"/>
        </w:rPr>
        <w:t>.</w:t>
      </w:r>
    </w:p>
    <w:p w14:paraId="550B4E14" w14:textId="04BC8F22" w:rsidR="004A3DD8" w:rsidRPr="002D1265" w:rsidRDefault="004A3DD8" w:rsidP="00281977">
      <w:pPr>
        <w:rPr>
          <w:rFonts w:ascii="Arial" w:hAnsi="Arial" w:cs="Arial"/>
        </w:rPr>
      </w:pPr>
      <w:r w:rsidRPr="002D1265">
        <w:rPr>
          <w:rFonts w:ascii="Arial" w:hAnsi="Arial" w:cs="Arial"/>
        </w:rPr>
        <w:t xml:space="preserve">Hooley, G.J. (2025) </w:t>
      </w:r>
      <w:r w:rsidRPr="002D1265">
        <w:rPr>
          <w:rFonts w:ascii="Arial" w:hAnsi="Arial" w:cs="Arial"/>
          <w:i/>
          <w:iCs/>
        </w:rPr>
        <w:t>Marketing strategy and competitive positioning.</w:t>
      </w:r>
      <w:r w:rsidRPr="002D1265">
        <w:rPr>
          <w:rFonts w:ascii="Arial" w:hAnsi="Arial" w:cs="Arial"/>
        </w:rPr>
        <w:t xml:space="preserve"> </w:t>
      </w:r>
      <w:r w:rsidR="00816132">
        <w:rPr>
          <w:rFonts w:ascii="Arial" w:hAnsi="Arial" w:cs="Arial"/>
        </w:rPr>
        <w:t>(</w:t>
      </w:r>
      <w:r w:rsidRPr="002D1265">
        <w:rPr>
          <w:rFonts w:ascii="Arial" w:hAnsi="Arial" w:cs="Arial"/>
        </w:rPr>
        <w:t>online</w:t>
      </w:r>
      <w:r w:rsidR="00816132">
        <w:rPr>
          <w:rFonts w:ascii="Arial" w:hAnsi="Arial" w:cs="Arial"/>
        </w:rPr>
        <w:t>)</w:t>
      </w:r>
      <w:r w:rsidRPr="002D1265">
        <w:rPr>
          <w:rFonts w:ascii="Arial" w:hAnsi="Arial" w:cs="Arial"/>
        </w:rPr>
        <w:t xml:space="preserve"> Vlereader.com. Available at: </w:t>
      </w:r>
      <w:hyperlink r:id="rId13" w:history="1">
        <w:r w:rsidR="00FA2CA9" w:rsidRPr="00AE6442">
          <w:rPr>
            <w:rStyle w:val="Hyperlink"/>
            <w:rFonts w:ascii="Arial" w:hAnsi="Arial" w:cs="Arial"/>
          </w:rPr>
          <w:t>https://r1.vlereader.com/EpubReader?ean=1781292456720</w:t>
        </w:r>
      </w:hyperlink>
      <w:r w:rsidR="00FA2CA9">
        <w:rPr>
          <w:rFonts w:ascii="Arial" w:hAnsi="Arial" w:cs="Arial"/>
        </w:rPr>
        <w:t xml:space="preserve"> </w:t>
      </w:r>
      <w:r w:rsidR="0087680E">
        <w:rPr>
          <w:rFonts w:ascii="Arial" w:hAnsi="Arial" w:cs="Arial"/>
        </w:rPr>
        <w:t>(</w:t>
      </w:r>
      <w:r w:rsidRPr="002D1265">
        <w:rPr>
          <w:rFonts w:ascii="Arial" w:hAnsi="Arial" w:cs="Arial"/>
        </w:rPr>
        <w:t>Accessed 23</w:t>
      </w:r>
      <w:r w:rsidR="003B26A3">
        <w:rPr>
          <w:rFonts w:ascii="Arial" w:hAnsi="Arial" w:cs="Arial"/>
        </w:rPr>
        <w:t>.10.</w:t>
      </w:r>
      <w:r w:rsidRPr="002D1265">
        <w:rPr>
          <w:rFonts w:ascii="Arial" w:hAnsi="Arial" w:cs="Arial"/>
        </w:rPr>
        <w:t>25</w:t>
      </w:r>
      <w:r w:rsidR="003B26A3">
        <w:rPr>
          <w:rFonts w:ascii="Arial" w:hAnsi="Arial" w:cs="Arial"/>
        </w:rPr>
        <w:t>)</w:t>
      </w:r>
    </w:p>
    <w:p w14:paraId="2DBF2D02" w14:textId="4E7F742E" w:rsidR="004A3DD8" w:rsidRPr="002260AC" w:rsidRDefault="004A3DD8" w:rsidP="00281977">
      <w:pPr>
        <w:rPr>
          <w:rFonts w:ascii="Arial" w:hAnsi="Arial" w:cs="Arial"/>
        </w:rPr>
      </w:pPr>
      <w:r w:rsidRPr="002D1265">
        <w:rPr>
          <w:rFonts w:ascii="Arial" w:hAnsi="Arial" w:cs="Arial"/>
        </w:rPr>
        <w:t xml:space="preserve">IATA (2025) </w:t>
      </w:r>
      <w:r w:rsidRPr="002D1265">
        <w:rPr>
          <w:rFonts w:ascii="Arial" w:hAnsi="Arial" w:cs="Arial"/>
          <w:i/>
          <w:iCs/>
        </w:rPr>
        <w:t>Global Outlook for Air Transport June 2025</w:t>
      </w:r>
      <w:r w:rsidRPr="002D1265">
        <w:rPr>
          <w:rFonts w:ascii="Arial" w:hAnsi="Arial" w:cs="Arial"/>
        </w:rPr>
        <w:t xml:space="preserve">. </w:t>
      </w:r>
      <w:r w:rsidR="0087680E">
        <w:rPr>
          <w:rFonts w:ascii="Arial" w:hAnsi="Arial" w:cs="Arial"/>
        </w:rPr>
        <w:t>(</w:t>
      </w:r>
      <w:r w:rsidRPr="002D1265">
        <w:rPr>
          <w:rFonts w:ascii="Arial" w:hAnsi="Arial" w:cs="Arial"/>
        </w:rPr>
        <w:t>online</w:t>
      </w:r>
      <w:r w:rsidR="0087680E">
        <w:rPr>
          <w:rFonts w:ascii="Arial" w:hAnsi="Arial" w:cs="Arial"/>
        </w:rPr>
        <w:t>)</w:t>
      </w:r>
      <w:r w:rsidR="002260AC">
        <w:rPr>
          <w:rFonts w:ascii="Arial" w:hAnsi="Arial" w:cs="Arial"/>
        </w:rPr>
        <w:t xml:space="preserve"> </w:t>
      </w:r>
      <w:r w:rsidRPr="002260AC">
        <w:rPr>
          <w:rFonts w:ascii="Arial" w:hAnsi="Arial" w:cs="Arial"/>
        </w:rPr>
        <w:t xml:space="preserve">Iata.org. Available at: </w:t>
      </w:r>
      <w:hyperlink r:id="rId14" w:history="1">
        <w:r w:rsidR="003B26A3" w:rsidRPr="002260AC">
          <w:rPr>
            <w:rStyle w:val="Hyperlink"/>
            <w:rFonts w:ascii="Arial" w:hAnsi="Arial" w:cs="Arial"/>
          </w:rPr>
          <w:t>https://www.iata.org/en/publications/economics/reports/global-outlook-for-air-transport-june-2025/</w:t>
        </w:r>
      </w:hyperlink>
      <w:r w:rsidR="003B26A3" w:rsidRPr="002260AC">
        <w:rPr>
          <w:rFonts w:ascii="Arial" w:hAnsi="Arial" w:cs="Arial"/>
        </w:rPr>
        <w:t xml:space="preserve"> (</w:t>
      </w:r>
      <w:r w:rsidR="000107BF" w:rsidRPr="002260AC">
        <w:rPr>
          <w:rFonts w:ascii="Arial" w:hAnsi="Arial" w:cs="Arial"/>
        </w:rPr>
        <w:t>Accessed 23.10.25)</w:t>
      </w:r>
    </w:p>
    <w:p w14:paraId="1A2E741B" w14:textId="7082A16C" w:rsidR="004A3DD8" w:rsidRPr="002D1265" w:rsidRDefault="004A3DD8" w:rsidP="00281977">
      <w:pPr>
        <w:rPr>
          <w:rFonts w:ascii="Arial" w:hAnsi="Arial" w:cs="Arial"/>
        </w:rPr>
      </w:pPr>
      <w:r w:rsidRPr="002D1265">
        <w:rPr>
          <w:rFonts w:ascii="Arial" w:hAnsi="Arial" w:cs="Arial"/>
        </w:rPr>
        <w:t>Institute of Directors (2025)</w:t>
      </w:r>
      <w:r w:rsidR="000107BF">
        <w:rPr>
          <w:rFonts w:ascii="Arial" w:hAnsi="Arial" w:cs="Arial"/>
        </w:rPr>
        <w:t xml:space="preserve"> </w:t>
      </w:r>
      <w:r w:rsidRPr="002D1265">
        <w:rPr>
          <w:rFonts w:ascii="Arial" w:hAnsi="Arial" w:cs="Arial"/>
          <w:i/>
          <w:iCs/>
        </w:rPr>
        <w:t>Annual Policy Outlook: Trends, risks and opportunities for business in 2025</w:t>
      </w:r>
      <w:r w:rsidRPr="002D1265">
        <w:rPr>
          <w:rFonts w:ascii="Arial" w:hAnsi="Arial" w:cs="Arial"/>
        </w:rPr>
        <w:t xml:space="preserve">. </w:t>
      </w:r>
      <w:r w:rsidR="002260AC">
        <w:rPr>
          <w:rFonts w:ascii="Arial" w:hAnsi="Arial" w:cs="Arial"/>
        </w:rPr>
        <w:t>(</w:t>
      </w:r>
      <w:r w:rsidRPr="002D1265">
        <w:rPr>
          <w:rFonts w:ascii="Arial" w:hAnsi="Arial" w:cs="Arial"/>
        </w:rPr>
        <w:t>online</w:t>
      </w:r>
      <w:r w:rsidR="002260AC">
        <w:rPr>
          <w:rFonts w:ascii="Arial" w:hAnsi="Arial" w:cs="Arial"/>
        </w:rPr>
        <w:t>)</w:t>
      </w:r>
      <w:r w:rsidRPr="002D1265">
        <w:rPr>
          <w:rFonts w:ascii="Arial" w:hAnsi="Arial" w:cs="Arial"/>
        </w:rPr>
        <w:t xml:space="preserve"> Institute of Directors. Available at: </w:t>
      </w:r>
      <w:hyperlink r:id="rId15" w:history="1">
        <w:r w:rsidR="000107BF" w:rsidRPr="00AE6442">
          <w:rPr>
            <w:rStyle w:val="Hyperlink"/>
            <w:rFonts w:ascii="Arial" w:hAnsi="Arial" w:cs="Arial"/>
          </w:rPr>
          <w:t>https://www.iod.com/resources/uk-economy/policy-outlook-2025/</w:t>
        </w:r>
      </w:hyperlink>
      <w:r w:rsidR="000107BF">
        <w:rPr>
          <w:rFonts w:ascii="Arial" w:hAnsi="Arial" w:cs="Arial"/>
        </w:rPr>
        <w:t xml:space="preserve"> </w:t>
      </w:r>
      <w:r w:rsidR="000107BF" w:rsidRPr="000107BF">
        <w:rPr>
          <w:rFonts w:ascii="Arial" w:hAnsi="Arial" w:cs="Arial"/>
        </w:rPr>
        <w:t>(Accessed 23.10.25)</w:t>
      </w:r>
    </w:p>
    <w:p w14:paraId="0328E323" w14:textId="695A82E7" w:rsidR="004A3DD8" w:rsidRPr="002D1265" w:rsidRDefault="004A3DD8" w:rsidP="00281977">
      <w:pPr>
        <w:rPr>
          <w:rFonts w:ascii="Arial" w:hAnsi="Arial" w:cs="Arial"/>
        </w:rPr>
      </w:pPr>
      <w:r w:rsidRPr="002D1265">
        <w:rPr>
          <w:rFonts w:ascii="Arial" w:hAnsi="Arial" w:cs="Arial"/>
        </w:rPr>
        <w:t>Kotler, P., et al. (2019)</w:t>
      </w:r>
      <w:r w:rsidR="000107BF">
        <w:rPr>
          <w:rFonts w:ascii="Arial" w:hAnsi="Arial" w:cs="Arial"/>
        </w:rPr>
        <w:t xml:space="preserve"> </w:t>
      </w:r>
      <w:r w:rsidRPr="002D1265">
        <w:rPr>
          <w:rFonts w:ascii="Arial" w:hAnsi="Arial" w:cs="Arial"/>
          <w:i/>
          <w:iCs/>
        </w:rPr>
        <w:t>Principles of Marketing</w:t>
      </w:r>
      <w:r w:rsidRPr="002D1265">
        <w:rPr>
          <w:rFonts w:ascii="Arial" w:hAnsi="Arial" w:cs="Arial"/>
        </w:rPr>
        <w:t xml:space="preserve">. </w:t>
      </w:r>
      <w:r w:rsidR="002260AC">
        <w:rPr>
          <w:rFonts w:ascii="Arial" w:hAnsi="Arial" w:cs="Arial"/>
        </w:rPr>
        <w:t>(</w:t>
      </w:r>
      <w:r w:rsidRPr="002D1265">
        <w:rPr>
          <w:rFonts w:ascii="Arial" w:hAnsi="Arial" w:cs="Arial"/>
        </w:rPr>
        <w:t>online</w:t>
      </w:r>
      <w:r w:rsidR="002260AC">
        <w:rPr>
          <w:rFonts w:ascii="Arial" w:hAnsi="Arial" w:cs="Arial"/>
        </w:rPr>
        <w:t>)</w:t>
      </w:r>
      <w:r w:rsidRPr="002D1265">
        <w:rPr>
          <w:rFonts w:ascii="Arial" w:hAnsi="Arial" w:cs="Arial"/>
        </w:rPr>
        <w:t xml:space="preserve"> </w:t>
      </w:r>
      <w:proofErr w:type="spellStart"/>
      <w:r w:rsidRPr="002D1265">
        <w:rPr>
          <w:rFonts w:ascii="Arial" w:hAnsi="Arial" w:cs="Arial"/>
        </w:rPr>
        <w:t>Proquest</w:t>
      </w:r>
      <w:proofErr w:type="spellEnd"/>
      <w:r w:rsidRPr="002D1265">
        <w:rPr>
          <w:rFonts w:ascii="Arial" w:hAnsi="Arial" w:cs="Arial"/>
        </w:rPr>
        <w:t xml:space="preserve"> </w:t>
      </w:r>
      <w:proofErr w:type="spellStart"/>
      <w:r w:rsidRPr="002D1265">
        <w:rPr>
          <w:rFonts w:ascii="Arial" w:hAnsi="Arial" w:cs="Arial"/>
        </w:rPr>
        <w:t>Ebook</w:t>
      </w:r>
      <w:proofErr w:type="spellEnd"/>
      <w:r w:rsidRPr="002D1265">
        <w:rPr>
          <w:rFonts w:ascii="Arial" w:hAnsi="Arial" w:cs="Arial"/>
        </w:rPr>
        <w:t xml:space="preserve"> Central. Available at: </w:t>
      </w:r>
      <w:hyperlink r:id="rId16" w:history="1">
        <w:r w:rsidR="000107BF" w:rsidRPr="00AE6442">
          <w:rPr>
            <w:rStyle w:val="Hyperlink"/>
            <w:rFonts w:ascii="Arial" w:hAnsi="Arial" w:cs="Arial"/>
          </w:rPr>
          <w:t>https://ebookcentral.proquest.com/lib/trinity/detail.action?pq-origsite=primo&amp;docID=5978379#</w:t>
        </w:r>
      </w:hyperlink>
      <w:r w:rsidR="000107BF">
        <w:rPr>
          <w:rFonts w:ascii="Arial" w:hAnsi="Arial" w:cs="Arial"/>
        </w:rPr>
        <w:t xml:space="preserve"> (</w:t>
      </w:r>
      <w:r w:rsidRPr="002D1265">
        <w:rPr>
          <w:rFonts w:ascii="Arial" w:hAnsi="Arial" w:cs="Arial"/>
        </w:rPr>
        <w:t xml:space="preserve">Accessed </w:t>
      </w:r>
      <w:r w:rsidR="000107BF">
        <w:rPr>
          <w:rFonts w:ascii="Arial" w:hAnsi="Arial" w:cs="Arial"/>
        </w:rPr>
        <w:t>20.10.</w:t>
      </w:r>
      <w:r w:rsidRPr="002D1265">
        <w:rPr>
          <w:rFonts w:ascii="Arial" w:hAnsi="Arial" w:cs="Arial"/>
        </w:rPr>
        <w:t>25</w:t>
      </w:r>
      <w:r w:rsidR="000107BF">
        <w:rPr>
          <w:rFonts w:ascii="Arial" w:hAnsi="Arial" w:cs="Arial"/>
        </w:rPr>
        <w:t>)</w:t>
      </w:r>
      <w:r w:rsidRPr="002D1265">
        <w:rPr>
          <w:rFonts w:ascii="Arial" w:hAnsi="Arial" w:cs="Arial"/>
        </w:rPr>
        <w:t>.</w:t>
      </w:r>
    </w:p>
    <w:p w14:paraId="529E7973" w14:textId="69669FAA" w:rsidR="004A3DD8" w:rsidRPr="002D1265" w:rsidRDefault="004A3DD8" w:rsidP="00281977">
      <w:pPr>
        <w:rPr>
          <w:rFonts w:ascii="Arial" w:hAnsi="Arial" w:cs="Arial"/>
        </w:rPr>
      </w:pPr>
      <w:r w:rsidRPr="002D1265">
        <w:rPr>
          <w:rFonts w:ascii="Arial" w:hAnsi="Arial" w:cs="Arial"/>
        </w:rPr>
        <w:t xml:space="preserve">MarketLine Advantage (2025a) </w:t>
      </w:r>
      <w:r w:rsidRPr="002D1265">
        <w:rPr>
          <w:rFonts w:ascii="Arial" w:hAnsi="Arial" w:cs="Arial"/>
          <w:i/>
          <w:iCs/>
        </w:rPr>
        <w:t>Nuclear Deal Enhances Energy Sector Opportunities</w:t>
      </w:r>
      <w:r w:rsidRPr="002D1265">
        <w:rPr>
          <w:rFonts w:ascii="Arial" w:hAnsi="Arial" w:cs="Arial"/>
        </w:rPr>
        <w:t xml:space="preserve">. </w:t>
      </w:r>
      <w:r w:rsidR="002260AC">
        <w:rPr>
          <w:rFonts w:ascii="Arial" w:hAnsi="Arial" w:cs="Arial"/>
        </w:rPr>
        <w:t>(</w:t>
      </w:r>
      <w:r w:rsidRPr="002D1265">
        <w:rPr>
          <w:rFonts w:ascii="Arial" w:hAnsi="Arial" w:cs="Arial"/>
        </w:rPr>
        <w:t>online</w:t>
      </w:r>
      <w:r w:rsidR="002260AC">
        <w:rPr>
          <w:rFonts w:ascii="Arial" w:hAnsi="Arial" w:cs="Arial"/>
        </w:rPr>
        <w:t>)</w:t>
      </w:r>
      <w:r w:rsidRPr="002D1265">
        <w:rPr>
          <w:rFonts w:ascii="Arial" w:hAnsi="Arial" w:cs="Arial"/>
        </w:rPr>
        <w:t xml:space="preserve"> Uwtsd.ac.uk. Available at: </w:t>
      </w:r>
      <w:hyperlink r:id="rId17" w:history="1">
        <w:r w:rsidR="000107BF" w:rsidRPr="00AE6442">
          <w:rPr>
            <w:rStyle w:val="Hyperlink"/>
            <w:rFonts w:ascii="Arial" w:hAnsi="Arial" w:cs="Arial"/>
          </w:rPr>
          <w:t>https://advantage-marketline-com.ezproxy.uwtsd.ac.uk/News/nuclear-deal-enhances-energy-sector-opportunities-14825868</w:t>
        </w:r>
      </w:hyperlink>
      <w:r w:rsidR="000107BF">
        <w:rPr>
          <w:rFonts w:ascii="Arial" w:hAnsi="Arial" w:cs="Arial"/>
        </w:rPr>
        <w:t xml:space="preserve"> (</w:t>
      </w:r>
      <w:r w:rsidRPr="002D1265">
        <w:rPr>
          <w:rFonts w:ascii="Arial" w:hAnsi="Arial" w:cs="Arial"/>
        </w:rPr>
        <w:t>Accessed 23</w:t>
      </w:r>
      <w:r w:rsidR="008E1921">
        <w:rPr>
          <w:rFonts w:ascii="Arial" w:hAnsi="Arial" w:cs="Arial"/>
        </w:rPr>
        <w:t>.10.25)</w:t>
      </w:r>
    </w:p>
    <w:p w14:paraId="24A6126A" w14:textId="6E81E888" w:rsidR="004A3DD8" w:rsidRPr="002D1265" w:rsidRDefault="004A3DD8" w:rsidP="00281977">
      <w:pPr>
        <w:rPr>
          <w:rFonts w:ascii="Arial" w:hAnsi="Arial" w:cs="Arial"/>
        </w:rPr>
      </w:pPr>
      <w:r w:rsidRPr="002D1265">
        <w:rPr>
          <w:rFonts w:ascii="Arial" w:hAnsi="Arial" w:cs="Arial"/>
        </w:rPr>
        <w:t xml:space="preserve">MarketLine Advantage (2025b) </w:t>
      </w:r>
      <w:r w:rsidRPr="002D1265">
        <w:rPr>
          <w:rFonts w:ascii="Arial" w:hAnsi="Arial" w:cs="Arial"/>
          <w:i/>
          <w:iCs/>
        </w:rPr>
        <w:t>Rolls-Royce Holdings Plc. Company Summary</w:t>
      </w:r>
      <w:r w:rsidRPr="002D1265">
        <w:rPr>
          <w:rFonts w:ascii="Arial" w:hAnsi="Arial" w:cs="Arial"/>
        </w:rPr>
        <w:t xml:space="preserve">. </w:t>
      </w:r>
      <w:r w:rsidR="002260AC">
        <w:rPr>
          <w:rFonts w:ascii="Arial" w:hAnsi="Arial" w:cs="Arial"/>
        </w:rPr>
        <w:t>(</w:t>
      </w:r>
      <w:r w:rsidRPr="002D1265">
        <w:rPr>
          <w:rFonts w:ascii="Arial" w:hAnsi="Arial" w:cs="Arial"/>
        </w:rPr>
        <w:t>online</w:t>
      </w:r>
      <w:r w:rsidR="002260AC">
        <w:rPr>
          <w:rFonts w:ascii="Arial" w:hAnsi="Arial" w:cs="Arial"/>
        </w:rPr>
        <w:t>)</w:t>
      </w:r>
      <w:r w:rsidRPr="002D1265">
        <w:rPr>
          <w:rFonts w:ascii="Arial" w:hAnsi="Arial" w:cs="Arial"/>
        </w:rPr>
        <w:t xml:space="preserve"> Uwtsd.ac.uk. Available at: </w:t>
      </w:r>
      <w:hyperlink r:id="rId18" w:history="1">
        <w:r w:rsidR="008E1921" w:rsidRPr="00AE6442">
          <w:rPr>
            <w:rStyle w:val="Hyperlink"/>
            <w:rFonts w:ascii="Arial" w:hAnsi="Arial" w:cs="Arial"/>
          </w:rPr>
          <w:t>https://advantage-marketline-com.ezproxy.uwtsd.ac.uk/Company/Summary/rolls-royce-plc_wmi_183492</w:t>
        </w:r>
      </w:hyperlink>
      <w:r w:rsidR="008E1921">
        <w:rPr>
          <w:rFonts w:ascii="Arial" w:hAnsi="Arial" w:cs="Arial"/>
        </w:rPr>
        <w:t xml:space="preserve"> (</w:t>
      </w:r>
      <w:r w:rsidRPr="002D1265">
        <w:rPr>
          <w:rFonts w:ascii="Arial" w:hAnsi="Arial" w:cs="Arial"/>
        </w:rPr>
        <w:t>Accessed 23</w:t>
      </w:r>
      <w:r w:rsidR="008E1921">
        <w:rPr>
          <w:rFonts w:ascii="Arial" w:hAnsi="Arial" w:cs="Arial"/>
        </w:rPr>
        <w:t>.10.25)</w:t>
      </w:r>
    </w:p>
    <w:p w14:paraId="3AA5CE84" w14:textId="344BEF6B" w:rsidR="007D5A24" w:rsidRDefault="004A3DD8" w:rsidP="00281977">
      <w:pPr>
        <w:rPr>
          <w:rFonts w:ascii="Arial" w:hAnsi="Arial" w:cs="Arial"/>
        </w:rPr>
      </w:pPr>
      <w:r w:rsidRPr="008E1921">
        <w:rPr>
          <w:rFonts w:ascii="Arial" w:hAnsi="Arial" w:cs="Arial"/>
        </w:rPr>
        <w:t xml:space="preserve">MarketLine Advantage (2025c) </w:t>
      </w:r>
      <w:r w:rsidRPr="008E1921">
        <w:rPr>
          <w:rFonts w:ascii="Arial" w:hAnsi="Arial" w:cs="Arial"/>
          <w:i/>
          <w:iCs/>
        </w:rPr>
        <w:t>Rolls-Royce Intends to Double Sourcing in India by 2030, in Line With ‘Make in India’ Vision</w:t>
      </w:r>
      <w:r w:rsidRPr="008E1921">
        <w:rPr>
          <w:rFonts w:ascii="Arial" w:hAnsi="Arial" w:cs="Arial"/>
        </w:rPr>
        <w:t xml:space="preserve">. </w:t>
      </w:r>
      <w:r w:rsidR="002260AC">
        <w:rPr>
          <w:rFonts w:ascii="Arial" w:hAnsi="Arial" w:cs="Arial"/>
        </w:rPr>
        <w:t>(</w:t>
      </w:r>
      <w:r w:rsidRPr="008E1921">
        <w:rPr>
          <w:rFonts w:ascii="Arial" w:hAnsi="Arial" w:cs="Arial"/>
        </w:rPr>
        <w:t>online</w:t>
      </w:r>
      <w:r w:rsidR="002260AC">
        <w:rPr>
          <w:rFonts w:ascii="Arial" w:hAnsi="Arial" w:cs="Arial"/>
        </w:rPr>
        <w:t>)</w:t>
      </w:r>
      <w:r w:rsidRPr="008E1921">
        <w:rPr>
          <w:rFonts w:ascii="Arial" w:hAnsi="Arial" w:cs="Arial"/>
        </w:rPr>
        <w:t xml:space="preserve"> Uwtsd.ac.uk. Available at: </w:t>
      </w:r>
      <w:hyperlink r:id="rId19" w:history="1">
        <w:r w:rsidR="008E1921" w:rsidRPr="008E1921">
          <w:rPr>
            <w:rStyle w:val="Hyperlink"/>
            <w:rFonts w:ascii="Arial" w:hAnsi="Arial" w:cs="Arial"/>
          </w:rPr>
          <w:t>https://advantage-marketline-com.ezproxy.uwtsd.ac.uk/News/rolls-royce-aims-to-double-its-supply-chain-sourcing-from-india-by-2030-14828936</w:t>
        </w:r>
      </w:hyperlink>
      <w:r w:rsidR="008E1921" w:rsidRPr="008E1921">
        <w:rPr>
          <w:rFonts w:ascii="Arial" w:hAnsi="Arial" w:cs="Arial"/>
        </w:rPr>
        <w:t xml:space="preserve"> (</w:t>
      </w:r>
      <w:r w:rsidRPr="008E1921">
        <w:rPr>
          <w:rFonts w:ascii="Arial" w:hAnsi="Arial" w:cs="Arial"/>
        </w:rPr>
        <w:t xml:space="preserve">Accessed </w:t>
      </w:r>
      <w:r w:rsidR="007D5A24">
        <w:rPr>
          <w:rFonts w:ascii="Arial" w:hAnsi="Arial" w:cs="Arial"/>
        </w:rPr>
        <w:t>23.10.25)</w:t>
      </w:r>
    </w:p>
    <w:p w14:paraId="03F905DC" w14:textId="49D0FDD0" w:rsidR="004A3DD8" w:rsidRPr="008E1921" w:rsidRDefault="004A3DD8" w:rsidP="00281977">
      <w:pPr>
        <w:rPr>
          <w:rFonts w:ascii="Arial" w:hAnsi="Arial" w:cs="Arial"/>
        </w:rPr>
      </w:pPr>
      <w:r w:rsidRPr="008E1921">
        <w:rPr>
          <w:rFonts w:ascii="Arial" w:hAnsi="Arial" w:cs="Arial"/>
        </w:rPr>
        <w:lastRenderedPageBreak/>
        <w:t>MarketLine Advantage (2025d)</w:t>
      </w:r>
      <w:r w:rsidR="007D5A24">
        <w:rPr>
          <w:rFonts w:ascii="Arial" w:hAnsi="Arial" w:cs="Arial"/>
        </w:rPr>
        <w:t xml:space="preserve"> </w:t>
      </w:r>
      <w:r w:rsidRPr="008E1921">
        <w:rPr>
          <w:rFonts w:ascii="Arial" w:hAnsi="Arial" w:cs="Arial"/>
          <w:i/>
          <w:iCs/>
        </w:rPr>
        <w:t>Rolls-Royce to Lead EU’ S New Clean Aviation Project UNIFIED to Transform and Decarbonise Aviation</w:t>
      </w:r>
      <w:r w:rsidRPr="008E1921">
        <w:rPr>
          <w:rFonts w:ascii="Arial" w:hAnsi="Arial" w:cs="Arial"/>
        </w:rPr>
        <w:t xml:space="preserve">. </w:t>
      </w:r>
      <w:r w:rsidR="002260AC">
        <w:rPr>
          <w:rFonts w:ascii="Arial" w:hAnsi="Arial" w:cs="Arial"/>
        </w:rPr>
        <w:t>(</w:t>
      </w:r>
      <w:r w:rsidRPr="008E1921">
        <w:rPr>
          <w:rFonts w:ascii="Arial" w:hAnsi="Arial" w:cs="Arial"/>
        </w:rPr>
        <w:t>online</w:t>
      </w:r>
      <w:r w:rsidR="002260AC">
        <w:rPr>
          <w:rFonts w:ascii="Arial" w:hAnsi="Arial" w:cs="Arial"/>
        </w:rPr>
        <w:t>)</w:t>
      </w:r>
      <w:r w:rsidRPr="008E1921">
        <w:rPr>
          <w:rFonts w:ascii="Arial" w:hAnsi="Arial" w:cs="Arial"/>
        </w:rPr>
        <w:t xml:space="preserve"> Uwtsd.ac.uk. Available at: </w:t>
      </w:r>
      <w:hyperlink r:id="rId20" w:history="1">
        <w:r w:rsidR="007D5A24" w:rsidRPr="00AE6442">
          <w:rPr>
            <w:rStyle w:val="Hyperlink"/>
            <w:rFonts w:ascii="Arial" w:hAnsi="Arial" w:cs="Arial"/>
          </w:rPr>
          <w:t>https://advantage-marketline-com.ezproxy.uwtsd.ac.uk/News/rolls-royce-to-lead-eu-s-new-clean-aviation-project-unified-to-transform-and-decarbonise-aviation</w:t>
        </w:r>
      </w:hyperlink>
      <w:r w:rsidR="007D5A24">
        <w:rPr>
          <w:rFonts w:ascii="Arial" w:hAnsi="Arial" w:cs="Arial"/>
        </w:rPr>
        <w:t xml:space="preserve"> </w:t>
      </w:r>
      <w:bookmarkStart w:id="11" w:name="_Hlk212836722"/>
      <w:r w:rsidR="007D5A24">
        <w:rPr>
          <w:rFonts w:ascii="Arial" w:hAnsi="Arial" w:cs="Arial"/>
        </w:rPr>
        <w:t>(</w:t>
      </w:r>
      <w:r w:rsidRPr="008E1921">
        <w:rPr>
          <w:rFonts w:ascii="Arial" w:hAnsi="Arial" w:cs="Arial"/>
        </w:rPr>
        <w:t xml:space="preserve">Accessed </w:t>
      </w:r>
      <w:r w:rsidR="007D5A24">
        <w:rPr>
          <w:rFonts w:ascii="Arial" w:hAnsi="Arial" w:cs="Arial"/>
        </w:rPr>
        <w:t>23.10.25)</w:t>
      </w:r>
      <w:bookmarkEnd w:id="11"/>
    </w:p>
    <w:p w14:paraId="03627236" w14:textId="1691AC21" w:rsidR="004A3DD8" w:rsidRPr="002D1265" w:rsidRDefault="004A3DD8" w:rsidP="00281977">
      <w:pPr>
        <w:rPr>
          <w:rFonts w:ascii="Arial" w:hAnsi="Arial" w:cs="Arial"/>
        </w:rPr>
      </w:pPr>
      <w:r w:rsidRPr="002D1265">
        <w:rPr>
          <w:rFonts w:ascii="Arial" w:hAnsi="Arial" w:cs="Arial"/>
        </w:rPr>
        <w:t xml:space="preserve">MarketLine Advantage (2025e) </w:t>
      </w:r>
      <w:r w:rsidRPr="002D1265">
        <w:rPr>
          <w:rFonts w:ascii="Arial" w:hAnsi="Arial" w:cs="Arial"/>
          <w:i/>
          <w:iCs/>
        </w:rPr>
        <w:t xml:space="preserve">United Kingdom - Aerospace &amp; </w:t>
      </w:r>
      <w:proofErr w:type="spellStart"/>
      <w:r w:rsidRPr="002D1265">
        <w:rPr>
          <w:rFonts w:ascii="Arial" w:hAnsi="Arial" w:cs="Arial"/>
          <w:i/>
          <w:iCs/>
        </w:rPr>
        <w:t>Defense</w:t>
      </w:r>
      <w:proofErr w:type="spellEnd"/>
      <w:r w:rsidRPr="002D1265">
        <w:rPr>
          <w:rFonts w:ascii="Arial" w:hAnsi="Arial" w:cs="Arial"/>
        </w:rPr>
        <w:t xml:space="preserve">. </w:t>
      </w:r>
      <w:r w:rsidR="002260AC">
        <w:rPr>
          <w:rFonts w:ascii="Arial" w:hAnsi="Arial" w:cs="Arial"/>
        </w:rPr>
        <w:t>(</w:t>
      </w:r>
      <w:r w:rsidRPr="002D1265">
        <w:rPr>
          <w:rFonts w:ascii="Arial" w:hAnsi="Arial" w:cs="Arial"/>
        </w:rPr>
        <w:t>online</w:t>
      </w:r>
      <w:r w:rsidR="002260AC">
        <w:rPr>
          <w:rFonts w:ascii="Arial" w:hAnsi="Arial" w:cs="Arial"/>
        </w:rPr>
        <w:t>)</w:t>
      </w:r>
      <w:r w:rsidRPr="002D1265">
        <w:rPr>
          <w:rFonts w:ascii="Arial" w:hAnsi="Arial" w:cs="Arial"/>
        </w:rPr>
        <w:t xml:space="preserve"> Uwtsd.ac.uk. Available at: </w:t>
      </w:r>
      <w:hyperlink r:id="rId21" w:history="1">
        <w:r w:rsidR="007D5A24" w:rsidRPr="00AE6442">
          <w:rPr>
            <w:rStyle w:val="Hyperlink"/>
            <w:rFonts w:ascii="Arial" w:hAnsi="Arial" w:cs="Arial"/>
          </w:rPr>
          <w:t>https://advantage-marketline-com.ezproxy.uwtsd.ac.uk/Analysis/ViewasPDF/united-kingdom-aerospace-defense-ml-236290</w:t>
        </w:r>
      </w:hyperlink>
      <w:r w:rsidR="007D5A24">
        <w:rPr>
          <w:rFonts w:ascii="Arial" w:hAnsi="Arial" w:cs="Arial"/>
        </w:rPr>
        <w:t xml:space="preserve"> </w:t>
      </w:r>
      <w:r w:rsidR="007D5A24" w:rsidRPr="007D5A24">
        <w:rPr>
          <w:rFonts w:ascii="Arial" w:hAnsi="Arial" w:cs="Arial"/>
        </w:rPr>
        <w:t>(Accessed 2</w:t>
      </w:r>
      <w:r w:rsidR="007D5A24">
        <w:rPr>
          <w:rFonts w:ascii="Arial" w:hAnsi="Arial" w:cs="Arial"/>
        </w:rPr>
        <w:t>5</w:t>
      </w:r>
      <w:r w:rsidR="007D5A24" w:rsidRPr="007D5A24">
        <w:rPr>
          <w:rFonts w:ascii="Arial" w:hAnsi="Arial" w:cs="Arial"/>
        </w:rPr>
        <w:t>.10.25)</w:t>
      </w:r>
    </w:p>
    <w:p w14:paraId="6CB145D4" w14:textId="24433395" w:rsidR="004A3DD8" w:rsidRPr="002D1265" w:rsidRDefault="004A3DD8" w:rsidP="00281977">
      <w:pPr>
        <w:rPr>
          <w:rFonts w:ascii="Arial" w:hAnsi="Arial" w:cs="Arial"/>
        </w:rPr>
      </w:pPr>
      <w:r w:rsidRPr="002D1265">
        <w:rPr>
          <w:rFonts w:ascii="Arial" w:hAnsi="Arial" w:cs="Arial"/>
        </w:rPr>
        <w:t xml:space="preserve">Office for National Statistics (2025) </w:t>
      </w:r>
      <w:r w:rsidRPr="002D1265">
        <w:rPr>
          <w:rFonts w:ascii="Arial" w:hAnsi="Arial" w:cs="Arial"/>
          <w:i/>
          <w:iCs/>
        </w:rPr>
        <w:t>Producer price inflation, UK</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Ons.gov.uk. Available at: </w:t>
      </w:r>
      <w:hyperlink r:id="rId22" w:history="1">
        <w:r w:rsidR="007D5A24" w:rsidRPr="00AE6442">
          <w:rPr>
            <w:rStyle w:val="Hyperlink"/>
            <w:rFonts w:ascii="Arial" w:hAnsi="Arial" w:cs="Arial"/>
          </w:rPr>
          <w:t>https://www.ons.gov.uk/economy/inflationandpriceindices/bulletins/producerpriceinflation/january2025</w:t>
        </w:r>
      </w:hyperlink>
      <w:r w:rsidR="007D5A24">
        <w:rPr>
          <w:rFonts w:ascii="Arial" w:hAnsi="Arial" w:cs="Arial"/>
        </w:rPr>
        <w:t xml:space="preserve"> </w:t>
      </w:r>
      <w:r w:rsidR="007D5A24" w:rsidRPr="007D5A24">
        <w:rPr>
          <w:rFonts w:ascii="Arial" w:hAnsi="Arial" w:cs="Arial"/>
        </w:rPr>
        <w:t>(Accessed 25.10.25)</w:t>
      </w:r>
    </w:p>
    <w:p w14:paraId="67D0BE17" w14:textId="36603396" w:rsidR="004A3DD8" w:rsidRPr="002D1265" w:rsidRDefault="004A3DD8" w:rsidP="00281977">
      <w:pPr>
        <w:rPr>
          <w:rFonts w:ascii="Arial" w:hAnsi="Arial" w:cs="Arial"/>
        </w:rPr>
      </w:pPr>
      <w:r w:rsidRPr="002D1265">
        <w:rPr>
          <w:rFonts w:ascii="Arial" w:hAnsi="Arial" w:cs="Arial"/>
        </w:rPr>
        <w:t>Rolls- Royce (2024)</w:t>
      </w:r>
      <w:r w:rsidR="00183D4B">
        <w:rPr>
          <w:rFonts w:ascii="Arial" w:hAnsi="Arial" w:cs="Arial"/>
        </w:rPr>
        <w:t xml:space="preserve"> </w:t>
      </w:r>
      <w:r w:rsidRPr="002D1265">
        <w:rPr>
          <w:rFonts w:ascii="Arial" w:hAnsi="Arial" w:cs="Arial"/>
          <w:i/>
          <w:iCs/>
        </w:rPr>
        <w:t>About</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 xml:space="preserve">) </w:t>
      </w:r>
      <w:r w:rsidRPr="002D1265">
        <w:rPr>
          <w:rFonts w:ascii="Arial" w:hAnsi="Arial" w:cs="Arial"/>
        </w:rPr>
        <w:t xml:space="preserve">www.rolls-royce.com. Available at: </w:t>
      </w:r>
      <w:hyperlink r:id="rId23" w:anchor="section-about-us" w:history="1">
        <w:r w:rsidR="007D5A24" w:rsidRPr="00AE6442">
          <w:rPr>
            <w:rStyle w:val="Hyperlink"/>
            <w:rFonts w:ascii="Arial" w:hAnsi="Arial" w:cs="Arial"/>
          </w:rPr>
          <w:t>https://www.rolls-royce.com/about.aspx#section-about-us</w:t>
        </w:r>
      </w:hyperlink>
      <w:r w:rsidR="007D5A24">
        <w:rPr>
          <w:rFonts w:ascii="Arial" w:hAnsi="Arial" w:cs="Arial"/>
        </w:rPr>
        <w:t xml:space="preserve"> </w:t>
      </w:r>
      <w:r w:rsidR="007D5A24" w:rsidRPr="007D5A24">
        <w:rPr>
          <w:rFonts w:ascii="Arial" w:hAnsi="Arial" w:cs="Arial"/>
        </w:rPr>
        <w:t>(Accessed 25.10.25)</w:t>
      </w:r>
    </w:p>
    <w:p w14:paraId="4E195DBC" w14:textId="03733E0D" w:rsidR="004A3DD8" w:rsidRPr="002D1265" w:rsidRDefault="004A3DD8" w:rsidP="00281977">
      <w:pPr>
        <w:rPr>
          <w:rFonts w:ascii="Arial" w:hAnsi="Arial" w:cs="Arial"/>
        </w:rPr>
      </w:pPr>
      <w:r w:rsidRPr="002D1265">
        <w:rPr>
          <w:rFonts w:ascii="Arial" w:hAnsi="Arial" w:cs="Arial"/>
        </w:rPr>
        <w:t>Rolls-Royce (2023a)</w:t>
      </w:r>
      <w:r w:rsidR="00183D4B">
        <w:rPr>
          <w:rFonts w:ascii="Arial" w:hAnsi="Arial" w:cs="Arial"/>
        </w:rPr>
        <w:t xml:space="preserve"> </w:t>
      </w:r>
      <w:r w:rsidRPr="002D1265">
        <w:rPr>
          <w:rFonts w:ascii="Arial" w:hAnsi="Arial" w:cs="Arial"/>
          <w:i/>
          <w:iCs/>
        </w:rPr>
        <w:t>Our approach to decarbonisation</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www.rolls-royce.com. Available at: </w:t>
      </w:r>
      <w:hyperlink r:id="rId24" w:history="1">
        <w:r w:rsidR="007D5A24" w:rsidRPr="00AE6442">
          <w:rPr>
            <w:rStyle w:val="Hyperlink"/>
            <w:rFonts w:ascii="Arial" w:hAnsi="Arial" w:cs="Arial"/>
          </w:rPr>
          <w:t>https://www.rolls-royce.com/sustainability/our-approach-to-decarbonisation.aspx</w:t>
        </w:r>
      </w:hyperlink>
      <w:r w:rsidR="007D5A24">
        <w:rPr>
          <w:rFonts w:ascii="Arial" w:hAnsi="Arial" w:cs="Arial"/>
        </w:rPr>
        <w:t xml:space="preserve"> </w:t>
      </w:r>
      <w:r w:rsidR="007D5A24" w:rsidRPr="007D5A24">
        <w:rPr>
          <w:rFonts w:ascii="Arial" w:hAnsi="Arial" w:cs="Arial"/>
        </w:rPr>
        <w:t>(Accessed 25.10.25)</w:t>
      </w:r>
    </w:p>
    <w:p w14:paraId="3E2DC5EC" w14:textId="2AC7A0B5" w:rsidR="004A3DD8" w:rsidRPr="002D1265" w:rsidRDefault="004A3DD8" w:rsidP="00281977">
      <w:pPr>
        <w:rPr>
          <w:rFonts w:ascii="Arial" w:hAnsi="Arial" w:cs="Arial"/>
        </w:rPr>
      </w:pPr>
      <w:r w:rsidRPr="002D1265">
        <w:rPr>
          <w:rFonts w:ascii="Arial" w:hAnsi="Arial" w:cs="Arial"/>
        </w:rPr>
        <w:t xml:space="preserve">Rolls-Royce (2023b) </w:t>
      </w:r>
      <w:r w:rsidRPr="002D1265">
        <w:rPr>
          <w:rFonts w:ascii="Arial" w:hAnsi="Arial" w:cs="Arial"/>
          <w:i/>
          <w:iCs/>
        </w:rPr>
        <w:t>Principal risks The Rolls-Royce risk management and internal control system</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Available at: </w:t>
      </w:r>
      <w:hyperlink r:id="rId25" w:history="1">
        <w:r w:rsidR="007D5A24" w:rsidRPr="00AE6442">
          <w:rPr>
            <w:rStyle w:val="Hyperlink"/>
            <w:rFonts w:ascii="Arial" w:hAnsi="Arial" w:cs="Arial"/>
          </w:rPr>
          <w:t>https://www.rolls-royce.com/~/media/Files/R/Rolls-Royce/documents/about/rolls-royce-principal-risks-ar23.pdf</w:t>
        </w:r>
      </w:hyperlink>
      <w:r w:rsidR="007D5A24">
        <w:rPr>
          <w:rFonts w:ascii="Arial" w:hAnsi="Arial" w:cs="Arial"/>
        </w:rPr>
        <w:t xml:space="preserve"> </w:t>
      </w:r>
      <w:r w:rsidR="007D5A24" w:rsidRPr="007D5A24">
        <w:rPr>
          <w:rFonts w:ascii="Arial" w:hAnsi="Arial" w:cs="Arial"/>
        </w:rPr>
        <w:t>(Accessed 25.10.25)</w:t>
      </w:r>
    </w:p>
    <w:p w14:paraId="7D0EB34A" w14:textId="6B16DE17" w:rsidR="004A3DD8" w:rsidRPr="002D1265" w:rsidRDefault="004A3DD8" w:rsidP="00281977">
      <w:pPr>
        <w:rPr>
          <w:rFonts w:ascii="Arial" w:hAnsi="Arial" w:cs="Arial"/>
        </w:rPr>
      </w:pPr>
      <w:r w:rsidRPr="002D1265">
        <w:rPr>
          <w:rFonts w:ascii="Arial" w:hAnsi="Arial" w:cs="Arial"/>
        </w:rPr>
        <w:t>Rolls-Royce (2025a)</w:t>
      </w:r>
      <w:r w:rsidR="00183D4B">
        <w:rPr>
          <w:rFonts w:ascii="Arial" w:hAnsi="Arial" w:cs="Arial"/>
        </w:rPr>
        <w:t xml:space="preserve"> </w:t>
      </w:r>
      <w:r w:rsidRPr="002D1265">
        <w:rPr>
          <w:rFonts w:ascii="Arial" w:hAnsi="Arial" w:cs="Arial"/>
          <w:i/>
          <w:iCs/>
        </w:rPr>
        <w:t>Rolls-Royce Holdings Plc 2025 Half Year Results</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 xml:space="preserve">) </w:t>
      </w:r>
      <w:r w:rsidRPr="002D1265">
        <w:rPr>
          <w:rFonts w:ascii="Arial" w:hAnsi="Arial" w:cs="Arial"/>
        </w:rPr>
        <w:t xml:space="preserve">Rolls-royce.com. Available at: </w:t>
      </w:r>
      <w:hyperlink r:id="rId26" w:history="1">
        <w:r w:rsidR="007D5A24" w:rsidRPr="00AE6442">
          <w:rPr>
            <w:rStyle w:val="Hyperlink"/>
            <w:rFonts w:ascii="Arial" w:hAnsi="Arial" w:cs="Arial"/>
          </w:rPr>
          <w:t>https://www.rolls-royce.com/media/press-releases/2025/31-07-2025-rr-holdings-plc-2025-half-year-results.aspx</w:t>
        </w:r>
      </w:hyperlink>
      <w:r w:rsidR="007D5A24">
        <w:rPr>
          <w:rFonts w:ascii="Arial" w:hAnsi="Arial" w:cs="Arial"/>
        </w:rPr>
        <w:t xml:space="preserve"> </w:t>
      </w:r>
      <w:r w:rsidR="007D5A24" w:rsidRPr="007D5A24">
        <w:rPr>
          <w:rFonts w:ascii="Arial" w:hAnsi="Arial" w:cs="Arial"/>
        </w:rPr>
        <w:t>(Accessed 25.10.25)</w:t>
      </w:r>
    </w:p>
    <w:p w14:paraId="380125CE" w14:textId="5C7BBCAB" w:rsidR="004A3DD8" w:rsidRPr="002D1265" w:rsidRDefault="004A3DD8" w:rsidP="00281977">
      <w:pPr>
        <w:rPr>
          <w:rFonts w:ascii="Arial" w:hAnsi="Arial" w:cs="Arial"/>
        </w:rPr>
      </w:pPr>
      <w:r w:rsidRPr="002D1265">
        <w:rPr>
          <w:rFonts w:ascii="Arial" w:hAnsi="Arial" w:cs="Arial"/>
        </w:rPr>
        <w:t>Rolls-Royce (2025b)</w:t>
      </w:r>
      <w:r w:rsidR="00183D4B">
        <w:rPr>
          <w:rFonts w:ascii="Arial" w:hAnsi="Arial" w:cs="Arial"/>
        </w:rPr>
        <w:t xml:space="preserve"> </w:t>
      </w:r>
      <w:r w:rsidRPr="002D1265">
        <w:rPr>
          <w:rFonts w:ascii="Arial" w:hAnsi="Arial" w:cs="Arial"/>
          <w:i/>
          <w:iCs/>
        </w:rPr>
        <w:t>Rolls-Royce responds to UK Government’s Industrial Strategy</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Rolls-royce.com. Available at: </w:t>
      </w:r>
      <w:hyperlink r:id="rId27" w:history="1">
        <w:r w:rsidR="007D5A24" w:rsidRPr="00AE6442">
          <w:rPr>
            <w:rStyle w:val="Hyperlink"/>
            <w:rFonts w:ascii="Arial" w:hAnsi="Arial" w:cs="Arial"/>
          </w:rPr>
          <w:t>https://www.rolls-royce.com/media/press-releases/2025/23-06-2025-rr-responds-to-uk-government-industrial-strategy.aspx</w:t>
        </w:r>
      </w:hyperlink>
      <w:r w:rsidR="007D5A24">
        <w:rPr>
          <w:rFonts w:ascii="Arial" w:hAnsi="Arial" w:cs="Arial"/>
        </w:rPr>
        <w:t xml:space="preserve"> </w:t>
      </w:r>
      <w:r w:rsidR="007D5A24" w:rsidRPr="007D5A24">
        <w:rPr>
          <w:rFonts w:ascii="Arial" w:hAnsi="Arial" w:cs="Arial"/>
        </w:rPr>
        <w:t>(Accessed 25.10.25)</w:t>
      </w:r>
    </w:p>
    <w:p w14:paraId="1F14167F" w14:textId="6DE97AE5" w:rsidR="004A3DD8" w:rsidRPr="002D1265" w:rsidRDefault="004A3DD8" w:rsidP="00281977">
      <w:pPr>
        <w:rPr>
          <w:rFonts w:ascii="Arial" w:hAnsi="Arial" w:cs="Arial"/>
        </w:rPr>
      </w:pPr>
      <w:r w:rsidRPr="002D1265">
        <w:rPr>
          <w:rFonts w:ascii="Arial" w:hAnsi="Arial" w:cs="Arial"/>
        </w:rPr>
        <w:t>Rolls-Royce (2025)</w:t>
      </w:r>
      <w:r w:rsidR="00183D4B">
        <w:rPr>
          <w:rFonts w:ascii="Arial" w:hAnsi="Arial" w:cs="Arial"/>
        </w:rPr>
        <w:t xml:space="preserve"> </w:t>
      </w:r>
      <w:r w:rsidRPr="002D1265">
        <w:rPr>
          <w:rFonts w:ascii="Arial" w:hAnsi="Arial" w:cs="Arial"/>
          <w:i/>
          <w:iCs/>
        </w:rPr>
        <w:t>Financial Results</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www.rolls-royce.com. Available at: </w:t>
      </w:r>
      <w:hyperlink r:id="rId28" w:history="1">
        <w:r w:rsidR="007D5A24" w:rsidRPr="00AE6442">
          <w:rPr>
            <w:rStyle w:val="Hyperlink"/>
            <w:rFonts w:ascii="Arial" w:hAnsi="Arial" w:cs="Arial"/>
          </w:rPr>
          <w:t>https://www.rolls-royce.com/investors/results-reports-and-presentations/financial-results.aspx</w:t>
        </w:r>
      </w:hyperlink>
      <w:r w:rsidR="007D5A24">
        <w:rPr>
          <w:rFonts w:ascii="Arial" w:hAnsi="Arial" w:cs="Arial"/>
        </w:rPr>
        <w:t xml:space="preserve"> </w:t>
      </w:r>
      <w:r w:rsidR="007D5A24" w:rsidRPr="007D5A24">
        <w:rPr>
          <w:rFonts w:ascii="Arial" w:hAnsi="Arial" w:cs="Arial"/>
        </w:rPr>
        <w:t>(Accessed 25.10.25)</w:t>
      </w:r>
    </w:p>
    <w:p w14:paraId="60AFC4A0" w14:textId="67863CD7" w:rsidR="004A3DD8" w:rsidRPr="002D1265" w:rsidRDefault="004A3DD8" w:rsidP="00281977">
      <w:pPr>
        <w:rPr>
          <w:rFonts w:ascii="Arial" w:hAnsi="Arial" w:cs="Arial"/>
        </w:rPr>
      </w:pPr>
      <w:r w:rsidRPr="002D1265">
        <w:rPr>
          <w:rFonts w:ascii="Arial" w:hAnsi="Arial" w:cs="Arial"/>
        </w:rPr>
        <w:t xml:space="preserve">Sheridan, N. (2025) </w:t>
      </w:r>
      <w:r w:rsidRPr="002D1265">
        <w:rPr>
          <w:rFonts w:ascii="Arial" w:hAnsi="Arial" w:cs="Arial"/>
          <w:i/>
          <w:iCs/>
        </w:rPr>
        <w:t>Rolls-Royce Marketing Strategy 2024: A Case Study – Latterly.org</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www.latterly.org. Available at: </w:t>
      </w:r>
      <w:hyperlink r:id="rId29" w:history="1">
        <w:r w:rsidR="007D5A24" w:rsidRPr="00AE6442">
          <w:rPr>
            <w:rStyle w:val="Hyperlink"/>
            <w:rFonts w:ascii="Arial" w:hAnsi="Arial" w:cs="Arial"/>
          </w:rPr>
          <w:t>https://www.latterly.org/rolls-royce-marketing-strategy/</w:t>
        </w:r>
      </w:hyperlink>
      <w:r w:rsidR="007D5A24">
        <w:rPr>
          <w:rFonts w:ascii="Arial" w:hAnsi="Arial" w:cs="Arial"/>
        </w:rPr>
        <w:t xml:space="preserve"> </w:t>
      </w:r>
      <w:r w:rsidR="004972B3" w:rsidRPr="004972B3">
        <w:rPr>
          <w:rFonts w:ascii="Arial" w:hAnsi="Arial" w:cs="Arial"/>
        </w:rPr>
        <w:t>(Accessed 25.10.25)</w:t>
      </w:r>
    </w:p>
    <w:p w14:paraId="5B680012" w14:textId="5AB1BBD2" w:rsidR="004A3DD8" w:rsidRPr="002D1265" w:rsidRDefault="004A3DD8" w:rsidP="00281977">
      <w:pPr>
        <w:rPr>
          <w:rFonts w:ascii="Arial" w:hAnsi="Arial" w:cs="Arial"/>
        </w:rPr>
      </w:pPr>
      <w:r w:rsidRPr="002D1265">
        <w:rPr>
          <w:rFonts w:ascii="Arial" w:hAnsi="Arial" w:cs="Arial"/>
        </w:rPr>
        <w:lastRenderedPageBreak/>
        <w:t>Thompson, G. (2025)</w:t>
      </w:r>
      <w:r w:rsidR="004972B3">
        <w:rPr>
          <w:rFonts w:ascii="Arial" w:hAnsi="Arial" w:cs="Arial"/>
        </w:rPr>
        <w:t xml:space="preserve"> </w:t>
      </w:r>
      <w:r w:rsidRPr="002D1265">
        <w:rPr>
          <w:rFonts w:ascii="Arial" w:hAnsi="Arial" w:cs="Arial"/>
          <w:i/>
          <w:iCs/>
        </w:rPr>
        <w:t>Trade Insights: UK trade policy in 2025</w:t>
      </w:r>
      <w:r w:rsidRPr="002D1265">
        <w:rPr>
          <w:rFonts w:ascii="Arial" w:hAnsi="Arial" w:cs="Arial"/>
        </w:rPr>
        <w:t xml:space="preserve">. </w:t>
      </w:r>
      <w:r w:rsidR="00284DED">
        <w:rPr>
          <w:rFonts w:ascii="Arial" w:hAnsi="Arial" w:cs="Arial"/>
        </w:rPr>
        <w:t>(</w:t>
      </w:r>
      <w:r w:rsidRPr="002D1265">
        <w:rPr>
          <w:rFonts w:ascii="Arial" w:hAnsi="Arial" w:cs="Arial"/>
        </w:rPr>
        <w:t>online</w:t>
      </w:r>
      <w:r w:rsidR="00284DED">
        <w:rPr>
          <w:rFonts w:ascii="Arial" w:hAnsi="Arial" w:cs="Arial"/>
        </w:rPr>
        <w:t>)</w:t>
      </w:r>
      <w:r w:rsidRPr="002D1265">
        <w:rPr>
          <w:rFonts w:ascii="Arial" w:hAnsi="Arial" w:cs="Arial"/>
        </w:rPr>
        <w:t xml:space="preserve"> Export.org.uk. Available at: </w:t>
      </w:r>
      <w:hyperlink r:id="rId30" w:history="1">
        <w:r w:rsidR="004972B3" w:rsidRPr="00AE6442">
          <w:rPr>
            <w:rStyle w:val="Hyperlink"/>
            <w:rFonts w:ascii="Arial" w:hAnsi="Arial" w:cs="Arial"/>
          </w:rPr>
          <w:t>https://www.export.org.uk/insights/features/trade-insights-uk-trade-policy-in-2025/</w:t>
        </w:r>
      </w:hyperlink>
      <w:r w:rsidR="004972B3">
        <w:rPr>
          <w:rFonts w:ascii="Arial" w:hAnsi="Arial" w:cs="Arial"/>
        </w:rPr>
        <w:t xml:space="preserve"> </w:t>
      </w:r>
      <w:r w:rsidR="004972B3" w:rsidRPr="004972B3">
        <w:rPr>
          <w:rFonts w:ascii="Arial" w:hAnsi="Arial" w:cs="Arial"/>
        </w:rPr>
        <w:t>(Accessed 25.10.25)</w:t>
      </w:r>
    </w:p>
    <w:p w14:paraId="360265B7" w14:textId="77777777" w:rsidR="004A3DD8" w:rsidRPr="004A3DD8" w:rsidRDefault="004A3DD8" w:rsidP="00281977"/>
    <w:sectPr w:rsidR="004A3DD8" w:rsidRPr="004A3DD8" w:rsidSect="00AD59AA">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CC77D" w14:textId="77777777" w:rsidR="008C5EB3" w:rsidRDefault="008C5EB3" w:rsidP="007A174A">
      <w:pPr>
        <w:spacing w:after="0" w:line="240" w:lineRule="auto"/>
      </w:pPr>
      <w:r>
        <w:separator/>
      </w:r>
    </w:p>
  </w:endnote>
  <w:endnote w:type="continuationSeparator" w:id="0">
    <w:p w14:paraId="207E868A" w14:textId="77777777" w:rsidR="008C5EB3" w:rsidRDefault="008C5EB3" w:rsidP="007A1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9581625"/>
      <w:docPartObj>
        <w:docPartGallery w:val="Page Numbers (Bottom of Page)"/>
        <w:docPartUnique/>
      </w:docPartObj>
    </w:sdtPr>
    <w:sdtEndPr/>
    <w:sdtContent>
      <w:p w14:paraId="3E0F624E" w14:textId="78A6AD0C" w:rsidR="00AD59AA" w:rsidRDefault="00AD59AA">
        <w:pPr>
          <w:pStyle w:val="Footer"/>
        </w:pPr>
        <w:r>
          <w:fldChar w:fldCharType="begin"/>
        </w:r>
        <w:r>
          <w:instrText>PAGE   \* MERGEFORMAT</w:instrText>
        </w:r>
        <w:r>
          <w:fldChar w:fldCharType="separate"/>
        </w:r>
        <w:r>
          <w:t>2</w:t>
        </w:r>
        <w:r>
          <w:fldChar w:fldCharType="end"/>
        </w:r>
      </w:p>
    </w:sdtContent>
  </w:sdt>
  <w:p w14:paraId="379B2FFF" w14:textId="77777777" w:rsidR="00AD59AA" w:rsidRDefault="00AD5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EBFAF" w14:textId="77777777" w:rsidR="008C5EB3" w:rsidRDefault="008C5EB3" w:rsidP="007A174A">
      <w:pPr>
        <w:spacing w:after="0" w:line="240" w:lineRule="auto"/>
      </w:pPr>
      <w:r>
        <w:separator/>
      </w:r>
    </w:p>
  </w:footnote>
  <w:footnote w:type="continuationSeparator" w:id="0">
    <w:p w14:paraId="5D378C07" w14:textId="77777777" w:rsidR="008C5EB3" w:rsidRDefault="008C5EB3" w:rsidP="007A17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4B4415"/>
    <w:multiLevelType w:val="hybridMultilevel"/>
    <w:tmpl w:val="C442C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5241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E0A"/>
    <w:rsid w:val="00001110"/>
    <w:rsid w:val="000107BF"/>
    <w:rsid w:val="00012989"/>
    <w:rsid w:val="000257E9"/>
    <w:rsid w:val="00030A47"/>
    <w:rsid w:val="00053178"/>
    <w:rsid w:val="0006223E"/>
    <w:rsid w:val="00063368"/>
    <w:rsid w:val="00072269"/>
    <w:rsid w:val="000803AA"/>
    <w:rsid w:val="0009321D"/>
    <w:rsid w:val="0009477B"/>
    <w:rsid w:val="00095150"/>
    <w:rsid w:val="000B161B"/>
    <w:rsid w:val="000B75C9"/>
    <w:rsid w:val="000E58F3"/>
    <w:rsid w:val="0012795C"/>
    <w:rsid w:val="00132896"/>
    <w:rsid w:val="00132E7E"/>
    <w:rsid w:val="00142C60"/>
    <w:rsid w:val="0014412E"/>
    <w:rsid w:val="00144C16"/>
    <w:rsid w:val="001800C2"/>
    <w:rsid w:val="00183D4B"/>
    <w:rsid w:val="00187879"/>
    <w:rsid w:val="00197066"/>
    <w:rsid w:val="001D43D3"/>
    <w:rsid w:val="001D6B70"/>
    <w:rsid w:val="001E00C0"/>
    <w:rsid w:val="001E73AB"/>
    <w:rsid w:val="001F0C40"/>
    <w:rsid w:val="0021680C"/>
    <w:rsid w:val="0022153E"/>
    <w:rsid w:val="00222261"/>
    <w:rsid w:val="002260AC"/>
    <w:rsid w:val="00257FEC"/>
    <w:rsid w:val="002812DD"/>
    <w:rsid w:val="00281977"/>
    <w:rsid w:val="00284DED"/>
    <w:rsid w:val="00294ABC"/>
    <w:rsid w:val="002B0A35"/>
    <w:rsid w:val="002B337F"/>
    <w:rsid w:val="002B36FD"/>
    <w:rsid w:val="002D1265"/>
    <w:rsid w:val="002D3423"/>
    <w:rsid w:val="002D3675"/>
    <w:rsid w:val="002E3B9E"/>
    <w:rsid w:val="002F297F"/>
    <w:rsid w:val="003006C4"/>
    <w:rsid w:val="00314F20"/>
    <w:rsid w:val="00321F71"/>
    <w:rsid w:val="00323B0D"/>
    <w:rsid w:val="00330191"/>
    <w:rsid w:val="00343637"/>
    <w:rsid w:val="00350752"/>
    <w:rsid w:val="00370F50"/>
    <w:rsid w:val="003B26A3"/>
    <w:rsid w:val="003C22AC"/>
    <w:rsid w:val="003D17D5"/>
    <w:rsid w:val="003D4032"/>
    <w:rsid w:val="003F1112"/>
    <w:rsid w:val="003F1F31"/>
    <w:rsid w:val="003F53BF"/>
    <w:rsid w:val="003F5617"/>
    <w:rsid w:val="003F75E2"/>
    <w:rsid w:val="00403EAB"/>
    <w:rsid w:val="0041645F"/>
    <w:rsid w:val="0042099C"/>
    <w:rsid w:val="00421908"/>
    <w:rsid w:val="00441290"/>
    <w:rsid w:val="00443279"/>
    <w:rsid w:val="00443D43"/>
    <w:rsid w:val="00444547"/>
    <w:rsid w:val="004477A5"/>
    <w:rsid w:val="0045483E"/>
    <w:rsid w:val="00474376"/>
    <w:rsid w:val="004837C8"/>
    <w:rsid w:val="00487375"/>
    <w:rsid w:val="004972B3"/>
    <w:rsid w:val="004A3DD8"/>
    <w:rsid w:val="004B2DAF"/>
    <w:rsid w:val="004B2E98"/>
    <w:rsid w:val="004B4B48"/>
    <w:rsid w:val="004D6C5B"/>
    <w:rsid w:val="004E01D1"/>
    <w:rsid w:val="004E718B"/>
    <w:rsid w:val="004F6780"/>
    <w:rsid w:val="005000D4"/>
    <w:rsid w:val="00524A07"/>
    <w:rsid w:val="00530550"/>
    <w:rsid w:val="005307F3"/>
    <w:rsid w:val="00544FD5"/>
    <w:rsid w:val="00547ED3"/>
    <w:rsid w:val="005868D1"/>
    <w:rsid w:val="00593B9C"/>
    <w:rsid w:val="0059547A"/>
    <w:rsid w:val="005A2EC1"/>
    <w:rsid w:val="005A5086"/>
    <w:rsid w:val="005A7EF2"/>
    <w:rsid w:val="005C030F"/>
    <w:rsid w:val="005C42B7"/>
    <w:rsid w:val="005E1CCD"/>
    <w:rsid w:val="005E3762"/>
    <w:rsid w:val="005F4BF9"/>
    <w:rsid w:val="00600E20"/>
    <w:rsid w:val="00601BC9"/>
    <w:rsid w:val="00602351"/>
    <w:rsid w:val="00616841"/>
    <w:rsid w:val="00646E3D"/>
    <w:rsid w:val="006529D3"/>
    <w:rsid w:val="006551B4"/>
    <w:rsid w:val="00663AAF"/>
    <w:rsid w:val="00665DD1"/>
    <w:rsid w:val="006730CF"/>
    <w:rsid w:val="00675A04"/>
    <w:rsid w:val="00682429"/>
    <w:rsid w:val="00684D28"/>
    <w:rsid w:val="006915B7"/>
    <w:rsid w:val="006A5A4F"/>
    <w:rsid w:val="006B2DB4"/>
    <w:rsid w:val="006B4E0A"/>
    <w:rsid w:val="006E1564"/>
    <w:rsid w:val="006E29A0"/>
    <w:rsid w:val="006F22EE"/>
    <w:rsid w:val="00707823"/>
    <w:rsid w:val="00711370"/>
    <w:rsid w:val="007129C4"/>
    <w:rsid w:val="007203CC"/>
    <w:rsid w:val="007410F6"/>
    <w:rsid w:val="00742093"/>
    <w:rsid w:val="00746087"/>
    <w:rsid w:val="007564A2"/>
    <w:rsid w:val="00772EC9"/>
    <w:rsid w:val="00786E6C"/>
    <w:rsid w:val="007954FA"/>
    <w:rsid w:val="007A0244"/>
    <w:rsid w:val="007A174A"/>
    <w:rsid w:val="007D5A24"/>
    <w:rsid w:val="007E4F61"/>
    <w:rsid w:val="00816132"/>
    <w:rsid w:val="0084060F"/>
    <w:rsid w:val="00840E2A"/>
    <w:rsid w:val="00850681"/>
    <w:rsid w:val="0087680E"/>
    <w:rsid w:val="00883434"/>
    <w:rsid w:val="008C2D37"/>
    <w:rsid w:val="008C5EB3"/>
    <w:rsid w:val="008E1921"/>
    <w:rsid w:val="008E7843"/>
    <w:rsid w:val="008F11A6"/>
    <w:rsid w:val="008F3392"/>
    <w:rsid w:val="00910BCC"/>
    <w:rsid w:val="00940600"/>
    <w:rsid w:val="009441C0"/>
    <w:rsid w:val="0096528E"/>
    <w:rsid w:val="00985A22"/>
    <w:rsid w:val="009A0C5D"/>
    <w:rsid w:val="009B0015"/>
    <w:rsid w:val="009B343A"/>
    <w:rsid w:val="009B689C"/>
    <w:rsid w:val="009B7AA4"/>
    <w:rsid w:val="009C643A"/>
    <w:rsid w:val="009D5CDE"/>
    <w:rsid w:val="009E1506"/>
    <w:rsid w:val="009E7A31"/>
    <w:rsid w:val="00A014C6"/>
    <w:rsid w:val="00A15E13"/>
    <w:rsid w:val="00A22543"/>
    <w:rsid w:val="00A3106A"/>
    <w:rsid w:val="00A32DA6"/>
    <w:rsid w:val="00A359B3"/>
    <w:rsid w:val="00A371F9"/>
    <w:rsid w:val="00A4168C"/>
    <w:rsid w:val="00A4497C"/>
    <w:rsid w:val="00A47818"/>
    <w:rsid w:val="00A56255"/>
    <w:rsid w:val="00A71D53"/>
    <w:rsid w:val="00A8348B"/>
    <w:rsid w:val="00A8471C"/>
    <w:rsid w:val="00A910EB"/>
    <w:rsid w:val="00A932BA"/>
    <w:rsid w:val="00A94332"/>
    <w:rsid w:val="00AA7882"/>
    <w:rsid w:val="00AB6FB4"/>
    <w:rsid w:val="00AB7B71"/>
    <w:rsid w:val="00AD22EB"/>
    <w:rsid w:val="00AD59AA"/>
    <w:rsid w:val="00AF164B"/>
    <w:rsid w:val="00AF6160"/>
    <w:rsid w:val="00B22A69"/>
    <w:rsid w:val="00B339E3"/>
    <w:rsid w:val="00B46156"/>
    <w:rsid w:val="00B70272"/>
    <w:rsid w:val="00B7036D"/>
    <w:rsid w:val="00B706D8"/>
    <w:rsid w:val="00B86ACE"/>
    <w:rsid w:val="00B94C4B"/>
    <w:rsid w:val="00BB159B"/>
    <w:rsid w:val="00BC06FB"/>
    <w:rsid w:val="00BC2CB3"/>
    <w:rsid w:val="00BC3810"/>
    <w:rsid w:val="00BD2DF5"/>
    <w:rsid w:val="00BD7A61"/>
    <w:rsid w:val="00BE7E88"/>
    <w:rsid w:val="00BF383A"/>
    <w:rsid w:val="00BF3C89"/>
    <w:rsid w:val="00C05452"/>
    <w:rsid w:val="00C24B01"/>
    <w:rsid w:val="00C2746C"/>
    <w:rsid w:val="00C35170"/>
    <w:rsid w:val="00C46264"/>
    <w:rsid w:val="00C56328"/>
    <w:rsid w:val="00C639C6"/>
    <w:rsid w:val="00C675C2"/>
    <w:rsid w:val="00C83F88"/>
    <w:rsid w:val="00CA5AC3"/>
    <w:rsid w:val="00CB4677"/>
    <w:rsid w:val="00CB787C"/>
    <w:rsid w:val="00CE2B0E"/>
    <w:rsid w:val="00D0274A"/>
    <w:rsid w:val="00D12E0A"/>
    <w:rsid w:val="00D243D5"/>
    <w:rsid w:val="00D32026"/>
    <w:rsid w:val="00D37164"/>
    <w:rsid w:val="00D47DA1"/>
    <w:rsid w:val="00D50313"/>
    <w:rsid w:val="00D50ECF"/>
    <w:rsid w:val="00D52416"/>
    <w:rsid w:val="00D5302B"/>
    <w:rsid w:val="00D66A6D"/>
    <w:rsid w:val="00D87368"/>
    <w:rsid w:val="00D96A79"/>
    <w:rsid w:val="00DA3937"/>
    <w:rsid w:val="00DA41BE"/>
    <w:rsid w:val="00DA4BF8"/>
    <w:rsid w:val="00DD6FE4"/>
    <w:rsid w:val="00DE58E7"/>
    <w:rsid w:val="00DE7F9B"/>
    <w:rsid w:val="00DF3374"/>
    <w:rsid w:val="00DF6D1F"/>
    <w:rsid w:val="00E0218C"/>
    <w:rsid w:val="00E1262A"/>
    <w:rsid w:val="00E14825"/>
    <w:rsid w:val="00E35674"/>
    <w:rsid w:val="00E43450"/>
    <w:rsid w:val="00E517B8"/>
    <w:rsid w:val="00E563A0"/>
    <w:rsid w:val="00E62403"/>
    <w:rsid w:val="00E74A5B"/>
    <w:rsid w:val="00E778C3"/>
    <w:rsid w:val="00E825EA"/>
    <w:rsid w:val="00E9015D"/>
    <w:rsid w:val="00E930A8"/>
    <w:rsid w:val="00EB1DC6"/>
    <w:rsid w:val="00EB3400"/>
    <w:rsid w:val="00F1242E"/>
    <w:rsid w:val="00F16CE1"/>
    <w:rsid w:val="00F37278"/>
    <w:rsid w:val="00F37F22"/>
    <w:rsid w:val="00F67D5A"/>
    <w:rsid w:val="00F71B31"/>
    <w:rsid w:val="00F85D7D"/>
    <w:rsid w:val="00F86161"/>
    <w:rsid w:val="00F87475"/>
    <w:rsid w:val="00F92E3B"/>
    <w:rsid w:val="00F95090"/>
    <w:rsid w:val="00FA2CA9"/>
    <w:rsid w:val="00FA3CB3"/>
    <w:rsid w:val="00FB563B"/>
    <w:rsid w:val="00FB61C5"/>
    <w:rsid w:val="00FD429C"/>
    <w:rsid w:val="00FE2C49"/>
    <w:rsid w:val="00FE3A30"/>
    <w:rsid w:val="00FE5F45"/>
    <w:rsid w:val="00FF1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F16ED4"/>
  <w15:chartTrackingRefBased/>
  <w15:docId w15:val="{6B6097C0-0ABA-47AA-80E9-AF90E486A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B9E"/>
  </w:style>
  <w:style w:type="paragraph" w:styleId="Heading1">
    <w:name w:val="heading 1"/>
    <w:basedOn w:val="Normal"/>
    <w:next w:val="Normal"/>
    <w:link w:val="Heading1Char"/>
    <w:uiPriority w:val="9"/>
    <w:qFormat/>
    <w:rsid w:val="006B4E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4E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E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E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E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E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4E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E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E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E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E0A"/>
    <w:rPr>
      <w:rFonts w:eastAsiaTheme="majorEastAsia" w:cstheme="majorBidi"/>
      <w:color w:val="272727" w:themeColor="text1" w:themeTint="D8"/>
    </w:rPr>
  </w:style>
  <w:style w:type="paragraph" w:styleId="Title">
    <w:name w:val="Title"/>
    <w:basedOn w:val="Normal"/>
    <w:next w:val="Normal"/>
    <w:link w:val="TitleChar"/>
    <w:uiPriority w:val="10"/>
    <w:qFormat/>
    <w:rsid w:val="006B4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E0A"/>
    <w:pPr>
      <w:spacing w:before="160"/>
      <w:jc w:val="center"/>
    </w:pPr>
    <w:rPr>
      <w:i/>
      <w:iCs/>
      <w:color w:val="404040" w:themeColor="text1" w:themeTint="BF"/>
    </w:rPr>
  </w:style>
  <w:style w:type="character" w:customStyle="1" w:styleId="QuoteChar">
    <w:name w:val="Quote Char"/>
    <w:basedOn w:val="DefaultParagraphFont"/>
    <w:link w:val="Quote"/>
    <w:uiPriority w:val="29"/>
    <w:rsid w:val="006B4E0A"/>
    <w:rPr>
      <w:i/>
      <w:iCs/>
      <w:color w:val="404040" w:themeColor="text1" w:themeTint="BF"/>
    </w:rPr>
  </w:style>
  <w:style w:type="paragraph" w:styleId="ListParagraph">
    <w:name w:val="List Paragraph"/>
    <w:basedOn w:val="Normal"/>
    <w:uiPriority w:val="34"/>
    <w:qFormat/>
    <w:rsid w:val="006B4E0A"/>
    <w:pPr>
      <w:ind w:left="720"/>
      <w:contextualSpacing/>
    </w:pPr>
  </w:style>
  <w:style w:type="character" w:styleId="IntenseEmphasis">
    <w:name w:val="Intense Emphasis"/>
    <w:basedOn w:val="DefaultParagraphFont"/>
    <w:uiPriority w:val="21"/>
    <w:qFormat/>
    <w:rsid w:val="006B4E0A"/>
    <w:rPr>
      <w:i/>
      <w:iCs/>
      <w:color w:val="0F4761" w:themeColor="accent1" w:themeShade="BF"/>
    </w:rPr>
  </w:style>
  <w:style w:type="paragraph" w:styleId="IntenseQuote">
    <w:name w:val="Intense Quote"/>
    <w:basedOn w:val="Normal"/>
    <w:next w:val="Normal"/>
    <w:link w:val="IntenseQuoteChar"/>
    <w:uiPriority w:val="30"/>
    <w:qFormat/>
    <w:rsid w:val="006B4E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E0A"/>
    <w:rPr>
      <w:i/>
      <w:iCs/>
      <w:color w:val="0F4761" w:themeColor="accent1" w:themeShade="BF"/>
    </w:rPr>
  </w:style>
  <w:style w:type="character" w:styleId="IntenseReference">
    <w:name w:val="Intense Reference"/>
    <w:basedOn w:val="DefaultParagraphFont"/>
    <w:uiPriority w:val="32"/>
    <w:qFormat/>
    <w:rsid w:val="006B4E0A"/>
    <w:rPr>
      <w:b/>
      <w:bCs/>
      <w:smallCaps/>
      <w:color w:val="0F4761" w:themeColor="accent1" w:themeShade="BF"/>
      <w:spacing w:val="5"/>
    </w:rPr>
  </w:style>
  <w:style w:type="paragraph" w:customStyle="1" w:styleId="Style1">
    <w:name w:val="Style1"/>
    <w:basedOn w:val="Heading1"/>
    <w:qFormat/>
    <w:rsid w:val="00F92E3B"/>
    <w:rPr>
      <w:rFonts w:ascii="Arial" w:hAnsi="Arial"/>
      <w:b/>
      <w:color w:val="auto"/>
      <w:sz w:val="32"/>
    </w:rPr>
  </w:style>
  <w:style w:type="paragraph" w:customStyle="1" w:styleId="Style2">
    <w:name w:val="Style2"/>
    <w:basedOn w:val="Heading1"/>
    <w:qFormat/>
    <w:rsid w:val="002E3B9E"/>
    <w:rPr>
      <w:rFonts w:ascii="Arial" w:hAnsi="Arial"/>
      <w:b/>
      <w:color w:val="auto"/>
      <w:sz w:val="28"/>
    </w:rPr>
  </w:style>
  <w:style w:type="character" w:styleId="Strong">
    <w:name w:val="Strong"/>
    <w:basedOn w:val="DefaultParagraphFont"/>
    <w:uiPriority w:val="22"/>
    <w:qFormat/>
    <w:rsid w:val="00840E2A"/>
    <w:rPr>
      <w:b/>
      <w:bCs/>
    </w:rPr>
  </w:style>
  <w:style w:type="paragraph" w:customStyle="1" w:styleId="Style3">
    <w:name w:val="Style3"/>
    <w:basedOn w:val="Style2"/>
    <w:qFormat/>
    <w:rsid w:val="00CE2B0E"/>
    <w:rPr>
      <w:b w:val="0"/>
    </w:rPr>
  </w:style>
  <w:style w:type="paragraph" w:customStyle="1" w:styleId="Style4">
    <w:name w:val="Style4"/>
    <w:basedOn w:val="Style1"/>
    <w:qFormat/>
    <w:rsid w:val="00CE2B0E"/>
    <w:rPr>
      <w:b w:val="0"/>
    </w:rPr>
  </w:style>
  <w:style w:type="paragraph" w:customStyle="1" w:styleId="Style5">
    <w:name w:val="Style5"/>
    <w:basedOn w:val="Style1"/>
    <w:qFormat/>
    <w:rsid w:val="00CE2B0E"/>
    <w:rPr>
      <w:b w:val="0"/>
    </w:rPr>
  </w:style>
  <w:style w:type="paragraph" w:customStyle="1" w:styleId="Style6">
    <w:name w:val="Style6"/>
    <w:basedOn w:val="Style2"/>
    <w:qFormat/>
    <w:rsid w:val="00DF6D1F"/>
    <w:rPr>
      <w:b w:val="0"/>
    </w:rPr>
  </w:style>
  <w:style w:type="paragraph" w:customStyle="1" w:styleId="Style7">
    <w:name w:val="Style7"/>
    <w:basedOn w:val="Style2"/>
    <w:qFormat/>
    <w:rsid w:val="00A56255"/>
    <w:rPr>
      <w:b w:val="0"/>
    </w:rPr>
  </w:style>
  <w:style w:type="paragraph" w:styleId="NormalWeb">
    <w:name w:val="Normal (Web)"/>
    <w:basedOn w:val="Normal"/>
    <w:uiPriority w:val="99"/>
    <w:semiHidden/>
    <w:unhideWhenUsed/>
    <w:rsid w:val="004A3D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1680C"/>
    <w:rPr>
      <w:color w:val="467886" w:themeColor="hyperlink"/>
      <w:u w:val="single"/>
    </w:rPr>
  </w:style>
  <w:style w:type="character" w:styleId="UnresolvedMention">
    <w:name w:val="Unresolved Mention"/>
    <w:basedOn w:val="DefaultParagraphFont"/>
    <w:uiPriority w:val="99"/>
    <w:semiHidden/>
    <w:unhideWhenUsed/>
    <w:rsid w:val="0021680C"/>
    <w:rPr>
      <w:color w:val="605E5C"/>
      <w:shd w:val="clear" w:color="auto" w:fill="E1DFDD"/>
    </w:rPr>
  </w:style>
  <w:style w:type="paragraph" w:styleId="FootnoteText">
    <w:name w:val="footnote text"/>
    <w:basedOn w:val="Normal"/>
    <w:link w:val="FootnoteTextChar"/>
    <w:uiPriority w:val="99"/>
    <w:semiHidden/>
    <w:unhideWhenUsed/>
    <w:rsid w:val="007A17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174A"/>
    <w:rPr>
      <w:sz w:val="20"/>
      <w:szCs w:val="20"/>
    </w:rPr>
  </w:style>
  <w:style w:type="character" w:styleId="FootnoteReference">
    <w:name w:val="footnote reference"/>
    <w:basedOn w:val="DefaultParagraphFont"/>
    <w:uiPriority w:val="99"/>
    <w:semiHidden/>
    <w:unhideWhenUsed/>
    <w:rsid w:val="007A174A"/>
    <w:rPr>
      <w:vertAlign w:val="superscript"/>
    </w:rPr>
  </w:style>
  <w:style w:type="character" w:styleId="FollowedHyperlink">
    <w:name w:val="FollowedHyperlink"/>
    <w:basedOn w:val="DefaultParagraphFont"/>
    <w:uiPriority w:val="99"/>
    <w:semiHidden/>
    <w:unhideWhenUsed/>
    <w:rsid w:val="00001110"/>
    <w:rPr>
      <w:color w:val="96607D" w:themeColor="followedHyperlink"/>
      <w:u w:val="single"/>
    </w:rPr>
  </w:style>
  <w:style w:type="paragraph" w:styleId="Header">
    <w:name w:val="header"/>
    <w:basedOn w:val="Normal"/>
    <w:link w:val="HeaderChar"/>
    <w:uiPriority w:val="99"/>
    <w:unhideWhenUsed/>
    <w:rsid w:val="00AD5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9AA"/>
  </w:style>
  <w:style w:type="paragraph" w:styleId="Footer">
    <w:name w:val="footer"/>
    <w:basedOn w:val="Normal"/>
    <w:link w:val="FooterChar"/>
    <w:uiPriority w:val="99"/>
    <w:unhideWhenUsed/>
    <w:rsid w:val="00AD5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9AA"/>
  </w:style>
  <w:style w:type="paragraph" w:styleId="TOCHeading">
    <w:name w:val="TOC Heading"/>
    <w:basedOn w:val="Heading1"/>
    <w:next w:val="Normal"/>
    <w:uiPriority w:val="39"/>
    <w:unhideWhenUsed/>
    <w:qFormat/>
    <w:rsid w:val="00C4626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4626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1.vlereader.com/EpubReader?ean=1781292456720" TargetMode="External"/><Relationship Id="rId18" Type="http://schemas.openxmlformats.org/officeDocument/2006/relationships/hyperlink" Target="https://advantage-marketline-com.ezproxy.uwtsd.ac.uk/Company/Summary/rolls-royce-plc_wmi_183492" TargetMode="External"/><Relationship Id="rId26" Type="http://schemas.openxmlformats.org/officeDocument/2006/relationships/hyperlink" Target="https://www.rolls-royce.com/media/press-releases/2025/31-07-2025-rr-holdings-plc-2025-half-year-results.aspx" TargetMode="External"/><Relationship Id="rId3" Type="http://schemas.openxmlformats.org/officeDocument/2006/relationships/styles" Target="styles.xml"/><Relationship Id="rId21" Type="http://schemas.openxmlformats.org/officeDocument/2006/relationships/hyperlink" Target="https://advantage-marketline-com.ezproxy.uwtsd.ac.uk/Analysis/ViewasPDF/united-kingdom-aerospace-defense-ml-236290" TargetMode="External"/><Relationship Id="rId7" Type="http://schemas.openxmlformats.org/officeDocument/2006/relationships/endnotes" Target="endnotes.xml"/><Relationship Id="rId12" Type="http://schemas.openxmlformats.org/officeDocument/2006/relationships/hyperlink" Target="https://www.legislation.gov.uk/ukpga/2023/54/contents" TargetMode="External"/><Relationship Id="rId17" Type="http://schemas.openxmlformats.org/officeDocument/2006/relationships/hyperlink" Target="https://advantage-marketline-com.ezproxy.uwtsd.ac.uk/News/nuclear-deal-enhances-energy-sector-opportunities-14825868" TargetMode="External"/><Relationship Id="rId25" Type="http://schemas.openxmlformats.org/officeDocument/2006/relationships/hyperlink" Target="https://www.rolls-royce.com/~/media/Files/R/Rolls-Royce/documents/about/rolls-royce-principal-risks-ar23.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bookcentral.proquest.com/lib/trinity/detail.action?pq-origsite=primo&amp;docID=5978379" TargetMode="External"/><Relationship Id="rId20" Type="http://schemas.openxmlformats.org/officeDocument/2006/relationships/hyperlink" Target="https://advantage-marketline-com.ezproxy.uwtsd.ac.uk/News/rolls-royce-to-lead-eu-s-new-clean-aviation-project-unified-to-transform-and-decarbonise-aviation" TargetMode="External"/><Relationship Id="rId29" Type="http://schemas.openxmlformats.org/officeDocument/2006/relationships/hyperlink" Target="https://www.latterly.org/rolls-royce-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dvanced-manufacturing-sector-plan" TargetMode="External"/><Relationship Id="rId24" Type="http://schemas.openxmlformats.org/officeDocument/2006/relationships/hyperlink" Target="https://www.rolls-royce.com/sustainability/our-approach-to-decarbonisation.aspx"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od.com/resources/uk-economy/policy-outlook-2025/" TargetMode="External"/><Relationship Id="rId23" Type="http://schemas.openxmlformats.org/officeDocument/2006/relationships/hyperlink" Target="https://www.rolls-royce.com/about.aspx" TargetMode="External"/><Relationship Id="rId28" Type="http://schemas.openxmlformats.org/officeDocument/2006/relationships/hyperlink" Target="https://www.rolls-royce.com/investors/results-reports-and-presentations/financial-results.aspx" TargetMode="External"/><Relationship Id="rId10" Type="http://schemas.openxmlformats.org/officeDocument/2006/relationships/hyperlink" Target="https://www.bankofengland.co.uk/monetary-policy/the-interest-rate-bank-rate" TargetMode="External"/><Relationship Id="rId19" Type="http://schemas.openxmlformats.org/officeDocument/2006/relationships/hyperlink" Target="https://advantage-marketline-com.ezproxy.uwtsd.ac.uk/News/rolls-royce-aims-to-double-its-supply-chain-sourcing-from-india-by-2030-14828936"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utocar.co.uk/car-news/business-manufacturing/rolls-royce-ceo-post-brexit-woes-wont-affect-goodwood-plant" TargetMode="External"/><Relationship Id="rId14" Type="http://schemas.openxmlformats.org/officeDocument/2006/relationships/hyperlink" Target="https://www.iata.org/en/publications/economics/reports/global-outlook-for-air-transport-june-2025/" TargetMode="External"/><Relationship Id="rId22" Type="http://schemas.openxmlformats.org/officeDocument/2006/relationships/hyperlink" Target="https://www.ons.gov.uk/economy/inflationandpriceindices/bulletins/producerpriceinflation/january2025" TargetMode="External"/><Relationship Id="rId27" Type="http://schemas.openxmlformats.org/officeDocument/2006/relationships/hyperlink" Target="https://www.rolls-royce.com/media/press-releases/2025/23-06-2025-rr-responds-to-uk-government-industrial-strategy.aspx" TargetMode="External"/><Relationship Id="rId30" Type="http://schemas.openxmlformats.org/officeDocument/2006/relationships/hyperlink" Target="https://www.export.org.uk/insights/features/trade-insights-uk-trade-policy-in-2025/"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40DF78-1C15-42F8-B966-A64E79147432}">
  <we:reference id="wa200007520" version="3.0.0.0" store="en-GB" storeType="OMEX"/>
  <we:alternateReferences>
    <we:reference id="WA200007520" version="3.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DBB9B-04D1-4170-9528-60D34592C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857</TotalTime>
  <Pages>10</Pages>
  <Words>1595</Words>
  <Characters>13180</Characters>
  <Application>Microsoft Office Word</Application>
  <DocSecurity>0</DocSecurity>
  <Lines>253</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Ala Uzun</cp:lastModifiedBy>
  <cp:revision>263</cp:revision>
  <dcterms:created xsi:type="dcterms:W3CDTF">2025-10-23T12:47:00Z</dcterms:created>
  <dcterms:modified xsi:type="dcterms:W3CDTF">2025-11-10T11:09:00Z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29f3f303-c09e-49e8-8ec1-91d08907fd5a</vt:lpwstr>
  </property>
</Properties>
</file>