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2"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3"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4"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5"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6"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7"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8"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9" w14:textId="77777777" w:rsidR="00E41C81" w:rsidRDefault="005A209E" w:rsidP="001B17F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MANAGEMENT ASSESSMENT 1</w:t>
      </w:r>
    </w:p>
    <w:p w14:paraId="0000000A" w14:textId="77777777" w:rsidR="00E41C81" w:rsidRDefault="005A209E" w:rsidP="001B17F5">
      <w:pPr>
        <w:spacing w:line="360" w:lineRule="auto"/>
        <w:jc w:val="both"/>
        <w:rPr>
          <w:rFonts w:ascii="Times New Roman" w:eastAsia="Times New Roman" w:hAnsi="Times New Roman" w:cs="Times New Roman"/>
          <w:sz w:val="24"/>
          <w:szCs w:val="24"/>
        </w:rPr>
      </w:pPr>
      <w:r>
        <w:br w:type="page"/>
      </w:r>
    </w:p>
    <w:bookmarkStart w:id="0" w:name="_m25qjij1vile" w:colFirst="0" w:colLast="0" w:displacedByCustomXml="next"/>
    <w:bookmarkEnd w:id="0" w:displacedByCustomXml="next"/>
    <w:sdt>
      <w:sdtPr>
        <w:rPr>
          <w:rFonts w:ascii="Arial" w:eastAsia="Arial" w:hAnsi="Arial" w:cs="Arial"/>
          <w:b w:val="0"/>
          <w:bCs w:val="0"/>
          <w:color w:val="auto"/>
          <w:sz w:val="22"/>
          <w:szCs w:val="22"/>
          <w:lang w:val="en" w:eastAsia="en-US"/>
        </w:rPr>
        <w:id w:val="1710751312"/>
        <w:docPartObj>
          <w:docPartGallery w:val="Table of Contents"/>
          <w:docPartUnique/>
        </w:docPartObj>
      </w:sdtPr>
      <w:sdtEndPr>
        <w:rPr>
          <w:noProof/>
        </w:rPr>
      </w:sdtEndPr>
      <w:sdtContent>
        <w:p w14:paraId="00C05A96" w14:textId="2059E039" w:rsidR="001B17F5" w:rsidRDefault="001B17F5" w:rsidP="001B17F5">
          <w:pPr>
            <w:pStyle w:val="TOCHeading"/>
            <w:spacing w:line="360" w:lineRule="auto"/>
            <w:jc w:val="center"/>
          </w:pPr>
          <w:r w:rsidRPr="001B17F5">
            <w:rPr>
              <w:rFonts w:ascii="Times New Roman" w:hAnsi="Times New Roman" w:cs="Times New Roman"/>
              <w:color w:val="000000" w:themeColor="text1"/>
            </w:rPr>
            <w:t>Table of Contents</w:t>
          </w:r>
        </w:p>
        <w:p w14:paraId="4EF970C5" w14:textId="77777777" w:rsidR="001B17F5" w:rsidRPr="001B17F5" w:rsidRDefault="001B17F5" w:rsidP="001B17F5">
          <w:pPr>
            <w:pStyle w:val="TOC1"/>
            <w:tabs>
              <w:tab w:val="right" w:leader="dot" w:pos="9350"/>
            </w:tabs>
            <w:spacing w:line="360" w:lineRule="auto"/>
            <w:rPr>
              <w:rFonts w:ascii="Times New Roman" w:hAnsi="Times New Roman" w:cs="Times New Roman"/>
              <w:noProof/>
              <w:sz w:val="24"/>
            </w:rPr>
          </w:pPr>
          <w:r>
            <w:fldChar w:fldCharType="begin"/>
          </w:r>
          <w:r>
            <w:instrText xml:space="preserve"> TOC \o "1-3" \h \z \u </w:instrText>
          </w:r>
          <w:r>
            <w:fldChar w:fldCharType="separate"/>
          </w:r>
          <w:hyperlink w:anchor="_Toc132629155" w:history="1">
            <w:r w:rsidRPr="001B17F5">
              <w:rPr>
                <w:rStyle w:val="Hyperlink"/>
                <w:rFonts w:ascii="Times New Roman" w:hAnsi="Times New Roman" w:cs="Times New Roman"/>
                <w:noProof/>
                <w:sz w:val="24"/>
              </w:rPr>
              <w:t>Introduction</w:t>
            </w:r>
            <w:r w:rsidRPr="001B17F5">
              <w:rPr>
                <w:rFonts w:ascii="Times New Roman" w:hAnsi="Times New Roman" w:cs="Times New Roman"/>
                <w:noProof/>
                <w:webHidden/>
                <w:sz w:val="24"/>
              </w:rPr>
              <w:tab/>
            </w:r>
            <w:r w:rsidRPr="001B17F5">
              <w:rPr>
                <w:rFonts w:ascii="Times New Roman" w:hAnsi="Times New Roman" w:cs="Times New Roman"/>
                <w:noProof/>
                <w:webHidden/>
                <w:sz w:val="24"/>
              </w:rPr>
              <w:fldChar w:fldCharType="begin"/>
            </w:r>
            <w:r w:rsidRPr="001B17F5">
              <w:rPr>
                <w:rFonts w:ascii="Times New Roman" w:hAnsi="Times New Roman" w:cs="Times New Roman"/>
                <w:noProof/>
                <w:webHidden/>
                <w:sz w:val="24"/>
              </w:rPr>
              <w:instrText xml:space="preserve"> PAGEREF _Toc132629155 \h </w:instrText>
            </w:r>
            <w:r w:rsidRPr="001B17F5">
              <w:rPr>
                <w:rFonts w:ascii="Times New Roman" w:hAnsi="Times New Roman" w:cs="Times New Roman"/>
                <w:noProof/>
                <w:webHidden/>
                <w:sz w:val="24"/>
              </w:rPr>
            </w:r>
            <w:r w:rsidRPr="001B17F5">
              <w:rPr>
                <w:rFonts w:ascii="Times New Roman" w:hAnsi="Times New Roman" w:cs="Times New Roman"/>
                <w:noProof/>
                <w:webHidden/>
                <w:sz w:val="24"/>
              </w:rPr>
              <w:fldChar w:fldCharType="separate"/>
            </w:r>
            <w:r w:rsidRPr="001B17F5">
              <w:rPr>
                <w:rFonts w:ascii="Times New Roman" w:hAnsi="Times New Roman" w:cs="Times New Roman"/>
                <w:noProof/>
                <w:webHidden/>
                <w:sz w:val="24"/>
              </w:rPr>
              <w:t>2</w:t>
            </w:r>
            <w:r w:rsidRPr="001B17F5">
              <w:rPr>
                <w:rFonts w:ascii="Times New Roman" w:hAnsi="Times New Roman" w:cs="Times New Roman"/>
                <w:noProof/>
                <w:webHidden/>
                <w:sz w:val="24"/>
              </w:rPr>
              <w:fldChar w:fldCharType="end"/>
            </w:r>
          </w:hyperlink>
        </w:p>
        <w:p w14:paraId="52681639" w14:textId="77777777" w:rsidR="001B17F5" w:rsidRPr="001B17F5" w:rsidRDefault="00000000" w:rsidP="001B17F5">
          <w:pPr>
            <w:pStyle w:val="TOC1"/>
            <w:tabs>
              <w:tab w:val="right" w:leader="dot" w:pos="9350"/>
            </w:tabs>
            <w:spacing w:line="360" w:lineRule="auto"/>
            <w:rPr>
              <w:rFonts w:ascii="Times New Roman" w:hAnsi="Times New Roman" w:cs="Times New Roman"/>
              <w:noProof/>
              <w:sz w:val="24"/>
            </w:rPr>
          </w:pPr>
          <w:hyperlink w:anchor="_Toc132629156" w:history="1">
            <w:r w:rsidR="001B17F5" w:rsidRPr="001B17F5">
              <w:rPr>
                <w:rStyle w:val="Hyperlink"/>
                <w:rFonts w:ascii="Times New Roman" w:hAnsi="Times New Roman" w:cs="Times New Roman"/>
                <w:noProof/>
                <w:sz w:val="24"/>
              </w:rPr>
              <w:t>Critically appraise key marketing activities and the contribution of the marketing department to HSBC</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_Toc132629156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1B17F5" w:rsidRPr="001B17F5">
              <w:rPr>
                <w:rFonts w:ascii="Times New Roman" w:hAnsi="Times New Roman" w:cs="Times New Roman"/>
                <w:noProof/>
                <w:webHidden/>
                <w:sz w:val="24"/>
              </w:rPr>
              <w:t>2</w:t>
            </w:r>
            <w:r w:rsidR="001B17F5" w:rsidRPr="001B17F5">
              <w:rPr>
                <w:rFonts w:ascii="Times New Roman" w:hAnsi="Times New Roman" w:cs="Times New Roman"/>
                <w:noProof/>
                <w:webHidden/>
                <w:sz w:val="24"/>
              </w:rPr>
              <w:fldChar w:fldCharType="end"/>
            </w:r>
          </w:hyperlink>
        </w:p>
        <w:p w14:paraId="7E296EAE" w14:textId="77777777" w:rsidR="001B17F5" w:rsidRPr="001B17F5" w:rsidRDefault="00000000" w:rsidP="001B17F5">
          <w:pPr>
            <w:pStyle w:val="TOC1"/>
            <w:tabs>
              <w:tab w:val="right" w:leader="dot" w:pos="9350"/>
            </w:tabs>
            <w:spacing w:line="360" w:lineRule="auto"/>
            <w:rPr>
              <w:rFonts w:ascii="Times New Roman" w:hAnsi="Times New Roman" w:cs="Times New Roman"/>
              <w:noProof/>
              <w:sz w:val="24"/>
            </w:rPr>
          </w:pPr>
          <w:hyperlink w:anchor="_Toc132629157" w:history="1">
            <w:r w:rsidR="001B17F5" w:rsidRPr="001B17F5">
              <w:rPr>
                <w:rStyle w:val="Hyperlink"/>
                <w:rFonts w:ascii="Times New Roman" w:hAnsi="Times New Roman" w:cs="Times New Roman"/>
                <w:noProof/>
                <w:sz w:val="24"/>
              </w:rPr>
              <w:t>Analyse and critically appraise marketing management with a view to adding value</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_Toc132629157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1B17F5" w:rsidRPr="001B17F5">
              <w:rPr>
                <w:rFonts w:ascii="Times New Roman" w:hAnsi="Times New Roman" w:cs="Times New Roman"/>
                <w:noProof/>
                <w:webHidden/>
                <w:sz w:val="24"/>
              </w:rPr>
              <w:t>4</w:t>
            </w:r>
            <w:r w:rsidR="001B17F5" w:rsidRPr="001B17F5">
              <w:rPr>
                <w:rFonts w:ascii="Times New Roman" w:hAnsi="Times New Roman" w:cs="Times New Roman"/>
                <w:noProof/>
                <w:webHidden/>
                <w:sz w:val="24"/>
              </w:rPr>
              <w:fldChar w:fldCharType="end"/>
            </w:r>
          </w:hyperlink>
        </w:p>
        <w:p w14:paraId="16881195" w14:textId="77777777" w:rsidR="001B17F5" w:rsidRPr="001B17F5" w:rsidRDefault="00000000" w:rsidP="001B17F5">
          <w:pPr>
            <w:pStyle w:val="TOC1"/>
            <w:tabs>
              <w:tab w:val="right" w:leader="dot" w:pos="9350"/>
            </w:tabs>
            <w:spacing w:line="360" w:lineRule="auto"/>
            <w:rPr>
              <w:rFonts w:ascii="Times New Roman" w:hAnsi="Times New Roman" w:cs="Times New Roman"/>
              <w:noProof/>
              <w:sz w:val="24"/>
            </w:rPr>
          </w:pPr>
          <w:hyperlink w:anchor="_Toc132629158" w:history="1">
            <w:r w:rsidR="001B17F5" w:rsidRPr="001B17F5">
              <w:rPr>
                <w:rStyle w:val="Hyperlink"/>
                <w:rFonts w:ascii="Times New Roman" w:hAnsi="Times New Roman" w:cs="Times New Roman"/>
                <w:noProof/>
                <w:sz w:val="24"/>
              </w:rPr>
              <w:t>Critically appraising how HSBC can create innovative marketing strategies for raising awareness of the brand</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_Toc132629158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1B17F5" w:rsidRPr="001B17F5">
              <w:rPr>
                <w:rFonts w:ascii="Times New Roman" w:hAnsi="Times New Roman" w:cs="Times New Roman"/>
                <w:noProof/>
                <w:webHidden/>
                <w:sz w:val="24"/>
              </w:rPr>
              <w:t>5</w:t>
            </w:r>
            <w:r w:rsidR="001B17F5" w:rsidRPr="001B17F5">
              <w:rPr>
                <w:rFonts w:ascii="Times New Roman" w:hAnsi="Times New Roman" w:cs="Times New Roman"/>
                <w:noProof/>
                <w:webHidden/>
                <w:sz w:val="24"/>
              </w:rPr>
              <w:fldChar w:fldCharType="end"/>
            </w:r>
          </w:hyperlink>
        </w:p>
        <w:p w14:paraId="7D174B14" w14:textId="77777777" w:rsidR="001B17F5" w:rsidRPr="001B17F5" w:rsidRDefault="00000000" w:rsidP="001B17F5">
          <w:pPr>
            <w:pStyle w:val="TOC1"/>
            <w:tabs>
              <w:tab w:val="right" w:leader="dot" w:pos="9350"/>
            </w:tabs>
            <w:spacing w:line="360" w:lineRule="auto"/>
            <w:rPr>
              <w:rFonts w:ascii="Times New Roman" w:hAnsi="Times New Roman" w:cs="Times New Roman"/>
              <w:noProof/>
              <w:sz w:val="24"/>
            </w:rPr>
          </w:pPr>
          <w:hyperlink w:anchor="_Toc132629159" w:history="1">
            <w:r w:rsidR="001B17F5" w:rsidRPr="001B17F5">
              <w:rPr>
                <w:rStyle w:val="Hyperlink"/>
                <w:rFonts w:ascii="Times New Roman" w:hAnsi="Times New Roman" w:cs="Times New Roman"/>
                <w:noProof/>
                <w:sz w:val="24"/>
              </w:rPr>
              <w:t>Evaluating the customer journey across a variety of communication channels to ensure current and future stakeholders’ expectations</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_Toc132629159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1B17F5" w:rsidRPr="001B17F5">
              <w:rPr>
                <w:rFonts w:ascii="Times New Roman" w:hAnsi="Times New Roman" w:cs="Times New Roman"/>
                <w:noProof/>
                <w:webHidden/>
                <w:sz w:val="24"/>
              </w:rPr>
              <w:t>8</w:t>
            </w:r>
            <w:r w:rsidR="001B17F5" w:rsidRPr="001B17F5">
              <w:rPr>
                <w:rFonts w:ascii="Times New Roman" w:hAnsi="Times New Roman" w:cs="Times New Roman"/>
                <w:noProof/>
                <w:webHidden/>
                <w:sz w:val="24"/>
              </w:rPr>
              <w:fldChar w:fldCharType="end"/>
            </w:r>
          </w:hyperlink>
        </w:p>
        <w:p w14:paraId="01A84930" w14:textId="77777777" w:rsidR="001B17F5" w:rsidRPr="001B17F5" w:rsidRDefault="00000000" w:rsidP="001B17F5">
          <w:pPr>
            <w:pStyle w:val="TOC1"/>
            <w:tabs>
              <w:tab w:val="right" w:leader="dot" w:pos="9350"/>
            </w:tabs>
            <w:spacing w:line="360" w:lineRule="auto"/>
            <w:rPr>
              <w:rFonts w:ascii="Times New Roman" w:hAnsi="Times New Roman" w:cs="Times New Roman"/>
              <w:noProof/>
              <w:sz w:val="24"/>
            </w:rPr>
          </w:pPr>
          <w:hyperlink w:anchor="_Toc132629160" w:history="1">
            <w:r w:rsidR="001B17F5" w:rsidRPr="001B17F5">
              <w:rPr>
                <w:rStyle w:val="Hyperlink"/>
                <w:rFonts w:ascii="Times New Roman" w:hAnsi="Times New Roman" w:cs="Times New Roman"/>
                <w:noProof/>
                <w:sz w:val="24"/>
              </w:rPr>
              <w:t>Conclusion</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_Toc132629160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1B17F5" w:rsidRPr="001B17F5">
              <w:rPr>
                <w:rFonts w:ascii="Times New Roman" w:hAnsi="Times New Roman" w:cs="Times New Roman"/>
                <w:noProof/>
                <w:webHidden/>
                <w:sz w:val="24"/>
              </w:rPr>
              <w:t>11</w:t>
            </w:r>
            <w:r w:rsidR="001B17F5" w:rsidRPr="001B17F5">
              <w:rPr>
                <w:rFonts w:ascii="Times New Roman" w:hAnsi="Times New Roman" w:cs="Times New Roman"/>
                <w:noProof/>
                <w:webHidden/>
                <w:sz w:val="24"/>
              </w:rPr>
              <w:fldChar w:fldCharType="end"/>
            </w:r>
          </w:hyperlink>
        </w:p>
        <w:p w14:paraId="300C60EC" w14:textId="77777777" w:rsidR="001B17F5" w:rsidRPr="001B17F5" w:rsidRDefault="00000000" w:rsidP="001B17F5">
          <w:pPr>
            <w:pStyle w:val="TOC1"/>
            <w:tabs>
              <w:tab w:val="right" w:leader="dot" w:pos="9350"/>
            </w:tabs>
            <w:spacing w:line="360" w:lineRule="auto"/>
            <w:rPr>
              <w:rFonts w:ascii="Times New Roman" w:hAnsi="Times New Roman" w:cs="Times New Roman"/>
              <w:noProof/>
              <w:sz w:val="24"/>
            </w:rPr>
          </w:pPr>
          <w:hyperlink w:anchor="_Toc132629161" w:history="1">
            <w:r w:rsidR="001B17F5" w:rsidRPr="001B17F5">
              <w:rPr>
                <w:rStyle w:val="Hyperlink"/>
                <w:rFonts w:ascii="Times New Roman" w:hAnsi="Times New Roman" w:cs="Times New Roman"/>
                <w:noProof/>
                <w:sz w:val="24"/>
              </w:rPr>
              <w:t>Reference List</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_Toc132629161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1B17F5" w:rsidRPr="001B17F5">
              <w:rPr>
                <w:rFonts w:ascii="Times New Roman" w:hAnsi="Times New Roman" w:cs="Times New Roman"/>
                <w:noProof/>
                <w:webHidden/>
                <w:sz w:val="24"/>
              </w:rPr>
              <w:t>12</w:t>
            </w:r>
            <w:r w:rsidR="001B17F5" w:rsidRPr="001B17F5">
              <w:rPr>
                <w:rFonts w:ascii="Times New Roman" w:hAnsi="Times New Roman" w:cs="Times New Roman"/>
                <w:noProof/>
                <w:webHidden/>
                <w:sz w:val="24"/>
              </w:rPr>
              <w:fldChar w:fldCharType="end"/>
            </w:r>
          </w:hyperlink>
        </w:p>
        <w:p w14:paraId="6E5FE6C9" w14:textId="65EF1733" w:rsidR="001B17F5" w:rsidRDefault="001B17F5" w:rsidP="001B17F5">
          <w:pPr>
            <w:spacing w:line="360" w:lineRule="auto"/>
          </w:pPr>
          <w:r>
            <w:rPr>
              <w:b/>
              <w:bCs/>
              <w:noProof/>
            </w:rPr>
            <w:fldChar w:fldCharType="end"/>
          </w:r>
        </w:p>
      </w:sdtContent>
    </w:sdt>
    <w:p w14:paraId="7B06B8F3" w14:textId="77777777" w:rsidR="001B17F5" w:rsidRDefault="001B17F5" w:rsidP="001B17F5">
      <w:pPr>
        <w:spacing w:line="360" w:lineRule="auto"/>
        <w:rPr>
          <w:rFonts w:ascii="Times New Roman" w:eastAsia="Times New Roman" w:hAnsi="Times New Roman" w:cs="Times New Roman"/>
          <w:b/>
          <w:sz w:val="28"/>
          <w:szCs w:val="28"/>
        </w:rPr>
      </w:pPr>
      <w:bookmarkStart w:id="1" w:name="_Toc132629155"/>
      <w:r>
        <w:br w:type="page"/>
      </w:r>
    </w:p>
    <w:p w14:paraId="0000000B" w14:textId="5F23C9EF" w:rsidR="00E41C81" w:rsidRDefault="005A209E" w:rsidP="001B17F5">
      <w:pPr>
        <w:pStyle w:val="Heading1"/>
      </w:pPr>
      <w:r>
        <w:lastRenderedPageBreak/>
        <w:t>Introduction</w:t>
      </w:r>
      <w:bookmarkEnd w:id="1"/>
    </w:p>
    <w:p w14:paraId="0000000C" w14:textId="2B84BF6E"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highly competitive business climate, it is critical for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to develop creative advertising campaigns that will increase awareness of their brands while efficiently overseeing their consumer journey. This is especially true for banks, which operate in a highly competitive environment with high expectations for the level of service that they get in return. HSBC, an international banking company with operations in more than sixty nations, is a single such bank confronting such difficulties. HSBC must adopt creative advertising approaches that take into consideration the evolving economic climate, the rise of technological advancement, and increasing recognition of the brand and competition in order to remain comparable and meet the demands of customers. The purpose of this paper is to critically evaluate how HSBC can develop creative advertising techniques for increasing brand awareness and managing the journey of customers across an array of media methods. The study will look at how HSBC can use online platforms, social networks, and data statistical analysis to meet its marketing goals and gain a competitive advantage in the market.</w:t>
      </w:r>
    </w:p>
    <w:p w14:paraId="0000000D" w14:textId="77777777" w:rsidR="00E41C81" w:rsidRDefault="005A209E" w:rsidP="001B17F5">
      <w:pPr>
        <w:pStyle w:val="Heading1"/>
      </w:pPr>
      <w:bookmarkStart w:id="2" w:name="_qn0jxdz1tus2" w:colFirst="0" w:colLast="0"/>
      <w:bookmarkStart w:id="3" w:name="_Toc132629156"/>
      <w:bookmarkEnd w:id="2"/>
      <w:r>
        <w:t>Critically appraise key marketing activities and the contribution of the marketing department to HSBC</w:t>
      </w:r>
      <w:bookmarkEnd w:id="3"/>
    </w:p>
    <w:p w14:paraId="4ECBC821"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is one of the world's largest banks, with over 38 million customers and operations in over 60 countries. The bank has a global presence and is well-known for its trade and finance expertise. Marketing is critical to HSBC's success because it allows the bank to raise brand awareness, attract and retain customers, and communicate to stakeholders its unique value proposition. This essay will evaluate key marketing activities and the marketing department's contribution to HSBC. Brand management is an important marketing activity at HSBC. The brand of HSBC is one of the bank's most valuable assets, and the marketing department is crucial in managing and protecting it. The bank's brand is based on its global presence, trade and finance expertise, and commitment to sustainability. HSBC's marketing campaigns highlight these advantages and seek to distinguish the bank from its competitors. </w:t>
      </w:r>
    </w:p>
    <w:p w14:paraId="0000000E" w14:textId="4C3EAAA6"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department promotes the HSBC brand through a variety of channels, including TV and print advertising, social media, and events (</w:t>
      </w:r>
      <w:r>
        <w:rPr>
          <w:rFonts w:ascii="Times New Roman" w:eastAsia="Times New Roman" w:hAnsi="Times New Roman" w:cs="Times New Roman"/>
          <w:color w:val="222222"/>
          <w:sz w:val="24"/>
          <w:szCs w:val="24"/>
          <w:highlight w:val="white"/>
        </w:rPr>
        <w:t xml:space="preserve">Chen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HSBC's sponsorship of events such as the Hong Kong Rugby Sevens and the Wimbledon tennis tournament also contributes to the bank's profile and brand image. Customer acquisition and retention is another important marketing activity at HSBC. In a highly competitive market, acquiring and retaining </w:t>
      </w:r>
      <w:r>
        <w:rPr>
          <w:rFonts w:ascii="Times New Roman" w:eastAsia="Times New Roman" w:hAnsi="Times New Roman" w:cs="Times New Roman"/>
          <w:sz w:val="24"/>
          <w:szCs w:val="24"/>
        </w:rPr>
        <w:lastRenderedPageBreak/>
        <w:t xml:space="preserve">customers is critical to the bank's long-term success. The marketing department is critical to attracting new customers and retaining existing ones at HSBC. The bank's marketing campaigns </w:t>
      </w:r>
      <w:r w:rsidR="0038301A">
        <w:rPr>
          <w:rFonts w:ascii="Times New Roman" w:eastAsia="Times New Roman" w:hAnsi="Times New Roman" w:cs="Times New Roman"/>
          <w:sz w:val="24"/>
          <w:szCs w:val="24"/>
        </w:rPr>
        <w:t>emphasize</w:t>
      </w:r>
      <w:r>
        <w:rPr>
          <w:rFonts w:ascii="Times New Roman" w:eastAsia="Times New Roman" w:hAnsi="Times New Roman" w:cs="Times New Roman"/>
          <w:sz w:val="24"/>
          <w:szCs w:val="24"/>
        </w:rPr>
        <w:t xml:space="preserve"> its distinct strengths, such as its global reach and trade and finance expertise. The marketing department also employs data analytics to tailor its messaging and offers to specific customers. </w:t>
      </w:r>
    </w:p>
    <w:p w14:paraId="0000000F" w14:textId="6DFA2CDF"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strategy allows HSBC to provide a more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 to its customers while also increasing their engagement with the bank. In addition to customer acquisition and retention, HSBC's marketing department is in charge of managing the customer experience. The marketing department is critical to attracting new customers and retaining existing ones at HSBC. The bank's marketing campaigns </w:t>
      </w:r>
      <w:r w:rsidR="0038301A">
        <w:rPr>
          <w:rFonts w:ascii="Times New Roman" w:eastAsia="Times New Roman" w:hAnsi="Times New Roman" w:cs="Times New Roman"/>
          <w:sz w:val="24"/>
          <w:szCs w:val="24"/>
        </w:rPr>
        <w:t>emphasize</w:t>
      </w:r>
      <w:r>
        <w:rPr>
          <w:rFonts w:ascii="Times New Roman" w:eastAsia="Times New Roman" w:hAnsi="Times New Roman" w:cs="Times New Roman"/>
          <w:sz w:val="24"/>
          <w:szCs w:val="24"/>
        </w:rPr>
        <w:t xml:space="preserve"> its distinct strengths, such as its global reach and trade and finance expertise. The marketing department also employs data analytics to tailor its messaging and offers to specific customers. This strategy allows HSBC to provide a more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 to its customers while also increasing their engagement with the bank. In addition to customer acquisition and retention, HSBC's marketing department is in charge of managing the customer experience (</w:t>
      </w:r>
      <w:r>
        <w:rPr>
          <w:rFonts w:ascii="Times New Roman" w:eastAsia="Times New Roman" w:hAnsi="Times New Roman" w:cs="Times New Roman"/>
          <w:color w:val="222222"/>
          <w:sz w:val="24"/>
          <w:szCs w:val="24"/>
          <w:highlight w:val="white"/>
        </w:rPr>
        <w:t xml:space="preserve">Arthur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bank's marketing campaigns aim to create a seamless customer journey across all touchpoints, and the marketing department collaborates closely with other departments, such as customer service and digital banking, to ensure a consistent and high-quality customer experience. Customer journey mapping tools are used by HSBC to identify areas for improvement and to improve the customer experience. Digital marketing is another important marketing activity at HSBC. The bank has a strong digital presence and provides its customers with a variety of online and mobile banking services. The marketing department is critical in promoting these services and increasing customer engagement. HSBC's digital marketing campaigns </w:t>
      </w:r>
      <w:r w:rsidR="0038301A">
        <w:rPr>
          <w:rFonts w:ascii="Times New Roman" w:eastAsia="Times New Roman" w:hAnsi="Times New Roman" w:cs="Times New Roman"/>
          <w:sz w:val="24"/>
          <w:szCs w:val="24"/>
        </w:rPr>
        <w:t>emphasize</w:t>
      </w:r>
      <w:r>
        <w:rPr>
          <w:rFonts w:ascii="Times New Roman" w:eastAsia="Times New Roman" w:hAnsi="Times New Roman" w:cs="Times New Roman"/>
          <w:sz w:val="24"/>
          <w:szCs w:val="24"/>
        </w:rPr>
        <w:t xml:space="preserve"> the convenience and security of its digital banking services, with the goal of attracting customers who prefer to bank online. </w:t>
      </w:r>
    </w:p>
    <w:p w14:paraId="00000010" w14:textId="2801B4FB"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analytics is also used by the marketing department to </w:t>
      </w:r>
      <w:r w:rsidR="0038301A">
        <w:rPr>
          <w:rFonts w:ascii="Times New Roman" w:eastAsia="Times New Roman" w:hAnsi="Times New Roman" w:cs="Times New Roman"/>
          <w:sz w:val="24"/>
          <w:szCs w:val="24"/>
        </w:rPr>
        <w:t>personalize</w:t>
      </w:r>
      <w:r>
        <w:rPr>
          <w:rFonts w:ascii="Times New Roman" w:eastAsia="Times New Roman" w:hAnsi="Times New Roman" w:cs="Times New Roman"/>
          <w:sz w:val="24"/>
          <w:szCs w:val="24"/>
        </w:rPr>
        <w:t xml:space="preserve"> digital marketing campaigns and provide a more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 to customers. Finally, the marketing department at HSBC is in charge of the bank's reputation. HSBC operates in a highly regulated industry, and reputation management is critical to maintaining stakeholders' informed trust and confidence. In order to guarantee that the bank's messaging and marketing campaigns comply with regulatory requirements, the marketing department collaborates closely with other departments such as compliance and legal. The marketing department also monitors media </w:t>
      </w:r>
      <w:r>
        <w:rPr>
          <w:rFonts w:ascii="Times New Roman" w:eastAsia="Times New Roman" w:hAnsi="Times New Roman" w:cs="Times New Roman"/>
          <w:sz w:val="24"/>
          <w:szCs w:val="24"/>
        </w:rPr>
        <w:lastRenderedPageBreak/>
        <w:t>coverage and social media to identify potential reputational risks and mitigate them. Finally, the marketing department is critical to HSBC's success because it manages the bank's brand, acquires and retains customers, manages the customer experience, promotes its digital banking services, and manages its reputation. HSBC's strong brand, international footprint, and reputation for expertise in trade and finance demonstrate the marketing department's involvement in the bank's success (</w:t>
      </w:r>
      <w:r>
        <w:rPr>
          <w:rFonts w:ascii="Times New Roman" w:eastAsia="Times New Roman" w:hAnsi="Times New Roman" w:cs="Times New Roman"/>
          <w:color w:val="222222"/>
          <w:sz w:val="24"/>
          <w:szCs w:val="24"/>
          <w:highlight w:val="white"/>
        </w:rPr>
        <w:t xml:space="preserve">Kohler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However, the marketing department is confronted with challenges such as increased competition, shifting client tastes, and altering regulatory requirements. In order to stay a global banking leader, HSBC's marketing department has to keep trying to come up with creative solutions to these challenges.</w:t>
      </w:r>
    </w:p>
    <w:p w14:paraId="00000011" w14:textId="3C44172E" w:rsidR="00E41C81" w:rsidRDefault="0038301A" w:rsidP="001B17F5">
      <w:pPr>
        <w:pStyle w:val="Heading1"/>
      </w:pPr>
      <w:bookmarkStart w:id="4" w:name="_ualg5fz2lqmt" w:colFirst="0" w:colLast="0"/>
      <w:bookmarkStart w:id="5" w:name="_Toc132629157"/>
      <w:bookmarkEnd w:id="4"/>
      <w:r>
        <w:t>Analyze</w:t>
      </w:r>
      <w:r w:rsidR="005A209E">
        <w:t xml:space="preserve"> and critically appraise marketing management with a view to adding value</w:t>
      </w:r>
      <w:bookmarkEnd w:id="5"/>
    </w:p>
    <w:p w14:paraId="318A765F"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management is an essential function for businesses that want to create and deliver value to their customers. Effective marketing management can assist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in better understanding their customer's needs and preferences, developing products and services to meet those needs, and effectively communicating their value proposition to customers. This essay will </w:t>
      </w:r>
      <w:r w:rsidR="0038301A">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and evaluate marketing management in order to add value to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Customer understanding is an important aspect of marketing management. In order to create value for customers, businesses must first understand their needs, preferences, and </w:t>
      </w:r>
      <w:r w:rsidR="0038301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This necessitates the use of a variety of tools and techniques, including market research, customer surveys, and data analytics. </w:t>
      </w:r>
    </w:p>
    <w:p w14:paraId="00000012" w14:textId="5637B0E7" w:rsidR="00E41C81" w:rsidRDefault="0038301A"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w:t>
      </w:r>
      <w:r w:rsidR="005A209E">
        <w:rPr>
          <w:rFonts w:ascii="Times New Roman" w:eastAsia="Times New Roman" w:hAnsi="Times New Roman" w:cs="Times New Roman"/>
          <w:sz w:val="24"/>
          <w:szCs w:val="24"/>
        </w:rPr>
        <w:t xml:space="preserve"> may </w:t>
      </w:r>
      <w:r>
        <w:rPr>
          <w:rFonts w:ascii="Times New Roman" w:eastAsia="Times New Roman" w:hAnsi="Times New Roman" w:cs="Times New Roman"/>
          <w:sz w:val="24"/>
          <w:szCs w:val="24"/>
        </w:rPr>
        <w:t>recognize</w:t>
      </w:r>
      <w:r w:rsidR="005A209E">
        <w:rPr>
          <w:rFonts w:ascii="Times New Roman" w:eastAsia="Times New Roman" w:hAnsi="Times New Roman" w:cs="Times New Roman"/>
          <w:sz w:val="24"/>
          <w:szCs w:val="24"/>
        </w:rPr>
        <w:t xml:space="preserve"> movements and trends in their marketing strategies and product development efforts by collecting and </w:t>
      </w:r>
      <w:r>
        <w:rPr>
          <w:rFonts w:ascii="Times New Roman" w:eastAsia="Times New Roman" w:hAnsi="Times New Roman" w:cs="Times New Roman"/>
          <w:sz w:val="24"/>
          <w:szCs w:val="24"/>
        </w:rPr>
        <w:t>analyzing</w:t>
      </w:r>
      <w:r w:rsidR="005A209E">
        <w:rPr>
          <w:rFonts w:ascii="Times New Roman" w:eastAsia="Times New Roman" w:hAnsi="Times New Roman" w:cs="Times New Roman"/>
          <w:sz w:val="24"/>
          <w:szCs w:val="24"/>
        </w:rPr>
        <w:t xml:space="preserve"> data on customer behaviour. Product development is another important aspect of marketing management (</w:t>
      </w:r>
      <w:r w:rsidR="005A209E">
        <w:rPr>
          <w:rFonts w:ascii="Times New Roman" w:eastAsia="Times New Roman" w:hAnsi="Times New Roman" w:cs="Times New Roman"/>
          <w:color w:val="222222"/>
          <w:sz w:val="24"/>
          <w:szCs w:val="24"/>
          <w:highlight w:val="white"/>
        </w:rPr>
        <w:t>Nordhaus, 2021</w:t>
      </w:r>
      <w:r w:rsidR="005A209E">
        <w:rPr>
          <w:rFonts w:ascii="Times New Roman" w:eastAsia="Times New Roman" w:hAnsi="Times New Roman" w:cs="Times New Roman"/>
          <w:sz w:val="24"/>
          <w:szCs w:val="24"/>
        </w:rPr>
        <w:t xml:space="preserve">). In order to meet changing customer needs and preferences, </w:t>
      </w:r>
      <w:r>
        <w:rPr>
          <w:rFonts w:ascii="Times New Roman" w:eastAsia="Times New Roman" w:hAnsi="Times New Roman" w:cs="Times New Roman"/>
          <w:sz w:val="24"/>
          <w:szCs w:val="24"/>
        </w:rPr>
        <w:t>organizations</w:t>
      </w:r>
      <w:r w:rsidR="005A209E">
        <w:rPr>
          <w:rFonts w:ascii="Times New Roman" w:eastAsia="Times New Roman" w:hAnsi="Times New Roman" w:cs="Times New Roman"/>
          <w:sz w:val="24"/>
          <w:szCs w:val="24"/>
        </w:rPr>
        <w:t xml:space="preserve"> must constantly innovate and develop new products and services. Marketing managers play an important role in this process by collaborating with product development teams to ensure that products are designed to meet the needs and preferences of their customers. This necessitates a thorough understanding of customer behaviour as well as the ability to </w:t>
      </w:r>
      <w:r>
        <w:rPr>
          <w:rFonts w:ascii="Times New Roman" w:eastAsia="Times New Roman" w:hAnsi="Times New Roman" w:cs="Times New Roman"/>
          <w:sz w:val="24"/>
          <w:szCs w:val="24"/>
        </w:rPr>
        <w:t>recognize</w:t>
      </w:r>
      <w:r w:rsidR="005A209E">
        <w:rPr>
          <w:rFonts w:ascii="Times New Roman" w:eastAsia="Times New Roman" w:hAnsi="Times New Roman" w:cs="Times New Roman"/>
          <w:sz w:val="24"/>
          <w:szCs w:val="24"/>
        </w:rPr>
        <w:t xml:space="preserve"> emerging trends and technologies that may influence customer preferences. Pricing strategies are also heavily influenced by marketing management. Pricing is an important aspect of creating value for customers because customers are often willing to pay more for higher-value products and services. Marketing executives must </w:t>
      </w:r>
      <w:r w:rsidR="005A209E">
        <w:rPr>
          <w:rFonts w:ascii="Times New Roman" w:eastAsia="Times New Roman" w:hAnsi="Times New Roman" w:cs="Times New Roman"/>
          <w:sz w:val="24"/>
          <w:szCs w:val="24"/>
        </w:rPr>
        <w:lastRenderedPageBreak/>
        <w:t>develop pricing strategies that reflect the value of their products and services while remaining competitive in the market. This necessitates a thorough understanding of customer preferences and willingness to pay, as well as a thorough understanding of rivals' pricing approaches.</w:t>
      </w:r>
    </w:p>
    <w:p w14:paraId="57D61F09"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another important aspect of marketing management. In order to generate demand, marketing executives have to effectively convey the value proposition of their products and services to customers. This necessitates the use of a variety of methods and instruments, including advertising, public relations, and digital marketing. Marketing executives must also create messaging that is appealing to customers and effectively communicates the advantages of their products and services (</w:t>
      </w:r>
      <w:proofErr w:type="spellStart"/>
      <w:r>
        <w:rPr>
          <w:rFonts w:ascii="Times New Roman" w:eastAsia="Times New Roman" w:hAnsi="Times New Roman" w:cs="Times New Roman"/>
          <w:color w:val="222222"/>
          <w:sz w:val="24"/>
          <w:szCs w:val="24"/>
          <w:highlight w:val="white"/>
        </w:rPr>
        <w:t>Musabegovic</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Marketing management is also important for customer engagement and retention.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have to communicate with their customers on a regular basis to build connections and maintain their trust in order to create lasting advantages for them. As a result, marketing managers must devise customer engagement strategies that encourage ongoing communication and interaction with customers. This necessitates the use of a variety of tools and techniques, including social media, email marketing, and loyalty programmes. </w:t>
      </w:r>
    </w:p>
    <w:p w14:paraId="00000013" w14:textId="0EF7E9EF"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these essential aspects, advertising administration is critical in risk management and mitigation. Marketing executives must ensure that their marketing strategies adhere to regulatory and moral norms. They must also determine and reduce potential risks associated with marketing activities, such as damage to reputation or legal risk. Finally, marketing management is critical in creating and delivering value to customers. Marketing managers must gain a thorough understanding of their customer's demands and tastes, create novel offerings and services, devise effective pricing tactics, successfully convey the value proposition, engage customers on an ongoing basis, and manage and mitigate risk. Marketing managers can add value to groups and build long-term relationships with customers by doing so. </w:t>
      </w:r>
    </w:p>
    <w:p w14:paraId="00000014"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managers, on the other hand, face challenges such as rising competition, shifting consumer tastes, and changing laws and regulations. Marketing managers must continue to come up with solutions and respond to these challenges in order to continue to add value.</w:t>
      </w:r>
    </w:p>
    <w:p w14:paraId="00000015" w14:textId="77777777" w:rsidR="00E41C81" w:rsidRDefault="005A209E" w:rsidP="001B17F5">
      <w:pPr>
        <w:pStyle w:val="Heading1"/>
      </w:pPr>
      <w:bookmarkStart w:id="6" w:name="_dw4arnn2spu4" w:colFirst="0" w:colLast="0"/>
      <w:bookmarkStart w:id="7" w:name="_Toc132629158"/>
      <w:bookmarkEnd w:id="6"/>
      <w:r>
        <w:t>Critically appraising how HSBC can create innovative marketing strategies for raising awareness of the brand</w:t>
      </w:r>
      <w:bookmarkEnd w:id="7"/>
      <w:r>
        <w:t xml:space="preserve"> </w:t>
      </w:r>
    </w:p>
    <w:p w14:paraId="00000016"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must develop creative advertising approaches to raise brand awareness in today's highly competitive and rapidly changing business environment. HSBC is a leading global bank </w:t>
      </w:r>
      <w:r>
        <w:rPr>
          <w:rFonts w:ascii="Times New Roman" w:eastAsia="Times New Roman" w:hAnsi="Times New Roman" w:cs="Times New Roman"/>
          <w:sz w:val="24"/>
          <w:szCs w:val="24"/>
        </w:rPr>
        <w:lastRenderedPageBreak/>
        <w:t xml:space="preserve">with operations in over 64 countries and a global customer base of over 40 million people. As a major player in the banking industry, HSBC faces fierce competition and must constantly innovate in order to stay ahead of the competition. This essay will evaluate how HSBC can develop innovative marketing strategies to increase brand awareness. </w:t>
      </w:r>
    </w:p>
    <w:p w14:paraId="00000017"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Brand Positioning: </w:t>
      </w:r>
    </w:p>
    <w:p w14:paraId="00000018" w14:textId="373D2850"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ways for HSBC to develop innovative marketing strategies is through effective brand positioning. The process of creating a unique and distinctive identity for a brand in the minds of customers is referred to as brand positioning. HSBC has an established brand reputation and is well-known for its global presence, financial stability, and international customer service expertise (</w:t>
      </w:r>
      <w:r>
        <w:rPr>
          <w:rFonts w:ascii="Times New Roman" w:eastAsia="Times New Roman" w:hAnsi="Times New Roman" w:cs="Times New Roman"/>
          <w:color w:val="222222"/>
          <w:sz w:val="24"/>
          <w:szCs w:val="24"/>
          <w:highlight w:val="white"/>
        </w:rPr>
        <w:t xml:space="preserve">Majchrzak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order to stay competitive, HSBC must constantly innovate and find new ways to differentiate itself from its competitors. One way for HSBC to stand out is to position itself as a leader in sustainable finance. HSBC is currently making significant strides in this area, such as its pledge to become a net-zero financial institution by 2050 and its membership in the Partnership for Carbon Accounting Financials. HSBC can appeal to customers who are increasingly concerned about the environment and social responsibility by focusing on sustainability. This can be accomplished through promotional efforts </w:t>
      </w:r>
      <w:r w:rsidR="0038301A">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HSBC's environmental initiatives and commitment to responsible finance.</w:t>
      </w:r>
    </w:p>
    <w:p w14:paraId="00000019"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Digital Marketing:</w:t>
      </w:r>
      <w:r>
        <w:rPr>
          <w:rFonts w:ascii="Times New Roman" w:eastAsia="Times New Roman" w:hAnsi="Times New Roman" w:cs="Times New Roman"/>
          <w:sz w:val="24"/>
          <w:szCs w:val="24"/>
        </w:rPr>
        <w:t xml:space="preserve"> </w:t>
      </w:r>
    </w:p>
    <w:p w14:paraId="71E8256F"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marketing is an additional field where HSBC can develop creative approaches to advertising. Digital marketing is the promotion of products and services through the use of digital technologies such as social media, email, and mobile apps. In recent years, digital marketing has grown in importance as more customers use digital channels to interact with businesses and make purchasing decisions. HSBC has already invested heavily in digital marketing, including the creation of its HSBC smartphone application and online financial services platform (</w:t>
      </w:r>
      <w:proofErr w:type="spellStart"/>
      <w:r>
        <w:rPr>
          <w:rFonts w:ascii="Times New Roman" w:eastAsia="Times New Roman" w:hAnsi="Times New Roman" w:cs="Times New Roman"/>
          <w:color w:val="222222"/>
          <w:sz w:val="24"/>
          <w:szCs w:val="24"/>
          <w:highlight w:val="white"/>
        </w:rPr>
        <w:t>Tirole</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However, there is still room for advancement in this field. Creating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digital experiences for customers is one way HSBC can differentiate itself. This can be accomplished by </w:t>
      </w:r>
      <w:r w:rsidR="0038301A">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data analytics and artificial intelligence to better understand consumer preferences and deliver targeted marketing messages. </w:t>
      </w:r>
    </w:p>
    <w:p w14:paraId="0000001A" w14:textId="498F67E4"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for HSBC to develop innovative digital marketing strategies is to use social media.  HSBC can engage with customers and promote its brand through social media platforms such as Twitter, Facebook, and LinkedIn. HSBC can use social media to share content about its </w:t>
      </w:r>
      <w:r>
        <w:rPr>
          <w:rFonts w:ascii="Times New Roman" w:eastAsia="Times New Roman" w:hAnsi="Times New Roman" w:cs="Times New Roman"/>
          <w:sz w:val="24"/>
          <w:szCs w:val="24"/>
        </w:rPr>
        <w:lastRenderedPageBreak/>
        <w:t xml:space="preserve">sustainability initiatives while also providing customer service and support. HSBC can strengthen relationships with consumers and raise awareness of the company by effectively </w:t>
      </w:r>
      <w:r w:rsidR="0038301A">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social media.</w:t>
      </w:r>
    </w:p>
    <w:p w14:paraId="0000001B"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Content marketing: </w:t>
      </w:r>
    </w:p>
    <w:p w14:paraId="0000001C"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 marketing is the creation and distribution of valuable, relevant, and engaging content in order to attract and retain an audience of interest. Content marketing can help HSBC educate consumers about its products and services while also building trust and credibility. By developing content that is tailored to the needs and interests of its target audience, HSBC can develop imaginative content marketing tactics. Economic education is just one area where HSBC can concentrate its content marketing efforts (</w:t>
      </w:r>
      <w:proofErr w:type="spellStart"/>
      <w:r>
        <w:rPr>
          <w:rFonts w:ascii="Times New Roman" w:eastAsia="Times New Roman" w:hAnsi="Times New Roman" w:cs="Times New Roman"/>
          <w:color w:val="222222"/>
          <w:sz w:val="24"/>
          <w:szCs w:val="24"/>
          <w:highlight w:val="white"/>
        </w:rPr>
        <w:t>Mazzucato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Plenty of consumers are hesitant to use the services of banks because they lack knowledge and understanding of financial products and services. HSBC can create content such as articles, movies, and infographics to educate consumers about the importance of financial literacy and assist them in making educated choices regarding their finances. This can help HSBC distinguish itself from competitors by increasing customer confidence as well as trustworthiness.</w:t>
      </w:r>
    </w:p>
    <w:p w14:paraId="0000001D"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Using a Multi-Channel Strategy:</w:t>
      </w:r>
    </w:p>
    <w:p w14:paraId="0000001E"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expect brands to communicate with them through multiple channels in today's highly connected world. To effectively reach its target audience, HSBC can use a multi-channel approach. It can reach out to customers through a combination of digital and traditional channels.</w:t>
      </w:r>
    </w:p>
    <w:p w14:paraId="0000001F" w14:textId="711F31A6"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can establish a strong online presence by </w:t>
      </w:r>
      <w:r w:rsidR="0038301A">
        <w:rPr>
          <w:rFonts w:ascii="Times New Roman" w:eastAsia="Times New Roman" w:hAnsi="Times New Roman" w:cs="Times New Roman"/>
          <w:sz w:val="24"/>
          <w:szCs w:val="24"/>
        </w:rPr>
        <w:t>optimizing</w:t>
      </w:r>
      <w:r>
        <w:rPr>
          <w:rFonts w:ascii="Times New Roman" w:eastAsia="Times New Roman" w:hAnsi="Times New Roman" w:cs="Times New Roman"/>
          <w:sz w:val="24"/>
          <w:szCs w:val="24"/>
        </w:rPr>
        <w:t xml:space="preserve"> its website for search engines, engaging customers on various social networking platforms, and developing digital campaigns. It can also reach a larger audience through traditional channels such as newspapers and magazines, television, and outside advertisements.</w:t>
      </w:r>
    </w:p>
    <w:p w14:paraId="00000020"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Accepting Individuality:</w:t>
      </w:r>
    </w:p>
    <w:p w14:paraId="00000021" w14:textId="4C87CB4B"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Personalization has evolved into an essential component of modern marketing. HSBC can create a more personal relationship with its customers by </w:t>
      </w:r>
      <w:r w:rsidR="0038301A">
        <w:rPr>
          <w:rFonts w:ascii="Times New Roman" w:eastAsia="Times New Roman" w:hAnsi="Times New Roman" w:cs="Times New Roman"/>
          <w:sz w:val="24"/>
          <w:szCs w:val="24"/>
        </w:rPr>
        <w:t>personalizing</w:t>
      </w:r>
      <w:r>
        <w:rPr>
          <w:rFonts w:ascii="Times New Roman" w:eastAsia="Times New Roman" w:hAnsi="Times New Roman" w:cs="Times New Roman"/>
          <w:sz w:val="24"/>
          <w:szCs w:val="24"/>
        </w:rPr>
        <w:t xml:space="preserve"> customer expertise, leading to higher customer commitment and support. HSBC can use customer data to provide customers with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experiences. It can use data analytics to gain insights into customer preferences and </w:t>
      </w:r>
      <w:r w:rsidR="0038301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and then tailor its marketing messages to match (</w:t>
      </w:r>
      <w:proofErr w:type="spellStart"/>
      <w:r>
        <w:rPr>
          <w:rFonts w:ascii="Times New Roman" w:eastAsia="Times New Roman" w:hAnsi="Times New Roman" w:cs="Times New Roman"/>
          <w:color w:val="222222"/>
          <w:sz w:val="24"/>
          <w:szCs w:val="24"/>
          <w:highlight w:val="white"/>
        </w:rPr>
        <w:t>Pomarici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This method can assist HSBC in developing highly targeted campaigns that resonate with its customers and result in increased engagement and conversions.</w:t>
      </w:r>
    </w:p>
    <w:p w14:paraId="00000022"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Making Use of Influencers:</w:t>
      </w:r>
    </w:p>
    <w:p w14:paraId="00000023"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marketing has emerged as a powerful tool for brands seeking to reach their target audience. HSBC can work with influencers who have a large following on social media platforms to increase brand awareness and reach new customers. HSBC can collaborate with financial services industry influencers to create content that educates customers about its products and services. It can also work with lifestyle influencers to create content that highlights the benefits of its offerings in an approachable manner.</w:t>
      </w:r>
    </w:p>
    <w:p w14:paraId="00000024"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nutshell, developing innovative marketing strategies is critical for HSBC in order to successfully boost its brand profile and reach its intended customer base. HSBC can create highly targeted initiatives that resonate with its clientele and lead to increased conversions and involvement by focusing on creating value for customers, leveraging information about clients, adopting a multi-channel approach, embracing customization, and leveraging influential individuals. Brands that can develop innovative marketing strategies that connect with consumers are more likely to succeed and grow in today's extremely competitive market.</w:t>
      </w:r>
    </w:p>
    <w:p w14:paraId="00000025" w14:textId="77777777" w:rsidR="00E41C81" w:rsidRDefault="005A209E" w:rsidP="001B17F5">
      <w:pPr>
        <w:pStyle w:val="Heading1"/>
      </w:pPr>
      <w:bookmarkStart w:id="8" w:name="_anwh9ga9vyru" w:colFirst="0" w:colLast="0"/>
      <w:bookmarkStart w:id="9" w:name="_Toc132629159"/>
      <w:bookmarkEnd w:id="8"/>
      <w:r>
        <w:t>Evaluating the customer journey across a variety of communication channels to ensure current and future stakeholders’ expectations</w:t>
      </w:r>
      <w:bookmarkEnd w:id="9"/>
    </w:p>
    <w:p w14:paraId="00000026"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journey is the sum of a customer's interactions with a brand. It starts with the customer's first exposure to the brand and continues through the purchase decision and post-purchase experience. Customers interact with brands through a variety of communication channels in today's highly connected world. As a result, HSBC must evaluate the customer journey across multiple communication channels to ensure that current and future stakeholders' expectations are met (</w:t>
      </w:r>
      <w:r>
        <w:rPr>
          <w:rFonts w:ascii="Times New Roman" w:eastAsia="Times New Roman" w:hAnsi="Times New Roman" w:cs="Times New Roman"/>
          <w:color w:val="222222"/>
          <w:sz w:val="24"/>
          <w:szCs w:val="24"/>
          <w:highlight w:val="white"/>
        </w:rPr>
        <w:t xml:space="preserve">Akpan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This essay critically examines how HSBC can evaluate the customer journey across a variety of communication channels in order to meet the expectations of current and future stakeholders.</w:t>
      </w:r>
    </w:p>
    <w:p w14:paraId="00000027" w14:textId="517BA9E4" w:rsidR="00E41C81" w:rsidRDefault="0038301A"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Recognizing</w:t>
      </w:r>
      <w:r w:rsidR="005A209E">
        <w:rPr>
          <w:rFonts w:ascii="Times New Roman" w:eastAsia="Times New Roman" w:hAnsi="Times New Roman" w:cs="Times New Roman"/>
          <w:b/>
          <w:i/>
          <w:sz w:val="24"/>
          <w:szCs w:val="24"/>
        </w:rPr>
        <w:t xml:space="preserve"> Customer Expectations</w:t>
      </w:r>
    </w:p>
    <w:p w14:paraId="00000028" w14:textId="519023BA"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customer expectations is the first step in evaluating the customer journey across multiple communication channels. In order to deliver a customer-centric experience, HSBC must first understand its target audience's needs and expectations. This entails conducting customer research to learn about their preferences, </w:t>
      </w:r>
      <w:r w:rsidR="0038301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and needs. HSBC can gain insights into its customers through a variety of research methods, including surveys, focus groups, and social </w:t>
      </w:r>
      <w:r>
        <w:rPr>
          <w:rFonts w:ascii="Times New Roman" w:eastAsia="Times New Roman" w:hAnsi="Times New Roman" w:cs="Times New Roman"/>
          <w:sz w:val="24"/>
          <w:szCs w:val="24"/>
        </w:rPr>
        <w:lastRenderedPageBreak/>
        <w:t>media monitoring. These insights can assist HSBC in better understanding the customer journey and identifying areas where the brand can improve the customer experience.</w:t>
      </w:r>
    </w:p>
    <w:p w14:paraId="00000029"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Journey Mapping</w:t>
      </w:r>
    </w:p>
    <w:p w14:paraId="0000002A" w14:textId="13D38FAB"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step in evaluating the customer journey is to map it across multiple communication channels. A customer journey map depicts the customer's interactions with the brand, from initial awareness to the post-purchase experience. HSBC can create a customer journey map by mapping out every interaction the client has with the company's name. Each of the communication pathways, such as the HSBC website, social media, email, and in-branch interactions, can be considered touchpoints (</w:t>
      </w:r>
      <w:proofErr w:type="spellStart"/>
      <w:r>
        <w:rPr>
          <w:rFonts w:ascii="Times New Roman" w:eastAsia="Times New Roman" w:hAnsi="Times New Roman" w:cs="Times New Roman"/>
          <w:color w:val="222222"/>
          <w:sz w:val="24"/>
          <w:szCs w:val="24"/>
          <w:highlight w:val="white"/>
        </w:rPr>
        <w:t>Marano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order to acquire a better understanding of the customer's journey, HSBC can identify the customer's emotions at each touchpoint. HSBC may discover areas for improvement in the customer experience by mapping the customer journey. It is capable of </w:t>
      </w:r>
      <w:r w:rsidR="0038301A">
        <w:rPr>
          <w:rFonts w:ascii="Times New Roman" w:eastAsia="Times New Roman" w:hAnsi="Times New Roman" w:cs="Times New Roman"/>
          <w:sz w:val="24"/>
          <w:szCs w:val="24"/>
        </w:rPr>
        <w:t>recognizing</w:t>
      </w:r>
      <w:r>
        <w:rPr>
          <w:rFonts w:ascii="Times New Roman" w:eastAsia="Times New Roman" w:hAnsi="Times New Roman" w:cs="Times New Roman"/>
          <w:sz w:val="24"/>
          <w:szCs w:val="24"/>
        </w:rPr>
        <w:t xml:space="preserve"> interactions that require additional attention, as well as areas where consumers may be abandoning the journey. </w:t>
      </w:r>
    </w:p>
    <w:p w14:paraId="0000002B"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Satisfaction Evaluation</w:t>
      </w:r>
    </w:p>
    <w:p w14:paraId="0000002C" w14:textId="19FC39AC"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satisfaction is measured as the third step in evaluating the customer journey. HSBC can measure customer satisfaction using a variety of methods, including feedback from consumer surveys, social media monitoring, and customer satisfaction ratings. HSBC can use polls for customer feedback to gather information from customers about their interactions with the brand. It may additionally track social media channels to gather information about customer sentiment and identify areas where the brand may enhance customer knowledge (</w:t>
      </w:r>
      <w:proofErr w:type="spellStart"/>
      <w:r>
        <w:rPr>
          <w:rFonts w:ascii="Times New Roman" w:eastAsia="Times New Roman" w:hAnsi="Times New Roman" w:cs="Times New Roman"/>
          <w:color w:val="222222"/>
          <w:sz w:val="24"/>
          <w:szCs w:val="24"/>
          <w:highlight w:val="white"/>
        </w:rPr>
        <w:t>Tubaro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Overall satisfaction scores can also be used for monitoring and </w:t>
      </w:r>
      <w:r w:rsidR="0038301A">
        <w:rPr>
          <w:rFonts w:ascii="Times New Roman" w:eastAsia="Times New Roman" w:hAnsi="Times New Roman" w:cs="Times New Roman"/>
          <w:sz w:val="24"/>
          <w:szCs w:val="24"/>
        </w:rPr>
        <w:t>recognizing</w:t>
      </w:r>
      <w:r>
        <w:rPr>
          <w:rFonts w:ascii="Times New Roman" w:eastAsia="Times New Roman" w:hAnsi="Times New Roman" w:cs="Times New Roman"/>
          <w:sz w:val="24"/>
          <w:szCs w:val="24"/>
        </w:rPr>
        <w:t xml:space="preserve"> trends in client satisfaction over time. HSBC can identify areas for improvement in the customer endure by measuring satisfaction among clients. It can also track advancement over time and identify consumer happiness trends.</w:t>
      </w:r>
    </w:p>
    <w:p w14:paraId="0000002D"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Channels of Communication Integration</w:t>
      </w:r>
    </w:p>
    <w:p w14:paraId="0000002E" w14:textId="48B995A1"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offer an effortless customer experience, HSBC must ensure that all communication channels are integrated. Customers ought to be able to switch between methods of communication without disrupting their journey. HSBC can integrate its modes of communication using a variety of tools, including customer relationship management (CRM) software and marketing automation software. CRM software can assist HSBC in tracking customer interactions across multiple channels, and marketing automation applications can assist </w:t>
      </w:r>
      <w:r>
        <w:rPr>
          <w:rFonts w:ascii="Times New Roman" w:eastAsia="Times New Roman" w:hAnsi="Times New Roman" w:cs="Times New Roman"/>
          <w:sz w:val="24"/>
          <w:szCs w:val="24"/>
        </w:rPr>
        <w:lastRenderedPageBreak/>
        <w:t xml:space="preserve">HSBC in delivering </w:t>
      </w:r>
      <w:r w:rsidR="0038301A">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materials to customers based on their previous purchases. HSBC can create an effortless consumer experience that meets client requirements through the integration of channels of communication. It can also offer a more </w:t>
      </w:r>
      <w:r w:rsidR="0038301A">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experience, which increases the retention of clients.</w:t>
      </w:r>
    </w:p>
    <w:p w14:paraId="0000002F"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Maintaining Consistent Messaging</w:t>
      </w:r>
    </w:p>
    <w:p w14:paraId="00000030"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HSBC must ensure that its messaging remains uniform across all channels of communication. This means that irrespective of the means of communication channel used, consumers ought to receive the same information. In order to guarantee consistent communication, HSBC can use an assortment of tools, including a style manual for the company and a system for managing its content. A guide to brand style can help with overall communication, tone of voice, as well as visual appearance.</w:t>
      </w:r>
    </w:p>
    <w:p w14:paraId="00000031"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HSBC can use social media sites to engage consumers and create a unified customer experience. Banks are able to interact with clients and provide refreshes on the goods and services they offer through social media platforms such as Facebook, Twitter, and Instagram. According to a poll conducted by the Pew Research Centre survey, sixty-nine per cent of all adults across the nation use social media, presenting an important chance for banks such as HSBC to communicate with customers (</w:t>
      </w:r>
      <w:proofErr w:type="spellStart"/>
      <w:r>
        <w:rPr>
          <w:rFonts w:ascii="Times New Roman" w:eastAsia="Times New Roman" w:hAnsi="Times New Roman" w:cs="Times New Roman"/>
          <w:color w:val="222222"/>
          <w:sz w:val="24"/>
          <w:szCs w:val="24"/>
          <w:highlight w:val="white"/>
        </w:rPr>
        <w:t>Naradda</w:t>
      </w:r>
      <w:proofErr w:type="spellEnd"/>
      <w:r>
        <w:rPr>
          <w:rFonts w:ascii="Times New Roman" w:eastAsia="Times New Roman" w:hAnsi="Times New Roman" w:cs="Times New Roman"/>
          <w:color w:val="222222"/>
          <w:sz w:val="24"/>
          <w:szCs w:val="24"/>
          <w:highlight w:val="white"/>
        </w:rPr>
        <w:t xml:space="preserve"> Gamage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HSBC may increase consumer awareness and provide useful data about the goods and services they offer by setting up Facebook and Twitter is responsibly and frequently updating them. Furthermore, because customers are able to communicate with the bank through these methods, social networks can be used as a tool for delivering excellent customer service. Bots known as chat can help HSBC provide clients with quick and efficient answers to their questions. HSBC can improve the overall customer experience by using chatbots to ensure consumers receive reliable and consistent responses. HSBC can also use social media for collecting customer feedback to find areas for enhancement of its goods and services. This input can be used to develop more customer-focused advertising approaches and enhance the overall customer experience. Finally, HSBC can use statistical analysis to gain knowledge about customer behaviour and tastes. </w:t>
      </w:r>
    </w:p>
    <w:p w14:paraId="00000032" w14:textId="1EB1A8CF"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increased use of digital channels, banks such as HSBC have access to massive amounts of customer data that can be used to develop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advertising approaches. HSBC can gain knowledge about consumer tastes, behaviour, and expenditure patterns by </w:t>
      </w:r>
      <w:r w:rsidR="0038301A">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customer data, which can then be used to create specific advertising initiatives.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marketing campaigns can increase consumer involvement and happiness, resulting in increased brand loyalty. HSBC can also use statistical analysis of data to create a more effortless customer journey across numerous channels of communication. HSBC, for example, can identify the most frequently </w:t>
      </w:r>
      <w:r w:rsidR="0038301A">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channels of communication and make sure they are </w:t>
      </w:r>
      <w:r w:rsidR="0038301A">
        <w:rPr>
          <w:rFonts w:ascii="Times New Roman" w:eastAsia="Times New Roman" w:hAnsi="Times New Roman" w:cs="Times New Roman"/>
          <w:sz w:val="24"/>
          <w:szCs w:val="24"/>
        </w:rPr>
        <w:t>optimized</w:t>
      </w:r>
      <w:r>
        <w:rPr>
          <w:rFonts w:ascii="Times New Roman" w:eastAsia="Times New Roman" w:hAnsi="Times New Roman" w:cs="Times New Roman"/>
          <w:sz w:val="24"/>
          <w:szCs w:val="24"/>
        </w:rPr>
        <w:t xml:space="preserve"> for an effortless client experience by </w:t>
      </w:r>
      <w:r w:rsidR="0038301A">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customer data. Furthermore, analysis of data can be used to </w:t>
      </w:r>
      <w:r w:rsidR="0038301A">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and tackle areas of customer dissatisfaction. This may enhance the customer experience as a whole and guarantee that what customers want is met. Finally, by leveraging online platforms, social networking sites, and information analytics, HSBC can develop creative advertising techniques to increase brand awareness while overseeing the consumer journey (</w:t>
      </w:r>
      <w:r>
        <w:rPr>
          <w:rFonts w:ascii="Times New Roman" w:eastAsia="Times New Roman" w:hAnsi="Times New Roman" w:cs="Times New Roman"/>
          <w:color w:val="222222"/>
          <w:sz w:val="24"/>
          <w:szCs w:val="24"/>
          <w:highlight w:val="white"/>
        </w:rPr>
        <w:t xml:space="preserve">Burger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HSBC may guarantee that consumer demands are met by </w:t>
      </w:r>
      <w:r w:rsidR="0038301A">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creating an effortless consumer journey, which will eventually contribute to higher brand devotion and client happiness. Furthermore, HSBC may employ these tactics to distinguish itself from rivals and gain an unfair advantage in the competitive landscape.</w:t>
      </w:r>
    </w:p>
    <w:p w14:paraId="00000033" w14:textId="77777777" w:rsidR="00E41C81" w:rsidRDefault="005A209E" w:rsidP="001B17F5">
      <w:pPr>
        <w:pStyle w:val="Heading1"/>
      </w:pPr>
      <w:bookmarkStart w:id="10" w:name="_9r08x5yltjwn" w:colFirst="0" w:colLast="0"/>
      <w:bookmarkStart w:id="11" w:name="_Toc132629160"/>
      <w:bookmarkEnd w:id="10"/>
      <w:r>
        <w:t>Conclusion</w:t>
      </w:r>
      <w:bookmarkEnd w:id="11"/>
    </w:p>
    <w:p w14:paraId="00000034" w14:textId="55394F61" w:rsidR="001B17F5"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this paper has critically evaluated how HSBC can develop innovative marketing strategies for increasing brand awareness and managing the customer journey across a variety of interaction methods. The significance of digital channels, networking sites, and data statistical analysis in achieving these goals is </w:t>
      </w:r>
      <w:r w:rsidR="0038301A">
        <w:rPr>
          <w:rFonts w:ascii="Times New Roman" w:eastAsia="Times New Roman" w:hAnsi="Times New Roman" w:cs="Times New Roman"/>
          <w:sz w:val="24"/>
          <w:szCs w:val="24"/>
        </w:rPr>
        <w:t>emphasized</w:t>
      </w:r>
      <w:r>
        <w:rPr>
          <w:rFonts w:ascii="Times New Roman" w:eastAsia="Times New Roman" w:hAnsi="Times New Roman" w:cs="Times New Roman"/>
          <w:sz w:val="24"/>
          <w:szCs w:val="24"/>
        </w:rPr>
        <w:t xml:space="preserve"> in the paper. In order to </w:t>
      </w:r>
      <w:r w:rsidR="0038301A">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customer happiness and retention, HSBC must adopt an approach that is customer-focused and focus on the entire journey rather than just touchpoints. HSBC must use data to better understand client requirements and preferences, </w:t>
      </w:r>
      <w:r w:rsidR="0038301A">
        <w:rPr>
          <w:rFonts w:ascii="Times New Roman" w:eastAsia="Times New Roman" w:hAnsi="Times New Roman" w:cs="Times New Roman"/>
          <w:sz w:val="24"/>
          <w:szCs w:val="24"/>
        </w:rPr>
        <w:t>personalize</w:t>
      </w:r>
      <w:r>
        <w:rPr>
          <w:rFonts w:ascii="Times New Roman" w:eastAsia="Times New Roman" w:hAnsi="Times New Roman" w:cs="Times New Roman"/>
          <w:sz w:val="24"/>
          <w:szCs w:val="24"/>
        </w:rPr>
        <w:t xml:space="preserve"> communication, and provide a consistent experience across all interaction points. HSBC may distinguish itself from other banks and gain an edge over them in an increasingly competitive marketplace by successfully doing so. HSBC must constantly keep track of and assess its advertising operations to ensure that they meet evolving requirements of its clients and other interested parties. Overall, HSBC has an opportunity to develop creative advertising campaigns that can increase awareness of the brand while successfully managing the consumer trip. Through doing so, it may reinforce its competitive place and achieve long-term profitable development.</w:t>
      </w:r>
    </w:p>
    <w:p w14:paraId="33C83E95" w14:textId="77777777" w:rsidR="001B17F5" w:rsidRDefault="001B17F5" w:rsidP="001B17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39D718D" w14:textId="6CD1D2A1" w:rsidR="00E41C81" w:rsidRDefault="001B17F5" w:rsidP="001B17F5">
      <w:pPr>
        <w:pStyle w:val="Heading1"/>
      </w:pPr>
      <w:bookmarkStart w:id="12" w:name="_Toc132629161"/>
      <w:r>
        <w:lastRenderedPageBreak/>
        <w:t>Reference List</w:t>
      </w:r>
      <w:bookmarkEnd w:id="12"/>
    </w:p>
    <w:p w14:paraId="5935006F"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Adler, N., Brudner, A. and </w:t>
      </w:r>
      <w:proofErr w:type="spellStart"/>
      <w:r>
        <w:rPr>
          <w:color w:val="222222"/>
          <w:shd w:val="clear" w:color="auto" w:fill="FFFFFF"/>
        </w:rPr>
        <w:t>Proost</w:t>
      </w:r>
      <w:proofErr w:type="spellEnd"/>
      <w:r>
        <w:rPr>
          <w:color w:val="222222"/>
          <w:shd w:val="clear" w:color="auto" w:fill="FFFFFF"/>
        </w:rPr>
        <w:t xml:space="preserve">, S., 2021. A review of transport market modeling using game-theoretic principles. </w:t>
      </w:r>
      <w:r>
        <w:rPr>
          <w:i/>
          <w:iCs/>
          <w:color w:val="222222"/>
          <w:shd w:val="clear" w:color="auto" w:fill="FFFFFF"/>
        </w:rPr>
        <w:t>European Journal of Operational Research</w:t>
      </w:r>
      <w:r>
        <w:rPr>
          <w:color w:val="222222"/>
          <w:shd w:val="clear" w:color="auto" w:fill="FFFFFF"/>
        </w:rPr>
        <w:t xml:space="preserve">, </w:t>
      </w:r>
      <w:r>
        <w:rPr>
          <w:i/>
          <w:iCs/>
          <w:color w:val="222222"/>
          <w:shd w:val="clear" w:color="auto" w:fill="FFFFFF"/>
        </w:rPr>
        <w:t>291</w:t>
      </w:r>
      <w:r>
        <w:rPr>
          <w:color w:val="222222"/>
          <w:shd w:val="clear" w:color="auto" w:fill="FFFFFF"/>
        </w:rPr>
        <w:t>(3), pp.808-829.</w:t>
      </w:r>
    </w:p>
    <w:p w14:paraId="615E77D1"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Akpan, I.J., </w:t>
      </w:r>
      <w:proofErr w:type="spellStart"/>
      <w:r>
        <w:rPr>
          <w:color w:val="222222"/>
          <w:shd w:val="clear" w:color="auto" w:fill="FFFFFF"/>
        </w:rPr>
        <w:t>Soopramanien</w:t>
      </w:r>
      <w:proofErr w:type="spellEnd"/>
      <w:r>
        <w:rPr>
          <w:color w:val="222222"/>
          <w:shd w:val="clear" w:color="auto" w:fill="FFFFFF"/>
        </w:rPr>
        <w:t xml:space="preserve">, D. and Kwak, D.H., 2021. Cutting-edge technologies for small business and innovation in the era of COVID-19 global health pandemic. </w:t>
      </w:r>
      <w:r>
        <w:rPr>
          <w:i/>
          <w:iCs/>
          <w:color w:val="222222"/>
          <w:shd w:val="clear" w:color="auto" w:fill="FFFFFF"/>
        </w:rPr>
        <w:t>Journal of Small Business &amp; Entrepreneurship</w:t>
      </w:r>
      <w:r>
        <w:rPr>
          <w:color w:val="222222"/>
          <w:shd w:val="clear" w:color="auto" w:fill="FFFFFF"/>
        </w:rPr>
        <w:t xml:space="preserve">, </w:t>
      </w:r>
      <w:r>
        <w:rPr>
          <w:i/>
          <w:iCs/>
          <w:color w:val="222222"/>
          <w:shd w:val="clear" w:color="auto" w:fill="FFFFFF"/>
        </w:rPr>
        <w:t>33</w:t>
      </w:r>
      <w:r>
        <w:rPr>
          <w:color w:val="222222"/>
          <w:shd w:val="clear" w:color="auto" w:fill="FFFFFF"/>
        </w:rPr>
        <w:t>(6), pp.607-617.</w:t>
      </w:r>
    </w:p>
    <w:p w14:paraId="0027706F"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Anwar, M.A. and Graham, M., 2021. Between a rock and a hard place: Freedom, flexibility, precarity and vulnerability in the gig economy in Africa. </w:t>
      </w:r>
      <w:r>
        <w:rPr>
          <w:i/>
          <w:iCs/>
          <w:color w:val="222222"/>
          <w:shd w:val="clear" w:color="auto" w:fill="FFFFFF"/>
        </w:rPr>
        <w:t>Competition &amp; Change</w:t>
      </w:r>
      <w:r>
        <w:rPr>
          <w:color w:val="222222"/>
          <w:shd w:val="clear" w:color="auto" w:fill="FFFFFF"/>
        </w:rPr>
        <w:t xml:space="preserve">, </w:t>
      </w:r>
      <w:r>
        <w:rPr>
          <w:i/>
          <w:iCs/>
          <w:color w:val="222222"/>
          <w:shd w:val="clear" w:color="auto" w:fill="FFFFFF"/>
        </w:rPr>
        <w:t>25</w:t>
      </w:r>
      <w:r>
        <w:rPr>
          <w:color w:val="222222"/>
          <w:shd w:val="clear" w:color="auto" w:fill="FFFFFF"/>
        </w:rPr>
        <w:t>(2), pp.237-258.</w:t>
      </w:r>
    </w:p>
    <w:p w14:paraId="04110E32"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Arthur, I.K. and </w:t>
      </w:r>
      <w:proofErr w:type="spellStart"/>
      <w:r>
        <w:rPr>
          <w:color w:val="222222"/>
          <w:shd w:val="clear" w:color="auto" w:fill="FFFFFF"/>
        </w:rPr>
        <w:t>Yamoah</w:t>
      </w:r>
      <w:proofErr w:type="spellEnd"/>
      <w:r>
        <w:rPr>
          <w:color w:val="222222"/>
          <w:shd w:val="clear" w:color="auto" w:fill="FFFFFF"/>
        </w:rPr>
        <w:t xml:space="preserve">, F.A., 2019. Understanding the role of environmental quality attributes in food-related rural enterprise competitiveness. </w:t>
      </w:r>
      <w:r>
        <w:rPr>
          <w:i/>
          <w:iCs/>
          <w:color w:val="222222"/>
          <w:shd w:val="clear" w:color="auto" w:fill="FFFFFF"/>
        </w:rPr>
        <w:t>Journal of Environmental Management</w:t>
      </w:r>
      <w:r>
        <w:rPr>
          <w:color w:val="222222"/>
          <w:shd w:val="clear" w:color="auto" w:fill="FFFFFF"/>
        </w:rPr>
        <w:t xml:space="preserve">, </w:t>
      </w:r>
      <w:r>
        <w:rPr>
          <w:i/>
          <w:iCs/>
          <w:color w:val="222222"/>
          <w:shd w:val="clear" w:color="auto" w:fill="FFFFFF"/>
        </w:rPr>
        <w:t>247</w:t>
      </w:r>
      <w:r>
        <w:rPr>
          <w:color w:val="222222"/>
          <w:shd w:val="clear" w:color="auto" w:fill="FFFFFF"/>
        </w:rPr>
        <w:t>, pp.152-160.</w:t>
      </w:r>
    </w:p>
    <w:p w14:paraId="1D5A4CAA"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Barlow, M.A., </w:t>
      </w:r>
      <w:proofErr w:type="spellStart"/>
      <w:r>
        <w:rPr>
          <w:color w:val="222222"/>
          <w:shd w:val="clear" w:color="auto" w:fill="FFFFFF"/>
        </w:rPr>
        <w:t>Verhaal</w:t>
      </w:r>
      <w:proofErr w:type="spellEnd"/>
      <w:r>
        <w:rPr>
          <w:color w:val="222222"/>
          <w:shd w:val="clear" w:color="auto" w:fill="FFFFFF"/>
        </w:rPr>
        <w:t xml:space="preserve">, J.C. and Angus, R.W., 2019. Optimal distinctiveness, strategic categorization, and product market entry on the Google Play app platform. </w:t>
      </w:r>
      <w:r>
        <w:rPr>
          <w:i/>
          <w:iCs/>
          <w:color w:val="222222"/>
          <w:shd w:val="clear" w:color="auto" w:fill="FFFFFF"/>
        </w:rPr>
        <w:t>Strategic Management Journal</w:t>
      </w:r>
      <w:r>
        <w:rPr>
          <w:color w:val="222222"/>
          <w:shd w:val="clear" w:color="auto" w:fill="FFFFFF"/>
        </w:rPr>
        <w:t xml:space="preserve">, </w:t>
      </w:r>
      <w:r>
        <w:rPr>
          <w:i/>
          <w:iCs/>
          <w:color w:val="222222"/>
          <w:shd w:val="clear" w:color="auto" w:fill="FFFFFF"/>
        </w:rPr>
        <w:t>40</w:t>
      </w:r>
      <w:r>
        <w:rPr>
          <w:color w:val="222222"/>
          <w:shd w:val="clear" w:color="auto" w:fill="FFFFFF"/>
        </w:rPr>
        <w:t>(8), pp.1219-1242.</w:t>
      </w:r>
    </w:p>
    <w:p w14:paraId="2C3BD5F5"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Beheshtian</w:t>
      </w:r>
      <w:proofErr w:type="spellEnd"/>
      <w:r>
        <w:rPr>
          <w:color w:val="222222"/>
          <w:shd w:val="clear" w:color="auto" w:fill="FFFFFF"/>
        </w:rPr>
        <w:t xml:space="preserve">, A., Geddes, R.R., Rouhani, O.M., </w:t>
      </w:r>
      <w:proofErr w:type="spellStart"/>
      <w:r>
        <w:rPr>
          <w:color w:val="222222"/>
          <w:shd w:val="clear" w:color="auto" w:fill="FFFFFF"/>
        </w:rPr>
        <w:t>Kockelman</w:t>
      </w:r>
      <w:proofErr w:type="spellEnd"/>
      <w:r>
        <w:rPr>
          <w:color w:val="222222"/>
          <w:shd w:val="clear" w:color="auto" w:fill="FFFFFF"/>
        </w:rPr>
        <w:t xml:space="preserve">, K.M., </w:t>
      </w:r>
      <w:proofErr w:type="spellStart"/>
      <w:r>
        <w:rPr>
          <w:color w:val="222222"/>
          <w:shd w:val="clear" w:color="auto" w:fill="FFFFFF"/>
        </w:rPr>
        <w:t>Ockenfels</w:t>
      </w:r>
      <w:proofErr w:type="spellEnd"/>
      <w:r>
        <w:rPr>
          <w:color w:val="222222"/>
          <w:shd w:val="clear" w:color="auto" w:fill="FFFFFF"/>
        </w:rPr>
        <w:t xml:space="preserve">, A., Cramton, P. and Do, W., 2020. Bringing the efficiency of electricity market mechanisms to multimodal mobility across congested transportation systems. </w:t>
      </w:r>
      <w:r>
        <w:rPr>
          <w:i/>
          <w:iCs/>
          <w:color w:val="222222"/>
          <w:shd w:val="clear" w:color="auto" w:fill="FFFFFF"/>
        </w:rPr>
        <w:t>Transportation Research Part A: Policy and Practice</w:t>
      </w:r>
      <w:r>
        <w:rPr>
          <w:color w:val="222222"/>
          <w:shd w:val="clear" w:color="auto" w:fill="FFFFFF"/>
        </w:rPr>
        <w:t xml:space="preserve">, </w:t>
      </w:r>
      <w:r>
        <w:rPr>
          <w:i/>
          <w:iCs/>
          <w:color w:val="222222"/>
          <w:shd w:val="clear" w:color="auto" w:fill="FFFFFF"/>
        </w:rPr>
        <w:t>131</w:t>
      </w:r>
      <w:r>
        <w:rPr>
          <w:color w:val="222222"/>
          <w:shd w:val="clear" w:color="auto" w:fill="FFFFFF"/>
        </w:rPr>
        <w:t>, pp.58-69.</w:t>
      </w:r>
    </w:p>
    <w:p w14:paraId="0E8BF482"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Bogliacino</w:t>
      </w:r>
      <w:proofErr w:type="spellEnd"/>
      <w:r>
        <w:rPr>
          <w:color w:val="222222"/>
          <w:shd w:val="clear" w:color="auto" w:fill="FFFFFF"/>
        </w:rPr>
        <w:t xml:space="preserve">, F., </w:t>
      </w:r>
      <w:proofErr w:type="spellStart"/>
      <w:r>
        <w:rPr>
          <w:color w:val="222222"/>
          <w:shd w:val="clear" w:color="auto" w:fill="FFFFFF"/>
        </w:rPr>
        <w:t>Codagnone</w:t>
      </w:r>
      <w:proofErr w:type="spellEnd"/>
      <w:r>
        <w:rPr>
          <w:color w:val="222222"/>
          <w:shd w:val="clear" w:color="auto" w:fill="FFFFFF"/>
        </w:rPr>
        <w:t xml:space="preserve">, C., Cirillo, V. and </w:t>
      </w:r>
      <w:proofErr w:type="spellStart"/>
      <w:r>
        <w:rPr>
          <w:color w:val="222222"/>
          <w:shd w:val="clear" w:color="auto" w:fill="FFFFFF"/>
        </w:rPr>
        <w:t>Guarascio</w:t>
      </w:r>
      <w:proofErr w:type="spellEnd"/>
      <w:r>
        <w:rPr>
          <w:color w:val="222222"/>
          <w:shd w:val="clear" w:color="auto" w:fill="FFFFFF"/>
        </w:rPr>
        <w:t xml:space="preserve">, D., 2020. Quantity and quality of work in the platform economy. In </w:t>
      </w:r>
      <w:r>
        <w:rPr>
          <w:i/>
          <w:iCs/>
          <w:color w:val="222222"/>
          <w:shd w:val="clear" w:color="auto" w:fill="FFFFFF"/>
        </w:rPr>
        <w:t>Handbook of Labor, Human Resources and Population Economics</w:t>
      </w:r>
      <w:r>
        <w:rPr>
          <w:color w:val="222222"/>
          <w:shd w:val="clear" w:color="auto" w:fill="FFFFFF"/>
        </w:rPr>
        <w:t xml:space="preserve"> (pp. 1-28). Cham: Springer International Publishing.</w:t>
      </w:r>
    </w:p>
    <w:p w14:paraId="2A2FC88D"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Brydges</w:t>
      </w:r>
      <w:proofErr w:type="spellEnd"/>
      <w:r>
        <w:rPr>
          <w:color w:val="222222"/>
          <w:shd w:val="clear" w:color="auto" w:fill="FFFFFF"/>
        </w:rPr>
        <w:t xml:space="preserve">, T. and </w:t>
      </w:r>
      <w:proofErr w:type="spellStart"/>
      <w:r>
        <w:rPr>
          <w:color w:val="222222"/>
          <w:shd w:val="clear" w:color="auto" w:fill="FFFFFF"/>
        </w:rPr>
        <w:t>Hracs</w:t>
      </w:r>
      <w:proofErr w:type="spellEnd"/>
      <w:r>
        <w:rPr>
          <w:color w:val="222222"/>
          <w:shd w:val="clear" w:color="auto" w:fill="FFFFFF"/>
        </w:rPr>
        <w:t xml:space="preserve">, B.J., 2019. What motivates millennials? How intersectionality shapes the working lives of female entrepreneurs in Canada’s fashion industry. </w:t>
      </w:r>
      <w:r>
        <w:rPr>
          <w:i/>
          <w:iCs/>
          <w:color w:val="222222"/>
          <w:shd w:val="clear" w:color="auto" w:fill="FFFFFF"/>
        </w:rPr>
        <w:t>Gender, Place &amp; Culture</w:t>
      </w:r>
      <w:r>
        <w:rPr>
          <w:color w:val="222222"/>
          <w:shd w:val="clear" w:color="auto" w:fill="FFFFFF"/>
        </w:rPr>
        <w:t xml:space="preserve">, </w:t>
      </w:r>
      <w:r>
        <w:rPr>
          <w:i/>
          <w:iCs/>
          <w:color w:val="222222"/>
          <w:shd w:val="clear" w:color="auto" w:fill="FFFFFF"/>
        </w:rPr>
        <w:t>26</w:t>
      </w:r>
      <w:r>
        <w:rPr>
          <w:color w:val="222222"/>
          <w:shd w:val="clear" w:color="auto" w:fill="FFFFFF"/>
        </w:rPr>
        <w:t>(4), pp.510-532.</w:t>
      </w:r>
    </w:p>
    <w:p w14:paraId="062D9697"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Burger, S.P., Jenkins, J.D., </w:t>
      </w:r>
      <w:proofErr w:type="spellStart"/>
      <w:r>
        <w:rPr>
          <w:color w:val="222222"/>
          <w:shd w:val="clear" w:color="auto" w:fill="FFFFFF"/>
        </w:rPr>
        <w:t>Batlle</w:t>
      </w:r>
      <w:proofErr w:type="spellEnd"/>
      <w:r>
        <w:rPr>
          <w:color w:val="222222"/>
          <w:shd w:val="clear" w:color="auto" w:fill="FFFFFF"/>
        </w:rPr>
        <w:t xml:space="preserve">, C. and Pérez-Arriaga, I.J., 2019. Restructuring revisited part 1: Competition in electricity distribution systems. </w:t>
      </w:r>
      <w:r>
        <w:rPr>
          <w:i/>
          <w:iCs/>
          <w:color w:val="222222"/>
          <w:shd w:val="clear" w:color="auto" w:fill="FFFFFF"/>
        </w:rPr>
        <w:t>The Energy Journal</w:t>
      </w:r>
      <w:r>
        <w:rPr>
          <w:color w:val="222222"/>
          <w:shd w:val="clear" w:color="auto" w:fill="FFFFFF"/>
        </w:rPr>
        <w:t xml:space="preserve">, </w:t>
      </w:r>
      <w:r>
        <w:rPr>
          <w:i/>
          <w:iCs/>
          <w:color w:val="222222"/>
          <w:shd w:val="clear" w:color="auto" w:fill="FFFFFF"/>
        </w:rPr>
        <w:t>40</w:t>
      </w:r>
      <w:r>
        <w:rPr>
          <w:color w:val="222222"/>
          <w:shd w:val="clear" w:color="auto" w:fill="FFFFFF"/>
        </w:rPr>
        <w:t>(3).</w:t>
      </w:r>
    </w:p>
    <w:p w14:paraId="1DF6D405"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Chen, Y. and Wang, L., 2019. Commentary: Marketing and the sharing economy: Digital economy and emerging market challenges. </w:t>
      </w:r>
      <w:r>
        <w:rPr>
          <w:i/>
          <w:iCs/>
          <w:color w:val="222222"/>
          <w:shd w:val="clear" w:color="auto" w:fill="FFFFFF"/>
        </w:rPr>
        <w:t>Journal of Marketing</w:t>
      </w:r>
      <w:r>
        <w:rPr>
          <w:color w:val="222222"/>
          <w:shd w:val="clear" w:color="auto" w:fill="FFFFFF"/>
        </w:rPr>
        <w:t xml:space="preserve">, </w:t>
      </w:r>
      <w:r>
        <w:rPr>
          <w:i/>
          <w:iCs/>
          <w:color w:val="222222"/>
          <w:shd w:val="clear" w:color="auto" w:fill="FFFFFF"/>
        </w:rPr>
        <w:t>83</w:t>
      </w:r>
      <w:r>
        <w:rPr>
          <w:color w:val="222222"/>
          <w:shd w:val="clear" w:color="auto" w:fill="FFFFFF"/>
        </w:rPr>
        <w:t>(5), pp.28-31.</w:t>
      </w:r>
    </w:p>
    <w:p w14:paraId="213085A5"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lastRenderedPageBreak/>
        <w:t>Gläser</w:t>
      </w:r>
      <w:proofErr w:type="spellEnd"/>
      <w:r>
        <w:rPr>
          <w:color w:val="222222"/>
          <w:shd w:val="clear" w:color="auto" w:fill="FFFFFF"/>
        </w:rPr>
        <w:t xml:space="preserve">, S., Jahnke, H. and Strassheim, N., 2021. Opportunities and challenges of crowd logistics on the last mile for courier, express and parcel service providers–a literature review. </w:t>
      </w:r>
      <w:r>
        <w:rPr>
          <w:i/>
          <w:iCs/>
          <w:color w:val="222222"/>
          <w:shd w:val="clear" w:color="auto" w:fill="FFFFFF"/>
        </w:rPr>
        <w:t>International Journal of Logistics Research and Applications</w:t>
      </w:r>
      <w:r>
        <w:rPr>
          <w:color w:val="222222"/>
          <w:shd w:val="clear" w:color="auto" w:fill="FFFFFF"/>
        </w:rPr>
        <w:t>, pp.1-29.</w:t>
      </w:r>
    </w:p>
    <w:p w14:paraId="5D83C127"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Gomez, T., Herrero, I., </w:t>
      </w:r>
      <w:proofErr w:type="spellStart"/>
      <w:r>
        <w:rPr>
          <w:color w:val="222222"/>
          <w:shd w:val="clear" w:color="auto" w:fill="FFFFFF"/>
        </w:rPr>
        <w:t>Rodilla</w:t>
      </w:r>
      <w:proofErr w:type="spellEnd"/>
      <w:r>
        <w:rPr>
          <w:color w:val="222222"/>
          <w:shd w:val="clear" w:color="auto" w:fill="FFFFFF"/>
        </w:rPr>
        <w:t xml:space="preserve">, P., Escobar, R., Lanza, S., de la Fuente, I., </w:t>
      </w:r>
      <w:proofErr w:type="spellStart"/>
      <w:r>
        <w:rPr>
          <w:color w:val="222222"/>
          <w:shd w:val="clear" w:color="auto" w:fill="FFFFFF"/>
        </w:rPr>
        <w:t>Llorens</w:t>
      </w:r>
      <w:proofErr w:type="spellEnd"/>
      <w:r>
        <w:rPr>
          <w:color w:val="222222"/>
          <w:shd w:val="clear" w:color="auto" w:fill="FFFFFF"/>
        </w:rPr>
        <w:t xml:space="preserve">, M.L. and Junco, P., 2019. European Union electricity markets: Current practice and future view. </w:t>
      </w:r>
      <w:r>
        <w:rPr>
          <w:i/>
          <w:iCs/>
          <w:color w:val="222222"/>
          <w:shd w:val="clear" w:color="auto" w:fill="FFFFFF"/>
        </w:rPr>
        <w:t>IEEE Power and Energy Magazine</w:t>
      </w:r>
      <w:r>
        <w:rPr>
          <w:color w:val="222222"/>
          <w:shd w:val="clear" w:color="auto" w:fill="FFFFFF"/>
        </w:rPr>
        <w:t xml:space="preserve">, </w:t>
      </w:r>
      <w:r>
        <w:rPr>
          <w:i/>
          <w:iCs/>
          <w:color w:val="222222"/>
          <w:shd w:val="clear" w:color="auto" w:fill="FFFFFF"/>
        </w:rPr>
        <w:t>17</w:t>
      </w:r>
      <w:r>
        <w:rPr>
          <w:color w:val="222222"/>
          <w:shd w:val="clear" w:color="auto" w:fill="FFFFFF"/>
        </w:rPr>
        <w:t>(1), pp.20-31.</w:t>
      </w:r>
    </w:p>
    <w:p w14:paraId="2295CBD3"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Kohler, T. and Chesbrough, H., 2019. From collaborative community to competitive market: The quest to build a crowdsourcing platform for social innovation. </w:t>
      </w:r>
      <w:proofErr w:type="spellStart"/>
      <w:r>
        <w:rPr>
          <w:i/>
          <w:iCs/>
          <w:color w:val="222222"/>
          <w:shd w:val="clear" w:color="auto" w:fill="FFFFFF"/>
        </w:rPr>
        <w:t>R&amp;d</w:t>
      </w:r>
      <w:proofErr w:type="spellEnd"/>
      <w:r>
        <w:rPr>
          <w:i/>
          <w:iCs/>
          <w:color w:val="222222"/>
          <w:shd w:val="clear" w:color="auto" w:fill="FFFFFF"/>
        </w:rPr>
        <w:t xml:space="preserve"> Management</w:t>
      </w:r>
      <w:r>
        <w:rPr>
          <w:color w:val="222222"/>
          <w:shd w:val="clear" w:color="auto" w:fill="FFFFFF"/>
        </w:rPr>
        <w:t xml:space="preserve">, </w:t>
      </w:r>
      <w:r>
        <w:rPr>
          <w:i/>
          <w:iCs/>
          <w:color w:val="222222"/>
          <w:shd w:val="clear" w:color="auto" w:fill="FFFFFF"/>
        </w:rPr>
        <w:t>49</w:t>
      </w:r>
      <w:r>
        <w:rPr>
          <w:color w:val="222222"/>
          <w:shd w:val="clear" w:color="auto" w:fill="FFFFFF"/>
        </w:rPr>
        <w:t>(3), pp.356-368.</w:t>
      </w:r>
    </w:p>
    <w:p w14:paraId="67B926EE"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Kretschmer</w:t>
      </w:r>
      <w:proofErr w:type="spellEnd"/>
      <w:r>
        <w:rPr>
          <w:color w:val="222222"/>
          <w:shd w:val="clear" w:color="auto" w:fill="FFFFFF"/>
        </w:rPr>
        <w:t xml:space="preserve">, T., </w:t>
      </w:r>
      <w:proofErr w:type="spellStart"/>
      <w:r>
        <w:rPr>
          <w:color w:val="222222"/>
          <w:shd w:val="clear" w:color="auto" w:fill="FFFFFF"/>
        </w:rPr>
        <w:t>Leiponen</w:t>
      </w:r>
      <w:proofErr w:type="spellEnd"/>
      <w:r>
        <w:rPr>
          <w:color w:val="222222"/>
          <w:shd w:val="clear" w:color="auto" w:fill="FFFFFF"/>
        </w:rPr>
        <w:t xml:space="preserve">, A., Schilling, M. and Vasudeva, G., 2022. Platform ecosystems as meta‐organizations: Implications for platform strategies. </w:t>
      </w:r>
      <w:r>
        <w:rPr>
          <w:i/>
          <w:iCs/>
          <w:color w:val="222222"/>
          <w:shd w:val="clear" w:color="auto" w:fill="FFFFFF"/>
        </w:rPr>
        <w:t>Strategic Management Journal</w:t>
      </w:r>
      <w:r>
        <w:rPr>
          <w:color w:val="222222"/>
          <w:shd w:val="clear" w:color="auto" w:fill="FFFFFF"/>
        </w:rPr>
        <w:t xml:space="preserve">, </w:t>
      </w:r>
      <w:r>
        <w:rPr>
          <w:i/>
          <w:iCs/>
          <w:color w:val="222222"/>
          <w:shd w:val="clear" w:color="auto" w:fill="FFFFFF"/>
        </w:rPr>
        <w:t>43</w:t>
      </w:r>
      <w:r>
        <w:rPr>
          <w:color w:val="222222"/>
          <w:shd w:val="clear" w:color="auto" w:fill="FFFFFF"/>
        </w:rPr>
        <w:t>(3), pp.405-424.</w:t>
      </w:r>
    </w:p>
    <w:p w14:paraId="45176B07" w14:textId="77777777" w:rsidR="001B17F5" w:rsidRDefault="001B17F5" w:rsidP="001B17F5">
      <w:pPr>
        <w:pStyle w:val="NormalWeb"/>
        <w:spacing w:before="0" w:beforeAutospacing="0" w:after="0" w:afterAutospacing="0" w:line="360" w:lineRule="auto"/>
        <w:jc w:val="both"/>
      </w:pPr>
      <w:r>
        <w:rPr>
          <w:color w:val="222222"/>
          <w:shd w:val="clear" w:color="auto" w:fill="FFFFFF"/>
        </w:rPr>
        <w:t>Lane, M., 2020. Regulating platform work in the digital age.</w:t>
      </w:r>
    </w:p>
    <w:p w14:paraId="2E71BAF8"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Le, T.V., Stathopoulos, A., Van </w:t>
      </w:r>
      <w:proofErr w:type="spellStart"/>
      <w:r>
        <w:rPr>
          <w:color w:val="222222"/>
          <w:shd w:val="clear" w:color="auto" w:fill="FFFFFF"/>
        </w:rPr>
        <w:t>Woensel</w:t>
      </w:r>
      <w:proofErr w:type="spellEnd"/>
      <w:r>
        <w:rPr>
          <w:color w:val="222222"/>
          <w:shd w:val="clear" w:color="auto" w:fill="FFFFFF"/>
        </w:rPr>
        <w:t xml:space="preserve">, T. and </w:t>
      </w:r>
      <w:proofErr w:type="spellStart"/>
      <w:r>
        <w:rPr>
          <w:color w:val="222222"/>
          <w:shd w:val="clear" w:color="auto" w:fill="FFFFFF"/>
        </w:rPr>
        <w:t>Ukkusuri</w:t>
      </w:r>
      <w:proofErr w:type="spellEnd"/>
      <w:r>
        <w:rPr>
          <w:color w:val="222222"/>
          <w:shd w:val="clear" w:color="auto" w:fill="FFFFFF"/>
        </w:rPr>
        <w:t xml:space="preserve">, S.V., 2019. Supply, demand, operations, and management of crowd-shipping services: A review and empirical evidence. </w:t>
      </w:r>
      <w:r>
        <w:rPr>
          <w:i/>
          <w:iCs/>
          <w:color w:val="222222"/>
          <w:shd w:val="clear" w:color="auto" w:fill="FFFFFF"/>
        </w:rPr>
        <w:t>Transportation Research Part C: Emerging Technologies</w:t>
      </w:r>
      <w:r>
        <w:rPr>
          <w:color w:val="222222"/>
          <w:shd w:val="clear" w:color="auto" w:fill="FFFFFF"/>
        </w:rPr>
        <w:t xml:space="preserve">, </w:t>
      </w:r>
      <w:r>
        <w:rPr>
          <w:i/>
          <w:iCs/>
          <w:color w:val="222222"/>
          <w:shd w:val="clear" w:color="auto" w:fill="FFFFFF"/>
        </w:rPr>
        <w:t>103</w:t>
      </w:r>
      <w:r>
        <w:rPr>
          <w:color w:val="222222"/>
          <w:shd w:val="clear" w:color="auto" w:fill="FFFFFF"/>
        </w:rPr>
        <w:t>, pp.83-103.</w:t>
      </w:r>
    </w:p>
    <w:p w14:paraId="5C1E8440"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Majchrzak, A. and Malhotra, A., 2020. </w:t>
      </w:r>
      <w:r>
        <w:rPr>
          <w:i/>
          <w:iCs/>
          <w:color w:val="222222"/>
          <w:shd w:val="clear" w:color="auto" w:fill="FFFFFF"/>
        </w:rPr>
        <w:t>Unleashing the crowd</w:t>
      </w:r>
      <w:r>
        <w:rPr>
          <w:color w:val="222222"/>
          <w:shd w:val="clear" w:color="auto" w:fill="FFFFFF"/>
        </w:rPr>
        <w:t>. Springer International Publishing.</w:t>
      </w:r>
    </w:p>
    <w:p w14:paraId="19C46205"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Marano</w:t>
      </w:r>
      <w:proofErr w:type="spellEnd"/>
      <w:r>
        <w:rPr>
          <w:color w:val="222222"/>
          <w:shd w:val="clear" w:color="auto" w:fill="FFFFFF"/>
        </w:rPr>
        <w:t xml:space="preserve">, V., Tallman, S. and </w:t>
      </w:r>
      <w:proofErr w:type="spellStart"/>
      <w:r>
        <w:rPr>
          <w:color w:val="222222"/>
          <w:shd w:val="clear" w:color="auto" w:fill="FFFFFF"/>
        </w:rPr>
        <w:t>Teegen</w:t>
      </w:r>
      <w:proofErr w:type="spellEnd"/>
      <w:r>
        <w:rPr>
          <w:color w:val="222222"/>
          <w:shd w:val="clear" w:color="auto" w:fill="FFFFFF"/>
        </w:rPr>
        <w:t xml:space="preserve">, H.J., 2020. The liability of disruption. </w:t>
      </w:r>
      <w:r>
        <w:rPr>
          <w:i/>
          <w:iCs/>
          <w:color w:val="222222"/>
          <w:shd w:val="clear" w:color="auto" w:fill="FFFFFF"/>
        </w:rPr>
        <w:t>Global Strategy Journal</w:t>
      </w:r>
      <w:r>
        <w:rPr>
          <w:color w:val="222222"/>
          <w:shd w:val="clear" w:color="auto" w:fill="FFFFFF"/>
        </w:rPr>
        <w:t xml:space="preserve">, </w:t>
      </w:r>
      <w:r>
        <w:rPr>
          <w:i/>
          <w:iCs/>
          <w:color w:val="222222"/>
          <w:shd w:val="clear" w:color="auto" w:fill="FFFFFF"/>
        </w:rPr>
        <w:t>10</w:t>
      </w:r>
      <w:r>
        <w:rPr>
          <w:color w:val="222222"/>
          <w:shd w:val="clear" w:color="auto" w:fill="FFFFFF"/>
        </w:rPr>
        <w:t>(1), pp.174-209.</w:t>
      </w:r>
    </w:p>
    <w:p w14:paraId="1DF11A55"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Mazzucato</w:t>
      </w:r>
      <w:proofErr w:type="spellEnd"/>
      <w:r>
        <w:rPr>
          <w:color w:val="222222"/>
          <w:shd w:val="clear" w:color="auto" w:fill="FFFFFF"/>
        </w:rPr>
        <w:t xml:space="preserve">, M., </w:t>
      </w:r>
      <w:proofErr w:type="spellStart"/>
      <w:r>
        <w:rPr>
          <w:color w:val="222222"/>
          <w:shd w:val="clear" w:color="auto" w:fill="FFFFFF"/>
        </w:rPr>
        <w:t>Kattel</w:t>
      </w:r>
      <w:proofErr w:type="spellEnd"/>
      <w:r>
        <w:rPr>
          <w:color w:val="222222"/>
          <w:shd w:val="clear" w:color="auto" w:fill="FFFFFF"/>
        </w:rPr>
        <w:t xml:space="preserve">, R. and Ryan-Collins, J., 2020. Challenge-driven innovation policy: towards a new policy toolkit. </w:t>
      </w:r>
      <w:r>
        <w:rPr>
          <w:i/>
          <w:iCs/>
          <w:color w:val="222222"/>
          <w:shd w:val="clear" w:color="auto" w:fill="FFFFFF"/>
        </w:rPr>
        <w:t>Journal of industry, competition and trade</w:t>
      </w:r>
      <w:r>
        <w:rPr>
          <w:color w:val="222222"/>
          <w:shd w:val="clear" w:color="auto" w:fill="FFFFFF"/>
        </w:rPr>
        <w:t xml:space="preserve">, </w:t>
      </w:r>
      <w:r>
        <w:rPr>
          <w:i/>
          <w:iCs/>
          <w:color w:val="222222"/>
          <w:shd w:val="clear" w:color="auto" w:fill="FFFFFF"/>
        </w:rPr>
        <w:t>20</w:t>
      </w:r>
      <w:r>
        <w:rPr>
          <w:color w:val="222222"/>
          <w:shd w:val="clear" w:color="auto" w:fill="FFFFFF"/>
        </w:rPr>
        <w:t>, pp.421-437.</w:t>
      </w:r>
    </w:p>
    <w:p w14:paraId="458BF16A"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Musabegovic</w:t>
      </w:r>
      <w:proofErr w:type="spellEnd"/>
      <w:r>
        <w:rPr>
          <w:color w:val="222222"/>
          <w:shd w:val="clear" w:color="auto" w:fill="FFFFFF"/>
        </w:rPr>
        <w:t xml:space="preserve">, I., </w:t>
      </w:r>
      <w:proofErr w:type="spellStart"/>
      <w:r>
        <w:rPr>
          <w:color w:val="222222"/>
          <w:shd w:val="clear" w:color="auto" w:fill="FFFFFF"/>
        </w:rPr>
        <w:t>Özer</w:t>
      </w:r>
      <w:proofErr w:type="spellEnd"/>
      <w:r>
        <w:rPr>
          <w:color w:val="222222"/>
          <w:shd w:val="clear" w:color="auto" w:fill="FFFFFF"/>
        </w:rPr>
        <w:t xml:space="preserve">, M., </w:t>
      </w:r>
      <w:proofErr w:type="spellStart"/>
      <w:r>
        <w:rPr>
          <w:color w:val="222222"/>
          <w:shd w:val="clear" w:color="auto" w:fill="FFFFFF"/>
        </w:rPr>
        <w:t>Djukovic</w:t>
      </w:r>
      <w:proofErr w:type="spellEnd"/>
      <w:r>
        <w:rPr>
          <w:color w:val="222222"/>
          <w:shd w:val="clear" w:color="auto" w:fill="FFFFFF"/>
        </w:rPr>
        <w:t xml:space="preserve">, S. and Jovanovic, S., 2019. Influence of financial technology (FinTech) on financial industry. </w:t>
      </w:r>
      <w:proofErr w:type="spellStart"/>
      <w:r>
        <w:rPr>
          <w:i/>
          <w:iCs/>
          <w:color w:val="222222"/>
          <w:shd w:val="clear" w:color="auto" w:fill="FFFFFF"/>
        </w:rPr>
        <w:t>Економика</w:t>
      </w:r>
      <w:proofErr w:type="spellEnd"/>
      <w:r>
        <w:rPr>
          <w:i/>
          <w:iCs/>
          <w:color w:val="222222"/>
          <w:shd w:val="clear" w:color="auto" w:fill="FFFFFF"/>
        </w:rPr>
        <w:t xml:space="preserve"> </w:t>
      </w:r>
      <w:proofErr w:type="spellStart"/>
      <w:r>
        <w:rPr>
          <w:i/>
          <w:iCs/>
          <w:color w:val="222222"/>
          <w:shd w:val="clear" w:color="auto" w:fill="FFFFFF"/>
        </w:rPr>
        <w:t>пољопривреде</w:t>
      </w:r>
      <w:proofErr w:type="spellEnd"/>
      <w:r>
        <w:rPr>
          <w:color w:val="222222"/>
          <w:shd w:val="clear" w:color="auto" w:fill="FFFFFF"/>
        </w:rPr>
        <w:t xml:space="preserve">, </w:t>
      </w:r>
      <w:r>
        <w:rPr>
          <w:i/>
          <w:iCs/>
          <w:color w:val="222222"/>
          <w:shd w:val="clear" w:color="auto" w:fill="FFFFFF"/>
        </w:rPr>
        <w:t>66</w:t>
      </w:r>
      <w:r>
        <w:rPr>
          <w:color w:val="222222"/>
          <w:shd w:val="clear" w:color="auto" w:fill="FFFFFF"/>
        </w:rPr>
        <w:t>(4), pp.1003-1021.</w:t>
      </w:r>
    </w:p>
    <w:p w14:paraId="24B954BD"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Naradda</w:t>
      </w:r>
      <w:proofErr w:type="spellEnd"/>
      <w:r>
        <w:rPr>
          <w:color w:val="222222"/>
          <w:shd w:val="clear" w:color="auto" w:fill="FFFFFF"/>
        </w:rPr>
        <w:t xml:space="preserve"> Gamage, S.K., Ekanayake, E.M.S., </w:t>
      </w:r>
      <w:proofErr w:type="spellStart"/>
      <w:r>
        <w:rPr>
          <w:color w:val="222222"/>
          <w:shd w:val="clear" w:color="auto" w:fill="FFFFFF"/>
        </w:rPr>
        <w:t>Abeyrathne</w:t>
      </w:r>
      <w:proofErr w:type="spellEnd"/>
      <w:r>
        <w:rPr>
          <w:color w:val="222222"/>
          <w:shd w:val="clear" w:color="auto" w:fill="FFFFFF"/>
        </w:rPr>
        <w:t xml:space="preserve">, G.A.K.N.J., Prasanna, R.P.I.R., </w:t>
      </w:r>
      <w:proofErr w:type="spellStart"/>
      <w:r>
        <w:rPr>
          <w:color w:val="222222"/>
          <w:shd w:val="clear" w:color="auto" w:fill="FFFFFF"/>
        </w:rPr>
        <w:t>Jayasundara</w:t>
      </w:r>
      <w:proofErr w:type="spellEnd"/>
      <w:r>
        <w:rPr>
          <w:color w:val="222222"/>
          <w:shd w:val="clear" w:color="auto" w:fill="FFFFFF"/>
        </w:rPr>
        <w:t xml:space="preserve">, J.M.S.B. and </w:t>
      </w:r>
      <w:proofErr w:type="spellStart"/>
      <w:r>
        <w:rPr>
          <w:color w:val="222222"/>
          <w:shd w:val="clear" w:color="auto" w:fill="FFFFFF"/>
        </w:rPr>
        <w:t>Rajapakshe</w:t>
      </w:r>
      <w:proofErr w:type="spellEnd"/>
      <w:r>
        <w:rPr>
          <w:color w:val="222222"/>
          <w:shd w:val="clear" w:color="auto" w:fill="FFFFFF"/>
        </w:rPr>
        <w:t xml:space="preserve">, P.S.K., 2020. A review of global challenges and survival strategies of small and medium enterprises (SMEs). </w:t>
      </w:r>
      <w:r>
        <w:rPr>
          <w:i/>
          <w:iCs/>
          <w:color w:val="222222"/>
          <w:shd w:val="clear" w:color="auto" w:fill="FFFFFF"/>
        </w:rPr>
        <w:t>Economies</w:t>
      </w:r>
      <w:r>
        <w:rPr>
          <w:color w:val="222222"/>
          <w:shd w:val="clear" w:color="auto" w:fill="FFFFFF"/>
        </w:rPr>
        <w:t xml:space="preserve">, </w:t>
      </w:r>
      <w:r>
        <w:rPr>
          <w:i/>
          <w:iCs/>
          <w:color w:val="222222"/>
          <w:shd w:val="clear" w:color="auto" w:fill="FFFFFF"/>
        </w:rPr>
        <w:t>8</w:t>
      </w:r>
      <w:r>
        <w:rPr>
          <w:color w:val="222222"/>
          <w:shd w:val="clear" w:color="auto" w:fill="FFFFFF"/>
        </w:rPr>
        <w:t>(4), p.79.</w:t>
      </w:r>
    </w:p>
    <w:p w14:paraId="74F49958"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Narain</w:t>
      </w:r>
      <w:proofErr w:type="spellEnd"/>
      <w:r>
        <w:rPr>
          <w:color w:val="222222"/>
          <w:shd w:val="clear" w:color="auto" w:fill="FFFFFF"/>
        </w:rPr>
        <w:t xml:space="preserve">, A., Srivastava, S.K. and Singh, S.N., 2020. Congestion management approaches in restructured power system: Key issues and challenges. </w:t>
      </w:r>
      <w:r>
        <w:rPr>
          <w:i/>
          <w:iCs/>
          <w:color w:val="222222"/>
          <w:shd w:val="clear" w:color="auto" w:fill="FFFFFF"/>
        </w:rPr>
        <w:t>The Electricity Journal</w:t>
      </w:r>
      <w:r>
        <w:rPr>
          <w:color w:val="222222"/>
          <w:shd w:val="clear" w:color="auto" w:fill="FFFFFF"/>
        </w:rPr>
        <w:t xml:space="preserve">, </w:t>
      </w:r>
      <w:r>
        <w:rPr>
          <w:i/>
          <w:iCs/>
          <w:color w:val="222222"/>
          <w:shd w:val="clear" w:color="auto" w:fill="FFFFFF"/>
        </w:rPr>
        <w:t>33</w:t>
      </w:r>
      <w:r>
        <w:rPr>
          <w:color w:val="222222"/>
          <w:shd w:val="clear" w:color="auto" w:fill="FFFFFF"/>
        </w:rPr>
        <w:t>(3), p.106715.</w:t>
      </w:r>
    </w:p>
    <w:p w14:paraId="66ABB822"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Nordhaus, W.D., 2021. </w:t>
      </w:r>
      <w:r>
        <w:rPr>
          <w:i/>
          <w:iCs/>
          <w:color w:val="222222"/>
          <w:shd w:val="clear" w:color="auto" w:fill="FFFFFF"/>
        </w:rPr>
        <w:t>The spirit of green: the economics of collisions and contagions in a crowded world</w:t>
      </w:r>
      <w:r>
        <w:rPr>
          <w:color w:val="222222"/>
          <w:shd w:val="clear" w:color="auto" w:fill="FFFFFF"/>
        </w:rPr>
        <w:t>. Princeton University Press.</w:t>
      </w:r>
    </w:p>
    <w:p w14:paraId="64C3D13B"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lastRenderedPageBreak/>
        <w:t>Peticca</w:t>
      </w:r>
      <w:proofErr w:type="spellEnd"/>
      <w:r>
        <w:rPr>
          <w:color w:val="222222"/>
          <w:shd w:val="clear" w:color="auto" w:fill="FFFFFF"/>
        </w:rPr>
        <w:t xml:space="preserve">-Harris, A., </w:t>
      </w:r>
      <w:proofErr w:type="spellStart"/>
      <w:r>
        <w:rPr>
          <w:color w:val="222222"/>
          <w:shd w:val="clear" w:color="auto" w:fill="FFFFFF"/>
        </w:rPr>
        <w:t>DeGAMA</w:t>
      </w:r>
      <w:proofErr w:type="spellEnd"/>
      <w:r>
        <w:rPr>
          <w:color w:val="222222"/>
          <w:shd w:val="clear" w:color="auto" w:fill="FFFFFF"/>
        </w:rPr>
        <w:t xml:space="preserve">, N. and Ravishankar, M.N., 2020. Postcapitalist precarious work and those in the ‘drivers’ seat: Exploring the motivations and lived experiences of Uber drivers in Canada. </w:t>
      </w:r>
      <w:r>
        <w:rPr>
          <w:i/>
          <w:iCs/>
          <w:color w:val="222222"/>
          <w:shd w:val="clear" w:color="auto" w:fill="FFFFFF"/>
        </w:rPr>
        <w:t>Organization</w:t>
      </w:r>
      <w:r>
        <w:rPr>
          <w:color w:val="222222"/>
          <w:shd w:val="clear" w:color="auto" w:fill="FFFFFF"/>
        </w:rPr>
        <w:t xml:space="preserve">, </w:t>
      </w:r>
      <w:r>
        <w:rPr>
          <w:i/>
          <w:iCs/>
          <w:color w:val="222222"/>
          <w:shd w:val="clear" w:color="auto" w:fill="FFFFFF"/>
        </w:rPr>
        <w:t>27</w:t>
      </w:r>
      <w:r>
        <w:rPr>
          <w:color w:val="222222"/>
          <w:shd w:val="clear" w:color="auto" w:fill="FFFFFF"/>
        </w:rPr>
        <w:t>(1), pp.36-59.</w:t>
      </w:r>
    </w:p>
    <w:p w14:paraId="473EBF51"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Pomarici</w:t>
      </w:r>
      <w:proofErr w:type="spellEnd"/>
      <w:r>
        <w:rPr>
          <w:color w:val="222222"/>
          <w:shd w:val="clear" w:color="auto" w:fill="FFFFFF"/>
        </w:rPr>
        <w:t xml:space="preserve">, E., </w:t>
      </w:r>
      <w:proofErr w:type="spellStart"/>
      <w:r>
        <w:rPr>
          <w:color w:val="222222"/>
          <w:shd w:val="clear" w:color="auto" w:fill="FFFFFF"/>
        </w:rPr>
        <w:t>Corsi</w:t>
      </w:r>
      <w:proofErr w:type="spellEnd"/>
      <w:r>
        <w:rPr>
          <w:color w:val="222222"/>
          <w:shd w:val="clear" w:color="auto" w:fill="FFFFFF"/>
        </w:rPr>
        <w:t xml:space="preserve">, A., </w:t>
      </w:r>
      <w:proofErr w:type="spellStart"/>
      <w:r>
        <w:rPr>
          <w:color w:val="222222"/>
          <w:shd w:val="clear" w:color="auto" w:fill="FFFFFF"/>
        </w:rPr>
        <w:t>Mazzarino</w:t>
      </w:r>
      <w:proofErr w:type="spellEnd"/>
      <w:r>
        <w:rPr>
          <w:color w:val="222222"/>
          <w:shd w:val="clear" w:color="auto" w:fill="FFFFFF"/>
        </w:rPr>
        <w:t xml:space="preserve">, S. and </w:t>
      </w:r>
      <w:proofErr w:type="spellStart"/>
      <w:r>
        <w:rPr>
          <w:color w:val="222222"/>
          <w:shd w:val="clear" w:color="auto" w:fill="FFFFFF"/>
        </w:rPr>
        <w:t>Sardone</w:t>
      </w:r>
      <w:proofErr w:type="spellEnd"/>
      <w:r>
        <w:rPr>
          <w:color w:val="222222"/>
          <w:shd w:val="clear" w:color="auto" w:fill="FFFFFF"/>
        </w:rPr>
        <w:t xml:space="preserve">, R., 2021. The Italian wine sector: Evolution, structure, competitiveness and future challenges of an enduring leader. </w:t>
      </w:r>
      <w:r>
        <w:rPr>
          <w:i/>
          <w:iCs/>
          <w:color w:val="222222"/>
          <w:shd w:val="clear" w:color="auto" w:fill="FFFFFF"/>
        </w:rPr>
        <w:t>Italian Economic Journal</w:t>
      </w:r>
      <w:r>
        <w:rPr>
          <w:color w:val="222222"/>
          <w:shd w:val="clear" w:color="auto" w:fill="FFFFFF"/>
        </w:rPr>
        <w:t xml:space="preserve">, </w:t>
      </w:r>
      <w:r>
        <w:rPr>
          <w:i/>
          <w:iCs/>
          <w:color w:val="222222"/>
          <w:shd w:val="clear" w:color="auto" w:fill="FFFFFF"/>
        </w:rPr>
        <w:t>7</w:t>
      </w:r>
      <w:r>
        <w:rPr>
          <w:color w:val="222222"/>
          <w:shd w:val="clear" w:color="auto" w:fill="FFFFFF"/>
        </w:rPr>
        <w:t>(2), pp.259-295.</w:t>
      </w:r>
    </w:p>
    <w:p w14:paraId="4D3E5C11"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Rani, U. and </w:t>
      </w:r>
      <w:proofErr w:type="spellStart"/>
      <w:r>
        <w:rPr>
          <w:color w:val="222222"/>
          <w:shd w:val="clear" w:color="auto" w:fill="FFFFFF"/>
        </w:rPr>
        <w:t>Furrer</w:t>
      </w:r>
      <w:proofErr w:type="spellEnd"/>
      <w:r>
        <w:rPr>
          <w:color w:val="222222"/>
          <w:shd w:val="clear" w:color="auto" w:fill="FFFFFF"/>
        </w:rPr>
        <w:t xml:space="preserve">, M., 2021. Digital labour platforms and new forms of flexible work in developing countries: Algorithmic management of work and workers. </w:t>
      </w:r>
      <w:r>
        <w:rPr>
          <w:i/>
          <w:iCs/>
          <w:color w:val="222222"/>
          <w:shd w:val="clear" w:color="auto" w:fill="FFFFFF"/>
        </w:rPr>
        <w:t>Competition &amp; Change</w:t>
      </w:r>
      <w:r>
        <w:rPr>
          <w:color w:val="222222"/>
          <w:shd w:val="clear" w:color="auto" w:fill="FFFFFF"/>
        </w:rPr>
        <w:t xml:space="preserve">, </w:t>
      </w:r>
      <w:r>
        <w:rPr>
          <w:i/>
          <w:iCs/>
          <w:color w:val="222222"/>
          <w:shd w:val="clear" w:color="auto" w:fill="FFFFFF"/>
        </w:rPr>
        <w:t>25</w:t>
      </w:r>
      <w:r>
        <w:rPr>
          <w:color w:val="222222"/>
          <w:shd w:val="clear" w:color="auto" w:fill="FFFFFF"/>
        </w:rPr>
        <w:t>(2), pp.212-236.</w:t>
      </w:r>
    </w:p>
    <w:p w14:paraId="6C5EE99D"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Tirole</w:t>
      </w:r>
      <w:proofErr w:type="spellEnd"/>
      <w:r>
        <w:rPr>
          <w:color w:val="222222"/>
          <w:shd w:val="clear" w:color="auto" w:fill="FFFFFF"/>
        </w:rPr>
        <w:t xml:space="preserve">, J., 2020. Competition and the industrial challenge for the digital age. </w:t>
      </w:r>
      <w:r>
        <w:rPr>
          <w:i/>
          <w:iCs/>
          <w:color w:val="222222"/>
          <w:shd w:val="clear" w:color="auto" w:fill="FFFFFF"/>
        </w:rPr>
        <w:t>IFS Deaton Review on Inequalities in</w:t>
      </w:r>
      <w:r>
        <w:rPr>
          <w:color w:val="222222"/>
          <w:shd w:val="clear" w:color="auto" w:fill="FFFFFF"/>
        </w:rPr>
        <w:t>.</w:t>
      </w:r>
    </w:p>
    <w:p w14:paraId="10352C64"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Tubaro</w:t>
      </w:r>
      <w:proofErr w:type="spellEnd"/>
      <w:r>
        <w:rPr>
          <w:color w:val="222222"/>
          <w:shd w:val="clear" w:color="auto" w:fill="FFFFFF"/>
        </w:rPr>
        <w:t xml:space="preserve">, P. and </w:t>
      </w:r>
      <w:proofErr w:type="spellStart"/>
      <w:r>
        <w:rPr>
          <w:color w:val="222222"/>
          <w:shd w:val="clear" w:color="auto" w:fill="FFFFFF"/>
        </w:rPr>
        <w:t>Casilli</w:t>
      </w:r>
      <w:proofErr w:type="spellEnd"/>
      <w:r>
        <w:rPr>
          <w:color w:val="222222"/>
          <w:shd w:val="clear" w:color="auto" w:fill="FFFFFF"/>
        </w:rPr>
        <w:t xml:space="preserve">, A.A., 2019. Micro-work, artificial intelligence and the automotive industry. </w:t>
      </w:r>
      <w:r>
        <w:rPr>
          <w:i/>
          <w:iCs/>
          <w:color w:val="222222"/>
          <w:shd w:val="clear" w:color="auto" w:fill="FFFFFF"/>
        </w:rPr>
        <w:t>Journal of Industrial and Business Economics</w:t>
      </w:r>
      <w:r>
        <w:rPr>
          <w:color w:val="222222"/>
          <w:shd w:val="clear" w:color="auto" w:fill="FFFFFF"/>
        </w:rPr>
        <w:t xml:space="preserve">, </w:t>
      </w:r>
      <w:r>
        <w:rPr>
          <w:i/>
          <w:iCs/>
          <w:color w:val="222222"/>
          <w:shd w:val="clear" w:color="auto" w:fill="FFFFFF"/>
        </w:rPr>
        <w:t>46</w:t>
      </w:r>
      <w:r>
        <w:rPr>
          <w:color w:val="222222"/>
          <w:shd w:val="clear" w:color="auto" w:fill="FFFFFF"/>
        </w:rPr>
        <w:t>, pp.333-345.</w:t>
      </w:r>
    </w:p>
    <w:p w14:paraId="62F4B1A5" w14:textId="77777777" w:rsidR="001B17F5" w:rsidRDefault="001B17F5" w:rsidP="001B17F5">
      <w:pPr>
        <w:pStyle w:val="NormalWeb"/>
        <w:spacing w:before="0" w:beforeAutospacing="0" w:after="0" w:afterAutospacing="0" w:line="360" w:lineRule="auto"/>
        <w:jc w:val="both"/>
      </w:pPr>
      <w:proofErr w:type="spellStart"/>
      <w:r>
        <w:rPr>
          <w:color w:val="222222"/>
          <w:shd w:val="clear" w:color="auto" w:fill="FFFFFF"/>
        </w:rPr>
        <w:t>Viacheslavna</w:t>
      </w:r>
      <w:proofErr w:type="spellEnd"/>
      <w:r>
        <w:rPr>
          <w:color w:val="222222"/>
          <w:shd w:val="clear" w:color="auto" w:fill="FFFFFF"/>
        </w:rPr>
        <w:t xml:space="preserve">, Z.O. and </w:t>
      </w:r>
      <w:proofErr w:type="spellStart"/>
      <w:r>
        <w:rPr>
          <w:color w:val="222222"/>
          <w:shd w:val="clear" w:color="auto" w:fill="FFFFFF"/>
        </w:rPr>
        <w:t>Anatolievna</w:t>
      </w:r>
      <w:proofErr w:type="spellEnd"/>
      <w:r>
        <w:rPr>
          <w:color w:val="222222"/>
          <w:shd w:val="clear" w:color="auto" w:fill="FFFFFF"/>
        </w:rPr>
        <w:t xml:space="preserve">, O.J., 2020. Business activity of agricultural enterprises. Problems and solutions. </w:t>
      </w:r>
      <w:proofErr w:type="spellStart"/>
      <w:r>
        <w:rPr>
          <w:i/>
          <w:iCs/>
          <w:color w:val="222222"/>
          <w:shd w:val="clear" w:color="auto" w:fill="FFFFFF"/>
        </w:rPr>
        <w:t>Азимут</w:t>
      </w:r>
      <w:proofErr w:type="spellEnd"/>
      <w:r>
        <w:rPr>
          <w:i/>
          <w:iCs/>
          <w:color w:val="222222"/>
          <w:shd w:val="clear" w:color="auto" w:fill="FFFFFF"/>
        </w:rPr>
        <w:t xml:space="preserve"> </w:t>
      </w:r>
      <w:proofErr w:type="spellStart"/>
      <w:r>
        <w:rPr>
          <w:i/>
          <w:iCs/>
          <w:color w:val="222222"/>
          <w:shd w:val="clear" w:color="auto" w:fill="FFFFFF"/>
        </w:rPr>
        <w:t>научных</w:t>
      </w:r>
      <w:proofErr w:type="spellEnd"/>
      <w:r>
        <w:rPr>
          <w:i/>
          <w:iCs/>
          <w:color w:val="222222"/>
          <w:shd w:val="clear" w:color="auto" w:fill="FFFFFF"/>
        </w:rPr>
        <w:t xml:space="preserve"> </w:t>
      </w:r>
      <w:proofErr w:type="spellStart"/>
      <w:r>
        <w:rPr>
          <w:i/>
          <w:iCs/>
          <w:color w:val="222222"/>
          <w:shd w:val="clear" w:color="auto" w:fill="FFFFFF"/>
        </w:rPr>
        <w:t>исследований</w:t>
      </w:r>
      <w:proofErr w:type="spellEnd"/>
      <w:r>
        <w:rPr>
          <w:i/>
          <w:iCs/>
          <w:color w:val="222222"/>
          <w:shd w:val="clear" w:color="auto" w:fill="FFFFFF"/>
        </w:rPr>
        <w:t xml:space="preserve">: </w:t>
      </w:r>
      <w:proofErr w:type="spellStart"/>
      <w:r>
        <w:rPr>
          <w:i/>
          <w:iCs/>
          <w:color w:val="222222"/>
          <w:shd w:val="clear" w:color="auto" w:fill="FFFFFF"/>
        </w:rPr>
        <w:t>экономика</w:t>
      </w:r>
      <w:proofErr w:type="spellEnd"/>
      <w:r>
        <w:rPr>
          <w:i/>
          <w:iCs/>
          <w:color w:val="222222"/>
          <w:shd w:val="clear" w:color="auto" w:fill="FFFFFF"/>
        </w:rPr>
        <w:t xml:space="preserve"> и </w:t>
      </w:r>
      <w:proofErr w:type="spellStart"/>
      <w:r>
        <w:rPr>
          <w:i/>
          <w:iCs/>
          <w:color w:val="222222"/>
          <w:shd w:val="clear" w:color="auto" w:fill="FFFFFF"/>
        </w:rPr>
        <w:t>управление</w:t>
      </w:r>
      <w:proofErr w:type="spellEnd"/>
      <w:r>
        <w:rPr>
          <w:color w:val="222222"/>
          <w:shd w:val="clear" w:color="auto" w:fill="FFFFFF"/>
        </w:rPr>
        <w:t xml:space="preserve">, </w:t>
      </w:r>
      <w:r>
        <w:rPr>
          <w:i/>
          <w:iCs/>
          <w:color w:val="222222"/>
          <w:shd w:val="clear" w:color="auto" w:fill="FFFFFF"/>
        </w:rPr>
        <w:t>9</w:t>
      </w:r>
      <w:r>
        <w:rPr>
          <w:color w:val="222222"/>
          <w:shd w:val="clear" w:color="auto" w:fill="FFFFFF"/>
        </w:rPr>
        <w:t>(4 (33)), pp.151-153.</w:t>
      </w:r>
    </w:p>
    <w:p w14:paraId="6050056B"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Ye, Y., </w:t>
      </w:r>
      <w:proofErr w:type="spellStart"/>
      <w:r>
        <w:rPr>
          <w:color w:val="222222"/>
          <w:shd w:val="clear" w:color="auto" w:fill="FFFFFF"/>
        </w:rPr>
        <w:t>Qiu</w:t>
      </w:r>
      <w:proofErr w:type="spellEnd"/>
      <w:r>
        <w:rPr>
          <w:color w:val="222222"/>
          <w:shd w:val="clear" w:color="auto" w:fill="FFFFFF"/>
        </w:rPr>
        <w:t xml:space="preserve">, D., Li, J. and </w:t>
      </w:r>
      <w:proofErr w:type="spellStart"/>
      <w:r>
        <w:rPr>
          <w:color w:val="222222"/>
          <w:shd w:val="clear" w:color="auto" w:fill="FFFFFF"/>
        </w:rPr>
        <w:t>Strbac</w:t>
      </w:r>
      <w:proofErr w:type="spellEnd"/>
      <w:r>
        <w:rPr>
          <w:color w:val="222222"/>
          <w:shd w:val="clear" w:color="auto" w:fill="FFFFFF"/>
        </w:rPr>
        <w:t xml:space="preserve">, G., 2019. Multi-period and multi-spatial equilibrium analysis in imperfect electricity markets: A novel multi-agent deep reinforcement learning approach. </w:t>
      </w:r>
      <w:r>
        <w:rPr>
          <w:i/>
          <w:iCs/>
          <w:color w:val="222222"/>
          <w:shd w:val="clear" w:color="auto" w:fill="FFFFFF"/>
        </w:rPr>
        <w:t>IEEE access</w:t>
      </w:r>
      <w:r>
        <w:rPr>
          <w:color w:val="222222"/>
          <w:shd w:val="clear" w:color="auto" w:fill="FFFFFF"/>
        </w:rPr>
        <w:t xml:space="preserve">, </w:t>
      </w:r>
      <w:r>
        <w:rPr>
          <w:i/>
          <w:iCs/>
          <w:color w:val="222222"/>
          <w:shd w:val="clear" w:color="auto" w:fill="FFFFFF"/>
        </w:rPr>
        <w:t>7</w:t>
      </w:r>
      <w:r>
        <w:rPr>
          <w:color w:val="222222"/>
          <w:shd w:val="clear" w:color="auto" w:fill="FFFFFF"/>
        </w:rPr>
        <w:t>, pp.130515-130529.</w:t>
      </w:r>
    </w:p>
    <w:p w14:paraId="6B0D004F" w14:textId="77777777" w:rsidR="001B17F5" w:rsidRDefault="001B17F5" w:rsidP="001B17F5">
      <w:pPr>
        <w:spacing w:line="360" w:lineRule="auto"/>
        <w:jc w:val="both"/>
        <w:rPr>
          <w:rFonts w:ascii="Times New Roman" w:eastAsia="Times New Roman" w:hAnsi="Times New Roman" w:cs="Times New Roman"/>
          <w:sz w:val="24"/>
          <w:szCs w:val="24"/>
        </w:rPr>
      </w:pPr>
    </w:p>
    <w:p w14:paraId="00000035" w14:textId="77777777" w:rsidR="00E41C81" w:rsidRDefault="00E41C81" w:rsidP="001B17F5">
      <w:pPr>
        <w:spacing w:line="360" w:lineRule="auto"/>
        <w:jc w:val="both"/>
        <w:rPr>
          <w:rFonts w:ascii="Times New Roman" w:eastAsia="Times New Roman" w:hAnsi="Times New Roman" w:cs="Times New Roman"/>
          <w:sz w:val="24"/>
          <w:szCs w:val="24"/>
        </w:rPr>
      </w:pPr>
    </w:p>
    <w:p w14:paraId="00000036" w14:textId="77777777" w:rsidR="00E41C81" w:rsidRDefault="00E41C81" w:rsidP="001B17F5">
      <w:pPr>
        <w:spacing w:line="360" w:lineRule="auto"/>
        <w:jc w:val="both"/>
        <w:rPr>
          <w:rFonts w:ascii="Times New Roman" w:eastAsia="Times New Roman" w:hAnsi="Times New Roman" w:cs="Times New Roman"/>
          <w:sz w:val="24"/>
          <w:szCs w:val="24"/>
        </w:rPr>
      </w:pPr>
    </w:p>
    <w:p w14:paraId="00000037" w14:textId="77777777" w:rsidR="00E41C81" w:rsidRDefault="00E41C81" w:rsidP="001B17F5">
      <w:pPr>
        <w:spacing w:line="360" w:lineRule="auto"/>
        <w:jc w:val="both"/>
        <w:rPr>
          <w:rFonts w:ascii="Times New Roman" w:eastAsia="Times New Roman" w:hAnsi="Times New Roman" w:cs="Times New Roman"/>
          <w:sz w:val="24"/>
          <w:szCs w:val="24"/>
        </w:rPr>
      </w:pPr>
    </w:p>
    <w:p w14:paraId="00000038" w14:textId="77777777" w:rsidR="00E41C81" w:rsidRDefault="00E41C81" w:rsidP="001B17F5">
      <w:pPr>
        <w:spacing w:line="360" w:lineRule="auto"/>
        <w:jc w:val="both"/>
        <w:rPr>
          <w:rFonts w:ascii="Times New Roman" w:eastAsia="Times New Roman" w:hAnsi="Times New Roman" w:cs="Times New Roman"/>
          <w:sz w:val="24"/>
          <w:szCs w:val="24"/>
        </w:rPr>
      </w:pPr>
    </w:p>
    <w:p w14:paraId="00000039" w14:textId="77777777" w:rsidR="00E41C81" w:rsidRDefault="00E41C81" w:rsidP="001B17F5">
      <w:pPr>
        <w:spacing w:line="360" w:lineRule="auto"/>
        <w:jc w:val="both"/>
        <w:rPr>
          <w:rFonts w:ascii="Times New Roman" w:eastAsia="Times New Roman" w:hAnsi="Times New Roman" w:cs="Times New Roman"/>
          <w:sz w:val="24"/>
          <w:szCs w:val="24"/>
        </w:rPr>
      </w:pPr>
    </w:p>
    <w:sectPr w:rsidR="00E41C81" w:rsidSect="001B17F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CDEE6" w14:textId="77777777" w:rsidR="006216AE" w:rsidRDefault="006216AE" w:rsidP="001B17F5">
      <w:pPr>
        <w:spacing w:line="240" w:lineRule="auto"/>
      </w:pPr>
      <w:r>
        <w:separator/>
      </w:r>
    </w:p>
  </w:endnote>
  <w:endnote w:type="continuationSeparator" w:id="0">
    <w:p w14:paraId="69CDF8EE" w14:textId="77777777" w:rsidR="006216AE" w:rsidRDefault="006216AE" w:rsidP="001B17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658588"/>
      <w:docPartObj>
        <w:docPartGallery w:val="Page Numbers (Bottom of Page)"/>
        <w:docPartUnique/>
      </w:docPartObj>
    </w:sdtPr>
    <w:sdtEndPr>
      <w:rPr>
        <w:rFonts w:ascii="Times New Roman" w:hAnsi="Times New Roman" w:cs="Times New Roman"/>
        <w:noProof/>
        <w:sz w:val="24"/>
      </w:rPr>
    </w:sdtEndPr>
    <w:sdtContent>
      <w:p w14:paraId="050C01EE" w14:textId="3B869D30" w:rsidR="001B17F5" w:rsidRPr="001B17F5" w:rsidRDefault="001B17F5">
        <w:pPr>
          <w:pStyle w:val="Footer"/>
          <w:jc w:val="right"/>
          <w:rPr>
            <w:rFonts w:ascii="Times New Roman" w:hAnsi="Times New Roman" w:cs="Times New Roman"/>
            <w:sz w:val="24"/>
          </w:rPr>
        </w:pPr>
        <w:r w:rsidRPr="001B17F5">
          <w:rPr>
            <w:rFonts w:ascii="Times New Roman" w:hAnsi="Times New Roman" w:cs="Times New Roman"/>
            <w:sz w:val="24"/>
          </w:rPr>
          <w:fldChar w:fldCharType="begin"/>
        </w:r>
        <w:r w:rsidRPr="001B17F5">
          <w:rPr>
            <w:rFonts w:ascii="Times New Roman" w:hAnsi="Times New Roman" w:cs="Times New Roman"/>
            <w:sz w:val="24"/>
          </w:rPr>
          <w:instrText xml:space="preserve"> PAGE   \* MERGEFORMAT </w:instrText>
        </w:r>
        <w:r w:rsidRPr="001B17F5">
          <w:rPr>
            <w:rFonts w:ascii="Times New Roman" w:hAnsi="Times New Roman" w:cs="Times New Roman"/>
            <w:sz w:val="24"/>
          </w:rPr>
          <w:fldChar w:fldCharType="separate"/>
        </w:r>
        <w:r>
          <w:rPr>
            <w:rFonts w:ascii="Times New Roman" w:hAnsi="Times New Roman" w:cs="Times New Roman"/>
            <w:noProof/>
            <w:sz w:val="24"/>
          </w:rPr>
          <w:t>15</w:t>
        </w:r>
        <w:r w:rsidRPr="001B17F5">
          <w:rPr>
            <w:rFonts w:ascii="Times New Roman" w:hAnsi="Times New Roman" w:cs="Times New Roman"/>
            <w:noProof/>
            <w:sz w:val="24"/>
          </w:rPr>
          <w:fldChar w:fldCharType="end"/>
        </w:r>
      </w:p>
    </w:sdtContent>
  </w:sdt>
  <w:p w14:paraId="65DACC69" w14:textId="77777777" w:rsidR="001B17F5" w:rsidRDefault="001B1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4F4DD" w14:textId="77777777" w:rsidR="006216AE" w:rsidRDefault="006216AE" w:rsidP="001B17F5">
      <w:pPr>
        <w:spacing w:line="240" w:lineRule="auto"/>
      </w:pPr>
      <w:r>
        <w:separator/>
      </w:r>
    </w:p>
  </w:footnote>
  <w:footnote w:type="continuationSeparator" w:id="0">
    <w:p w14:paraId="22A80F3F" w14:textId="77777777" w:rsidR="006216AE" w:rsidRDefault="006216AE" w:rsidP="001B17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41C81"/>
    <w:rsid w:val="001B17F5"/>
    <w:rsid w:val="0038301A"/>
    <w:rsid w:val="005A209E"/>
    <w:rsid w:val="006216AE"/>
    <w:rsid w:val="00E41C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0BC06"/>
  <w15:docId w15:val="{47A63ABC-20D6-4FD1-94DE-88CA90434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1B17F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B17F5"/>
    <w:pPr>
      <w:tabs>
        <w:tab w:val="center" w:pos="4680"/>
        <w:tab w:val="right" w:pos="9360"/>
      </w:tabs>
      <w:spacing w:line="240" w:lineRule="auto"/>
    </w:pPr>
  </w:style>
  <w:style w:type="character" w:customStyle="1" w:styleId="HeaderChar">
    <w:name w:val="Header Char"/>
    <w:basedOn w:val="DefaultParagraphFont"/>
    <w:link w:val="Header"/>
    <w:uiPriority w:val="99"/>
    <w:rsid w:val="001B17F5"/>
  </w:style>
  <w:style w:type="paragraph" w:styleId="Footer">
    <w:name w:val="footer"/>
    <w:basedOn w:val="Normal"/>
    <w:link w:val="FooterChar"/>
    <w:uiPriority w:val="99"/>
    <w:unhideWhenUsed/>
    <w:rsid w:val="001B17F5"/>
    <w:pPr>
      <w:tabs>
        <w:tab w:val="center" w:pos="4680"/>
        <w:tab w:val="right" w:pos="9360"/>
      </w:tabs>
      <w:spacing w:line="240" w:lineRule="auto"/>
    </w:pPr>
  </w:style>
  <w:style w:type="character" w:customStyle="1" w:styleId="FooterChar">
    <w:name w:val="Footer Char"/>
    <w:basedOn w:val="DefaultParagraphFont"/>
    <w:link w:val="Footer"/>
    <w:uiPriority w:val="99"/>
    <w:rsid w:val="001B17F5"/>
  </w:style>
  <w:style w:type="paragraph" w:styleId="TOCHeading">
    <w:name w:val="TOC Heading"/>
    <w:basedOn w:val="Heading1"/>
    <w:next w:val="Normal"/>
    <w:uiPriority w:val="39"/>
    <w:semiHidden/>
    <w:unhideWhenUsed/>
    <w:qFormat/>
    <w:rsid w:val="001B17F5"/>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1B17F5"/>
    <w:pPr>
      <w:spacing w:after="100"/>
    </w:pPr>
  </w:style>
  <w:style w:type="character" w:styleId="Hyperlink">
    <w:name w:val="Hyperlink"/>
    <w:basedOn w:val="DefaultParagraphFont"/>
    <w:uiPriority w:val="99"/>
    <w:unhideWhenUsed/>
    <w:rsid w:val="001B17F5"/>
    <w:rPr>
      <w:color w:val="0000FF" w:themeColor="hyperlink"/>
      <w:u w:val="single"/>
    </w:rPr>
  </w:style>
  <w:style w:type="paragraph" w:styleId="BalloonText">
    <w:name w:val="Balloon Text"/>
    <w:basedOn w:val="Normal"/>
    <w:link w:val="BalloonTextChar"/>
    <w:uiPriority w:val="99"/>
    <w:semiHidden/>
    <w:unhideWhenUsed/>
    <w:rsid w:val="001B17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7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099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2E2A1F-2FCB-4BC2-9CA8-149889D3D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4915</Words>
  <Characters>28019</Characters>
  <DocSecurity>0</DocSecurity>
  <Lines>233</Lines>
  <Paragraphs>65</Paragraphs>
  <ScaleCrop>false</ScaleCrop>
  <Company/>
  <LinksUpToDate>false</LinksUpToDate>
  <CharactersWithSpaces>32869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2023-04-17T07:33:00Z</dcterms:created>
  <dcterms:modified xsi:type="dcterms:W3CDTF">2023-04-18T19:07:00Z</dcterms:modified>
</cp:coreProperties>
</file>