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4C205" w14:textId="06626363" w:rsidR="00933DC9" w:rsidRPr="00637CF3" w:rsidRDefault="00025514" w:rsidP="005553FC">
      <w:pPr>
        <w:spacing w:line="360" w:lineRule="auto"/>
        <w:rPr>
          <w:rFonts w:ascii="Times New Roman" w:hAnsi="Times New Roman" w:cs="Times New Roman"/>
          <w:sz w:val="24"/>
          <w:szCs w:val="24"/>
        </w:rPr>
      </w:pPr>
      <w:r>
        <w:rPr>
          <w:noProof/>
        </w:rPr>
        <w:drawing>
          <wp:inline distT="0" distB="0" distL="0" distR="0" wp14:anchorId="540F571D" wp14:editId="6B8DC55B">
            <wp:extent cx="3345180" cy="1343660"/>
            <wp:effectExtent l="0" t="0" r="7620" b="889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42A3EE44" w14:textId="77777777" w:rsidR="00933DC9" w:rsidRPr="00501979" w:rsidRDefault="00E35A5E" w:rsidP="005553FC">
      <w:pPr>
        <w:spacing w:line="360" w:lineRule="auto"/>
        <w:rPr>
          <w:rFonts w:ascii="Times New Roman" w:hAnsi="Times New Roman" w:cs="Times New Roman"/>
          <w:b/>
          <w:sz w:val="36"/>
          <w:szCs w:val="36"/>
        </w:rPr>
      </w:pPr>
      <w:r w:rsidRPr="00501979">
        <w:rPr>
          <w:rFonts w:ascii="Times New Roman" w:hAnsi="Times New Roman" w:cs="Times New Roman"/>
          <w:b/>
          <w:sz w:val="36"/>
          <w:szCs w:val="36"/>
        </w:rPr>
        <w:t>BSc (Hons) Health and Social Care</w:t>
      </w:r>
    </w:p>
    <w:p w14:paraId="25F8863D" w14:textId="77777777" w:rsidR="00933DC9" w:rsidRPr="00501979" w:rsidRDefault="00E35A5E" w:rsidP="005553FC">
      <w:pPr>
        <w:spacing w:line="360" w:lineRule="auto"/>
        <w:rPr>
          <w:rFonts w:ascii="Times New Roman" w:hAnsi="Times New Roman" w:cs="Times New Roman"/>
          <w:b/>
          <w:sz w:val="36"/>
          <w:szCs w:val="36"/>
        </w:rPr>
      </w:pPr>
      <w:r w:rsidRPr="00501979">
        <w:rPr>
          <w:rFonts w:ascii="Times New Roman" w:hAnsi="Times New Roman" w:cs="Times New Roman"/>
          <w:b/>
          <w:sz w:val="36"/>
          <w:szCs w:val="36"/>
        </w:rPr>
        <w:t>BMHP5021 – Protecting and Supporting Families in Health and Care</w:t>
      </w:r>
    </w:p>
    <w:p w14:paraId="4A429C57" w14:textId="77777777" w:rsidR="00933DC9" w:rsidRPr="00501979" w:rsidRDefault="00E35A5E" w:rsidP="005553FC">
      <w:pPr>
        <w:spacing w:line="360" w:lineRule="auto"/>
        <w:rPr>
          <w:rFonts w:ascii="Times New Roman" w:hAnsi="Times New Roman" w:cs="Times New Roman"/>
          <w:b/>
          <w:sz w:val="36"/>
          <w:szCs w:val="36"/>
        </w:rPr>
      </w:pPr>
      <w:r w:rsidRPr="00501979">
        <w:rPr>
          <w:rFonts w:ascii="Times New Roman" w:hAnsi="Times New Roman" w:cs="Times New Roman"/>
          <w:b/>
          <w:sz w:val="36"/>
          <w:szCs w:val="36"/>
        </w:rPr>
        <w:t>Component 2: Written Report</w:t>
      </w:r>
    </w:p>
    <w:p w14:paraId="787488B3" w14:textId="39F83E19" w:rsidR="00933DC9" w:rsidRPr="00501979" w:rsidRDefault="00E35A5E" w:rsidP="005553FC">
      <w:pPr>
        <w:spacing w:line="360" w:lineRule="auto"/>
        <w:rPr>
          <w:rFonts w:ascii="Times New Roman" w:hAnsi="Times New Roman" w:cs="Times New Roman"/>
          <w:b/>
          <w:sz w:val="36"/>
          <w:szCs w:val="36"/>
        </w:rPr>
      </w:pPr>
      <w:r w:rsidRPr="00501979">
        <w:rPr>
          <w:rFonts w:ascii="Times New Roman" w:hAnsi="Times New Roman" w:cs="Times New Roman"/>
          <w:b/>
          <w:sz w:val="36"/>
          <w:szCs w:val="36"/>
        </w:rPr>
        <w:t>How the ‘Early Help’ System is Signposted to UK Families by Their Local Authority Website</w:t>
      </w:r>
    </w:p>
    <w:p w14:paraId="7EC12049" w14:textId="77777777" w:rsidR="005553FC" w:rsidRPr="00501979" w:rsidRDefault="005553FC" w:rsidP="005C0C4B">
      <w:pPr>
        <w:spacing w:line="360" w:lineRule="auto"/>
        <w:jc w:val="center"/>
        <w:rPr>
          <w:rFonts w:ascii="Times New Roman" w:hAnsi="Times New Roman" w:cs="Times New Roman"/>
          <w:b/>
          <w:sz w:val="36"/>
          <w:szCs w:val="36"/>
        </w:rPr>
      </w:pPr>
    </w:p>
    <w:p w14:paraId="78361820" w14:textId="77777777" w:rsidR="005553FC" w:rsidRPr="00501979" w:rsidRDefault="005553FC" w:rsidP="005C0C4B">
      <w:pPr>
        <w:spacing w:line="360" w:lineRule="auto"/>
        <w:jc w:val="center"/>
        <w:rPr>
          <w:rFonts w:ascii="Times New Roman" w:hAnsi="Times New Roman" w:cs="Times New Roman"/>
          <w:b/>
          <w:sz w:val="36"/>
          <w:szCs w:val="36"/>
        </w:rPr>
      </w:pPr>
    </w:p>
    <w:p w14:paraId="2063E57F" w14:textId="77777777" w:rsidR="00E81F19" w:rsidRPr="00501979" w:rsidRDefault="00C55B80" w:rsidP="005C0C4B">
      <w:pPr>
        <w:spacing w:line="360" w:lineRule="auto"/>
        <w:rPr>
          <w:rFonts w:ascii="Times New Roman" w:hAnsi="Times New Roman" w:cs="Times New Roman"/>
          <w:b/>
          <w:sz w:val="36"/>
          <w:szCs w:val="36"/>
        </w:rPr>
      </w:pPr>
      <w:r w:rsidRPr="00501979">
        <w:rPr>
          <w:rFonts w:ascii="Times New Roman" w:hAnsi="Times New Roman" w:cs="Times New Roman"/>
          <w:b/>
          <w:sz w:val="36"/>
          <w:szCs w:val="36"/>
        </w:rPr>
        <w:t xml:space="preserve">Student name: Florence </w:t>
      </w:r>
      <w:r w:rsidR="008878C6" w:rsidRPr="00501979">
        <w:rPr>
          <w:rFonts w:ascii="Times New Roman" w:hAnsi="Times New Roman" w:cs="Times New Roman"/>
          <w:b/>
          <w:sz w:val="36"/>
          <w:szCs w:val="36"/>
        </w:rPr>
        <w:t>Chijioke Oguledo</w:t>
      </w:r>
    </w:p>
    <w:p w14:paraId="2E29310C" w14:textId="77777777" w:rsidR="002669EE" w:rsidRPr="00501979" w:rsidRDefault="00E81F19" w:rsidP="005C0C4B">
      <w:pPr>
        <w:spacing w:line="360" w:lineRule="auto"/>
        <w:rPr>
          <w:rFonts w:ascii="Times New Roman" w:hAnsi="Times New Roman" w:cs="Times New Roman"/>
          <w:b/>
          <w:sz w:val="36"/>
          <w:szCs w:val="36"/>
        </w:rPr>
      </w:pPr>
      <w:r w:rsidRPr="00501979">
        <w:rPr>
          <w:rFonts w:ascii="Times New Roman" w:hAnsi="Times New Roman" w:cs="Times New Roman"/>
          <w:b/>
          <w:sz w:val="36"/>
          <w:szCs w:val="36"/>
        </w:rPr>
        <w:t>Student number:</w:t>
      </w:r>
      <w:r w:rsidR="002669EE" w:rsidRPr="00501979">
        <w:rPr>
          <w:rFonts w:ascii="Times New Roman" w:hAnsi="Times New Roman" w:cs="Times New Roman"/>
          <w:b/>
          <w:sz w:val="36"/>
          <w:szCs w:val="36"/>
        </w:rPr>
        <w:t xml:space="preserve"> 2411483</w:t>
      </w:r>
    </w:p>
    <w:p w14:paraId="0F2CC344" w14:textId="77777777" w:rsidR="008E63A1" w:rsidRDefault="00A572E8" w:rsidP="005C0C4B">
      <w:pPr>
        <w:spacing w:line="360" w:lineRule="auto"/>
        <w:rPr>
          <w:rFonts w:ascii="Times New Roman" w:hAnsi="Times New Roman" w:cs="Times New Roman"/>
          <w:b/>
          <w:sz w:val="36"/>
          <w:szCs w:val="36"/>
        </w:rPr>
      </w:pPr>
      <w:r w:rsidRPr="00501979">
        <w:rPr>
          <w:rFonts w:ascii="Times New Roman" w:hAnsi="Times New Roman" w:cs="Times New Roman"/>
          <w:b/>
          <w:sz w:val="36"/>
          <w:szCs w:val="36"/>
        </w:rPr>
        <w:t>Lecturer’s name: Amanda</w:t>
      </w:r>
      <w:r w:rsidR="005553FC" w:rsidRPr="00501979">
        <w:rPr>
          <w:rFonts w:ascii="Times New Roman" w:hAnsi="Times New Roman" w:cs="Times New Roman"/>
          <w:b/>
          <w:sz w:val="36"/>
          <w:szCs w:val="36"/>
        </w:rPr>
        <w:t xml:space="preserve"> Jones.</w:t>
      </w:r>
      <w:r w:rsidR="008E63A1">
        <w:rPr>
          <w:rFonts w:ascii="Times New Roman" w:hAnsi="Times New Roman" w:cs="Times New Roman"/>
          <w:b/>
          <w:sz w:val="36"/>
          <w:szCs w:val="36"/>
        </w:rPr>
        <w:t xml:space="preserve"> </w:t>
      </w:r>
    </w:p>
    <w:p w14:paraId="4C4D05E4" w14:textId="77777777" w:rsidR="008E63A1" w:rsidRDefault="008E63A1" w:rsidP="005C0C4B">
      <w:pPr>
        <w:spacing w:line="360" w:lineRule="auto"/>
        <w:rPr>
          <w:rFonts w:ascii="Times New Roman" w:hAnsi="Times New Roman" w:cs="Times New Roman"/>
          <w:b/>
          <w:sz w:val="36"/>
          <w:szCs w:val="36"/>
        </w:rPr>
      </w:pPr>
    </w:p>
    <w:p w14:paraId="775E62E2" w14:textId="77777777" w:rsidR="008E63A1" w:rsidRDefault="008E63A1" w:rsidP="005C0C4B">
      <w:pPr>
        <w:spacing w:line="360" w:lineRule="auto"/>
        <w:rPr>
          <w:rFonts w:ascii="Times New Roman" w:hAnsi="Times New Roman" w:cs="Times New Roman"/>
          <w:b/>
          <w:sz w:val="36"/>
          <w:szCs w:val="36"/>
        </w:rPr>
      </w:pPr>
    </w:p>
    <w:p w14:paraId="743D88E1" w14:textId="77777777" w:rsidR="008E63A1" w:rsidRDefault="008E63A1" w:rsidP="005C0C4B">
      <w:pPr>
        <w:spacing w:line="360" w:lineRule="auto"/>
        <w:rPr>
          <w:rFonts w:ascii="Times New Roman" w:hAnsi="Times New Roman" w:cs="Times New Roman"/>
          <w:b/>
          <w:sz w:val="36"/>
          <w:szCs w:val="36"/>
        </w:rPr>
      </w:pPr>
    </w:p>
    <w:p w14:paraId="10455DC1" w14:textId="77777777" w:rsidR="008E63A1" w:rsidRDefault="008E63A1" w:rsidP="005C0C4B">
      <w:pPr>
        <w:spacing w:line="360" w:lineRule="auto"/>
        <w:rPr>
          <w:rFonts w:ascii="Times New Roman" w:hAnsi="Times New Roman" w:cs="Times New Roman"/>
          <w:b/>
          <w:sz w:val="36"/>
          <w:szCs w:val="36"/>
        </w:rPr>
      </w:pPr>
    </w:p>
    <w:p w14:paraId="078228F1" w14:textId="77777777" w:rsidR="008E63A1" w:rsidRDefault="008E63A1" w:rsidP="005C0C4B">
      <w:pPr>
        <w:spacing w:line="360" w:lineRule="auto"/>
        <w:rPr>
          <w:rFonts w:ascii="Times New Roman" w:hAnsi="Times New Roman" w:cs="Times New Roman"/>
          <w:b/>
          <w:sz w:val="36"/>
          <w:szCs w:val="36"/>
        </w:rPr>
      </w:pPr>
    </w:p>
    <w:p w14:paraId="11B6DA21" w14:textId="77777777" w:rsidR="008E63A1" w:rsidRDefault="008E63A1" w:rsidP="005C0C4B">
      <w:pPr>
        <w:spacing w:line="360" w:lineRule="auto"/>
        <w:rPr>
          <w:rFonts w:ascii="Times New Roman" w:hAnsi="Times New Roman" w:cs="Times New Roman"/>
          <w:b/>
          <w:sz w:val="36"/>
          <w:szCs w:val="36"/>
        </w:rPr>
      </w:pPr>
    </w:p>
    <w:p w14:paraId="457F190E" w14:textId="77777777" w:rsidR="00BE54C9" w:rsidRDefault="00473959" w:rsidP="00473959">
      <w:pPr>
        <w:pStyle w:val="Heading1"/>
      </w:pPr>
      <w:r>
        <w:t xml:space="preserve">                                    </w:t>
      </w:r>
      <w:bookmarkStart w:id="0" w:name="_Toc237507979"/>
      <w:r>
        <w:t>Table of content</w:t>
      </w:r>
      <w:bookmarkEnd w:id="0"/>
    </w:p>
    <w:p w14:paraId="32F835B9" w14:textId="77777777" w:rsidR="00BE54C9" w:rsidRDefault="00BE54C9" w:rsidP="00473959">
      <w:pPr>
        <w:pStyle w:val="Heading1"/>
      </w:pPr>
    </w:p>
    <w:sdt>
      <w:sdtPr>
        <w:rPr>
          <w:lang w:val="en-GB"/>
        </w:rPr>
        <w:id w:val="-1123691999"/>
        <w:docPartObj>
          <w:docPartGallery w:val="Table of Contents"/>
          <w:docPartUnique/>
        </w:docPartObj>
      </w:sdtPr>
      <w:sdtEndPr>
        <w:rPr>
          <w:rFonts w:ascii="Aptos" w:eastAsiaTheme="minorEastAsia" w:hAnsi="Aptos" w:cstheme="minorBidi"/>
          <w:color w:val="auto"/>
          <w:sz w:val="22"/>
          <w:szCs w:val="22"/>
          <w:lang w:val="en-US"/>
        </w:rPr>
      </w:sdtEndPr>
      <w:sdtContent>
        <w:p w14:paraId="0129C62B" w14:textId="5E0E8398" w:rsidR="00BE54C9" w:rsidRDefault="00BE54C9">
          <w:pPr>
            <w:pStyle w:val="TOCHeading"/>
          </w:pPr>
          <w:r>
            <w:rPr>
              <w:lang w:val="en-GB"/>
            </w:rPr>
            <w:t>Contents</w:t>
          </w:r>
        </w:p>
        <w:p w14:paraId="050F82F3" w14:textId="0AB88D56" w:rsidR="00BE54C9" w:rsidRDefault="00BE54C9">
          <w:pPr>
            <w:pStyle w:val="TOC1"/>
            <w:tabs>
              <w:tab w:val="right" w:leader="dot" w:pos="9926"/>
            </w:tabs>
            <w:rPr>
              <w:noProof/>
            </w:rPr>
          </w:pPr>
          <w:r>
            <w:fldChar w:fldCharType="begin"/>
          </w:r>
          <w:r>
            <w:instrText xml:space="preserve"> TOC \o "1-3" \h \z \u </w:instrText>
          </w:r>
          <w:r>
            <w:fldChar w:fldCharType="separate"/>
          </w:r>
          <w:hyperlink w:anchor="_Toc237507979" w:history="1">
            <w:r w:rsidRPr="008D7F60">
              <w:rPr>
                <w:rStyle w:val="Hyperlink"/>
                <w:noProof/>
              </w:rPr>
              <w:t>Table of content</w:t>
            </w:r>
            <w:r>
              <w:rPr>
                <w:noProof/>
                <w:webHidden/>
              </w:rPr>
              <w:tab/>
            </w:r>
            <w:r>
              <w:rPr>
                <w:noProof/>
                <w:webHidden/>
              </w:rPr>
              <w:fldChar w:fldCharType="begin"/>
            </w:r>
            <w:r>
              <w:rPr>
                <w:noProof/>
                <w:webHidden/>
              </w:rPr>
              <w:instrText xml:space="preserve"> PAGEREF _Toc237507979 \h </w:instrText>
            </w:r>
            <w:r>
              <w:rPr>
                <w:noProof/>
                <w:webHidden/>
              </w:rPr>
            </w:r>
            <w:r>
              <w:rPr>
                <w:noProof/>
                <w:webHidden/>
              </w:rPr>
              <w:fldChar w:fldCharType="separate"/>
            </w:r>
            <w:r>
              <w:rPr>
                <w:noProof/>
                <w:webHidden/>
              </w:rPr>
              <w:t>2</w:t>
            </w:r>
            <w:r>
              <w:rPr>
                <w:noProof/>
                <w:webHidden/>
              </w:rPr>
              <w:fldChar w:fldCharType="end"/>
            </w:r>
          </w:hyperlink>
        </w:p>
        <w:p w14:paraId="3F1F567B" w14:textId="1E6CAF5F" w:rsidR="00BE54C9" w:rsidRDefault="00BE54C9">
          <w:pPr>
            <w:pStyle w:val="TOC1"/>
            <w:tabs>
              <w:tab w:val="right" w:leader="dot" w:pos="9926"/>
            </w:tabs>
            <w:rPr>
              <w:noProof/>
            </w:rPr>
          </w:pPr>
          <w:hyperlink w:anchor="_Toc237507980" w:history="1">
            <w:r w:rsidRPr="008D7F60">
              <w:rPr>
                <w:rStyle w:val="Hyperlink"/>
                <w:rFonts w:ascii="Times New Roman" w:hAnsi="Times New Roman" w:cs="Times New Roman"/>
                <w:noProof/>
              </w:rPr>
              <w:t>1</w:t>
            </w:r>
            <w:r w:rsidRPr="008D7F60">
              <w:rPr>
                <w:rStyle w:val="Hyperlink"/>
                <w:noProof/>
              </w:rPr>
              <w:t>. Introduction</w:t>
            </w:r>
            <w:r>
              <w:rPr>
                <w:noProof/>
                <w:webHidden/>
              </w:rPr>
              <w:tab/>
            </w:r>
            <w:r>
              <w:rPr>
                <w:noProof/>
                <w:webHidden/>
              </w:rPr>
              <w:fldChar w:fldCharType="begin"/>
            </w:r>
            <w:r>
              <w:rPr>
                <w:noProof/>
                <w:webHidden/>
              </w:rPr>
              <w:instrText xml:space="preserve"> PAGEREF _Toc237507980 \h </w:instrText>
            </w:r>
            <w:r>
              <w:rPr>
                <w:noProof/>
                <w:webHidden/>
              </w:rPr>
            </w:r>
            <w:r>
              <w:rPr>
                <w:noProof/>
                <w:webHidden/>
              </w:rPr>
              <w:fldChar w:fldCharType="separate"/>
            </w:r>
            <w:r>
              <w:rPr>
                <w:noProof/>
                <w:webHidden/>
              </w:rPr>
              <w:t>3</w:t>
            </w:r>
            <w:r>
              <w:rPr>
                <w:noProof/>
                <w:webHidden/>
              </w:rPr>
              <w:fldChar w:fldCharType="end"/>
            </w:r>
          </w:hyperlink>
        </w:p>
        <w:p w14:paraId="30457AFC" w14:textId="2642C6F8" w:rsidR="00BE54C9" w:rsidRDefault="00BE54C9">
          <w:pPr>
            <w:pStyle w:val="TOC1"/>
            <w:tabs>
              <w:tab w:val="right" w:leader="dot" w:pos="9926"/>
            </w:tabs>
            <w:rPr>
              <w:noProof/>
            </w:rPr>
          </w:pPr>
          <w:hyperlink w:anchor="_Toc237507981" w:history="1">
            <w:r w:rsidRPr="008D7F60">
              <w:rPr>
                <w:rStyle w:val="Hyperlink"/>
                <w:rFonts w:ascii="Arial" w:hAnsi="Arial" w:cs="Arial"/>
                <w:noProof/>
              </w:rPr>
              <w:t xml:space="preserve">2. </w:t>
            </w:r>
            <w:r w:rsidRPr="008D7F60">
              <w:rPr>
                <w:rStyle w:val="Hyperlink"/>
                <w:noProof/>
              </w:rPr>
              <w:t>The Early Help System</w:t>
            </w:r>
            <w:r>
              <w:rPr>
                <w:noProof/>
                <w:webHidden/>
              </w:rPr>
              <w:tab/>
            </w:r>
            <w:r>
              <w:rPr>
                <w:noProof/>
                <w:webHidden/>
              </w:rPr>
              <w:fldChar w:fldCharType="begin"/>
            </w:r>
            <w:r>
              <w:rPr>
                <w:noProof/>
                <w:webHidden/>
              </w:rPr>
              <w:instrText xml:space="preserve"> PAGEREF _Toc237507981 \h </w:instrText>
            </w:r>
            <w:r>
              <w:rPr>
                <w:noProof/>
                <w:webHidden/>
              </w:rPr>
            </w:r>
            <w:r>
              <w:rPr>
                <w:noProof/>
                <w:webHidden/>
              </w:rPr>
              <w:fldChar w:fldCharType="separate"/>
            </w:r>
            <w:r>
              <w:rPr>
                <w:noProof/>
                <w:webHidden/>
              </w:rPr>
              <w:t>3</w:t>
            </w:r>
            <w:r>
              <w:rPr>
                <w:noProof/>
                <w:webHidden/>
              </w:rPr>
              <w:fldChar w:fldCharType="end"/>
            </w:r>
          </w:hyperlink>
        </w:p>
        <w:p w14:paraId="748BE844" w14:textId="788BD973" w:rsidR="00BE54C9" w:rsidRDefault="00BE54C9">
          <w:pPr>
            <w:pStyle w:val="TOC1"/>
            <w:tabs>
              <w:tab w:val="right" w:leader="dot" w:pos="9926"/>
            </w:tabs>
            <w:rPr>
              <w:noProof/>
            </w:rPr>
          </w:pPr>
          <w:hyperlink w:anchor="_Toc237507982" w:history="1">
            <w:r w:rsidRPr="008D7F60">
              <w:rPr>
                <w:rStyle w:val="Hyperlink"/>
                <w:rFonts w:ascii="Arial" w:hAnsi="Arial" w:cs="Arial"/>
                <w:noProof/>
              </w:rPr>
              <w:t xml:space="preserve">3. </w:t>
            </w:r>
            <w:r w:rsidRPr="008D7F60">
              <w:rPr>
                <w:rStyle w:val="Hyperlink"/>
                <w:noProof/>
              </w:rPr>
              <w:t>Multi-Agency Working</w:t>
            </w:r>
            <w:r>
              <w:rPr>
                <w:noProof/>
                <w:webHidden/>
              </w:rPr>
              <w:tab/>
            </w:r>
            <w:r>
              <w:rPr>
                <w:noProof/>
                <w:webHidden/>
              </w:rPr>
              <w:fldChar w:fldCharType="begin"/>
            </w:r>
            <w:r>
              <w:rPr>
                <w:noProof/>
                <w:webHidden/>
              </w:rPr>
              <w:instrText xml:space="preserve"> PAGEREF _Toc237507982 \h </w:instrText>
            </w:r>
            <w:r>
              <w:rPr>
                <w:noProof/>
                <w:webHidden/>
              </w:rPr>
            </w:r>
            <w:r>
              <w:rPr>
                <w:noProof/>
                <w:webHidden/>
              </w:rPr>
              <w:fldChar w:fldCharType="separate"/>
            </w:r>
            <w:r>
              <w:rPr>
                <w:noProof/>
                <w:webHidden/>
              </w:rPr>
              <w:t>4</w:t>
            </w:r>
            <w:r>
              <w:rPr>
                <w:noProof/>
                <w:webHidden/>
              </w:rPr>
              <w:fldChar w:fldCharType="end"/>
            </w:r>
          </w:hyperlink>
        </w:p>
        <w:p w14:paraId="365A66EC" w14:textId="3F736D9A" w:rsidR="00BE54C9" w:rsidRDefault="00BE54C9">
          <w:pPr>
            <w:pStyle w:val="TOC1"/>
            <w:tabs>
              <w:tab w:val="right" w:leader="dot" w:pos="9926"/>
            </w:tabs>
            <w:rPr>
              <w:noProof/>
            </w:rPr>
          </w:pPr>
          <w:hyperlink w:anchor="_Toc237507983" w:history="1">
            <w:r w:rsidRPr="008D7F60">
              <w:rPr>
                <w:rStyle w:val="Hyperlink"/>
                <w:rFonts w:ascii="Arial" w:hAnsi="Arial" w:cs="Arial"/>
                <w:noProof/>
              </w:rPr>
              <w:t xml:space="preserve">4. </w:t>
            </w:r>
            <w:r w:rsidRPr="008D7F60">
              <w:rPr>
                <w:rStyle w:val="Hyperlink"/>
                <w:noProof/>
              </w:rPr>
              <w:t>Evaluation of Leicestershire County Council</w:t>
            </w:r>
            <w:r>
              <w:rPr>
                <w:noProof/>
                <w:webHidden/>
              </w:rPr>
              <w:tab/>
            </w:r>
            <w:r>
              <w:rPr>
                <w:noProof/>
                <w:webHidden/>
              </w:rPr>
              <w:fldChar w:fldCharType="begin"/>
            </w:r>
            <w:r>
              <w:rPr>
                <w:noProof/>
                <w:webHidden/>
              </w:rPr>
              <w:instrText xml:space="preserve"> PAGEREF _Toc237507983 \h </w:instrText>
            </w:r>
            <w:r>
              <w:rPr>
                <w:noProof/>
                <w:webHidden/>
              </w:rPr>
            </w:r>
            <w:r>
              <w:rPr>
                <w:noProof/>
                <w:webHidden/>
              </w:rPr>
              <w:fldChar w:fldCharType="separate"/>
            </w:r>
            <w:r>
              <w:rPr>
                <w:noProof/>
                <w:webHidden/>
              </w:rPr>
              <w:t>5</w:t>
            </w:r>
            <w:r>
              <w:rPr>
                <w:noProof/>
                <w:webHidden/>
              </w:rPr>
              <w:fldChar w:fldCharType="end"/>
            </w:r>
          </w:hyperlink>
        </w:p>
        <w:p w14:paraId="452B4D11" w14:textId="27350D91" w:rsidR="00BE54C9" w:rsidRDefault="00BE54C9">
          <w:pPr>
            <w:pStyle w:val="TOC1"/>
            <w:tabs>
              <w:tab w:val="right" w:leader="dot" w:pos="9926"/>
            </w:tabs>
            <w:rPr>
              <w:noProof/>
            </w:rPr>
          </w:pPr>
          <w:hyperlink w:anchor="_Toc237507984" w:history="1">
            <w:r w:rsidRPr="008D7F60">
              <w:rPr>
                <w:rStyle w:val="Hyperlink"/>
                <w:rFonts w:ascii="Arial" w:hAnsi="Arial" w:cs="Arial"/>
                <w:noProof/>
              </w:rPr>
              <w:t>5</w:t>
            </w:r>
            <w:r w:rsidRPr="008D7F60">
              <w:rPr>
                <w:rStyle w:val="Hyperlink"/>
                <w:noProof/>
              </w:rPr>
              <w:t>. Evaluation of Norfolk County Council</w:t>
            </w:r>
            <w:r>
              <w:rPr>
                <w:noProof/>
                <w:webHidden/>
              </w:rPr>
              <w:tab/>
            </w:r>
            <w:r>
              <w:rPr>
                <w:noProof/>
                <w:webHidden/>
              </w:rPr>
              <w:fldChar w:fldCharType="begin"/>
            </w:r>
            <w:r>
              <w:rPr>
                <w:noProof/>
                <w:webHidden/>
              </w:rPr>
              <w:instrText xml:space="preserve"> PAGEREF _Toc237507984 \h </w:instrText>
            </w:r>
            <w:r>
              <w:rPr>
                <w:noProof/>
                <w:webHidden/>
              </w:rPr>
            </w:r>
            <w:r>
              <w:rPr>
                <w:noProof/>
                <w:webHidden/>
              </w:rPr>
              <w:fldChar w:fldCharType="separate"/>
            </w:r>
            <w:r>
              <w:rPr>
                <w:noProof/>
                <w:webHidden/>
              </w:rPr>
              <w:t>7</w:t>
            </w:r>
            <w:r>
              <w:rPr>
                <w:noProof/>
                <w:webHidden/>
              </w:rPr>
              <w:fldChar w:fldCharType="end"/>
            </w:r>
          </w:hyperlink>
        </w:p>
        <w:p w14:paraId="29385D25" w14:textId="3B1FDE35" w:rsidR="00BE54C9" w:rsidRDefault="00BE54C9">
          <w:pPr>
            <w:pStyle w:val="TOC1"/>
            <w:tabs>
              <w:tab w:val="right" w:leader="dot" w:pos="9926"/>
            </w:tabs>
            <w:rPr>
              <w:noProof/>
            </w:rPr>
          </w:pPr>
          <w:hyperlink w:anchor="_Toc237507985" w:history="1">
            <w:r w:rsidRPr="008D7F60">
              <w:rPr>
                <w:rStyle w:val="Hyperlink"/>
                <w:rFonts w:ascii="Arial" w:hAnsi="Arial" w:cs="Arial"/>
                <w:noProof/>
              </w:rPr>
              <w:t xml:space="preserve">6. </w:t>
            </w:r>
            <w:r w:rsidRPr="008D7F60">
              <w:rPr>
                <w:rStyle w:val="Hyperlink"/>
                <w:noProof/>
              </w:rPr>
              <w:t>Evaluation of Staffordshire County Council</w:t>
            </w:r>
            <w:r>
              <w:rPr>
                <w:noProof/>
                <w:webHidden/>
              </w:rPr>
              <w:tab/>
            </w:r>
            <w:r>
              <w:rPr>
                <w:noProof/>
                <w:webHidden/>
              </w:rPr>
              <w:fldChar w:fldCharType="begin"/>
            </w:r>
            <w:r>
              <w:rPr>
                <w:noProof/>
                <w:webHidden/>
              </w:rPr>
              <w:instrText xml:space="preserve"> PAGEREF _Toc237507985 \h </w:instrText>
            </w:r>
            <w:r>
              <w:rPr>
                <w:noProof/>
                <w:webHidden/>
              </w:rPr>
            </w:r>
            <w:r>
              <w:rPr>
                <w:noProof/>
                <w:webHidden/>
              </w:rPr>
              <w:fldChar w:fldCharType="separate"/>
            </w:r>
            <w:r>
              <w:rPr>
                <w:noProof/>
                <w:webHidden/>
              </w:rPr>
              <w:t>8</w:t>
            </w:r>
            <w:r>
              <w:rPr>
                <w:noProof/>
                <w:webHidden/>
              </w:rPr>
              <w:fldChar w:fldCharType="end"/>
            </w:r>
          </w:hyperlink>
        </w:p>
        <w:p w14:paraId="725A115B" w14:textId="1DC24AD9" w:rsidR="00BE54C9" w:rsidRDefault="00BE54C9">
          <w:pPr>
            <w:pStyle w:val="TOC1"/>
            <w:tabs>
              <w:tab w:val="right" w:leader="dot" w:pos="9926"/>
            </w:tabs>
            <w:rPr>
              <w:noProof/>
            </w:rPr>
          </w:pPr>
          <w:hyperlink w:anchor="_Toc237507986" w:history="1">
            <w:r w:rsidRPr="008D7F60">
              <w:rPr>
                <w:rStyle w:val="Hyperlink"/>
                <w:rFonts w:ascii="Arial" w:hAnsi="Arial" w:cs="Arial"/>
                <w:noProof/>
              </w:rPr>
              <w:t>7</w:t>
            </w:r>
            <w:r w:rsidRPr="008D7F60">
              <w:rPr>
                <w:rStyle w:val="Hyperlink"/>
                <w:noProof/>
              </w:rPr>
              <w:t>. Comparative Analysis</w:t>
            </w:r>
            <w:r>
              <w:rPr>
                <w:noProof/>
                <w:webHidden/>
              </w:rPr>
              <w:tab/>
            </w:r>
            <w:r>
              <w:rPr>
                <w:noProof/>
                <w:webHidden/>
              </w:rPr>
              <w:fldChar w:fldCharType="begin"/>
            </w:r>
            <w:r>
              <w:rPr>
                <w:noProof/>
                <w:webHidden/>
              </w:rPr>
              <w:instrText xml:space="preserve"> PAGEREF _Toc237507986 \h </w:instrText>
            </w:r>
            <w:r>
              <w:rPr>
                <w:noProof/>
                <w:webHidden/>
              </w:rPr>
            </w:r>
            <w:r>
              <w:rPr>
                <w:noProof/>
                <w:webHidden/>
              </w:rPr>
              <w:fldChar w:fldCharType="separate"/>
            </w:r>
            <w:r>
              <w:rPr>
                <w:noProof/>
                <w:webHidden/>
              </w:rPr>
              <w:t>9</w:t>
            </w:r>
            <w:r>
              <w:rPr>
                <w:noProof/>
                <w:webHidden/>
              </w:rPr>
              <w:fldChar w:fldCharType="end"/>
            </w:r>
          </w:hyperlink>
        </w:p>
        <w:p w14:paraId="0458C3C0" w14:textId="384894BD" w:rsidR="00BE54C9" w:rsidRDefault="00BE54C9">
          <w:pPr>
            <w:pStyle w:val="TOC1"/>
            <w:tabs>
              <w:tab w:val="right" w:leader="dot" w:pos="9926"/>
            </w:tabs>
            <w:rPr>
              <w:noProof/>
            </w:rPr>
          </w:pPr>
          <w:hyperlink w:anchor="_Toc237507987" w:history="1">
            <w:r w:rsidRPr="008D7F60">
              <w:rPr>
                <w:rStyle w:val="Hyperlink"/>
                <w:rFonts w:ascii="Arial" w:hAnsi="Arial" w:cs="Arial"/>
                <w:noProof/>
              </w:rPr>
              <w:t xml:space="preserve">8. </w:t>
            </w:r>
            <w:r w:rsidRPr="008D7F60">
              <w:rPr>
                <w:rStyle w:val="Hyperlink"/>
                <w:noProof/>
              </w:rPr>
              <w:t>Conclusion and Recommendations</w:t>
            </w:r>
            <w:r>
              <w:rPr>
                <w:noProof/>
                <w:webHidden/>
              </w:rPr>
              <w:tab/>
            </w:r>
            <w:r>
              <w:rPr>
                <w:noProof/>
                <w:webHidden/>
              </w:rPr>
              <w:fldChar w:fldCharType="begin"/>
            </w:r>
            <w:r>
              <w:rPr>
                <w:noProof/>
                <w:webHidden/>
              </w:rPr>
              <w:instrText xml:space="preserve"> PAGEREF _Toc237507987 \h </w:instrText>
            </w:r>
            <w:r>
              <w:rPr>
                <w:noProof/>
                <w:webHidden/>
              </w:rPr>
            </w:r>
            <w:r>
              <w:rPr>
                <w:noProof/>
                <w:webHidden/>
              </w:rPr>
              <w:fldChar w:fldCharType="separate"/>
            </w:r>
            <w:r>
              <w:rPr>
                <w:noProof/>
                <w:webHidden/>
              </w:rPr>
              <w:t>9</w:t>
            </w:r>
            <w:r>
              <w:rPr>
                <w:noProof/>
                <w:webHidden/>
              </w:rPr>
              <w:fldChar w:fldCharType="end"/>
            </w:r>
          </w:hyperlink>
        </w:p>
        <w:p w14:paraId="5C5A619C" w14:textId="464DA226" w:rsidR="00BE54C9" w:rsidRDefault="00BE54C9">
          <w:pPr>
            <w:pStyle w:val="TOC1"/>
            <w:tabs>
              <w:tab w:val="right" w:leader="dot" w:pos="9926"/>
            </w:tabs>
            <w:rPr>
              <w:noProof/>
            </w:rPr>
          </w:pPr>
          <w:hyperlink w:anchor="_Toc237507988" w:history="1">
            <w:r w:rsidRPr="008D7F60">
              <w:rPr>
                <w:rStyle w:val="Hyperlink"/>
                <w:rFonts w:ascii="Arial" w:hAnsi="Arial" w:cs="Arial"/>
                <w:noProof/>
              </w:rPr>
              <w:t>Figure 3. Comparative analysis of the three websites</w:t>
            </w:r>
            <w:r>
              <w:rPr>
                <w:noProof/>
                <w:webHidden/>
              </w:rPr>
              <w:tab/>
            </w:r>
            <w:r>
              <w:rPr>
                <w:noProof/>
                <w:webHidden/>
              </w:rPr>
              <w:fldChar w:fldCharType="begin"/>
            </w:r>
            <w:r>
              <w:rPr>
                <w:noProof/>
                <w:webHidden/>
              </w:rPr>
              <w:instrText xml:space="preserve"> PAGEREF _Toc237507988 \h </w:instrText>
            </w:r>
            <w:r>
              <w:rPr>
                <w:noProof/>
                <w:webHidden/>
              </w:rPr>
            </w:r>
            <w:r>
              <w:rPr>
                <w:noProof/>
                <w:webHidden/>
              </w:rPr>
              <w:fldChar w:fldCharType="separate"/>
            </w:r>
            <w:r>
              <w:rPr>
                <w:noProof/>
                <w:webHidden/>
              </w:rPr>
              <w:t>13</w:t>
            </w:r>
            <w:r>
              <w:rPr>
                <w:noProof/>
                <w:webHidden/>
              </w:rPr>
              <w:fldChar w:fldCharType="end"/>
            </w:r>
          </w:hyperlink>
        </w:p>
        <w:p w14:paraId="125F74BE" w14:textId="129C61EB" w:rsidR="00BE54C9" w:rsidRDefault="00BE54C9">
          <w:pPr>
            <w:pStyle w:val="TOC1"/>
            <w:tabs>
              <w:tab w:val="right" w:leader="dot" w:pos="9926"/>
            </w:tabs>
            <w:rPr>
              <w:noProof/>
            </w:rPr>
          </w:pPr>
          <w:hyperlink w:anchor="_Toc237507989" w:history="1">
            <w:r w:rsidRPr="008D7F60">
              <w:rPr>
                <w:rStyle w:val="Hyperlink"/>
                <w:noProof/>
              </w:rPr>
              <w:t>References</w:t>
            </w:r>
            <w:r>
              <w:rPr>
                <w:noProof/>
                <w:webHidden/>
              </w:rPr>
              <w:tab/>
            </w:r>
            <w:r>
              <w:rPr>
                <w:noProof/>
                <w:webHidden/>
              </w:rPr>
              <w:fldChar w:fldCharType="begin"/>
            </w:r>
            <w:r>
              <w:rPr>
                <w:noProof/>
                <w:webHidden/>
              </w:rPr>
              <w:instrText xml:space="preserve"> PAGEREF _Toc237507989 \h </w:instrText>
            </w:r>
            <w:r>
              <w:rPr>
                <w:noProof/>
                <w:webHidden/>
              </w:rPr>
            </w:r>
            <w:r>
              <w:rPr>
                <w:noProof/>
                <w:webHidden/>
              </w:rPr>
              <w:fldChar w:fldCharType="separate"/>
            </w:r>
            <w:r>
              <w:rPr>
                <w:noProof/>
                <w:webHidden/>
              </w:rPr>
              <w:t>16</w:t>
            </w:r>
            <w:r>
              <w:rPr>
                <w:noProof/>
                <w:webHidden/>
              </w:rPr>
              <w:fldChar w:fldCharType="end"/>
            </w:r>
          </w:hyperlink>
        </w:p>
        <w:p w14:paraId="730E530B" w14:textId="09F84783" w:rsidR="00BE54C9" w:rsidRDefault="00BE54C9">
          <w:pPr>
            <w:pStyle w:val="TOC1"/>
            <w:tabs>
              <w:tab w:val="right" w:leader="dot" w:pos="9926"/>
            </w:tabs>
            <w:rPr>
              <w:noProof/>
            </w:rPr>
          </w:pPr>
          <w:hyperlink w:anchor="_Toc237507990" w:history="1">
            <w:r w:rsidRPr="008D7F60">
              <w:rPr>
                <w:rStyle w:val="Hyperlink"/>
                <w:rFonts w:ascii="Arial" w:hAnsi="Arial" w:cs="Arial"/>
                <w:noProof/>
              </w:rPr>
              <w:t>Suggested visual evidence</w:t>
            </w:r>
            <w:r>
              <w:rPr>
                <w:noProof/>
                <w:webHidden/>
              </w:rPr>
              <w:tab/>
            </w:r>
            <w:r>
              <w:rPr>
                <w:noProof/>
                <w:webHidden/>
              </w:rPr>
              <w:fldChar w:fldCharType="begin"/>
            </w:r>
            <w:r>
              <w:rPr>
                <w:noProof/>
                <w:webHidden/>
              </w:rPr>
              <w:instrText xml:space="preserve"> PAGEREF _Toc237507990 \h </w:instrText>
            </w:r>
            <w:r>
              <w:rPr>
                <w:noProof/>
                <w:webHidden/>
              </w:rPr>
            </w:r>
            <w:r>
              <w:rPr>
                <w:noProof/>
                <w:webHidden/>
              </w:rPr>
              <w:fldChar w:fldCharType="separate"/>
            </w:r>
            <w:r>
              <w:rPr>
                <w:noProof/>
                <w:webHidden/>
              </w:rPr>
              <w:t>17</w:t>
            </w:r>
            <w:r>
              <w:rPr>
                <w:noProof/>
                <w:webHidden/>
              </w:rPr>
              <w:fldChar w:fldCharType="end"/>
            </w:r>
          </w:hyperlink>
        </w:p>
        <w:p w14:paraId="3AA40EFA" w14:textId="14DC2F47" w:rsidR="00BE54C9" w:rsidRDefault="00BE54C9">
          <w:r>
            <w:rPr>
              <w:b/>
              <w:bCs/>
            </w:rPr>
            <w:fldChar w:fldCharType="end"/>
          </w:r>
        </w:p>
      </w:sdtContent>
    </w:sdt>
    <w:p w14:paraId="62A09222" w14:textId="37F0FBCA" w:rsidR="00933DC9" w:rsidRPr="00637CF3" w:rsidRDefault="00E35A5E" w:rsidP="00473959">
      <w:pPr>
        <w:pStyle w:val="Heading1"/>
        <w:rPr>
          <w:sz w:val="24"/>
          <w:szCs w:val="24"/>
        </w:rPr>
      </w:pPr>
      <w:r w:rsidRPr="00637CF3">
        <w:rPr>
          <w:sz w:val="24"/>
          <w:szCs w:val="24"/>
        </w:rPr>
        <w:br w:type="page"/>
      </w:r>
    </w:p>
    <w:p w14:paraId="4512FED0" w14:textId="77777777" w:rsidR="00933DC9" w:rsidRPr="00F533AF" w:rsidRDefault="00E35A5E" w:rsidP="00445AB0">
      <w:pPr>
        <w:pStyle w:val="Heading1"/>
        <w:spacing w:line="360" w:lineRule="auto"/>
        <w:jc w:val="both"/>
        <w:rPr>
          <w:rFonts w:ascii="Times New Roman" w:hAnsi="Times New Roman" w:cs="Times New Roman"/>
          <w:sz w:val="22"/>
          <w:szCs w:val="22"/>
        </w:rPr>
      </w:pPr>
      <w:bookmarkStart w:id="1" w:name="_Toc237507980"/>
      <w:r w:rsidRPr="00F533AF">
        <w:rPr>
          <w:rFonts w:ascii="Times New Roman" w:hAnsi="Times New Roman" w:cs="Times New Roman"/>
          <w:sz w:val="22"/>
          <w:szCs w:val="22"/>
        </w:rPr>
        <w:lastRenderedPageBreak/>
        <w:t>1</w:t>
      </w:r>
      <w:r w:rsidRPr="00F533AF">
        <w:rPr>
          <w:sz w:val="22"/>
          <w:szCs w:val="22"/>
        </w:rPr>
        <w:t>. Introduction</w:t>
      </w:r>
      <w:bookmarkEnd w:id="1"/>
    </w:p>
    <w:p w14:paraId="04C650F3" w14:textId="77777777" w:rsidR="00933DC9" w:rsidRPr="00F533AF" w:rsidRDefault="00E35A5E" w:rsidP="00445AB0">
      <w:pPr>
        <w:spacing w:line="360" w:lineRule="auto"/>
        <w:jc w:val="both"/>
        <w:rPr>
          <w:rFonts w:ascii="Arial" w:hAnsi="Arial" w:cs="Arial"/>
        </w:rPr>
      </w:pPr>
      <w:r w:rsidRPr="00F533AF">
        <w:rPr>
          <w:rFonts w:ascii="Arial" w:hAnsi="Arial" w:cs="Arial"/>
        </w:rPr>
        <w:t>Early Help is intended to support children, young people and families before difficulties become more serious. Rather than waiting for problems to reach a statutory social care threshold, the approach aims to identify emerging needs, work with families on what matters to them and bring the right services together at the right time. This makes the way Early Help is explained online important: a family may have little knowledge of social care systems and may be visiting a council website at a point when they are already worried, tired or unsure about where to turn.</w:t>
      </w:r>
    </w:p>
    <w:p w14:paraId="471C3685" w14:textId="0E95DA50" w:rsidR="00933DC9" w:rsidRPr="00F533AF" w:rsidRDefault="00E35A5E" w:rsidP="00445AB0">
      <w:pPr>
        <w:spacing w:line="360" w:lineRule="auto"/>
        <w:jc w:val="both"/>
        <w:rPr>
          <w:rFonts w:ascii="Arial" w:hAnsi="Arial" w:cs="Arial"/>
        </w:rPr>
      </w:pPr>
      <w:r w:rsidRPr="00F533AF">
        <w:rPr>
          <w:rFonts w:ascii="Arial" w:hAnsi="Arial" w:cs="Arial"/>
        </w:rPr>
        <w:t xml:space="preserve">This report examines how Leicestershire County Council, Norfolk County Council and Staffordshire County Council </w:t>
      </w:r>
      <w:r w:rsidR="00C31CAF" w:rsidRPr="00F533AF">
        <w:rPr>
          <w:rFonts w:ascii="Arial" w:hAnsi="Arial" w:cs="Arial"/>
        </w:rPr>
        <w:t>Signpost</w:t>
      </w:r>
      <w:r w:rsidRPr="00F533AF">
        <w:rPr>
          <w:rFonts w:ascii="Arial" w:hAnsi="Arial" w:cs="Arial"/>
        </w:rPr>
        <w:t xml:space="preserve"> Early Help and related family support through their websites. These authorities were selected from the list in the assessment brief. The review was undertaken as a desk-based comparison, focusing on clarity of language, ease of navigation, explanation of services, referral routes, accessibility and evidence of joined-up working. The assessment specification requires an introduction, an explanation of Early Help and multi-agency working, evaluation of three local authority websites, comparative analysis and recommendations; it also requires the Early Help System Guide and Working Together to Safeguard Children 2026 to be used (University of Wales Trinity Saint David, 2026).</w:t>
      </w:r>
    </w:p>
    <w:p w14:paraId="206467A8" w14:textId="77777777" w:rsidR="00933DC9" w:rsidRPr="00F533AF" w:rsidRDefault="00E35A5E" w:rsidP="00445AB0">
      <w:pPr>
        <w:pStyle w:val="Heading1"/>
        <w:spacing w:line="360" w:lineRule="auto"/>
        <w:jc w:val="both"/>
        <w:rPr>
          <w:sz w:val="22"/>
          <w:szCs w:val="22"/>
        </w:rPr>
      </w:pPr>
      <w:bookmarkStart w:id="2" w:name="_Toc237507981"/>
      <w:r w:rsidRPr="00F533AF">
        <w:rPr>
          <w:rFonts w:ascii="Arial" w:hAnsi="Arial" w:cs="Arial"/>
          <w:sz w:val="22"/>
          <w:szCs w:val="22"/>
        </w:rPr>
        <w:t xml:space="preserve">2. </w:t>
      </w:r>
      <w:r w:rsidRPr="00F533AF">
        <w:rPr>
          <w:sz w:val="22"/>
          <w:szCs w:val="22"/>
        </w:rPr>
        <w:t>The Early Help System</w:t>
      </w:r>
      <w:bookmarkEnd w:id="2"/>
    </w:p>
    <w:p w14:paraId="46E95B9E" w14:textId="77777777" w:rsidR="00933DC9" w:rsidRPr="00F533AF" w:rsidRDefault="00E35A5E" w:rsidP="00445AB0">
      <w:pPr>
        <w:spacing w:line="360" w:lineRule="auto"/>
        <w:jc w:val="both"/>
        <w:rPr>
          <w:rFonts w:ascii="Arial" w:hAnsi="Arial" w:cs="Arial"/>
        </w:rPr>
      </w:pPr>
      <w:r w:rsidRPr="00F533AF">
        <w:rPr>
          <w:rFonts w:ascii="Arial" w:hAnsi="Arial" w:cs="Arial"/>
        </w:rPr>
        <w:t>The Early Help System Guide describes Early Help as a local partnership system rather than a single service. Its purpose is to help local areas understand how well their arrangements identify and respond to need, and to support partnership planning and improvement (Department for Levelling Up, Housing and Communities and Department for Education, 2022). This matters because a family’s difficulties rarely fit neatly into one professional service. For example, a child experiencing poor school attendance may also be affected by parental mental health, financial pressure, housing problems, disability, domestic abuse or strained family relationships.</w:t>
      </w:r>
    </w:p>
    <w:p w14:paraId="016C9019" w14:textId="77777777" w:rsidR="00933DC9" w:rsidRPr="00F533AF" w:rsidRDefault="00E35A5E" w:rsidP="00445AB0">
      <w:pPr>
        <w:spacing w:line="360" w:lineRule="auto"/>
        <w:jc w:val="both"/>
        <w:rPr>
          <w:rFonts w:ascii="Arial" w:hAnsi="Arial" w:cs="Arial"/>
        </w:rPr>
      </w:pPr>
      <w:r w:rsidRPr="00F533AF">
        <w:rPr>
          <w:rFonts w:ascii="Arial" w:hAnsi="Arial" w:cs="Arial"/>
        </w:rPr>
        <w:t>The 2026 edition of Working Together to Safeguard Children strengthens the emphasis on family help, multi-agency accountability and coordinated responses. It describes Family Help as combining targeted early help with section 17 support, with a focus on consistent relationships and multi-disciplinary planning (HM Government, 2026). Early Help should therefore be understood as a continuum: universal and community support may be enough for some families, while others need targeted Family Help or a safeguarding response.</w:t>
      </w:r>
    </w:p>
    <w:p w14:paraId="3CE0BE70" w14:textId="42D62B75" w:rsidR="00933DC9" w:rsidRPr="00F533AF" w:rsidRDefault="00E35A5E" w:rsidP="00445AB0">
      <w:pPr>
        <w:spacing w:line="360" w:lineRule="auto"/>
        <w:jc w:val="both"/>
        <w:rPr>
          <w:rFonts w:ascii="Arial" w:hAnsi="Arial" w:cs="Arial"/>
        </w:rPr>
      </w:pPr>
      <w:r w:rsidRPr="00F533AF">
        <w:rPr>
          <w:rFonts w:ascii="Arial" w:hAnsi="Arial" w:cs="Arial"/>
        </w:rPr>
        <w:t xml:space="preserve">The framework in Figure 1 reflects the holistic thinking shown in the supplied assessment materials. The child remains at the </w:t>
      </w:r>
      <w:r w:rsidR="00351BB4" w:rsidRPr="00F533AF">
        <w:rPr>
          <w:rFonts w:ascii="Arial" w:hAnsi="Arial" w:cs="Arial"/>
        </w:rPr>
        <w:t>Centre</w:t>
      </w:r>
      <w:r w:rsidRPr="00F533AF">
        <w:rPr>
          <w:rFonts w:ascii="Arial" w:hAnsi="Arial" w:cs="Arial"/>
        </w:rPr>
        <w:t xml:space="preserve">, while practitioners consider developmental needs, parenting capacity and wider family/environmental factors. This prevents the assessment from becoming focused only on a single presenting problem and supports a </w:t>
      </w:r>
      <w:r w:rsidR="0094736E" w:rsidRPr="00F533AF">
        <w:rPr>
          <w:rFonts w:ascii="Arial" w:hAnsi="Arial" w:cs="Arial"/>
        </w:rPr>
        <w:t>whole family</w:t>
      </w:r>
      <w:r w:rsidRPr="00F533AF">
        <w:rPr>
          <w:rFonts w:ascii="Arial" w:hAnsi="Arial" w:cs="Arial"/>
        </w:rPr>
        <w:t xml:space="preserve"> understanding of need.</w:t>
      </w:r>
    </w:p>
    <w:p w14:paraId="14F6A0BD" w14:textId="77777777" w:rsidR="00933DC9" w:rsidRPr="00F533AF" w:rsidRDefault="00E35A5E" w:rsidP="00445AB0">
      <w:pPr>
        <w:pStyle w:val="Heading1"/>
        <w:spacing w:line="360" w:lineRule="auto"/>
        <w:jc w:val="both"/>
        <w:rPr>
          <w:rFonts w:ascii="Arial" w:hAnsi="Arial" w:cs="Arial"/>
          <w:sz w:val="22"/>
          <w:szCs w:val="22"/>
        </w:rPr>
      </w:pPr>
      <w:bookmarkStart w:id="3" w:name="_Toc237507982"/>
      <w:r w:rsidRPr="00F533AF">
        <w:rPr>
          <w:rFonts w:ascii="Arial" w:hAnsi="Arial" w:cs="Arial"/>
          <w:sz w:val="22"/>
          <w:szCs w:val="22"/>
        </w:rPr>
        <w:lastRenderedPageBreak/>
        <w:t xml:space="preserve">3. </w:t>
      </w:r>
      <w:r w:rsidRPr="00F533AF">
        <w:rPr>
          <w:sz w:val="22"/>
          <w:szCs w:val="22"/>
        </w:rPr>
        <w:t>Multi-Agency Working</w:t>
      </w:r>
      <w:bookmarkEnd w:id="3"/>
    </w:p>
    <w:p w14:paraId="54812DA1" w14:textId="684F4CD4" w:rsidR="00933DC9" w:rsidRPr="00F533AF" w:rsidRDefault="00E35A5E" w:rsidP="00445AB0">
      <w:pPr>
        <w:spacing w:line="360" w:lineRule="auto"/>
        <w:jc w:val="both"/>
        <w:rPr>
          <w:rFonts w:ascii="Arial" w:hAnsi="Arial" w:cs="Arial"/>
        </w:rPr>
      </w:pPr>
      <w:r w:rsidRPr="00F533AF">
        <w:rPr>
          <w:rFonts w:ascii="Arial" w:hAnsi="Arial" w:cs="Arial"/>
        </w:rPr>
        <w:t xml:space="preserve">Multi-agency working is central to Early Help because no single </w:t>
      </w:r>
      <w:r w:rsidR="00351BB4" w:rsidRPr="00F533AF">
        <w:rPr>
          <w:rFonts w:ascii="Arial" w:hAnsi="Arial" w:cs="Arial"/>
        </w:rPr>
        <w:t>organization</w:t>
      </w:r>
      <w:r w:rsidRPr="00F533AF">
        <w:rPr>
          <w:rFonts w:ascii="Arial" w:hAnsi="Arial" w:cs="Arial"/>
        </w:rPr>
        <w:t xml:space="preserve"> can meet every need a family may experience. Health visitors, GPs, schools, housing services, youth services, police, social care, voluntary </w:t>
      </w:r>
      <w:r w:rsidR="00351BB4" w:rsidRPr="00F533AF">
        <w:rPr>
          <w:rFonts w:ascii="Arial" w:hAnsi="Arial" w:cs="Arial"/>
        </w:rPr>
        <w:t>organizations</w:t>
      </w:r>
      <w:r w:rsidRPr="00F533AF">
        <w:rPr>
          <w:rFonts w:ascii="Arial" w:hAnsi="Arial" w:cs="Arial"/>
        </w:rPr>
        <w:t xml:space="preserve"> and community groups may each hold part of the picture. Effective partnership working means that information is shared lawfully, responsibilities are clear and families do not have to repeat the same story to several services.</w:t>
      </w:r>
    </w:p>
    <w:p w14:paraId="7AC05173" w14:textId="78AD6EF0" w:rsidR="00933DC9" w:rsidRPr="00F533AF" w:rsidRDefault="00E35A5E" w:rsidP="00445AB0">
      <w:pPr>
        <w:spacing w:line="360" w:lineRule="auto"/>
        <w:jc w:val="both"/>
        <w:rPr>
          <w:rFonts w:ascii="Arial" w:hAnsi="Arial" w:cs="Arial"/>
        </w:rPr>
      </w:pPr>
      <w:r w:rsidRPr="00F533AF">
        <w:rPr>
          <w:rFonts w:ascii="Arial" w:hAnsi="Arial" w:cs="Arial"/>
        </w:rPr>
        <w:t xml:space="preserve">Working Together to Safeguard Children 2026 places greater emphasis on shared responsibility, stronger accountability and effective </w:t>
      </w:r>
      <w:r w:rsidR="009A73E6" w:rsidRPr="00F533AF">
        <w:rPr>
          <w:rFonts w:ascii="Arial" w:hAnsi="Arial" w:cs="Arial"/>
        </w:rPr>
        <w:t>sharing information</w:t>
      </w:r>
      <w:r w:rsidRPr="00F533AF">
        <w:rPr>
          <w:rFonts w:ascii="Arial" w:hAnsi="Arial" w:cs="Arial"/>
        </w:rPr>
        <w:t xml:space="preserve"> across safeguarding partners (HM Government, 2026). The Early Help System Guide similarly promotes a mature system in which partners share a common vision, use evidence about local need and coordinate services. The Supporting Families </w:t>
      </w:r>
      <w:r w:rsidR="00351BB4" w:rsidRPr="00F533AF">
        <w:rPr>
          <w:rFonts w:ascii="Arial" w:hAnsi="Arial" w:cs="Arial"/>
        </w:rPr>
        <w:t>programmed</w:t>
      </w:r>
      <w:r w:rsidRPr="00F533AF">
        <w:rPr>
          <w:rFonts w:ascii="Arial" w:hAnsi="Arial" w:cs="Arial"/>
        </w:rPr>
        <w:t xml:space="preserve"> also identifies whole-family working, place-based hubs and secure data sharing as important features of system development (Department for Levelling Up, Housing and Communities, 2024).</w:t>
      </w:r>
    </w:p>
    <w:p w14:paraId="3F01B26C" w14:textId="70751AEC" w:rsidR="00933DC9" w:rsidRPr="00F533AF" w:rsidRDefault="00E35A5E" w:rsidP="00445AB0">
      <w:pPr>
        <w:spacing w:line="360" w:lineRule="auto"/>
        <w:jc w:val="both"/>
        <w:rPr>
          <w:rFonts w:ascii="Arial" w:hAnsi="Arial" w:cs="Arial"/>
        </w:rPr>
      </w:pPr>
      <w:r w:rsidRPr="00F533AF">
        <w:rPr>
          <w:rFonts w:ascii="Arial" w:hAnsi="Arial" w:cs="Arial"/>
        </w:rPr>
        <w:t xml:space="preserve">The GRRAACCEESS approach shown in the supplied lecture material is also useful. Considering gender, race, religion, age, ability, culture, class, ethnicity, spirituality and sexuality can help practitioners </w:t>
      </w:r>
      <w:r w:rsidR="00351BB4" w:rsidRPr="00F533AF">
        <w:rPr>
          <w:rFonts w:ascii="Arial" w:hAnsi="Arial" w:cs="Arial"/>
        </w:rPr>
        <w:t>recognize</w:t>
      </w:r>
      <w:r w:rsidRPr="00F533AF">
        <w:rPr>
          <w:rFonts w:ascii="Arial" w:hAnsi="Arial" w:cs="Arial"/>
        </w:rPr>
        <w:t xml:space="preserve"> how identity and inequality may influence access, trust and engagement. In practice, a website should therefore not only say that support exists; it should make clear that support is intended for diverse families and explain how people can access it.</w:t>
      </w:r>
    </w:p>
    <w:p w14:paraId="3F26A6A3" w14:textId="77777777" w:rsidR="00933DC9" w:rsidRPr="00F533AF" w:rsidRDefault="00E35A5E" w:rsidP="00445AB0">
      <w:pPr>
        <w:pStyle w:val="Heading1"/>
        <w:spacing w:line="360" w:lineRule="auto"/>
        <w:jc w:val="both"/>
        <w:rPr>
          <w:sz w:val="22"/>
          <w:szCs w:val="22"/>
        </w:rPr>
      </w:pPr>
      <w:bookmarkStart w:id="4" w:name="_Toc237507983"/>
      <w:r w:rsidRPr="00F533AF">
        <w:rPr>
          <w:rFonts w:ascii="Arial" w:hAnsi="Arial" w:cs="Arial"/>
          <w:sz w:val="22"/>
          <w:szCs w:val="22"/>
        </w:rPr>
        <w:t xml:space="preserve">4. </w:t>
      </w:r>
      <w:r w:rsidRPr="00F533AF">
        <w:rPr>
          <w:sz w:val="22"/>
          <w:szCs w:val="22"/>
        </w:rPr>
        <w:t>Evaluation of Leicestershire County Council</w:t>
      </w:r>
      <w:bookmarkEnd w:id="4"/>
    </w:p>
    <w:p w14:paraId="48D3870B" w14:textId="77777777" w:rsidR="00933DC9" w:rsidRPr="00F533AF" w:rsidRDefault="00E35A5E" w:rsidP="00445AB0">
      <w:pPr>
        <w:spacing w:line="360" w:lineRule="auto"/>
        <w:jc w:val="both"/>
        <w:rPr>
          <w:rFonts w:ascii="Arial" w:hAnsi="Arial" w:cs="Arial"/>
        </w:rPr>
      </w:pPr>
      <w:r w:rsidRPr="00F533AF">
        <w:rPr>
          <w:rFonts w:ascii="Arial" w:hAnsi="Arial" w:cs="Arial"/>
        </w:rPr>
        <w:t>Leicestershire presents a comparatively detailed Early Help offer. Its Family Help page explains that support is aimed at families experiencing difficulties that cannot be addressed by universal services such as schools or GPs alone. It lists a broad range of support areas, including domestic abuse, mental health and wellbeing, SEND, parenting, targeted work with young people and Family Hubs (Leicestershire County Council, 2026a). This gives families a useful sense of what the service can cover.</w:t>
      </w:r>
    </w:p>
    <w:p w14:paraId="75F083F0" w14:textId="77777777" w:rsidR="00933DC9" w:rsidRPr="00F533AF" w:rsidRDefault="00E35A5E" w:rsidP="00445AB0">
      <w:pPr>
        <w:spacing w:line="360" w:lineRule="auto"/>
        <w:jc w:val="both"/>
        <w:rPr>
          <w:rFonts w:ascii="Arial" w:hAnsi="Arial" w:cs="Arial"/>
        </w:rPr>
      </w:pPr>
      <w:r w:rsidRPr="00F533AF">
        <w:rPr>
          <w:rFonts w:ascii="Arial" w:hAnsi="Arial" w:cs="Arial"/>
        </w:rPr>
        <w:t>A major strength is the distinction between routes for families and professionals. Families can make an online request for a service, while professionals can use the Multi-Agency Referral Form (MARF). The council states that families do not need to know exactly which service they require; they need to describe what help they need and what may happen without support. This reduces the expectation that families must understand the structure of children’s services before asking for help (Leicestershire County Council, 2026b).</w:t>
      </w:r>
    </w:p>
    <w:p w14:paraId="27029150" w14:textId="39C2C55B" w:rsidR="00933DC9" w:rsidRPr="00F533AF" w:rsidRDefault="00E35A5E" w:rsidP="00445AB0">
      <w:pPr>
        <w:spacing w:line="360" w:lineRule="auto"/>
        <w:jc w:val="both"/>
        <w:rPr>
          <w:rFonts w:ascii="Arial" w:hAnsi="Arial" w:cs="Arial"/>
        </w:rPr>
      </w:pPr>
      <w:r w:rsidRPr="00F533AF">
        <w:rPr>
          <w:rFonts w:ascii="Arial" w:hAnsi="Arial" w:cs="Arial"/>
        </w:rPr>
        <w:t xml:space="preserve">The professional referral route is also clearly connected to safeguarding. The MARF information explains that urgent concerns about significant harm require immediate action, while written </w:t>
      </w:r>
      <w:r w:rsidRPr="00F533AF">
        <w:rPr>
          <w:rFonts w:ascii="Arial" w:hAnsi="Arial" w:cs="Arial"/>
        </w:rPr>
        <w:lastRenderedPageBreak/>
        <w:t xml:space="preserve">information must follow the telephone referral where appropriate (Leicestershire County Council, 2026c). This makes the relationship between Early Help and </w:t>
      </w:r>
      <w:r w:rsidR="0094736E" w:rsidRPr="00F533AF">
        <w:rPr>
          <w:rFonts w:ascii="Arial" w:hAnsi="Arial" w:cs="Arial"/>
        </w:rPr>
        <w:t>Statutory Safeguarding</w:t>
      </w:r>
      <w:r w:rsidRPr="00F533AF">
        <w:rPr>
          <w:rFonts w:ascii="Arial" w:hAnsi="Arial" w:cs="Arial"/>
        </w:rPr>
        <w:t xml:space="preserve"> more visible.</w:t>
      </w:r>
    </w:p>
    <w:p w14:paraId="288D7F1C" w14:textId="05E6AB60" w:rsidR="00933DC9" w:rsidRPr="00F533AF" w:rsidRDefault="00E35A5E" w:rsidP="00445AB0">
      <w:pPr>
        <w:spacing w:line="360" w:lineRule="auto"/>
        <w:jc w:val="both"/>
        <w:rPr>
          <w:rFonts w:ascii="Arial" w:hAnsi="Arial" w:cs="Arial"/>
        </w:rPr>
      </w:pPr>
      <w:r w:rsidRPr="00F533AF">
        <w:rPr>
          <w:rFonts w:ascii="Arial" w:hAnsi="Arial" w:cs="Arial"/>
        </w:rPr>
        <w:t xml:space="preserve">The main limitation is presentation. The use of both “Early Help” and “Family Help” can be confusing for someone encountering the service for the first time. Some service descriptions also retain </w:t>
      </w:r>
      <w:r w:rsidR="00F50F0A" w:rsidRPr="00F533AF">
        <w:rPr>
          <w:rFonts w:ascii="Arial" w:hAnsi="Arial" w:cs="Arial"/>
        </w:rPr>
        <w:t>organizational</w:t>
      </w:r>
      <w:r w:rsidRPr="00F533AF">
        <w:rPr>
          <w:rFonts w:ascii="Arial" w:hAnsi="Arial" w:cs="Arial"/>
        </w:rPr>
        <w:t xml:space="preserve"> language that may feel less approachable. Overall, Leicestershire performs strongly on service detail and referral </w:t>
      </w:r>
      <w:r w:rsidR="0094736E" w:rsidRPr="00F533AF">
        <w:rPr>
          <w:rFonts w:ascii="Arial" w:hAnsi="Arial" w:cs="Arial"/>
        </w:rPr>
        <w:t>information but</w:t>
      </w:r>
      <w:r w:rsidRPr="00F533AF">
        <w:rPr>
          <w:rFonts w:ascii="Arial" w:hAnsi="Arial" w:cs="Arial"/>
        </w:rPr>
        <w:t xml:space="preserve"> could make the public-facing journey simpler.</w:t>
      </w:r>
    </w:p>
    <w:p w14:paraId="57520EDE" w14:textId="77777777" w:rsidR="00933DC9" w:rsidRPr="00F533AF" w:rsidRDefault="00E35A5E" w:rsidP="00445AB0">
      <w:pPr>
        <w:pStyle w:val="Heading1"/>
        <w:spacing w:line="360" w:lineRule="auto"/>
        <w:jc w:val="both"/>
        <w:rPr>
          <w:sz w:val="22"/>
          <w:szCs w:val="22"/>
        </w:rPr>
      </w:pPr>
      <w:bookmarkStart w:id="5" w:name="_Toc237507984"/>
      <w:r w:rsidRPr="00F533AF">
        <w:rPr>
          <w:rFonts w:ascii="Arial" w:hAnsi="Arial" w:cs="Arial"/>
          <w:sz w:val="22"/>
          <w:szCs w:val="22"/>
        </w:rPr>
        <w:t>5</w:t>
      </w:r>
      <w:r w:rsidRPr="00F533AF">
        <w:rPr>
          <w:sz w:val="22"/>
          <w:szCs w:val="22"/>
        </w:rPr>
        <w:t>. Evaluation of Norfolk County Council</w:t>
      </w:r>
      <w:bookmarkEnd w:id="5"/>
    </w:p>
    <w:p w14:paraId="02112F3F" w14:textId="77777777" w:rsidR="00933DC9" w:rsidRPr="00F533AF" w:rsidRDefault="00E35A5E" w:rsidP="00445AB0">
      <w:pPr>
        <w:spacing w:line="360" w:lineRule="auto"/>
        <w:jc w:val="both"/>
        <w:rPr>
          <w:rFonts w:ascii="Arial" w:hAnsi="Arial" w:cs="Arial"/>
        </w:rPr>
      </w:pPr>
      <w:r w:rsidRPr="00F533AF">
        <w:rPr>
          <w:rFonts w:ascii="Arial" w:hAnsi="Arial" w:cs="Arial"/>
        </w:rPr>
        <w:t>Norfolk presents Early Help as part of a wider, increasingly integrated family support system. Current safeguarding guidance in Norfolk describes universal and community-based Early Help as preventative support for children and families, with services including Best Start Family Hubs, youth and housing support and other community provision. Families and professionals can use online routes to access support, while more targeted Family Help is considered when needs are greater (Norfolk Safeguarding Children Partnership, 2026a).</w:t>
      </w:r>
    </w:p>
    <w:p w14:paraId="684E3A22" w14:textId="77777777" w:rsidR="00933DC9" w:rsidRPr="00F533AF" w:rsidRDefault="00E35A5E" w:rsidP="00445AB0">
      <w:pPr>
        <w:spacing w:line="360" w:lineRule="auto"/>
        <w:jc w:val="both"/>
        <w:rPr>
          <w:rFonts w:ascii="Arial" w:hAnsi="Arial" w:cs="Arial"/>
        </w:rPr>
      </w:pPr>
      <w:r w:rsidRPr="00F533AF">
        <w:rPr>
          <w:rFonts w:ascii="Arial" w:hAnsi="Arial" w:cs="Arial"/>
        </w:rPr>
        <w:t>A particular strength is the emphasis on providing the right help at the right time. Norfolk’s guidance explains that community support should normally be used where needs are early or emerging, while professionals can request targeted support when a family requires more coordinated intervention. CADS remains important where safeguarding or child protection concerns are present (Norfolk Safeguarding Children Partnership, 2026b). This demonstrates a clear continuum rather than presenting Early Help as a stand-alone service.</w:t>
      </w:r>
    </w:p>
    <w:p w14:paraId="1C1917AD" w14:textId="77777777" w:rsidR="00933DC9" w:rsidRPr="00F533AF" w:rsidRDefault="00E35A5E" w:rsidP="00445AB0">
      <w:pPr>
        <w:spacing w:line="360" w:lineRule="auto"/>
        <w:jc w:val="both"/>
        <w:rPr>
          <w:rFonts w:ascii="Arial" w:hAnsi="Arial" w:cs="Arial"/>
        </w:rPr>
      </w:pPr>
      <w:r w:rsidRPr="00F533AF">
        <w:rPr>
          <w:rFonts w:ascii="Arial" w:hAnsi="Arial" w:cs="Arial"/>
        </w:rPr>
        <w:t>Norfolk also provides evidence of whole-system development. A national Supporting Families report describes Norfolk’s move from a more fragmented and reactive approach towards a proactive, integrated and holistic model (Department for Education, 2025). This is significant because effective signposting depends not only on the wording of a webpage but on whether the services behind the webpage are connected.</w:t>
      </w:r>
    </w:p>
    <w:p w14:paraId="09AE12DB" w14:textId="34CB7A6F" w:rsidR="00933DC9" w:rsidRPr="00F533AF" w:rsidRDefault="00E35A5E" w:rsidP="00445AB0">
      <w:pPr>
        <w:spacing w:line="360" w:lineRule="auto"/>
        <w:jc w:val="both"/>
        <w:rPr>
          <w:rFonts w:ascii="Arial" w:hAnsi="Arial" w:cs="Arial"/>
        </w:rPr>
      </w:pPr>
      <w:r w:rsidRPr="00F533AF">
        <w:rPr>
          <w:rFonts w:ascii="Arial" w:hAnsi="Arial" w:cs="Arial"/>
        </w:rPr>
        <w:t xml:space="preserve">However, </w:t>
      </w:r>
      <w:r w:rsidR="0094736E" w:rsidRPr="00F533AF">
        <w:rPr>
          <w:rFonts w:ascii="Arial" w:hAnsi="Arial" w:cs="Arial"/>
        </w:rPr>
        <w:t>online journeys</w:t>
      </w:r>
      <w:r w:rsidRPr="00F533AF">
        <w:rPr>
          <w:rFonts w:ascii="Arial" w:hAnsi="Arial" w:cs="Arial"/>
        </w:rPr>
        <w:t xml:space="preserve"> can be more demanding for users. Professional pathways, thresholds, portals and CADS processes can make sense to practitioners but </w:t>
      </w:r>
      <w:r w:rsidR="00F50F0A" w:rsidRPr="00F533AF">
        <w:rPr>
          <w:rFonts w:ascii="Arial" w:hAnsi="Arial" w:cs="Arial"/>
        </w:rPr>
        <w:t>maybe</w:t>
      </w:r>
      <w:r w:rsidRPr="00F533AF">
        <w:rPr>
          <w:rFonts w:ascii="Arial" w:hAnsi="Arial" w:cs="Arial"/>
        </w:rPr>
        <w:t xml:space="preserve"> less transparent to a parent or carer who simply wants to know what help is available. The distinction between community support, Early Help and Family Help therefore needs to be communicated in plain language. Norfolk is strong on system integration and family-</w:t>
      </w:r>
      <w:r w:rsidR="00F50F0A" w:rsidRPr="00F533AF">
        <w:rPr>
          <w:rFonts w:ascii="Arial" w:hAnsi="Arial" w:cs="Arial"/>
        </w:rPr>
        <w:t>centered</w:t>
      </w:r>
      <w:r w:rsidRPr="00F533AF">
        <w:rPr>
          <w:rFonts w:ascii="Arial" w:hAnsi="Arial" w:cs="Arial"/>
        </w:rPr>
        <w:t xml:space="preserve"> principles, but its information architecture could be made more straightforward for the public.</w:t>
      </w:r>
    </w:p>
    <w:p w14:paraId="76160836" w14:textId="77777777" w:rsidR="00933DC9" w:rsidRPr="00F533AF" w:rsidRDefault="00E35A5E" w:rsidP="00445AB0">
      <w:pPr>
        <w:pStyle w:val="Heading1"/>
        <w:spacing w:line="360" w:lineRule="auto"/>
        <w:jc w:val="both"/>
        <w:rPr>
          <w:rFonts w:ascii="Arial" w:hAnsi="Arial" w:cs="Arial"/>
          <w:sz w:val="22"/>
          <w:szCs w:val="22"/>
        </w:rPr>
      </w:pPr>
      <w:bookmarkStart w:id="6" w:name="_Toc237507985"/>
      <w:r w:rsidRPr="00F533AF">
        <w:rPr>
          <w:rFonts w:ascii="Arial" w:hAnsi="Arial" w:cs="Arial"/>
          <w:sz w:val="22"/>
          <w:szCs w:val="22"/>
        </w:rPr>
        <w:lastRenderedPageBreak/>
        <w:t xml:space="preserve">6. </w:t>
      </w:r>
      <w:r w:rsidRPr="00F533AF">
        <w:rPr>
          <w:sz w:val="22"/>
          <w:szCs w:val="22"/>
        </w:rPr>
        <w:t>Evaluation of Staffordshire County Council</w:t>
      </w:r>
      <w:bookmarkEnd w:id="6"/>
    </w:p>
    <w:p w14:paraId="464609B6" w14:textId="77777777" w:rsidR="00933DC9" w:rsidRPr="00F533AF" w:rsidRDefault="00E35A5E" w:rsidP="00445AB0">
      <w:pPr>
        <w:spacing w:line="360" w:lineRule="auto"/>
        <w:jc w:val="both"/>
        <w:rPr>
          <w:rFonts w:ascii="Arial" w:hAnsi="Arial" w:cs="Arial"/>
        </w:rPr>
      </w:pPr>
      <w:r w:rsidRPr="00F533AF">
        <w:rPr>
          <w:rFonts w:ascii="Arial" w:hAnsi="Arial" w:cs="Arial"/>
        </w:rPr>
        <w:t>Staffordshire’s Families First page is the strongest of the three for immediate public accessibility. It opens with a direct and reassuring message that the Early Help Team is there when things get tough. It then explains the team in simple terms and identifies four main forms of support: advice and support, one-to-one work, group and family sessions, and school support (Staffordshire County Council, 2026).</w:t>
      </w:r>
    </w:p>
    <w:p w14:paraId="07EF5BF8" w14:textId="150BC57B" w:rsidR="00933DC9" w:rsidRPr="00F533AF" w:rsidRDefault="00E35A5E" w:rsidP="00445AB0">
      <w:pPr>
        <w:spacing w:line="360" w:lineRule="auto"/>
        <w:jc w:val="both"/>
        <w:rPr>
          <w:rFonts w:ascii="Arial" w:hAnsi="Arial" w:cs="Arial"/>
        </w:rPr>
      </w:pPr>
      <w:r w:rsidRPr="00F533AF">
        <w:rPr>
          <w:rFonts w:ascii="Arial" w:hAnsi="Arial" w:cs="Arial"/>
        </w:rPr>
        <w:t xml:space="preserve">This approach is effective because it answers the questions a family is most likely to have: What is Early Help? Who is it for? What will the team </w:t>
      </w:r>
      <w:r w:rsidR="00406465" w:rsidRPr="00F533AF">
        <w:rPr>
          <w:rFonts w:ascii="Arial" w:hAnsi="Arial" w:cs="Arial"/>
        </w:rPr>
        <w:t>do</w:t>
      </w:r>
      <w:r w:rsidRPr="00F533AF">
        <w:rPr>
          <w:rFonts w:ascii="Arial" w:hAnsi="Arial" w:cs="Arial"/>
        </w:rPr>
        <w:t>? How do I contact someone? The page also provides a direct telephone number for the Staffordshire Children’s Advice Service. This creates a clear call to action rather than leaving families to work out which professional term or form they need.</w:t>
      </w:r>
    </w:p>
    <w:p w14:paraId="04A7EC33" w14:textId="77777777" w:rsidR="00933DC9" w:rsidRPr="00F533AF" w:rsidRDefault="00E35A5E" w:rsidP="00445AB0">
      <w:pPr>
        <w:spacing w:line="360" w:lineRule="auto"/>
        <w:jc w:val="both"/>
        <w:rPr>
          <w:rFonts w:ascii="Arial" w:hAnsi="Arial" w:cs="Arial"/>
        </w:rPr>
      </w:pPr>
      <w:r w:rsidRPr="00F533AF">
        <w:rPr>
          <w:rFonts w:ascii="Arial" w:hAnsi="Arial" w:cs="Arial"/>
        </w:rPr>
        <w:t>The main weakness is that Staffordshire provides less detailed information about referral pathways and the full range of services than Leicestershire. A family may understand how to make contact but still need a conversation with a practitioner to discover what support is available. This is a trade-off: simplicity improves accessibility, but too little detail can reduce transparency.</w:t>
      </w:r>
    </w:p>
    <w:p w14:paraId="391D0F5C" w14:textId="77777777" w:rsidR="00933DC9" w:rsidRPr="00F533AF" w:rsidRDefault="00E35A5E" w:rsidP="00445AB0">
      <w:pPr>
        <w:spacing w:line="360" w:lineRule="auto"/>
        <w:jc w:val="both"/>
        <w:rPr>
          <w:rFonts w:ascii="Arial" w:hAnsi="Arial" w:cs="Arial"/>
        </w:rPr>
      </w:pPr>
      <w:r w:rsidRPr="00F533AF">
        <w:rPr>
          <w:rFonts w:ascii="Arial" w:hAnsi="Arial" w:cs="Arial"/>
        </w:rPr>
        <w:t>Even with that limitation, Staffordshire is the most effective website for the primary audience of families because it reduces jargon and presents help as something ordinary and approachable. It closely reflects the principle that families should be able to seek help before problems become more serious.</w:t>
      </w:r>
    </w:p>
    <w:p w14:paraId="2AE3040E" w14:textId="77777777" w:rsidR="00933DC9" w:rsidRPr="00F533AF" w:rsidRDefault="00E35A5E" w:rsidP="00445AB0">
      <w:pPr>
        <w:pStyle w:val="Heading1"/>
        <w:spacing w:line="360" w:lineRule="auto"/>
        <w:jc w:val="both"/>
        <w:rPr>
          <w:sz w:val="22"/>
          <w:szCs w:val="22"/>
        </w:rPr>
      </w:pPr>
      <w:bookmarkStart w:id="7" w:name="_Toc237507986"/>
      <w:r w:rsidRPr="00F533AF">
        <w:rPr>
          <w:rFonts w:ascii="Arial" w:hAnsi="Arial" w:cs="Arial"/>
          <w:sz w:val="22"/>
          <w:szCs w:val="22"/>
        </w:rPr>
        <w:t>7</w:t>
      </w:r>
      <w:r w:rsidRPr="00F533AF">
        <w:rPr>
          <w:sz w:val="22"/>
          <w:szCs w:val="22"/>
        </w:rPr>
        <w:t>. Comparative Analysis</w:t>
      </w:r>
      <w:bookmarkEnd w:id="7"/>
    </w:p>
    <w:p w14:paraId="621F5970" w14:textId="7F19C8EC" w:rsidR="00933DC9" w:rsidRPr="00F533AF" w:rsidRDefault="00E35A5E" w:rsidP="00445AB0">
      <w:pPr>
        <w:spacing w:line="360" w:lineRule="auto"/>
        <w:jc w:val="both"/>
        <w:rPr>
          <w:rFonts w:ascii="Arial" w:hAnsi="Arial" w:cs="Arial"/>
        </w:rPr>
      </w:pPr>
      <w:r w:rsidRPr="00F533AF">
        <w:rPr>
          <w:rFonts w:ascii="Arial" w:hAnsi="Arial" w:cs="Arial"/>
        </w:rPr>
        <w:t xml:space="preserve">The three websites illustrate different priorities. Leicestershire provides the greatest depth of service information and the clearest separation between family and professional referral routes. Norfolk demonstrates a strong whole-system and prevention-focused model, but its professional processes can make the online journey appear more complex. Staffordshire provides the clearest first point of contact for families, although it gives less detail about the </w:t>
      </w:r>
      <w:r w:rsidR="001A1802" w:rsidRPr="00F533AF">
        <w:rPr>
          <w:rFonts w:ascii="Arial" w:hAnsi="Arial" w:cs="Arial"/>
        </w:rPr>
        <w:t>full-service</w:t>
      </w:r>
      <w:r w:rsidRPr="00F533AF">
        <w:rPr>
          <w:rFonts w:ascii="Arial" w:hAnsi="Arial" w:cs="Arial"/>
        </w:rPr>
        <w:t xml:space="preserve"> pathway.</w:t>
      </w:r>
    </w:p>
    <w:p w14:paraId="67B6FB0C" w14:textId="77777777" w:rsidR="00933DC9" w:rsidRPr="00F533AF" w:rsidRDefault="00E35A5E" w:rsidP="00445AB0">
      <w:pPr>
        <w:spacing w:line="360" w:lineRule="auto"/>
        <w:jc w:val="both"/>
        <w:rPr>
          <w:rFonts w:ascii="Arial" w:hAnsi="Arial" w:cs="Arial"/>
        </w:rPr>
      </w:pPr>
      <w:r w:rsidRPr="00F533AF">
        <w:rPr>
          <w:rFonts w:ascii="Arial" w:hAnsi="Arial" w:cs="Arial"/>
        </w:rPr>
        <w:t>The comparison suggests that there is no single perfect model. A strong website needs the simplicity of Staffordshire, the detailed referral information of Leicestershire and the system-wide thinking demonstrated by Norfolk. For a family in distress, however, the first stage should be particularly simple. The ability to understand the offer and take one clear next step is likely to matter more than providing every procedural detail on the landing page. Detailed professional guidance can then sit behind clearly labelled links.</w:t>
      </w:r>
    </w:p>
    <w:p w14:paraId="71C9E1A2" w14:textId="77777777" w:rsidR="00933DC9" w:rsidRPr="00F533AF" w:rsidRDefault="00E35A5E" w:rsidP="00445AB0">
      <w:pPr>
        <w:pStyle w:val="Heading1"/>
        <w:spacing w:line="360" w:lineRule="auto"/>
        <w:jc w:val="both"/>
        <w:rPr>
          <w:rFonts w:ascii="Arial" w:hAnsi="Arial" w:cs="Arial"/>
          <w:sz w:val="22"/>
          <w:szCs w:val="22"/>
        </w:rPr>
      </w:pPr>
      <w:bookmarkStart w:id="8" w:name="_Toc237507987"/>
      <w:r w:rsidRPr="00F533AF">
        <w:rPr>
          <w:rFonts w:ascii="Arial" w:hAnsi="Arial" w:cs="Arial"/>
          <w:sz w:val="22"/>
          <w:szCs w:val="22"/>
        </w:rPr>
        <w:lastRenderedPageBreak/>
        <w:t xml:space="preserve">8. </w:t>
      </w:r>
      <w:r w:rsidRPr="00F533AF">
        <w:rPr>
          <w:sz w:val="22"/>
          <w:szCs w:val="22"/>
        </w:rPr>
        <w:t>Conclusion and Recommendations</w:t>
      </w:r>
      <w:bookmarkEnd w:id="8"/>
    </w:p>
    <w:p w14:paraId="68E201BB" w14:textId="2642AB5F" w:rsidR="00933DC9" w:rsidRPr="00F533AF" w:rsidRDefault="00E35A5E" w:rsidP="00445AB0">
      <w:pPr>
        <w:spacing w:line="360" w:lineRule="auto"/>
        <w:jc w:val="both"/>
        <w:rPr>
          <w:rFonts w:ascii="Arial" w:hAnsi="Arial" w:cs="Arial"/>
        </w:rPr>
      </w:pPr>
      <w:r w:rsidRPr="00F533AF">
        <w:rPr>
          <w:rFonts w:ascii="Arial" w:hAnsi="Arial" w:cs="Arial"/>
        </w:rPr>
        <w:t xml:space="preserve">This review shows that Early Help is more than a webpage or referral form. It is a partnership approach designed to </w:t>
      </w:r>
      <w:r w:rsidR="00406465" w:rsidRPr="00F533AF">
        <w:rPr>
          <w:rFonts w:ascii="Arial" w:hAnsi="Arial" w:cs="Arial"/>
        </w:rPr>
        <w:t>recognize</w:t>
      </w:r>
      <w:r w:rsidRPr="00F533AF">
        <w:rPr>
          <w:rFonts w:ascii="Arial" w:hAnsi="Arial" w:cs="Arial"/>
        </w:rPr>
        <w:t xml:space="preserve"> </w:t>
      </w:r>
      <w:r w:rsidR="00351BB4" w:rsidRPr="00F533AF">
        <w:rPr>
          <w:rFonts w:ascii="Arial" w:hAnsi="Arial" w:cs="Arial"/>
        </w:rPr>
        <w:t>early need</w:t>
      </w:r>
      <w:r w:rsidRPr="00F533AF">
        <w:rPr>
          <w:rFonts w:ascii="Arial" w:hAnsi="Arial" w:cs="Arial"/>
        </w:rPr>
        <w:t>, coordinate support and prevent difficulties from escalating. The three local authorities all provide routes into support, but they communicate that offer differently.</w:t>
      </w:r>
    </w:p>
    <w:p w14:paraId="416942C4" w14:textId="77777777" w:rsidR="00933DC9" w:rsidRPr="00F533AF" w:rsidRDefault="00E35A5E" w:rsidP="00445AB0">
      <w:pPr>
        <w:spacing w:line="360" w:lineRule="auto"/>
        <w:jc w:val="both"/>
        <w:rPr>
          <w:rFonts w:ascii="Arial" w:hAnsi="Arial" w:cs="Arial"/>
        </w:rPr>
      </w:pPr>
      <w:r w:rsidRPr="00F533AF">
        <w:rPr>
          <w:rFonts w:ascii="Arial" w:hAnsi="Arial" w:cs="Arial"/>
        </w:rPr>
        <w:t>Leicestershire is strongest where families and professionals need detailed information and clearly separated referral routes. Norfolk shows strong evidence of a wider, integrated system in which community support, Family Hubs, Early Help, Family Help and safeguarding are connected. Staffordshire is the most effective for a family seeking a simple first step because its language is direct, warm and free from unnecessary professional terminology. On balance, Staffordshire appears to provide the most accessible public-facing Early Help information, while Leicestershire offers the strongest procedural detail.</w:t>
      </w:r>
    </w:p>
    <w:p w14:paraId="7E333F41" w14:textId="77777777" w:rsidR="00933DC9" w:rsidRPr="00F533AF" w:rsidRDefault="00E35A5E" w:rsidP="00445AB0">
      <w:pPr>
        <w:spacing w:line="360" w:lineRule="auto"/>
        <w:jc w:val="both"/>
        <w:rPr>
          <w:rFonts w:ascii="Arial" w:hAnsi="Arial" w:cs="Arial"/>
        </w:rPr>
      </w:pPr>
      <w:r w:rsidRPr="00F533AF">
        <w:rPr>
          <w:rFonts w:ascii="Arial" w:hAnsi="Arial" w:cs="Arial"/>
        </w:rPr>
        <w:t>The following improvements are recommended:</w:t>
      </w:r>
    </w:p>
    <w:p w14:paraId="0F0E8997" w14:textId="77777777" w:rsidR="00933DC9" w:rsidRPr="00F533AF" w:rsidRDefault="00E35A5E" w:rsidP="00445AB0">
      <w:pPr>
        <w:spacing w:line="360" w:lineRule="auto"/>
        <w:jc w:val="both"/>
        <w:rPr>
          <w:rFonts w:ascii="Arial" w:hAnsi="Arial" w:cs="Arial"/>
        </w:rPr>
      </w:pPr>
      <w:r w:rsidRPr="00F533AF">
        <w:rPr>
          <w:rFonts w:ascii="Arial" w:hAnsi="Arial" w:cs="Arial"/>
        </w:rPr>
        <w:t>1. Adopt plain language as the default. Local authorities should test key pages with parents and carers who have no professional knowledge of children’s services. Terms such as “Family Help”, “Early Help”, “triage” and “MARF” should be explained the first time they appear.</w:t>
      </w:r>
    </w:p>
    <w:p w14:paraId="3BC12BC4" w14:textId="77777777" w:rsidR="00933DC9" w:rsidRPr="00F533AF" w:rsidRDefault="00E35A5E" w:rsidP="00445AB0">
      <w:pPr>
        <w:spacing w:line="360" w:lineRule="auto"/>
        <w:jc w:val="both"/>
        <w:rPr>
          <w:rFonts w:ascii="Arial" w:hAnsi="Arial" w:cs="Arial"/>
        </w:rPr>
      </w:pPr>
      <w:r w:rsidRPr="00F533AF">
        <w:rPr>
          <w:rFonts w:ascii="Arial" w:hAnsi="Arial" w:cs="Arial"/>
        </w:rPr>
        <w:t>2. Create one clear “I need help” route. A prominent button should take families to a short explanation of what happens next, with separate professional routes clearly signposted underneath.</w:t>
      </w:r>
    </w:p>
    <w:p w14:paraId="7CB8C3BC" w14:textId="77777777" w:rsidR="00933DC9" w:rsidRPr="00F533AF" w:rsidRDefault="00E35A5E" w:rsidP="00445AB0">
      <w:pPr>
        <w:spacing w:line="360" w:lineRule="auto"/>
        <w:jc w:val="both"/>
        <w:rPr>
          <w:rFonts w:ascii="Arial" w:hAnsi="Arial" w:cs="Arial"/>
        </w:rPr>
      </w:pPr>
      <w:r w:rsidRPr="00F533AF">
        <w:rPr>
          <w:rFonts w:ascii="Arial" w:hAnsi="Arial" w:cs="Arial"/>
        </w:rPr>
        <w:t>3. Make escalation and safeguarding boundaries visible. Websites should explain, without alarming families, when Early Help is appropriate and when urgent safeguarding action is required.</w:t>
      </w:r>
    </w:p>
    <w:p w14:paraId="5739F2B7" w14:textId="4A72FAE2" w:rsidR="00933DC9" w:rsidRPr="00F533AF" w:rsidRDefault="00E35A5E" w:rsidP="00445AB0">
      <w:pPr>
        <w:spacing w:line="360" w:lineRule="auto"/>
        <w:jc w:val="both"/>
        <w:rPr>
          <w:rFonts w:ascii="Arial" w:hAnsi="Arial" w:cs="Arial"/>
        </w:rPr>
      </w:pPr>
      <w:r w:rsidRPr="00F533AF">
        <w:rPr>
          <w:rFonts w:ascii="Arial" w:hAnsi="Arial" w:cs="Arial"/>
        </w:rPr>
        <w:t xml:space="preserve">4. Improve accessibility and inclusion. Information should be available in accessible formats and, where needed, translated or supported </w:t>
      </w:r>
      <w:r w:rsidR="00FD2AF0" w:rsidRPr="00F533AF">
        <w:rPr>
          <w:rFonts w:ascii="Arial" w:hAnsi="Arial" w:cs="Arial"/>
        </w:rPr>
        <w:t>by</w:t>
      </w:r>
      <w:r w:rsidRPr="00F533AF">
        <w:rPr>
          <w:rFonts w:ascii="Arial" w:hAnsi="Arial" w:cs="Arial"/>
        </w:rPr>
        <w:t xml:space="preserve"> community </w:t>
      </w:r>
      <w:r w:rsidR="00351BB4" w:rsidRPr="00F533AF">
        <w:rPr>
          <w:rFonts w:ascii="Arial" w:hAnsi="Arial" w:cs="Arial"/>
        </w:rPr>
        <w:t>organizations</w:t>
      </w:r>
      <w:r w:rsidRPr="00F533AF">
        <w:rPr>
          <w:rFonts w:ascii="Arial" w:hAnsi="Arial" w:cs="Arial"/>
        </w:rPr>
        <w:t>. The GRRAACCEESS framework can be used as a prompt to consider whether different families are likely to experience barriers to engagement.</w:t>
      </w:r>
    </w:p>
    <w:p w14:paraId="65213437" w14:textId="77777777" w:rsidR="00933DC9" w:rsidRPr="00F533AF" w:rsidRDefault="00E35A5E" w:rsidP="00445AB0">
      <w:pPr>
        <w:spacing w:line="360" w:lineRule="auto"/>
        <w:jc w:val="both"/>
        <w:rPr>
          <w:rFonts w:ascii="Arial" w:hAnsi="Arial" w:cs="Arial"/>
        </w:rPr>
      </w:pPr>
      <w:r w:rsidRPr="00F533AF">
        <w:rPr>
          <w:rFonts w:ascii="Arial" w:hAnsi="Arial" w:cs="Arial"/>
        </w:rPr>
        <w:t>5. Keep information current. Broken links, outdated forms and unclear service names can undermine confidence. Each authority should assign responsibility for routine review of Early Help webpages and referral information.</w:t>
      </w:r>
    </w:p>
    <w:p w14:paraId="45DD04BC" w14:textId="1CADAC49" w:rsidR="00933DC9" w:rsidRPr="00F533AF" w:rsidRDefault="00E35A5E" w:rsidP="00445AB0">
      <w:pPr>
        <w:spacing w:line="360" w:lineRule="auto"/>
        <w:jc w:val="both"/>
        <w:rPr>
          <w:rFonts w:ascii="Arial" w:hAnsi="Arial" w:cs="Arial"/>
        </w:rPr>
      </w:pPr>
      <w:r w:rsidRPr="00F533AF">
        <w:rPr>
          <w:rFonts w:ascii="Arial" w:hAnsi="Arial" w:cs="Arial"/>
        </w:rPr>
        <w:t xml:space="preserve">Overall, the comparison supports a simple principle: effective signposting should make the first step towards help easier, not harder. A family should be able to </w:t>
      </w:r>
      <w:r w:rsidR="0059363F" w:rsidRPr="00F533AF">
        <w:rPr>
          <w:rFonts w:ascii="Arial" w:hAnsi="Arial" w:cs="Arial"/>
        </w:rPr>
        <w:t>recognize</w:t>
      </w:r>
      <w:r w:rsidRPr="00F533AF">
        <w:rPr>
          <w:rFonts w:ascii="Arial" w:hAnsi="Arial" w:cs="Arial"/>
        </w:rPr>
        <w:t xml:space="preserve"> that the service is meant for people like them, understand what kind of support is available and know exactly what to do next. That is where Staffordshire currently provides the clearest model, while the other authorities offer useful features that could be combined into a more consistently accessible approach.</w:t>
      </w:r>
    </w:p>
    <w:p w14:paraId="4A9B735F" w14:textId="77777777" w:rsidR="006A6765" w:rsidRPr="00F533AF" w:rsidRDefault="006A6765" w:rsidP="00445AB0">
      <w:pPr>
        <w:spacing w:line="360" w:lineRule="auto"/>
        <w:jc w:val="both"/>
        <w:rPr>
          <w:rFonts w:ascii="Arial" w:hAnsi="Arial" w:cs="Arial"/>
        </w:rPr>
      </w:pPr>
    </w:p>
    <w:p w14:paraId="4B0B8992" w14:textId="41BC9B66" w:rsidR="00933DC9" w:rsidRPr="00F533AF" w:rsidRDefault="00251191" w:rsidP="00445AB0">
      <w:pPr>
        <w:spacing w:line="360" w:lineRule="auto"/>
        <w:jc w:val="both"/>
        <w:rPr>
          <w:rFonts w:ascii="Arial" w:hAnsi="Arial" w:cs="Arial"/>
          <w:noProof/>
        </w:rPr>
      </w:pPr>
      <w:r w:rsidRPr="00F533AF">
        <w:rPr>
          <w:rFonts w:ascii="Arial" w:hAnsi="Arial" w:cs="Arial"/>
          <w:noProof/>
        </w:rPr>
        <w:lastRenderedPageBreak/>
        <w:drawing>
          <wp:inline distT="0" distB="0" distL="0" distR="0" wp14:anchorId="7BA27BA2" wp14:editId="2D153DCD">
            <wp:extent cx="6486525" cy="3566573"/>
            <wp:effectExtent l="0" t="0" r="0" b="0"/>
            <wp:docPr id="1582963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74698" cy="3615055"/>
                    </a:xfrm>
                    <a:prstGeom prst="rect">
                      <a:avLst/>
                    </a:prstGeom>
                    <a:noFill/>
                    <a:ln>
                      <a:noFill/>
                    </a:ln>
                  </pic:spPr>
                </pic:pic>
              </a:graphicData>
            </a:graphic>
          </wp:inline>
        </w:drawing>
      </w:r>
    </w:p>
    <w:p w14:paraId="61A81DCB" w14:textId="6C5B9DDC" w:rsidR="001F2909" w:rsidRPr="00F533AF" w:rsidRDefault="001F2909" w:rsidP="00445AB0">
      <w:pPr>
        <w:spacing w:line="360" w:lineRule="auto"/>
        <w:jc w:val="both"/>
        <w:rPr>
          <w:rFonts w:ascii="Arial" w:hAnsi="Arial" w:cs="Arial"/>
        </w:rPr>
      </w:pPr>
    </w:p>
    <w:p w14:paraId="14A987C0" w14:textId="77777777" w:rsidR="00933DC9" w:rsidRPr="00F533AF" w:rsidRDefault="00E35A5E" w:rsidP="00445AB0">
      <w:pPr>
        <w:spacing w:line="360" w:lineRule="auto"/>
        <w:jc w:val="both"/>
        <w:rPr>
          <w:rFonts w:ascii="Arial" w:hAnsi="Arial" w:cs="Arial"/>
        </w:rPr>
      </w:pPr>
      <w:r w:rsidRPr="00F533AF">
        <w:rPr>
          <w:rFonts w:ascii="Arial" w:hAnsi="Arial" w:cs="Arial"/>
          <w:i/>
        </w:rPr>
        <w:t>Figure 1. Early Help assessment framework. Source: adapted by the author from the assessment framework shown in the supplied module materials and the principles of Working Together to Safeguard Children 2026.</w:t>
      </w:r>
    </w:p>
    <w:p w14:paraId="46C97ED5" w14:textId="4E4E8581" w:rsidR="00933DC9" w:rsidRPr="00F533AF" w:rsidRDefault="00933DC9" w:rsidP="00445AB0">
      <w:pPr>
        <w:spacing w:line="360" w:lineRule="auto"/>
        <w:jc w:val="both"/>
        <w:rPr>
          <w:rFonts w:ascii="Arial" w:hAnsi="Arial" w:cs="Arial"/>
          <w:noProof/>
        </w:rPr>
      </w:pPr>
    </w:p>
    <w:p w14:paraId="1F5DDA3B" w14:textId="77777777" w:rsidR="00646D49" w:rsidRPr="00F533AF" w:rsidRDefault="00646D49" w:rsidP="00445AB0">
      <w:pPr>
        <w:spacing w:line="360" w:lineRule="auto"/>
        <w:jc w:val="both"/>
        <w:rPr>
          <w:rFonts w:ascii="Arial" w:hAnsi="Arial" w:cs="Arial"/>
          <w:noProof/>
        </w:rPr>
      </w:pPr>
    </w:p>
    <w:p w14:paraId="2DE096F6" w14:textId="033C310D" w:rsidR="00646D49" w:rsidRPr="00F533AF" w:rsidRDefault="00646D49" w:rsidP="00445AB0">
      <w:pPr>
        <w:spacing w:line="360" w:lineRule="auto"/>
        <w:jc w:val="both"/>
        <w:rPr>
          <w:rFonts w:ascii="Arial" w:hAnsi="Arial" w:cs="Arial"/>
        </w:rPr>
      </w:pPr>
      <w:r w:rsidRPr="00F533AF">
        <w:rPr>
          <w:rFonts w:ascii="Arial" w:hAnsi="Arial" w:cs="Arial"/>
          <w:noProof/>
        </w:rPr>
        <w:drawing>
          <wp:inline distT="0" distB="0" distL="0" distR="0" wp14:anchorId="06B350F8" wp14:editId="5A71F524">
            <wp:extent cx="6301740" cy="2883877"/>
            <wp:effectExtent l="0" t="0" r="3810" b="0"/>
            <wp:docPr id="20260627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13314" cy="2889174"/>
                    </a:xfrm>
                    <a:prstGeom prst="rect">
                      <a:avLst/>
                    </a:prstGeom>
                    <a:noFill/>
                    <a:ln>
                      <a:noFill/>
                    </a:ln>
                  </pic:spPr>
                </pic:pic>
              </a:graphicData>
            </a:graphic>
          </wp:inline>
        </w:drawing>
      </w:r>
    </w:p>
    <w:p w14:paraId="3B13800E" w14:textId="77777777" w:rsidR="00933DC9" w:rsidRPr="00F533AF" w:rsidRDefault="00E35A5E" w:rsidP="00445AB0">
      <w:pPr>
        <w:spacing w:line="360" w:lineRule="auto"/>
        <w:jc w:val="both"/>
        <w:rPr>
          <w:rFonts w:ascii="Arial" w:hAnsi="Arial" w:cs="Arial"/>
        </w:rPr>
      </w:pPr>
      <w:r w:rsidRPr="00F533AF">
        <w:rPr>
          <w:rFonts w:ascii="Arial" w:hAnsi="Arial" w:cs="Arial"/>
          <w:i/>
        </w:rPr>
        <w:lastRenderedPageBreak/>
        <w:t>Figure 2. Simplified comparison of Early Help referral/signposting routes. Source: author’s analysis of the three local authority approaches reviewed.</w:t>
      </w:r>
    </w:p>
    <w:p w14:paraId="76246848" w14:textId="77777777" w:rsidR="00933DC9" w:rsidRPr="00F533AF" w:rsidRDefault="00E35A5E" w:rsidP="00445AB0">
      <w:pPr>
        <w:pStyle w:val="Heading1"/>
        <w:spacing w:line="360" w:lineRule="auto"/>
        <w:jc w:val="both"/>
        <w:rPr>
          <w:rFonts w:ascii="Arial" w:hAnsi="Arial" w:cs="Arial"/>
          <w:sz w:val="22"/>
          <w:szCs w:val="22"/>
        </w:rPr>
      </w:pPr>
      <w:bookmarkStart w:id="9" w:name="_Toc237507988"/>
      <w:r w:rsidRPr="00F533AF">
        <w:rPr>
          <w:rFonts w:ascii="Arial" w:hAnsi="Arial" w:cs="Arial"/>
          <w:sz w:val="22"/>
          <w:szCs w:val="22"/>
        </w:rPr>
        <w:t>Figure 3. Comparative analysis of the three websites</w:t>
      </w:r>
      <w:bookmarkEnd w:id="9"/>
    </w:p>
    <w:tbl>
      <w:tblPr>
        <w:tblStyle w:val="TableGrid"/>
        <w:tblW w:w="0" w:type="auto"/>
        <w:jc w:val="center"/>
        <w:tblLook w:val="04A0" w:firstRow="1" w:lastRow="0" w:firstColumn="1" w:lastColumn="0" w:noHBand="0" w:noVBand="1"/>
      </w:tblPr>
      <w:tblGrid>
        <w:gridCol w:w="2484"/>
        <w:gridCol w:w="2484"/>
        <w:gridCol w:w="2484"/>
        <w:gridCol w:w="2484"/>
      </w:tblGrid>
      <w:tr w:rsidR="00933DC9" w:rsidRPr="00F533AF" w14:paraId="1123B398" w14:textId="77777777">
        <w:trPr>
          <w:jc w:val="center"/>
        </w:trPr>
        <w:tc>
          <w:tcPr>
            <w:tcW w:w="2484" w:type="dxa"/>
            <w:shd w:val="clear" w:color="auto" w:fill="D9E2F3"/>
            <w:tcMar>
              <w:top w:w="90" w:type="dxa"/>
              <w:left w:w="90" w:type="dxa"/>
              <w:bottom w:w="90" w:type="dxa"/>
              <w:right w:w="90" w:type="dxa"/>
            </w:tcMar>
          </w:tcPr>
          <w:p w14:paraId="6DC19222" w14:textId="77777777" w:rsidR="00933DC9" w:rsidRPr="00F533AF" w:rsidRDefault="00E35A5E" w:rsidP="00445AB0">
            <w:pPr>
              <w:spacing w:line="360" w:lineRule="auto"/>
              <w:jc w:val="both"/>
              <w:rPr>
                <w:rFonts w:ascii="Arial" w:hAnsi="Arial" w:cs="Arial"/>
              </w:rPr>
            </w:pPr>
            <w:r w:rsidRPr="00F533AF">
              <w:rPr>
                <w:rFonts w:ascii="Arial" w:hAnsi="Arial" w:cs="Arial"/>
              </w:rPr>
              <w:t>Criterion</w:t>
            </w:r>
          </w:p>
        </w:tc>
        <w:tc>
          <w:tcPr>
            <w:tcW w:w="2484" w:type="dxa"/>
            <w:shd w:val="clear" w:color="auto" w:fill="D9E2F3"/>
            <w:tcMar>
              <w:top w:w="90" w:type="dxa"/>
              <w:left w:w="90" w:type="dxa"/>
              <w:bottom w:w="90" w:type="dxa"/>
              <w:right w:w="90" w:type="dxa"/>
            </w:tcMar>
          </w:tcPr>
          <w:p w14:paraId="3610057C" w14:textId="77777777" w:rsidR="00933DC9" w:rsidRPr="00F533AF" w:rsidRDefault="00E35A5E" w:rsidP="00445AB0">
            <w:pPr>
              <w:spacing w:line="360" w:lineRule="auto"/>
              <w:jc w:val="both"/>
              <w:rPr>
                <w:rFonts w:ascii="Arial" w:hAnsi="Arial" w:cs="Arial"/>
              </w:rPr>
            </w:pPr>
            <w:r w:rsidRPr="00F533AF">
              <w:rPr>
                <w:rFonts w:ascii="Arial" w:hAnsi="Arial" w:cs="Arial"/>
              </w:rPr>
              <w:t>Leicestershire</w:t>
            </w:r>
          </w:p>
        </w:tc>
        <w:tc>
          <w:tcPr>
            <w:tcW w:w="2484" w:type="dxa"/>
            <w:shd w:val="clear" w:color="auto" w:fill="D9E2F3"/>
            <w:tcMar>
              <w:top w:w="90" w:type="dxa"/>
              <w:left w:w="90" w:type="dxa"/>
              <w:bottom w:w="90" w:type="dxa"/>
              <w:right w:w="90" w:type="dxa"/>
            </w:tcMar>
          </w:tcPr>
          <w:p w14:paraId="1FAF2583" w14:textId="77777777" w:rsidR="00933DC9" w:rsidRPr="00F533AF" w:rsidRDefault="00E35A5E" w:rsidP="00445AB0">
            <w:pPr>
              <w:spacing w:line="360" w:lineRule="auto"/>
              <w:jc w:val="both"/>
              <w:rPr>
                <w:rFonts w:ascii="Arial" w:hAnsi="Arial" w:cs="Arial"/>
              </w:rPr>
            </w:pPr>
            <w:r w:rsidRPr="00F533AF">
              <w:rPr>
                <w:rFonts w:ascii="Arial" w:hAnsi="Arial" w:cs="Arial"/>
              </w:rPr>
              <w:t>Norfolk</w:t>
            </w:r>
          </w:p>
        </w:tc>
        <w:tc>
          <w:tcPr>
            <w:tcW w:w="2484" w:type="dxa"/>
            <w:shd w:val="clear" w:color="auto" w:fill="D9E2F3"/>
            <w:tcMar>
              <w:top w:w="90" w:type="dxa"/>
              <w:left w:w="90" w:type="dxa"/>
              <w:bottom w:w="90" w:type="dxa"/>
              <w:right w:w="90" w:type="dxa"/>
            </w:tcMar>
          </w:tcPr>
          <w:p w14:paraId="1D3EE6A9" w14:textId="77777777" w:rsidR="00933DC9" w:rsidRPr="00F533AF" w:rsidRDefault="00E35A5E" w:rsidP="00445AB0">
            <w:pPr>
              <w:spacing w:line="360" w:lineRule="auto"/>
              <w:jc w:val="both"/>
              <w:rPr>
                <w:rFonts w:ascii="Arial" w:hAnsi="Arial" w:cs="Arial"/>
              </w:rPr>
            </w:pPr>
            <w:r w:rsidRPr="00F533AF">
              <w:rPr>
                <w:rFonts w:ascii="Arial" w:hAnsi="Arial" w:cs="Arial"/>
              </w:rPr>
              <w:t>Staffordshire</w:t>
            </w:r>
          </w:p>
        </w:tc>
      </w:tr>
      <w:tr w:rsidR="00933DC9" w:rsidRPr="00F533AF" w14:paraId="1EF9B319" w14:textId="77777777">
        <w:trPr>
          <w:jc w:val="center"/>
        </w:trPr>
        <w:tc>
          <w:tcPr>
            <w:tcW w:w="2484" w:type="dxa"/>
            <w:tcMar>
              <w:top w:w="90" w:type="dxa"/>
              <w:left w:w="90" w:type="dxa"/>
              <w:bottom w:w="90" w:type="dxa"/>
              <w:right w:w="90" w:type="dxa"/>
            </w:tcMar>
            <w:vAlign w:val="center"/>
          </w:tcPr>
          <w:p w14:paraId="21AD8BAA" w14:textId="77777777" w:rsidR="00933DC9" w:rsidRPr="00F533AF" w:rsidRDefault="00E35A5E" w:rsidP="00445AB0">
            <w:pPr>
              <w:spacing w:line="360" w:lineRule="auto"/>
              <w:jc w:val="both"/>
              <w:rPr>
                <w:rFonts w:ascii="Arial" w:hAnsi="Arial" w:cs="Arial"/>
              </w:rPr>
            </w:pPr>
            <w:r w:rsidRPr="00F533AF">
              <w:rPr>
                <w:rFonts w:ascii="Arial" w:hAnsi="Arial" w:cs="Arial"/>
              </w:rPr>
              <w:t>Language clarity</w:t>
            </w:r>
          </w:p>
        </w:tc>
        <w:tc>
          <w:tcPr>
            <w:tcW w:w="2484" w:type="dxa"/>
            <w:tcMar>
              <w:top w:w="90" w:type="dxa"/>
              <w:left w:w="90" w:type="dxa"/>
              <w:bottom w:w="90" w:type="dxa"/>
              <w:right w:w="90" w:type="dxa"/>
            </w:tcMar>
            <w:vAlign w:val="center"/>
          </w:tcPr>
          <w:p w14:paraId="19D3AA23" w14:textId="7CE4C488" w:rsidR="00933DC9" w:rsidRPr="00F533AF" w:rsidRDefault="00E35A5E" w:rsidP="00445AB0">
            <w:pPr>
              <w:spacing w:line="360" w:lineRule="auto"/>
              <w:jc w:val="both"/>
              <w:rPr>
                <w:rFonts w:ascii="Arial" w:hAnsi="Arial" w:cs="Arial"/>
              </w:rPr>
            </w:pPr>
            <w:r w:rsidRPr="00F533AF">
              <w:rPr>
                <w:rFonts w:ascii="Arial" w:hAnsi="Arial" w:cs="Arial"/>
              </w:rPr>
              <w:t xml:space="preserve">Good; some </w:t>
            </w:r>
            <w:r w:rsidR="00351BB4" w:rsidRPr="00F533AF">
              <w:rPr>
                <w:rFonts w:ascii="Arial" w:hAnsi="Arial" w:cs="Arial"/>
              </w:rPr>
              <w:t>organizational</w:t>
            </w:r>
            <w:r w:rsidRPr="00F533AF">
              <w:rPr>
                <w:rFonts w:ascii="Arial" w:hAnsi="Arial" w:cs="Arial"/>
              </w:rPr>
              <w:t xml:space="preserve"> terminology</w:t>
            </w:r>
          </w:p>
        </w:tc>
        <w:tc>
          <w:tcPr>
            <w:tcW w:w="2484" w:type="dxa"/>
            <w:tcMar>
              <w:top w:w="90" w:type="dxa"/>
              <w:left w:w="90" w:type="dxa"/>
              <w:bottom w:w="90" w:type="dxa"/>
              <w:right w:w="90" w:type="dxa"/>
            </w:tcMar>
            <w:vAlign w:val="center"/>
          </w:tcPr>
          <w:p w14:paraId="6832CF16" w14:textId="040D0855" w:rsidR="00933DC9" w:rsidRPr="00F533AF" w:rsidRDefault="00E35A5E" w:rsidP="00445AB0">
            <w:pPr>
              <w:spacing w:line="360" w:lineRule="auto"/>
              <w:jc w:val="both"/>
              <w:rPr>
                <w:rFonts w:ascii="Arial" w:hAnsi="Arial" w:cs="Arial"/>
              </w:rPr>
            </w:pPr>
            <w:r w:rsidRPr="00F533AF">
              <w:rPr>
                <w:rFonts w:ascii="Arial" w:hAnsi="Arial" w:cs="Arial"/>
              </w:rPr>
              <w:t>Family-</w:t>
            </w:r>
            <w:r w:rsidR="00FC59B1" w:rsidRPr="00F533AF">
              <w:rPr>
                <w:rFonts w:ascii="Arial" w:hAnsi="Arial" w:cs="Arial"/>
              </w:rPr>
              <w:t>centered</w:t>
            </w:r>
            <w:r w:rsidRPr="00F533AF">
              <w:rPr>
                <w:rFonts w:ascii="Arial" w:hAnsi="Arial" w:cs="Arial"/>
              </w:rPr>
              <w:t>, but processes can be complex</w:t>
            </w:r>
          </w:p>
        </w:tc>
        <w:tc>
          <w:tcPr>
            <w:tcW w:w="2484" w:type="dxa"/>
            <w:tcMar>
              <w:top w:w="90" w:type="dxa"/>
              <w:left w:w="90" w:type="dxa"/>
              <w:bottom w:w="90" w:type="dxa"/>
              <w:right w:w="90" w:type="dxa"/>
            </w:tcMar>
            <w:vAlign w:val="center"/>
          </w:tcPr>
          <w:p w14:paraId="003F7F0D" w14:textId="77777777" w:rsidR="00933DC9" w:rsidRPr="00F533AF" w:rsidRDefault="00E35A5E" w:rsidP="00445AB0">
            <w:pPr>
              <w:spacing w:line="360" w:lineRule="auto"/>
              <w:jc w:val="both"/>
              <w:rPr>
                <w:rFonts w:ascii="Arial" w:hAnsi="Arial" w:cs="Arial"/>
              </w:rPr>
            </w:pPr>
            <w:r w:rsidRPr="00F533AF">
              <w:rPr>
                <w:rFonts w:ascii="Arial" w:hAnsi="Arial" w:cs="Arial"/>
              </w:rPr>
              <w:t>Excellent; plain and reassuring</w:t>
            </w:r>
          </w:p>
        </w:tc>
      </w:tr>
      <w:tr w:rsidR="00933DC9" w:rsidRPr="00F533AF" w14:paraId="15F88E89" w14:textId="77777777">
        <w:trPr>
          <w:jc w:val="center"/>
        </w:trPr>
        <w:tc>
          <w:tcPr>
            <w:tcW w:w="2484" w:type="dxa"/>
            <w:tcMar>
              <w:top w:w="90" w:type="dxa"/>
              <w:left w:w="90" w:type="dxa"/>
              <w:bottom w:w="90" w:type="dxa"/>
              <w:right w:w="90" w:type="dxa"/>
            </w:tcMar>
            <w:vAlign w:val="center"/>
          </w:tcPr>
          <w:p w14:paraId="6C588159" w14:textId="77777777" w:rsidR="00933DC9" w:rsidRPr="00F533AF" w:rsidRDefault="00E35A5E" w:rsidP="00445AB0">
            <w:pPr>
              <w:spacing w:line="360" w:lineRule="auto"/>
              <w:jc w:val="both"/>
              <w:rPr>
                <w:rFonts w:ascii="Arial" w:hAnsi="Arial" w:cs="Arial"/>
              </w:rPr>
            </w:pPr>
            <w:r w:rsidRPr="00F533AF">
              <w:rPr>
                <w:rFonts w:ascii="Arial" w:hAnsi="Arial" w:cs="Arial"/>
              </w:rPr>
              <w:t>User-friendliness</w:t>
            </w:r>
          </w:p>
        </w:tc>
        <w:tc>
          <w:tcPr>
            <w:tcW w:w="2484" w:type="dxa"/>
            <w:tcMar>
              <w:top w:w="90" w:type="dxa"/>
              <w:left w:w="90" w:type="dxa"/>
              <w:bottom w:w="90" w:type="dxa"/>
              <w:right w:w="90" w:type="dxa"/>
            </w:tcMar>
            <w:vAlign w:val="center"/>
          </w:tcPr>
          <w:p w14:paraId="1A67358F" w14:textId="77777777" w:rsidR="00933DC9" w:rsidRPr="00F533AF" w:rsidRDefault="00E35A5E" w:rsidP="00445AB0">
            <w:pPr>
              <w:spacing w:line="360" w:lineRule="auto"/>
              <w:jc w:val="both"/>
              <w:rPr>
                <w:rFonts w:ascii="Arial" w:hAnsi="Arial" w:cs="Arial"/>
              </w:rPr>
            </w:pPr>
            <w:r w:rsidRPr="00F533AF">
              <w:rPr>
                <w:rFonts w:ascii="Arial" w:hAnsi="Arial" w:cs="Arial"/>
              </w:rPr>
              <w:t>Good</w:t>
            </w:r>
          </w:p>
        </w:tc>
        <w:tc>
          <w:tcPr>
            <w:tcW w:w="2484" w:type="dxa"/>
            <w:tcMar>
              <w:top w:w="90" w:type="dxa"/>
              <w:left w:w="90" w:type="dxa"/>
              <w:bottom w:w="90" w:type="dxa"/>
              <w:right w:w="90" w:type="dxa"/>
            </w:tcMar>
            <w:vAlign w:val="center"/>
          </w:tcPr>
          <w:p w14:paraId="047E7D1A" w14:textId="77777777" w:rsidR="00933DC9" w:rsidRPr="00F533AF" w:rsidRDefault="00E35A5E" w:rsidP="00445AB0">
            <w:pPr>
              <w:spacing w:line="360" w:lineRule="auto"/>
              <w:jc w:val="both"/>
              <w:rPr>
                <w:rFonts w:ascii="Arial" w:hAnsi="Arial" w:cs="Arial"/>
              </w:rPr>
            </w:pPr>
            <w:r w:rsidRPr="00F533AF">
              <w:rPr>
                <w:rFonts w:ascii="Arial" w:hAnsi="Arial" w:cs="Arial"/>
              </w:rPr>
              <w:t>Moderate for public users</w:t>
            </w:r>
          </w:p>
        </w:tc>
        <w:tc>
          <w:tcPr>
            <w:tcW w:w="2484" w:type="dxa"/>
            <w:tcMar>
              <w:top w:w="90" w:type="dxa"/>
              <w:left w:w="90" w:type="dxa"/>
              <w:bottom w:w="90" w:type="dxa"/>
              <w:right w:w="90" w:type="dxa"/>
            </w:tcMar>
            <w:vAlign w:val="center"/>
          </w:tcPr>
          <w:p w14:paraId="0392133C" w14:textId="77777777" w:rsidR="00933DC9" w:rsidRPr="00F533AF" w:rsidRDefault="00E35A5E" w:rsidP="00445AB0">
            <w:pPr>
              <w:spacing w:line="360" w:lineRule="auto"/>
              <w:jc w:val="both"/>
              <w:rPr>
                <w:rFonts w:ascii="Arial" w:hAnsi="Arial" w:cs="Arial"/>
              </w:rPr>
            </w:pPr>
            <w:r w:rsidRPr="00F533AF">
              <w:rPr>
                <w:rFonts w:ascii="Arial" w:hAnsi="Arial" w:cs="Arial"/>
              </w:rPr>
              <w:t>High</w:t>
            </w:r>
          </w:p>
        </w:tc>
      </w:tr>
      <w:tr w:rsidR="00933DC9" w:rsidRPr="00F533AF" w14:paraId="3440C5DD" w14:textId="77777777">
        <w:trPr>
          <w:jc w:val="center"/>
        </w:trPr>
        <w:tc>
          <w:tcPr>
            <w:tcW w:w="2484" w:type="dxa"/>
            <w:tcMar>
              <w:top w:w="90" w:type="dxa"/>
              <w:left w:w="90" w:type="dxa"/>
              <w:bottom w:w="90" w:type="dxa"/>
              <w:right w:w="90" w:type="dxa"/>
            </w:tcMar>
            <w:vAlign w:val="center"/>
          </w:tcPr>
          <w:p w14:paraId="7B80D7E9" w14:textId="77777777" w:rsidR="00933DC9" w:rsidRPr="00F533AF" w:rsidRDefault="00E35A5E" w:rsidP="00445AB0">
            <w:pPr>
              <w:spacing w:line="360" w:lineRule="auto"/>
              <w:jc w:val="both"/>
              <w:rPr>
                <w:rFonts w:ascii="Arial" w:hAnsi="Arial" w:cs="Arial"/>
              </w:rPr>
            </w:pPr>
            <w:r w:rsidRPr="00F533AF">
              <w:rPr>
                <w:rFonts w:ascii="Arial" w:hAnsi="Arial" w:cs="Arial"/>
              </w:rPr>
              <w:t>Referral pathways</w:t>
            </w:r>
          </w:p>
        </w:tc>
        <w:tc>
          <w:tcPr>
            <w:tcW w:w="2484" w:type="dxa"/>
            <w:tcMar>
              <w:top w:w="90" w:type="dxa"/>
              <w:left w:w="90" w:type="dxa"/>
              <w:bottom w:w="90" w:type="dxa"/>
              <w:right w:w="90" w:type="dxa"/>
            </w:tcMar>
            <w:vAlign w:val="center"/>
          </w:tcPr>
          <w:p w14:paraId="18E8040D" w14:textId="77777777" w:rsidR="00933DC9" w:rsidRPr="00F533AF" w:rsidRDefault="00E35A5E" w:rsidP="00445AB0">
            <w:pPr>
              <w:spacing w:line="360" w:lineRule="auto"/>
              <w:jc w:val="both"/>
              <w:rPr>
                <w:rFonts w:ascii="Arial" w:hAnsi="Arial" w:cs="Arial"/>
              </w:rPr>
            </w:pPr>
            <w:r w:rsidRPr="00F533AF">
              <w:rPr>
                <w:rFonts w:ascii="Arial" w:hAnsi="Arial" w:cs="Arial"/>
              </w:rPr>
              <w:t>Very clear; family and professional routes</w:t>
            </w:r>
          </w:p>
        </w:tc>
        <w:tc>
          <w:tcPr>
            <w:tcW w:w="2484" w:type="dxa"/>
            <w:tcMar>
              <w:top w:w="90" w:type="dxa"/>
              <w:left w:w="90" w:type="dxa"/>
              <w:bottom w:w="90" w:type="dxa"/>
              <w:right w:w="90" w:type="dxa"/>
            </w:tcMar>
            <w:vAlign w:val="center"/>
          </w:tcPr>
          <w:p w14:paraId="17F02AAF" w14:textId="77777777" w:rsidR="00933DC9" w:rsidRPr="00F533AF" w:rsidRDefault="00E35A5E" w:rsidP="00445AB0">
            <w:pPr>
              <w:spacing w:line="360" w:lineRule="auto"/>
              <w:jc w:val="both"/>
              <w:rPr>
                <w:rFonts w:ascii="Arial" w:hAnsi="Arial" w:cs="Arial"/>
              </w:rPr>
            </w:pPr>
            <w:r w:rsidRPr="00F533AF">
              <w:rPr>
                <w:rFonts w:ascii="Arial" w:hAnsi="Arial" w:cs="Arial"/>
              </w:rPr>
              <w:t>Clear within wider triage</w:t>
            </w:r>
          </w:p>
        </w:tc>
        <w:tc>
          <w:tcPr>
            <w:tcW w:w="2484" w:type="dxa"/>
            <w:tcMar>
              <w:top w:w="90" w:type="dxa"/>
              <w:left w:w="90" w:type="dxa"/>
              <w:bottom w:w="90" w:type="dxa"/>
              <w:right w:w="90" w:type="dxa"/>
            </w:tcMar>
            <w:vAlign w:val="center"/>
          </w:tcPr>
          <w:p w14:paraId="73A24BBF" w14:textId="77777777" w:rsidR="00933DC9" w:rsidRPr="00F533AF" w:rsidRDefault="00E35A5E" w:rsidP="00445AB0">
            <w:pPr>
              <w:spacing w:line="360" w:lineRule="auto"/>
              <w:jc w:val="both"/>
              <w:rPr>
                <w:rFonts w:ascii="Arial" w:hAnsi="Arial" w:cs="Arial"/>
              </w:rPr>
            </w:pPr>
            <w:r w:rsidRPr="00F533AF">
              <w:rPr>
                <w:rFonts w:ascii="Arial" w:hAnsi="Arial" w:cs="Arial"/>
              </w:rPr>
              <w:t>Simple direct contact</w:t>
            </w:r>
          </w:p>
        </w:tc>
      </w:tr>
      <w:tr w:rsidR="00933DC9" w:rsidRPr="00F533AF" w14:paraId="3551830B" w14:textId="77777777">
        <w:trPr>
          <w:jc w:val="center"/>
        </w:trPr>
        <w:tc>
          <w:tcPr>
            <w:tcW w:w="2484" w:type="dxa"/>
            <w:tcMar>
              <w:top w:w="90" w:type="dxa"/>
              <w:left w:w="90" w:type="dxa"/>
              <w:bottom w:w="90" w:type="dxa"/>
              <w:right w:w="90" w:type="dxa"/>
            </w:tcMar>
            <w:vAlign w:val="center"/>
          </w:tcPr>
          <w:p w14:paraId="33F38348" w14:textId="77777777" w:rsidR="00933DC9" w:rsidRPr="00F533AF" w:rsidRDefault="00E35A5E" w:rsidP="00445AB0">
            <w:pPr>
              <w:spacing w:line="360" w:lineRule="auto"/>
              <w:jc w:val="both"/>
              <w:rPr>
                <w:rFonts w:ascii="Arial" w:hAnsi="Arial" w:cs="Arial"/>
              </w:rPr>
            </w:pPr>
            <w:r w:rsidRPr="00F533AF">
              <w:rPr>
                <w:rFonts w:ascii="Arial" w:hAnsi="Arial" w:cs="Arial"/>
              </w:rPr>
              <w:t>Service detail</w:t>
            </w:r>
          </w:p>
        </w:tc>
        <w:tc>
          <w:tcPr>
            <w:tcW w:w="2484" w:type="dxa"/>
            <w:tcMar>
              <w:top w:w="90" w:type="dxa"/>
              <w:left w:w="90" w:type="dxa"/>
              <w:bottom w:w="90" w:type="dxa"/>
              <w:right w:w="90" w:type="dxa"/>
            </w:tcMar>
            <w:vAlign w:val="center"/>
          </w:tcPr>
          <w:p w14:paraId="20002C63" w14:textId="77777777" w:rsidR="00933DC9" w:rsidRPr="00F533AF" w:rsidRDefault="00E35A5E" w:rsidP="00445AB0">
            <w:pPr>
              <w:spacing w:line="360" w:lineRule="auto"/>
              <w:jc w:val="both"/>
              <w:rPr>
                <w:rFonts w:ascii="Arial" w:hAnsi="Arial" w:cs="Arial"/>
              </w:rPr>
            </w:pPr>
            <w:r w:rsidRPr="00F533AF">
              <w:rPr>
                <w:rFonts w:ascii="Arial" w:hAnsi="Arial" w:cs="Arial"/>
              </w:rPr>
              <w:t>High</w:t>
            </w:r>
          </w:p>
        </w:tc>
        <w:tc>
          <w:tcPr>
            <w:tcW w:w="2484" w:type="dxa"/>
            <w:tcMar>
              <w:top w:w="90" w:type="dxa"/>
              <w:left w:w="90" w:type="dxa"/>
              <w:bottom w:w="90" w:type="dxa"/>
              <w:right w:w="90" w:type="dxa"/>
            </w:tcMar>
            <w:vAlign w:val="center"/>
          </w:tcPr>
          <w:p w14:paraId="41B39387" w14:textId="77777777" w:rsidR="00933DC9" w:rsidRPr="00F533AF" w:rsidRDefault="00E35A5E" w:rsidP="00445AB0">
            <w:pPr>
              <w:spacing w:line="360" w:lineRule="auto"/>
              <w:jc w:val="both"/>
              <w:rPr>
                <w:rFonts w:ascii="Arial" w:hAnsi="Arial" w:cs="Arial"/>
              </w:rPr>
            </w:pPr>
            <w:r w:rsidRPr="00F533AF">
              <w:rPr>
                <w:rFonts w:ascii="Arial" w:hAnsi="Arial" w:cs="Arial"/>
              </w:rPr>
              <w:t>Moderate to high across linked resources</w:t>
            </w:r>
          </w:p>
        </w:tc>
        <w:tc>
          <w:tcPr>
            <w:tcW w:w="2484" w:type="dxa"/>
            <w:tcMar>
              <w:top w:w="90" w:type="dxa"/>
              <w:left w:w="90" w:type="dxa"/>
              <w:bottom w:w="90" w:type="dxa"/>
              <w:right w:w="90" w:type="dxa"/>
            </w:tcMar>
            <w:vAlign w:val="center"/>
          </w:tcPr>
          <w:p w14:paraId="212F7969" w14:textId="77777777" w:rsidR="00933DC9" w:rsidRPr="00F533AF" w:rsidRDefault="00E35A5E" w:rsidP="00445AB0">
            <w:pPr>
              <w:spacing w:line="360" w:lineRule="auto"/>
              <w:jc w:val="both"/>
              <w:rPr>
                <w:rFonts w:ascii="Arial" w:hAnsi="Arial" w:cs="Arial"/>
              </w:rPr>
            </w:pPr>
            <w:r w:rsidRPr="00F533AF">
              <w:rPr>
                <w:rFonts w:ascii="Arial" w:hAnsi="Arial" w:cs="Arial"/>
              </w:rPr>
              <w:t>More limited</w:t>
            </w:r>
          </w:p>
        </w:tc>
      </w:tr>
      <w:tr w:rsidR="00933DC9" w:rsidRPr="00F533AF" w14:paraId="14DAFC39" w14:textId="77777777">
        <w:trPr>
          <w:jc w:val="center"/>
        </w:trPr>
        <w:tc>
          <w:tcPr>
            <w:tcW w:w="2484" w:type="dxa"/>
            <w:tcMar>
              <w:top w:w="90" w:type="dxa"/>
              <w:left w:w="90" w:type="dxa"/>
              <w:bottom w:w="90" w:type="dxa"/>
              <w:right w:w="90" w:type="dxa"/>
            </w:tcMar>
            <w:vAlign w:val="center"/>
          </w:tcPr>
          <w:p w14:paraId="131D04EE" w14:textId="77777777" w:rsidR="00933DC9" w:rsidRPr="00F533AF" w:rsidRDefault="00E35A5E" w:rsidP="00445AB0">
            <w:pPr>
              <w:spacing w:line="360" w:lineRule="auto"/>
              <w:jc w:val="both"/>
              <w:rPr>
                <w:rFonts w:ascii="Arial" w:hAnsi="Arial" w:cs="Arial"/>
              </w:rPr>
            </w:pPr>
            <w:r w:rsidRPr="00F533AF">
              <w:rPr>
                <w:rFonts w:ascii="Arial" w:hAnsi="Arial" w:cs="Arial"/>
              </w:rPr>
              <w:t>Multi-agency visibility</w:t>
            </w:r>
          </w:p>
        </w:tc>
        <w:tc>
          <w:tcPr>
            <w:tcW w:w="2484" w:type="dxa"/>
            <w:tcMar>
              <w:top w:w="90" w:type="dxa"/>
              <w:left w:w="90" w:type="dxa"/>
              <w:bottom w:w="90" w:type="dxa"/>
              <w:right w:w="90" w:type="dxa"/>
            </w:tcMar>
            <w:vAlign w:val="center"/>
          </w:tcPr>
          <w:p w14:paraId="5B52E052" w14:textId="77777777" w:rsidR="00933DC9" w:rsidRPr="00F533AF" w:rsidRDefault="00E35A5E" w:rsidP="00445AB0">
            <w:pPr>
              <w:spacing w:line="360" w:lineRule="auto"/>
              <w:jc w:val="both"/>
              <w:rPr>
                <w:rFonts w:ascii="Arial" w:hAnsi="Arial" w:cs="Arial"/>
              </w:rPr>
            </w:pPr>
            <w:r w:rsidRPr="00F533AF">
              <w:rPr>
                <w:rFonts w:ascii="Arial" w:hAnsi="Arial" w:cs="Arial"/>
              </w:rPr>
              <w:t>Clear</w:t>
            </w:r>
          </w:p>
        </w:tc>
        <w:tc>
          <w:tcPr>
            <w:tcW w:w="2484" w:type="dxa"/>
            <w:tcMar>
              <w:top w:w="90" w:type="dxa"/>
              <w:left w:w="90" w:type="dxa"/>
              <w:bottom w:w="90" w:type="dxa"/>
              <w:right w:w="90" w:type="dxa"/>
            </w:tcMar>
            <w:vAlign w:val="center"/>
          </w:tcPr>
          <w:p w14:paraId="15749D08" w14:textId="77777777" w:rsidR="00933DC9" w:rsidRPr="00F533AF" w:rsidRDefault="00E35A5E" w:rsidP="00445AB0">
            <w:pPr>
              <w:spacing w:line="360" w:lineRule="auto"/>
              <w:jc w:val="both"/>
              <w:rPr>
                <w:rFonts w:ascii="Arial" w:hAnsi="Arial" w:cs="Arial"/>
              </w:rPr>
            </w:pPr>
            <w:r w:rsidRPr="00F533AF">
              <w:rPr>
                <w:rFonts w:ascii="Arial" w:hAnsi="Arial" w:cs="Arial"/>
              </w:rPr>
              <w:t>Strong whole-system emphasis</w:t>
            </w:r>
          </w:p>
        </w:tc>
        <w:tc>
          <w:tcPr>
            <w:tcW w:w="2484" w:type="dxa"/>
            <w:tcMar>
              <w:top w:w="90" w:type="dxa"/>
              <w:left w:w="90" w:type="dxa"/>
              <w:bottom w:w="90" w:type="dxa"/>
              <w:right w:w="90" w:type="dxa"/>
            </w:tcMar>
            <w:vAlign w:val="center"/>
          </w:tcPr>
          <w:p w14:paraId="35B8FD52" w14:textId="77777777" w:rsidR="00933DC9" w:rsidRPr="00F533AF" w:rsidRDefault="00E35A5E" w:rsidP="00445AB0">
            <w:pPr>
              <w:spacing w:line="360" w:lineRule="auto"/>
              <w:jc w:val="both"/>
              <w:rPr>
                <w:rFonts w:ascii="Arial" w:hAnsi="Arial" w:cs="Arial"/>
              </w:rPr>
            </w:pPr>
            <w:r w:rsidRPr="00F533AF">
              <w:rPr>
                <w:rFonts w:ascii="Arial" w:hAnsi="Arial" w:cs="Arial"/>
              </w:rPr>
              <w:t>Clear partnership message</w:t>
            </w:r>
          </w:p>
        </w:tc>
      </w:tr>
      <w:tr w:rsidR="00933DC9" w:rsidRPr="00F533AF" w14:paraId="105FA58D" w14:textId="77777777">
        <w:trPr>
          <w:jc w:val="center"/>
        </w:trPr>
        <w:tc>
          <w:tcPr>
            <w:tcW w:w="2484" w:type="dxa"/>
            <w:tcMar>
              <w:top w:w="90" w:type="dxa"/>
              <w:left w:w="90" w:type="dxa"/>
              <w:bottom w:w="90" w:type="dxa"/>
              <w:right w:w="90" w:type="dxa"/>
            </w:tcMar>
            <w:vAlign w:val="center"/>
          </w:tcPr>
          <w:p w14:paraId="300ACA7C" w14:textId="77777777" w:rsidR="00933DC9" w:rsidRPr="00F533AF" w:rsidRDefault="00E35A5E" w:rsidP="00445AB0">
            <w:pPr>
              <w:spacing w:line="360" w:lineRule="auto"/>
              <w:jc w:val="both"/>
              <w:rPr>
                <w:rFonts w:ascii="Arial" w:hAnsi="Arial" w:cs="Arial"/>
              </w:rPr>
            </w:pPr>
            <w:r w:rsidRPr="00F533AF">
              <w:rPr>
                <w:rFonts w:ascii="Arial" w:hAnsi="Arial" w:cs="Arial"/>
              </w:rPr>
              <w:t>Overall public accessibility</w:t>
            </w:r>
          </w:p>
        </w:tc>
        <w:tc>
          <w:tcPr>
            <w:tcW w:w="2484" w:type="dxa"/>
            <w:tcMar>
              <w:top w:w="90" w:type="dxa"/>
              <w:left w:w="90" w:type="dxa"/>
              <w:bottom w:w="90" w:type="dxa"/>
              <w:right w:w="90" w:type="dxa"/>
            </w:tcMar>
            <w:vAlign w:val="center"/>
          </w:tcPr>
          <w:p w14:paraId="2906BE3B" w14:textId="77777777" w:rsidR="00933DC9" w:rsidRPr="00F533AF" w:rsidRDefault="00E35A5E" w:rsidP="00445AB0">
            <w:pPr>
              <w:spacing w:line="360" w:lineRule="auto"/>
              <w:jc w:val="both"/>
              <w:rPr>
                <w:rFonts w:ascii="Arial" w:hAnsi="Arial" w:cs="Arial"/>
              </w:rPr>
            </w:pPr>
            <w:r w:rsidRPr="00F533AF">
              <w:rPr>
                <w:rFonts w:ascii="Arial" w:hAnsi="Arial" w:cs="Arial"/>
              </w:rPr>
              <w:t>Strong</w:t>
            </w:r>
          </w:p>
        </w:tc>
        <w:tc>
          <w:tcPr>
            <w:tcW w:w="2484" w:type="dxa"/>
            <w:tcMar>
              <w:top w:w="90" w:type="dxa"/>
              <w:left w:w="90" w:type="dxa"/>
              <w:bottom w:w="90" w:type="dxa"/>
              <w:right w:w="90" w:type="dxa"/>
            </w:tcMar>
            <w:vAlign w:val="center"/>
          </w:tcPr>
          <w:p w14:paraId="02BCA658" w14:textId="77777777" w:rsidR="00933DC9" w:rsidRPr="00F533AF" w:rsidRDefault="00E35A5E" w:rsidP="00445AB0">
            <w:pPr>
              <w:spacing w:line="360" w:lineRule="auto"/>
              <w:jc w:val="both"/>
              <w:rPr>
                <w:rFonts w:ascii="Arial" w:hAnsi="Arial" w:cs="Arial"/>
              </w:rPr>
            </w:pPr>
            <w:r w:rsidRPr="00F533AF">
              <w:rPr>
                <w:rFonts w:ascii="Arial" w:hAnsi="Arial" w:cs="Arial"/>
              </w:rPr>
              <w:t>Good but can be demanding</w:t>
            </w:r>
          </w:p>
        </w:tc>
        <w:tc>
          <w:tcPr>
            <w:tcW w:w="2484" w:type="dxa"/>
            <w:tcMar>
              <w:top w:w="90" w:type="dxa"/>
              <w:left w:w="90" w:type="dxa"/>
              <w:bottom w:w="90" w:type="dxa"/>
              <w:right w:w="90" w:type="dxa"/>
            </w:tcMar>
            <w:vAlign w:val="center"/>
          </w:tcPr>
          <w:p w14:paraId="1A462755" w14:textId="77777777" w:rsidR="00933DC9" w:rsidRPr="00F533AF" w:rsidRDefault="00E35A5E" w:rsidP="00445AB0">
            <w:pPr>
              <w:spacing w:line="360" w:lineRule="auto"/>
              <w:jc w:val="both"/>
              <w:rPr>
                <w:rFonts w:ascii="Arial" w:hAnsi="Arial" w:cs="Arial"/>
              </w:rPr>
            </w:pPr>
            <w:r w:rsidRPr="00F533AF">
              <w:rPr>
                <w:rFonts w:ascii="Arial" w:hAnsi="Arial" w:cs="Arial"/>
              </w:rPr>
              <w:t>Strongest</w:t>
            </w:r>
          </w:p>
        </w:tc>
      </w:tr>
    </w:tbl>
    <w:p w14:paraId="4CFB31E1" w14:textId="77777777" w:rsidR="00646D49" w:rsidRPr="00F533AF" w:rsidRDefault="00E35A5E" w:rsidP="00445AB0">
      <w:pPr>
        <w:spacing w:line="360" w:lineRule="auto"/>
        <w:jc w:val="both"/>
        <w:rPr>
          <w:rFonts w:ascii="Arial" w:hAnsi="Arial" w:cs="Arial"/>
        </w:rPr>
      </w:pPr>
      <w:r w:rsidRPr="00F533AF">
        <w:rPr>
          <w:rFonts w:ascii="Arial" w:hAnsi="Arial" w:cs="Arial"/>
        </w:rPr>
        <w:t>Source: author’s analysis based on the website review.</w:t>
      </w:r>
    </w:p>
    <w:p w14:paraId="5AE2A3F1" w14:textId="77777777" w:rsidR="00646D49" w:rsidRPr="00F533AF" w:rsidRDefault="00646D49" w:rsidP="00445AB0">
      <w:pPr>
        <w:spacing w:line="360" w:lineRule="auto"/>
        <w:jc w:val="both"/>
        <w:rPr>
          <w:rFonts w:ascii="Arial" w:hAnsi="Arial" w:cs="Arial"/>
          <w:color w:val="4F81BD" w:themeColor="accent1"/>
        </w:rPr>
      </w:pPr>
    </w:p>
    <w:p w14:paraId="0CCCD903" w14:textId="30503364" w:rsidR="00646D49" w:rsidRPr="00F533AF" w:rsidRDefault="00EB358E" w:rsidP="00445AB0">
      <w:pPr>
        <w:spacing w:line="360" w:lineRule="auto"/>
        <w:jc w:val="both"/>
        <w:rPr>
          <w:rFonts w:ascii="Arial" w:hAnsi="Arial" w:cs="Arial"/>
          <w:color w:val="1F497D" w:themeColor="text2"/>
        </w:rPr>
      </w:pPr>
      <w:r w:rsidRPr="00F533AF">
        <w:rPr>
          <w:rFonts w:ascii="Arial" w:hAnsi="Arial" w:cs="Arial"/>
          <w:color w:val="1F497D" w:themeColor="text2"/>
        </w:rPr>
        <w:t>Figure 4</w:t>
      </w:r>
      <w:r w:rsidR="00D73EE9" w:rsidRPr="00F533AF">
        <w:rPr>
          <w:rFonts w:ascii="Arial" w:hAnsi="Arial" w:cs="Arial"/>
          <w:color w:val="1F497D" w:themeColor="text2"/>
        </w:rPr>
        <w:t>-</w:t>
      </w:r>
      <w:r w:rsidR="004024E1" w:rsidRPr="00F533AF">
        <w:rPr>
          <w:rFonts w:ascii="Arial" w:hAnsi="Arial" w:cs="Arial"/>
          <w:color w:val="1F497D" w:themeColor="text2"/>
        </w:rPr>
        <w:t xml:space="preserve"> GRRAACCEESS.</w:t>
      </w:r>
    </w:p>
    <w:p w14:paraId="79CF6F56" w14:textId="382FEA96" w:rsidR="00AA5F5F" w:rsidRPr="00F533AF" w:rsidRDefault="0046026E" w:rsidP="00445AB0">
      <w:pPr>
        <w:spacing w:line="360" w:lineRule="auto"/>
        <w:jc w:val="both"/>
        <w:rPr>
          <w:rFonts w:ascii="Arial" w:hAnsi="Arial" w:cs="Arial"/>
        </w:rPr>
      </w:pPr>
      <w:r w:rsidRPr="00F533AF">
        <w:rPr>
          <w:rFonts w:ascii="Arial" w:hAnsi="Arial" w:cs="Arial"/>
          <w:noProof/>
        </w:rPr>
        <w:lastRenderedPageBreak/>
        <w:drawing>
          <wp:inline distT="0" distB="0" distL="0" distR="0" wp14:anchorId="1C007D69" wp14:editId="744C8FA7">
            <wp:extent cx="6305550" cy="6305550"/>
            <wp:effectExtent l="0" t="0" r="0" b="0"/>
            <wp:docPr id="4367220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05550" cy="6305550"/>
                    </a:xfrm>
                    <a:prstGeom prst="rect">
                      <a:avLst/>
                    </a:prstGeom>
                    <a:noFill/>
                    <a:ln>
                      <a:noFill/>
                    </a:ln>
                  </pic:spPr>
                </pic:pic>
              </a:graphicData>
            </a:graphic>
          </wp:inline>
        </w:drawing>
      </w:r>
    </w:p>
    <w:p w14:paraId="3318B92E" w14:textId="76657F69" w:rsidR="00AA5F5F" w:rsidRPr="00F533AF" w:rsidRDefault="0046026E" w:rsidP="00445AB0">
      <w:pPr>
        <w:spacing w:line="360" w:lineRule="auto"/>
        <w:jc w:val="both"/>
        <w:rPr>
          <w:rFonts w:ascii="Arial" w:hAnsi="Arial" w:cs="Arial"/>
          <w:b/>
          <w:bCs/>
        </w:rPr>
      </w:pPr>
      <w:r w:rsidRPr="00F533AF">
        <w:rPr>
          <w:rStyle w:val="Strong"/>
          <w:rFonts w:ascii="Arial" w:hAnsi="Arial" w:cs="Arial"/>
          <w:b w:val="0"/>
          <w:bCs w:val="0"/>
        </w:rPr>
        <w:t>Burnham, J., Alvis Palma, D. and Whitehouse, L. (2008)</w:t>
      </w:r>
      <w:r w:rsidRPr="00F533AF">
        <w:rPr>
          <w:rFonts w:ascii="Arial" w:hAnsi="Arial" w:cs="Arial"/>
          <w:b/>
          <w:bCs/>
        </w:rPr>
        <w:t xml:space="preserve"> </w:t>
      </w:r>
      <w:r w:rsidRPr="00F533AF">
        <w:rPr>
          <w:rFonts w:ascii="Arial" w:hAnsi="Arial" w:cs="Arial"/>
        </w:rPr>
        <w:t xml:space="preserve">‘Learning as a context for differences and differences as a context for learning’, </w:t>
      </w:r>
      <w:r w:rsidRPr="00F533AF">
        <w:rPr>
          <w:rStyle w:val="Emphasis"/>
          <w:rFonts w:ascii="Arial" w:hAnsi="Arial" w:cs="Arial"/>
        </w:rPr>
        <w:t>Journal of Family Therapy</w:t>
      </w:r>
      <w:r w:rsidRPr="00F533AF">
        <w:rPr>
          <w:rFonts w:ascii="Arial" w:hAnsi="Arial" w:cs="Arial"/>
        </w:rPr>
        <w:t xml:space="preserve">, </w:t>
      </w:r>
      <w:r w:rsidRPr="00F533AF">
        <w:rPr>
          <w:rStyle w:val="Strong"/>
          <w:rFonts w:ascii="Arial" w:hAnsi="Arial" w:cs="Arial"/>
          <w:b w:val="0"/>
          <w:bCs w:val="0"/>
        </w:rPr>
        <w:t>30</w:t>
      </w:r>
      <w:r w:rsidRPr="00F533AF">
        <w:rPr>
          <w:rFonts w:ascii="Arial" w:hAnsi="Arial" w:cs="Arial"/>
        </w:rPr>
        <w:t>(4), pp. 529–542.</w:t>
      </w:r>
      <w:r w:rsidRPr="00F533AF">
        <w:rPr>
          <w:rFonts w:ascii="Arial" w:hAnsi="Arial" w:cs="Arial"/>
          <w:b/>
          <w:bCs/>
        </w:rPr>
        <w:t xml:space="preserve"> </w:t>
      </w:r>
    </w:p>
    <w:p w14:paraId="43F94B7C" w14:textId="77777777" w:rsidR="00AA5F5F" w:rsidRPr="00F533AF" w:rsidRDefault="00AA5F5F" w:rsidP="00445AB0">
      <w:pPr>
        <w:spacing w:line="360" w:lineRule="auto"/>
        <w:jc w:val="both"/>
        <w:rPr>
          <w:rFonts w:ascii="Arial" w:hAnsi="Arial" w:cs="Arial"/>
        </w:rPr>
      </w:pPr>
    </w:p>
    <w:p w14:paraId="7DB889C6" w14:textId="77777777" w:rsidR="00AA5F5F" w:rsidRPr="00F533AF" w:rsidRDefault="00AA5F5F" w:rsidP="00445AB0">
      <w:pPr>
        <w:spacing w:line="360" w:lineRule="auto"/>
        <w:jc w:val="both"/>
        <w:rPr>
          <w:rFonts w:ascii="Arial" w:hAnsi="Arial" w:cs="Arial"/>
        </w:rPr>
      </w:pPr>
    </w:p>
    <w:p w14:paraId="142157D6" w14:textId="77777777" w:rsidR="00A674FC" w:rsidRPr="00F533AF" w:rsidRDefault="00A674FC" w:rsidP="00445AB0">
      <w:pPr>
        <w:spacing w:line="360" w:lineRule="auto"/>
        <w:jc w:val="both"/>
        <w:rPr>
          <w:rFonts w:ascii="Arial" w:hAnsi="Arial" w:cs="Arial"/>
        </w:rPr>
      </w:pPr>
    </w:p>
    <w:p w14:paraId="0F576FC1" w14:textId="43B834C2" w:rsidR="00933DC9" w:rsidRPr="00F533AF" w:rsidRDefault="00E35A5E" w:rsidP="00445AB0">
      <w:pPr>
        <w:pStyle w:val="Heading1"/>
        <w:jc w:val="both"/>
        <w:rPr>
          <w:sz w:val="22"/>
          <w:szCs w:val="22"/>
        </w:rPr>
      </w:pPr>
      <w:bookmarkStart w:id="10" w:name="_Toc237507989"/>
      <w:r w:rsidRPr="00F533AF">
        <w:rPr>
          <w:sz w:val="22"/>
          <w:szCs w:val="22"/>
        </w:rPr>
        <w:t>References</w:t>
      </w:r>
      <w:bookmarkEnd w:id="10"/>
    </w:p>
    <w:p w14:paraId="11C6E4CB" w14:textId="77777777" w:rsidR="00646D49" w:rsidRPr="00F533AF" w:rsidRDefault="00646D49" w:rsidP="00445AB0">
      <w:pPr>
        <w:spacing w:line="360" w:lineRule="auto"/>
        <w:jc w:val="both"/>
        <w:rPr>
          <w:rFonts w:ascii="Arial" w:hAnsi="Arial" w:cs="Arial"/>
          <w:b/>
          <w:bCs/>
        </w:rPr>
      </w:pPr>
    </w:p>
    <w:p w14:paraId="2866F464" w14:textId="68A33FD9" w:rsidR="00933DC9" w:rsidRPr="00F533AF" w:rsidRDefault="00E35A5E" w:rsidP="00445AB0">
      <w:pPr>
        <w:spacing w:after="80" w:line="360" w:lineRule="auto"/>
        <w:ind w:left="288" w:hanging="288"/>
        <w:jc w:val="both"/>
        <w:rPr>
          <w:rFonts w:ascii="Arial" w:hAnsi="Arial" w:cs="Arial"/>
        </w:rPr>
      </w:pPr>
      <w:r w:rsidRPr="00F533AF">
        <w:rPr>
          <w:rFonts w:ascii="Arial" w:hAnsi="Arial" w:cs="Arial"/>
        </w:rPr>
        <w:lastRenderedPageBreak/>
        <w:t xml:space="preserve">Department for Education (2025) Supporting Families – Whole Family Working: Informing Future System Reform. London: Department </w:t>
      </w:r>
      <w:r w:rsidR="00141B05" w:rsidRPr="00F533AF">
        <w:rPr>
          <w:rFonts w:ascii="Arial" w:hAnsi="Arial" w:cs="Arial"/>
        </w:rPr>
        <w:t>of</w:t>
      </w:r>
      <w:r w:rsidRPr="00F533AF">
        <w:rPr>
          <w:rFonts w:ascii="Arial" w:hAnsi="Arial" w:cs="Arial"/>
        </w:rPr>
        <w:t xml:space="preserve"> Education.</w:t>
      </w:r>
    </w:p>
    <w:p w14:paraId="10BA596D" w14:textId="77777777" w:rsidR="00933DC9" w:rsidRPr="00F533AF" w:rsidRDefault="00E35A5E" w:rsidP="00445AB0">
      <w:pPr>
        <w:spacing w:after="80" w:line="360" w:lineRule="auto"/>
        <w:ind w:left="288" w:hanging="288"/>
        <w:jc w:val="both"/>
        <w:rPr>
          <w:rFonts w:ascii="Arial" w:hAnsi="Arial" w:cs="Arial"/>
        </w:rPr>
      </w:pPr>
      <w:r w:rsidRPr="00F533AF">
        <w:rPr>
          <w:rFonts w:ascii="Arial" w:hAnsi="Arial" w:cs="Arial"/>
        </w:rPr>
        <w:t>Department for Levelling Up, Housing and Communities and Department for Education (2022) Supporting Families: Early Help System Guide. London: HM Government.</w:t>
      </w:r>
    </w:p>
    <w:p w14:paraId="58056DCF" w14:textId="77777777" w:rsidR="00933DC9" w:rsidRPr="00F533AF" w:rsidRDefault="00E35A5E" w:rsidP="00445AB0">
      <w:pPr>
        <w:spacing w:after="80" w:line="360" w:lineRule="auto"/>
        <w:ind w:left="288" w:hanging="288"/>
        <w:jc w:val="both"/>
        <w:rPr>
          <w:rFonts w:ascii="Arial" w:hAnsi="Arial" w:cs="Arial"/>
        </w:rPr>
      </w:pPr>
      <w:r w:rsidRPr="00F533AF">
        <w:rPr>
          <w:rFonts w:ascii="Arial" w:hAnsi="Arial" w:cs="Arial"/>
        </w:rPr>
        <w:t>Department for Levelling Up, Housing and Communities (2024) Supporting Families – A Foundation for Family Help: Annual Report 2024. London: HM Government.</w:t>
      </w:r>
    </w:p>
    <w:p w14:paraId="6352756A" w14:textId="22DC4446" w:rsidR="00933DC9" w:rsidRPr="00F533AF" w:rsidRDefault="00E35A5E" w:rsidP="00445AB0">
      <w:pPr>
        <w:spacing w:after="80" w:line="360" w:lineRule="auto"/>
        <w:ind w:left="288" w:hanging="288"/>
        <w:jc w:val="both"/>
        <w:rPr>
          <w:rFonts w:ascii="Arial" w:hAnsi="Arial" w:cs="Arial"/>
        </w:rPr>
      </w:pPr>
      <w:r w:rsidRPr="00F533AF">
        <w:rPr>
          <w:rFonts w:ascii="Arial" w:hAnsi="Arial" w:cs="Arial"/>
        </w:rPr>
        <w:t xml:space="preserve">HM Government (2026) Working Together to Safeguard Children 2026: A guide to multi-agency working to help, protect and promote the welfare of children. London: Department </w:t>
      </w:r>
      <w:r w:rsidR="0059363F" w:rsidRPr="00F533AF">
        <w:rPr>
          <w:rFonts w:ascii="Arial" w:hAnsi="Arial" w:cs="Arial"/>
        </w:rPr>
        <w:t>of</w:t>
      </w:r>
      <w:r w:rsidRPr="00F533AF">
        <w:rPr>
          <w:rFonts w:ascii="Arial" w:hAnsi="Arial" w:cs="Arial"/>
        </w:rPr>
        <w:t xml:space="preserve"> Education.</w:t>
      </w:r>
    </w:p>
    <w:p w14:paraId="6D6F4DD4" w14:textId="77777777" w:rsidR="00933DC9" w:rsidRPr="00F533AF" w:rsidRDefault="00E35A5E" w:rsidP="00445AB0">
      <w:pPr>
        <w:spacing w:after="80" w:line="360" w:lineRule="auto"/>
        <w:ind w:left="288" w:hanging="288"/>
        <w:jc w:val="both"/>
        <w:rPr>
          <w:rFonts w:ascii="Arial" w:hAnsi="Arial" w:cs="Arial"/>
        </w:rPr>
      </w:pPr>
      <w:r w:rsidRPr="00F533AF">
        <w:rPr>
          <w:rFonts w:ascii="Arial" w:hAnsi="Arial" w:cs="Arial"/>
        </w:rPr>
        <w:t>Leicestershire County Council (2026a) Help for children and families. Available at: https://www.leicestershire.gov.uk/education-and-children/social-care-and-supporting-families/help-for-children-and-families (Accessed: 9 August 2026).</w:t>
      </w:r>
    </w:p>
    <w:p w14:paraId="6209B48D" w14:textId="77777777" w:rsidR="00933DC9" w:rsidRPr="00F533AF" w:rsidRDefault="00E35A5E" w:rsidP="00445AB0">
      <w:pPr>
        <w:spacing w:after="80" w:line="360" w:lineRule="auto"/>
        <w:ind w:left="288" w:hanging="288"/>
        <w:jc w:val="both"/>
        <w:rPr>
          <w:rFonts w:ascii="Arial" w:hAnsi="Arial" w:cs="Arial"/>
        </w:rPr>
      </w:pPr>
      <w:r w:rsidRPr="00F533AF">
        <w:rPr>
          <w:rFonts w:ascii="Arial" w:hAnsi="Arial" w:cs="Arial"/>
        </w:rPr>
        <w:t>Leicestershire County Council (2026b) Early Help. Available at: https://resources.leicestershire.gov.uk/education-and-children/child-protection-and-safeguarding/early-help (Accessed: 9 August 2026).</w:t>
      </w:r>
    </w:p>
    <w:p w14:paraId="29606CDA" w14:textId="77777777" w:rsidR="00933DC9" w:rsidRPr="00F533AF" w:rsidRDefault="00E35A5E" w:rsidP="00445AB0">
      <w:pPr>
        <w:spacing w:after="80" w:line="360" w:lineRule="auto"/>
        <w:ind w:left="288" w:hanging="288"/>
        <w:jc w:val="both"/>
        <w:rPr>
          <w:rFonts w:ascii="Arial" w:hAnsi="Arial" w:cs="Arial"/>
        </w:rPr>
      </w:pPr>
      <w:r w:rsidRPr="00F533AF">
        <w:rPr>
          <w:rFonts w:ascii="Arial" w:hAnsi="Arial" w:cs="Arial"/>
        </w:rPr>
        <w:t>Leicestershire County Council (2026c) Multi-Agency Referral Form for Early Help and Social Care services (MARF). Available at: https://resources.leicestershire.gov.uk/education-and-children/child-protection-and-safeguarding/multi-agency-referral-form-for-early-help-and-social-care-services-marf (Accessed: 9 August 2026).</w:t>
      </w:r>
    </w:p>
    <w:p w14:paraId="733CA2B0" w14:textId="77777777" w:rsidR="00933DC9" w:rsidRPr="00F533AF" w:rsidRDefault="00E35A5E" w:rsidP="00445AB0">
      <w:pPr>
        <w:spacing w:after="80" w:line="360" w:lineRule="auto"/>
        <w:ind w:left="288" w:hanging="288"/>
        <w:jc w:val="both"/>
        <w:rPr>
          <w:rFonts w:ascii="Arial" w:hAnsi="Arial" w:cs="Arial"/>
        </w:rPr>
      </w:pPr>
      <w:r w:rsidRPr="00F533AF">
        <w:rPr>
          <w:rFonts w:ascii="Arial" w:hAnsi="Arial" w:cs="Arial"/>
        </w:rPr>
        <w:t>Norfolk Safeguarding Children Partnership (2026a) How to Raise a Concern / Request support for universal, community based Early Help and Family Help. Available at: https://norfolklscp.org.uk/people-working-with-children/how-to-raise-a-concern (Accessed: 9 August 2026).</w:t>
      </w:r>
    </w:p>
    <w:p w14:paraId="783A1C51" w14:textId="77777777" w:rsidR="00933DC9" w:rsidRPr="00F533AF" w:rsidRDefault="00E35A5E" w:rsidP="00445AB0">
      <w:pPr>
        <w:spacing w:after="80" w:line="360" w:lineRule="auto"/>
        <w:ind w:left="288" w:hanging="288"/>
        <w:jc w:val="both"/>
        <w:rPr>
          <w:rFonts w:ascii="Arial" w:hAnsi="Arial" w:cs="Arial"/>
        </w:rPr>
      </w:pPr>
      <w:r w:rsidRPr="00F533AF">
        <w:rPr>
          <w:rFonts w:ascii="Arial" w:hAnsi="Arial" w:cs="Arial"/>
        </w:rPr>
        <w:t>Norfolk Safeguarding Children Partnership (2026b) Children’s Advice &amp; Duty Service (CADS): Frequently Asked Questions. Available at: https://norfolklscp.org.uk/ (Accessed: 9 August 2026).</w:t>
      </w:r>
    </w:p>
    <w:p w14:paraId="685D3C4B" w14:textId="77777777" w:rsidR="00933DC9" w:rsidRPr="00F533AF" w:rsidRDefault="00E35A5E" w:rsidP="00445AB0">
      <w:pPr>
        <w:spacing w:after="80" w:line="360" w:lineRule="auto"/>
        <w:ind w:left="288" w:hanging="288"/>
        <w:jc w:val="both"/>
        <w:rPr>
          <w:rFonts w:ascii="Arial" w:hAnsi="Arial" w:cs="Arial"/>
        </w:rPr>
      </w:pPr>
      <w:r w:rsidRPr="00F533AF">
        <w:rPr>
          <w:rFonts w:ascii="Arial" w:hAnsi="Arial" w:cs="Arial"/>
        </w:rPr>
        <w:t>Staffordshire County Council (2026) Your Early Help Team. Available at: https://www.staffordshire.gov.uk/children-young-people-and-families/child-protection-and-safety/families-first/your-early-help-team (Accessed: 9 August 2026).</w:t>
      </w:r>
    </w:p>
    <w:p w14:paraId="5BDF069A" w14:textId="77777777" w:rsidR="00933DC9" w:rsidRDefault="00E35A5E" w:rsidP="00445AB0">
      <w:pPr>
        <w:spacing w:after="80" w:line="360" w:lineRule="auto"/>
        <w:ind w:left="288" w:hanging="288"/>
        <w:jc w:val="both"/>
        <w:rPr>
          <w:rFonts w:ascii="Arial" w:hAnsi="Arial" w:cs="Arial"/>
        </w:rPr>
      </w:pPr>
      <w:r w:rsidRPr="00F533AF">
        <w:rPr>
          <w:rFonts w:ascii="Arial" w:hAnsi="Arial" w:cs="Arial"/>
        </w:rPr>
        <w:t>University of Wales Trinity Saint David (2026) BMHP5021 Protecting and Supporting Families in Health and Care: Component 2 Assessment Specification. Internal module document.</w:t>
      </w:r>
    </w:p>
    <w:p w14:paraId="092F1A57" w14:textId="77777777" w:rsidR="0037603E" w:rsidRDefault="0037603E" w:rsidP="00445AB0">
      <w:pPr>
        <w:spacing w:after="80" w:line="360" w:lineRule="auto"/>
        <w:ind w:left="288" w:hanging="288"/>
        <w:jc w:val="both"/>
        <w:rPr>
          <w:rFonts w:ascii="Arial" w:hAnsi="Arial" w:cs="Arial"/>
        </w:rPr>
      </w:pPr>
    </w:p>
    <w:p w14:paraId="1FFE0968" w14:textId="77777777" w:rsidR="0037603E" w:rsidRDefault="0037603E" w:rsidP="00445AB0">
      <w:pPr>
        <w:spacing w:after="80" w:line="360" w:lineRule="auto"/>
        <w:ind w:left="288" w:hanging="288"/>
        <w:jc w:val="both"/>
        <w:rPr>
          <w:rFonts w:ascii="Arial" w:hAnsi="Arial" w:cs="Arial"/>
        </w:rPr>
      </w:pPr>
    </w:p>
    <w:p w14:paraId="0C3B89E6" w14:textId="77777777" w:rsidR="0037603E" w:rsidRDefault="0037603E" w:rsidP="00445AB0">
      <w:pPr>
        <w:spacing w:after="80" w:line="360" w:lineRule="auto"/>
        <w:ind w:left="288" w:hanging="288"/>
        <w:jc w:val="both"/>
        <w:rPr>
          <w:rFonts w:ascii="Arial" w:hAnsi="Arial" w:cs="Arial"/>
        </w:rPr>
      </w:pPr>
    </w:p>
    <w:p w14:paraId="7D132423" w14:textId="77777777" w:rsidR="00FC59B1" w:rsidRDefault="00FC59B1" w:rsidP="00445AB0">
      <w:pPr>
        <w:spacing w:after="80" w:line="360" w:lineRule="auto"/>
        <w:ind w:left="288" w:hanging="288"/>
        <w:jc w:val="both"/>
        <w:rPr>
          <w:rFonts w:ascii="Arial" w:hAnsi="Arial" w:cs="Arial"/>
        </w:rPr>
      </w:pPr>
    </w:p>
    <w:p w14:paraId="545B6FC1" w14:textId="77777777" w:rsidR="00FC59B1" w:rsidRDefault="00FC59B1" w:rsidP="00445AB0">
      <w:pPr>
        <w:spacing w:after="80" w:line="360" w:lineRule="auto"/>
        <w:ind w:left="288" w:hanging="288"/>
        <w:jc w:val="both"/>
        <w:rPr>
          <w:rFonts w:ascii="Arial" w:hAnsi="Arial" w:cs="Arial"/>
        </w:rPr>
      </w:pPr>
    </w:p>
    <w:p w14:paraId="38B2C716" w14:textId="77777777" w:rsidR="00FC59B1" w:rsidRDefault="00FC59B1" w:rsidP="00445AB0">
      <w:pPr>
        <w:spacing w:after="80" w:line="360" w:lineRule="auto"/>
        <w:ind w:left="288" w:hanging="288"/>
        <w:jc w:val="both"/>
        <w:rPr>
          <w:rFonts w:ascii="Arial" w:hAnsi="Arial" w:cs="Arial"/>
        </w:rPr>
      </w:pPr>
    </w:p>
    <w:p w14:paraId="30E55033" w14:textId="77777777" w:rsidR="00C66201" w:rsidRPr="00F533AF" w:rsidRDefault="00C66201" w:rsidP="00445AB0">
      <w:pPr>
        <w:spacing w:after="80" w:line="360" w:lineRule="auto"/>
        <w:ind w:left="288" w:hanging="288"/>
        <w:jc w:val="both"/>
        <w:rPr>
          <w:rFonts w:ascii="Arial" w:hAnsi="Arial" w:cs="Arial"/>
        </w:rPr>
      </w:pPr>
    </w:p>
    <w:p w14:paraId="160D175E" w14:textId="77777777" w:rsidR="00933DC9" w:rsidRDefault="00E35A5E" w:rsidP="00445AB0">
      <w:pPr>
        <w:pStyle w:val="Heading1"/>
        <w:spacing w:line="360" w:lineRule="auto"/>
        <w:jc w:val="both"/>
        <w:rPr>
          <w:rFonts w:ascii="Arial" w:hAnsi="Arial" w:cs="Arial"/>
          <w:sz w:val="22"/>
          <w:szCs w:val="22"/>
        </w:rPr>
      </w:pPr>
      <w:bookmarkStart w:id="11" w:name="_Toc237507990"/>
      <w:r w:rsidRPr="00F533AF">
        <w:rPr>
          <w:rFonts w:ascii="Arial" w:hAnsi="Arial" w:cs="Arial"/>
          <w:sz w:val="22"/>
          <w:szCs w:val="22"/>
        </w:rPr>
        <w:t>Suggested visual evidence</w:t>
      </w:r>
      <w:bookmarkEnd w:id="11"/>
    </w:p>
    <w:p w14:paraId="77F005FF" w14:textId="77777777" w:rsidR="00C66201" w:rsidRDefault="00C66201" w:rsidP="00C66201"/>
    <w:p w14:paraId="2DDFD83C" w14:textId="77777777" w:rsidR="00C66201" w:rsidRDefault="00C66201" w:rsidP="00C66201"/>
    <w:p w14:paraId="1D5CA73A" w14:textId="77777777" w:rsidR="00C66201" w:rsidRPr="00C66201" w:rsidRDefault="00C66201" w:rsidP="00C66201"/>
    <w:p w14:paraId="0F462753" w14:textId="7595C0C5" w:rsidR="00933DC9" w:rsidRPr="00F533AF" w:rsidRDefault="00E35A5E" w:rsidP="00445AB0">
      <w:pPr>
        <w:pStyle w:val="ListBullet"/>
        <w:spacing w:line="360" w:lineRule="auto"/>
        <w:jc w:val="both"/>
        <w:rPr>
          <w:rFonts w:ascii="Arial" w:hAnsi="Arial" w:cs="Arial"/>
        </w:rPr>
      </w:pPr>
      <w:r w:rsidRPr="00F533AF">
        <w:rPr>
          <w:rFonts w:ascii="Arial" w:hAnsi="Arial" w:cs="Arial"/>
        </w:rPr>
        <w:t xml:space="preserve">Figure 1 – Early Help Assessment Framework: child at the </w:t>
      </w:r>
      <w:r w:rsidR="00141B05" w:rsidRPr="00F533AF">
        <w:rPr>
          <w:rFonts w:ascii="Arial" w:hAnsi="Arial" w:cs="Arial"/>
        </w:rPr>
        <w:t>center</w:t>
      </w:r>
      <w:r w:rsidRPr="00F533AF">
        <w:rPr>
          <w:rFonts w:ascii="Arial" w:hAnsi="Arial" w:cs="Arial"/>
        </w:rPr>
        <w:t>, with developmental needs, parenting capacity and family/environmental factors.</w:t>
      </w:r>
    </w:p>
    <w:p w14:paraId="115F5B25" w14:textId="77777777" w:rsidR="00933DC9" w:rsidRPr="00F533AF" w:rsidRDefault="00E35A5E" w:rsidP="00445AB0">
      <w:pPr>
        <w:pStyle w:val="ListBullet"/>
        <w:spacing w:line="360" w:lineRule="auto"/>
        <w:jc w:val="both"/>
        <w:rPr>
          <w:rFonts w:ascii="Arial" w:hAnsi="Arial" w:cs="Arial"/>
        </w:rPr>
      </w:pPr>
      <w:r w:rsidRPr="00F533AF">
        <w:rPr>
          <w:rFonts w:ascii="Arial" w:hAnsi="Arial" w:cs="Arial"/>
        </w:rPr>
        <w:t>Figure 2 – Referral pathway comparison across the three local authorities.</w:t>
      </w:r>
    </w:p>
    <w:p w14:paraId="12385291" w14:textId="77777777" w:rsidR="00933DC9" w:rsidRPr="00F533AF" w:rsidRDefault="00E35A5E" w:rsidP="00445AB0">
      <w:pPr>
        <w:pStyle w:val="ListBullet"/>
        <w:spacing w:line="360" w:lineRule="auto"/>
        <w:jc w:val="both"/>
        <w:rPr>
          <w:rFonts w:ascii="Arial" w:hAnsi="Arial" w:cs="Arial"/>
        </w:rPr>
      </w:pPr>
      <w:r w:rsidRPr="00F533AF">
        <w:rPr>
          <w:rFonts w:ascii="Arial" w:hAnsi="Arial" w:cs="Arial"/>
        </w:rPr>
        <w:t>Figure 3 – Comparison matrix covering language, user-friendliness, service detail, referral pathways and multi-agency visibility.</w:t>
      </w:r>
    </w:p>
    <w:p w14:paraId="15C43A07" w14:textId="77777777" w:rsidR="00933DC9" w:rsidRPr="00F533AF" w:rsidRDefault="00E35A5E" w:rsidP="00445AB0">
      <w:pPr>
        <w:pStyle w:val="ListBullet"/>
        <w:spacing w:line="360" w:lineRule="auto"/>
        <w:jc w:val="both"/>
        <w:rPr>
          <w:rFonts w:ascii="Arial" w:hAnsi="Arial" w:cs="Arial"/>
        </w:rPr>
      </w:pPr>
      <w:r w:rsidRPr="00F533AF">
        <w:rPr>
          <w:rFonts w:ascii="Arial" w:hAnsi="Arial" w:cs="Arial"/>
        </w:rPr>
        <w:t>Optional Figure 4 – GRRAACCEESS wheel from the supplied lecture material, used to discuss equality, identity and inclusive signposting.</w:t>
      </w:r>
    </w:p>
    <w:p w14:paraId="76DB5105" w14:textId="77777777" w:rsidR="006F43CE" w:rsidRPr="00A1411A" w:rsidRDefault="006F43CE" w:rsidP="00F533AF">
      <w:pPr>
        <w:pStyle w:val="ListBullet"/>
        <w:numPr>
          <w:ilvl w:val="0"/>
          <w:numId w:val="0"/>
        </w:numPr>
        <w:spacing w:line="360" w:lineRule="auto"/>
        <w:ind w:left="360"/>
        <w:jc w:val="both"/>
        <w:rPr>
          <w:rFonts w:ascii="Arial" w:hAnsi="Arial" w:cs="Arial"/>
          <w:sz w:val="30"/>
          <w:szCs w:val="30"/>
        </w:rPr>
      </w:pPr>
    </w:p>
    <w:sectPr w:rsidR="006F43CE" w:rsidRPr="00A1411A" w:rsidSect="00034616">
      <w:footerReference w:type="default" r:id="rId11"/>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C867A" w14:textId="77777777" w:rsidR="000B7C67" w:rsidRDefault="000B7C67">
      <w:pPr>
        <w:spacing w:after="0" w:line="240" w:lineRule="auto"/>
      </w:pPr>
      <w:r>
        <w:separator/>
      </w:r>
    </w:p>
  </w:endnote>
  <w:endnote w:type="continuationSeparator" w:id="0">
    <w:p w14:paraId="30727F53" w14:textId="77777777" w:rsidR="000B7C67" w:rsidRDefault="000B7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6C148B" w14:textId="2309445B" w:rsidR="00933DC9" w:rsidRDefault="00933DC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7B3CE" w14:textId="77777777" w:rsidR="000B7C67" w:rsidRDefault="000B7C67">
      <w:pPr>
        <w:spacing w:after="0" w:line="240" w:lineRule="auto"/>
      </w:pPr>
      <w:r>
        <w:separator/>
      </w:r>
    </w:p>
  </w:footnote>
  <w:footnote w:type="continuationSeparator" w:id="0">
    <w:p w14:paraId="4EE08A3E" w14:textId="77777777" w:rsidR="000B7C67" w:rsidRDefault="000B7C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4176CE1A"/>
    <w:lvl w:ilvl="0">
      <w:start w:val="1"/>
      <w:numFmt w:val="bullet"/>
      <w:pStyle w:val="ListBullet"/>
      <w:lvlText w:val=""/>
      <w:lvlJc w:val="left"/>
      <w:pPr>
        <w:tabs>
          <w:tab w:val="num" w:pos="360"/>
        </w:tabs>
        <w:ind w:left="360" w:hanging="360"/>
      </w:pPr>
      <w:rPr>
        <w:rFonts w:ascii="Symbol" w:hAnsi="Symbol" w:hint="default"/>
      </w:rPr>
    </w:lvl>
  </w:abstractNum>
  <w:num w:numId="1" w16cid:durableId="162204765">
    <w:abstractNumId w:val="8"/>
  </w:num>
  <w:num w:numId="2" w16cid:durableId="1641762026">
    <w:abstractNumId w:val="6"/>
  </w:num>
  <w:num w:numId="3" w16cid:durableId="694188020">
    <w:abstractNumId w:val="5"/>
  </w:num>
  <w:num w:numId="4" w16cid:durableId="1694917976">
    <w:abstractNumId w:val="4"/>
  </w:num>
  <w:num w:numId="5" w16cid:durableId="895049887">
    <w:abstractNumId w:val="7"/>
  </w:num>
  <w:num w:numId="6" w16cid:durableId="1887789907">
    <w:abstractNumId w:val="3"/>
  </w:num>
  <w:num w:numId="7" w16cid:durableId="82186865">
    <w:abstractNumId w:val="2"/>
  </w:num>
  <w:num w:numId="8" w16cid:durableId="2141535895">
    <w:abstractNumId w:val="1"/>
  </w:num>
  <w:num w:numId="9" w16cid:durableId="513885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5514"/>
    <w:rsid w:val="00034616"/>
    <w:rsid w:val="0006063C"/>
    <w:rsid w:val="000B7C67"/>
    <w:rsid w:val="00135764"/>
    <w:rsid w:val="00141B05"/>
    <w:rsid w:val="0014294A"/>
    <w:rsid w:val="0015074B"/>
    <w:rsid w:val="001774C3"/>
    <w:rsid w:val="001A1802"/>
    <w:rsid w:val="001C0EA4"/>
    <w:rsid w:val="001C75C6"/>
    <w:rsid w:val="001D341D"/>
    <w:rsid w:val="001F2909"/>
    <w:rsid w:val="00251191"/>
    <w:rsid w:val="002669EE"/>
    <w:rsid w:val="0029639D"/>
    <w:rsid w:val="002D7312"/>
    <w:rsid w:val="00326F90"/>
    <w:rsid w:val="003335D6"/>
    <w:rsid w:val="003425B6"/>
    <w:rsid w:val="00351BB4"/>
    <w:rsid w:val="0037603E"/>
    <w:rsid w:val="004024E1"/>
    <w:rsid w:val="00406465"/>
    <w:rsid w:val="00445AB0"/>
    <w:rsid w:val="004514BF"/>
    <w:rsid w:val="0046026E"/>
    <w:rsid w:val="00473959"/>
    <w:rsid w:val="00491C45"/>
    <w:rsid w:val="00501979"/>
    <w:rsid w:val="00512FFE"/>
    <w:rsid w:val="005553FC"/>
    <w:rsid w:val="0059363F"/>
    <w:rsid w:val="005C0C4B"/>
    <w:rsid w:val="00637CF3"/>
    <w:rsid w:val="00643C63"/>
    <w:rsid w:val="00646D49"/>
    <w:rsid w:val="006A6765"/>
    <w:rsid w:val="006B191F"/>
    <w:rsid w:val="006B1A1D"/>
    <w:rsid w:val="006D2717"/>
    <w:rsid w:val="006F43CE"/>
    <w:rsid w:val="008878C6"/>
    <w:rsid w:val="008B2C6F"/>
    <w:rsid w:val="008E63A1"/>
    <w:rsid w:val="0092512A"/>
    <w:rsid w:val="00933DC9"/>
    <w:rsid w:val="0094736E"/>
    <w:rsid w:val="00980EFC"/>
    <w:rsid w:val="009A73E6"/>
    <w:rsid w:val="00A1411A"/>
    <w:rsid w:val="00A26E78"/>
    <w:rsid w:val="00A572E8"/>
    <w:rsid w:val="00A57A25"/>
    <w:rsid w:val="00A674FC"/>
    <w:rsid w:val="00AA1D8D"/>
    <w:rsid w:val="00AA5F5F"/>
    <w:rsid w:val="00AB7294"/>
    <w:rsid w:val="00B036E2"/>
    <w:rsid w:val="00B47730"/>
    <w:rsid w:val="00BE54C9"/>
    <w:rsid w:val="00C31CAF"/>
    <w:rsid w:val="00C3608F"/>
    <w:rsid w:val="00C55B80"/>
    <w:rsid w:val="00C66201"/>
    <w:rsid w:val="00C758E6"/>
    <w:rsid w:val="00CB0664"/>
    <w:rsid w:val="00D73EE9"/>
    <w:rsid w:val="00D93AE3"/>
    <w:rsid w:val="00DC1223"/>
    <w:rsid w:val="00E35A5E"/>
    <w:rsid w:val="00E50EC4"/>
    <w:rsid w:val="00E81F19"/>
    <w:rsid w:val="00EB358E"/>
    <w:rsid w:val="00EC57E2"/>
    <w:rsid w:val="00EE1CBA"/>
    <w:rsid w:val="00F41F00"/>
    <w:rsid w:val="00F50F0A"/>
    <w:rsid w:val="00F533AF"/>
    <w:rsid w:val="00FC0ABD"/>
    <w:rsid w:val="00FC59B1"/>
    <w:rsid w:val="00FC693F"/>
    <w:rsid w:val="00FD2AF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1DDF1DE4-D0E3-4236-8A8A-6315DDCB2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ptos" w:hAnsi="Aptos"/>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BE54C9"/>
    <w:pPr>
      <w:spacing w:after="100"/>
    </w:pPr>
  </w:style>
  <w:style w:type="character" w:styleId="Hyperlink">
    <w:name w:val="Hyperlink"/>
    <w:basedOn w:val="DefaultParagraphFont"/>
    <w:uiPriority w:val="99"/>
    <w:unhideWhenUsed/>
    <w:rsid w:val="00BE54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12</Pages>
  <Words>2877</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Florence Chijioke Oguledo (2411483)</cp:lastModifiedBy>
  <cp:revision>48</cp:revision>
  <dcterms:created xsi:type="dcterms:W3CDTF">2026-08-13T08:21:00Z</dcterms:created>
  <dcterms:modified xsi:type="dcterms:W3CDTF">2026-08-13T09:33:00Z</dcterms:modified>
  <cp:category/>
</cp:coreProperties>
</file>