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BA Education Studies: Primary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C6194" w:rsidP="00E51AAC">
            <w:pPr>
              <w:spacing w:before="120" w:after="120"/>
              <w:jc w:val="both"/>
              <w:rPr>
                <w:rFonts w:ascii="Arial" w:hAnsi="Arial" w:cs="Arial"/>
                <w:b/>
                <w:sz w:val="22"/>
                <w:szCs w:val="22"/>
              </w:rPr>
            </w:pPr>
            <w:r>
              <w:rPr>
                <w:rFonts w:ascii="Arial" w:hAnsi="Arial" w:cs="Arial"/>
                <w:b/>
                <w:sz w:val="22"/>
                <w:szCs w:val="22"/>
              </w:rPr>
              <w:t>The Three Rs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C6194" w:rsidP="00152E9D">
            <w:pPr>
              <w:spacing w:before="120" w:after="120"/>
              <w:jc w:val="both"/>
              <w:rPr>
                <w:rFonts w:ascii="Arial" w:hAnsi="Arial" w:cs="Arial"/>
                <w:b/>
                <w:sz w:val="22"/>
                <w:szCs w:val="22"/>
              </w:rPr>
            </w:pPr>
            <w:r>
              <w:rPr>
                <w:rFonts w:ascii="Arial" w:hAnsi="Arial" w:cs="Arial"/>
                <w:b/>
                <w:sz w:val="22"/>
                <w:szCs w:val="22"/>
              </w:rPr>
              <w:t xml:space="preserve">SJEU5005 </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C6194"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Sarah Stewart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Lynwen Roberts/ Alison Baggott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C6194" w:rsidP="005F0579">
            <w:pPr>
              <w:spacing w:before="120" w:after="120"/>
              <w:jc w:val="both"/>
              <w:rPr>
                <w:rFonts w:ascii="Arial" w:hAnsi="Arial" w:cs="Arial"/>
                <w:b/>
                <w:sz w:val="22"/>
                <w:szCs w:val="22"/>
              </w:rPr>
            </w:pPr>
            <w:r w:rsidRPr="00005623">
              <w:rPr>
                <w:rFonts w:ascii="Calibri" w:hAnsi="Calibri" w:cs="Calibri"/>
              </w:rPr>
              <w:t>Evaluate one approach which supports the development of one strand of the LNF in FP or KS2.</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3000 words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C6194" w:rsidP="005F0579">
            <w:pPr>
              <w:spacing w:before="120" w:after="120"/>
              <w:jc w:val="both"/>
              <w:rPr>
                <w:rFonts w:ascii="Arial" w:hAnsi="Arial" w:cs="Arial"/>
                <w:b/>
                <w:sz w:val="22"/>
                <w:szCs w:val="22"/>
              </w:rPr>
            </w:pPr>
            <w:r>
              <w:rPr>
                <w:rFonts w:ascii="Calibri" w:hAnsi="Calibri"/>
                <w:b/>
                <w:szCs w:val="24"/>
              </w:rPr>
              <w:t>08/05/19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C6194" w:rsidP="005F0579">
            <w:pPr>
              <w:spacing w:before="120" w:after="120"/>
              <w:jc w:val="both"/>
              <w:rPr>
                <w:rFonts w:ascii="Arial" w:hAnsi="Arial" w:cs="Arial"/>
                <w:b/>
                <w:sz w:val="22"/>
                <w:szCs w:val="22"/>
              </w:rPr>
            </w:pPr>
            <w:r>
              <w:rPr>
                <w:rFonts w:ascii="Arial" w:hAnsi="Arial" w:cs="Arial"/>
                <w:b/>
                <w:sz w:val="22"/>
                <w:szCs w:val="22"/>
              </w:rPr>
              <w:t xml:space="preserve">06/06/19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C6194">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03"/>
            </w:tblGrid>
            <w:tr w:rsidR="006C6194" w:rsidRPr="00230772"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C01A3F" w:rsidRDefault="00C01A3F"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Pr="00A406E5" w:rsidRDefault="006C6194"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6C6194" w:rsidRDefault="006C6194" w:rsidP="006C6194">
      <w:pPr>
        <w:jc w:val="center"/>
        <w:textAlignment w:val="baseline"/>
        <w:rPr>
          <w:rFonts w:cstheme="minorHAnsi"/>
          <w:b/>
          <w:sz w:val="40"/>
        </w:rPr>
      </w:pPr>
      <w:r w:rsidRPr="00E11A72">
        <w:rPr>
          <w:rFonts w:cstheme="minorHAnsi"/>
          <w:sz w:val="36"/>
        </w:rPr>
        <w:t xml:space="preserve">Evaluate one approach which supports the development of </w:t>
      </w:r>
      <w:r w:rsidRPr="00E11A72">
        <w:rPr>
          <w:rFonts w:cstheme="minorHAnsi"/>
          <w:b/>
          <w:sz w:val="36"/>
          <w:u w:val="single"/>
        </w:rPr>
        <w:t>one strand</w:t>
      </w:r>
      <w:r w:rsidRPr="00E11A72">
        <w:rPr>
          <w:rFonts w:cstheme="minorHAnsi"/>
          <w:sz w:val="36"/>
        </w:rPr>
        <w:t xml:space="preserve"> of the LNF in FP </w:t>
      </w:r>
      <w:r w:rsidRPr="00E11A72">
        <w:rPr>
          <w:rFonts w:cstheme="minorHAnsi"/>
          <w:b/>
          <w:sz w:val="36"/>
          <w:u w:val="single"/>
        </w:rPr>
        <w:t>or</w:t>
      </w:r>
      <w:r w:rsidRPr="00E11A72">
        <w:rPr>
          <w:rFonts w:cstheme="minorHAnsi"/>
          <w:sz w:val="36"/>
        </w:rPr>
        <w:t xml:space="preserve"> KS2.</w:t>
      </w:r>
    </w:p>
    <w:p w:rsidR="006C6194" w:rsidRPr="00E11A72" w:rsidRDefault="006C6194" w:rsidP="006C6194">
      <w:pPr>
        <w:jc w:val="center"/>
        <w:textAlignment w:val="baseline"/>
        <w:rPr>
          <w:rFonts w:cstheme="minorHAnsi"/>
          <w:b/>
          <w:sz w:val="40"/>
        </w:rPr>
      </w:pPr>
    </w:p>
    <w:p w:rsidR="006C6194" w:rsidRPr="00FD285C" w:rsidRDefault="006C6194" w:rsidP="006C6194">
      <w:pPr>
        <w:textAlignment w:val="baseline"/>
        <w:rPr>
          <w:rFonts w:cstheme="minorHAnsi"/>
          <w:b/>
          <w:szCs w:val="24"/>
          <w:u w:val="single"/>
        </w:rPr>
      </w:pPr>
      <w:r w:rsidRPr="00FD285C">
        <w:rPr>
          <w:rFonts w:cstheme="minorHAnsi"/>
          <w:b/>
          <w:szCs w:val="24"/>
          <w:u w:val="single"/>
        </w:rPr>
        <w:t>Assignment Guidelines</w:t>
      </w:r>
    </w:p>
    <w:p w:rsidR="006C6194" w:rsidRPr="0046477F" w:rsidRDefault="006C6194" w:rsidP="006C6194">
      <w:pPr>
        <w:rPr>
          <w:rFonts w:cstheme="minorHAnsi"/>
          <w:b/>
          <w:i/>
        </w:rPr>
      </w:pPr>
      <w:r w:rsidRPr="0046477F">
        <w:rPr>
          <w:rFonts w:cstheme="minorHAnsi"/>
          <w:b/>
          <w:i/>
        </w:rPr>
        <w:t>Introduction</w:t>
      </w:r>
    </w:p>
    <w:p w:rsidR="006C6194" w:rsidRDefault="006C6194" w:rsidP="006C6194">
      <w:pPr>
        <w:pStyle w:val="ListParagraph"/>
        <w:numPr>
          <w:ilvl w:val="0"/>
          <w:numId w:val="17"/>
        </w:numPr>
        <w:rPr>
          <w:rFonts w:asciiTheme="minorHAnsi" w:hAnsiTheme="minorHAnsi" w:cstheme="minorHAnsi"/>
        </w:rPr>
      </w:pPr>
      <w:r>
        <w:rPr>
          <w:rFonts w:asciiTheme="minorHAnsi" w:hAnsiTheme="minorHAnsi" w:cstheme="minorHAnsi"/>
        </w:rPr>
        <w:t>Set the context for the assignment by outlining which strand</w:t>
      </w:r>
    </w:p>
    <w:p w:rsidR="006C6194" w:rsidRDefault="006C6194" w:rsidP="006C6194">
      <w:pPr>
        <w:pStyle w:val="ListParagraph"/>
        <w:numPr>
          <w:ilvl w:val="0"/>
          <w:numId w:val="17"/>
        </w:numPr>
        <w:rPr>
          <w:rFonts w:asciiTheme="minorHAnsi" w:hAnsiTheme="minorHAnsi" w:cstheme="minorHAnsi"/>
        </w:rPr>
      </w:pPr>
      <w:r>
        <w:rPr>
          <w:rFonts w:asciiTheme="minorHAnsi" w:hAnsiTheme="minorHAnsi" w:cstheme="minorHAnsi"/>
        </w:rPr>
        <w:t xml:space="preserve"> you will be considering and in what phase/stage (remember, you should choose differently to your resource pack, so if your resource pack was a literacy activity then your assignment should focus on numeracy and vice versa). </w:t>
      </w:r>
    </w:p>
    <w:p w:rsidR="006C6194" w:rsidRPr="00124E30" w:rsidRDefault="006C6194" w:rsidP="006C6194">
      <w:pPr>
        <w:pStyle w:val="ListParagraph"/>
        <w:numPr>
          <w:ilvl w:val="0"/>
          <w:numId w:val="17"/>
        </w:numPr>
        <w:rPr>
          <w:rFonts w:asciiTheme="minorHAnsi" w:hAnsiTheme="minorHAnsi" w:cstheme="minorHAnsi"/>
        </w:rPr>
      </w:pPr>
      <w:r>
        <w:rPr>
          <w:rFonts w:asciiTheme="minorHAnsi" w:hAnsiTheme="minorHAnsi" w:cstheme="minorHAnsi"/>
        </w:rPr>
        <w:t xml:space="preserve">Explore the reasons why literacy or numeracy is a significant focus in the curriculum. </w:t>
      </w:r>
    </w:p>
    <w:p w:rsidR="006C6194" w:rsidRPr="0046477F" w:rsidRDefault="006C6194" w:rsidP="006C6194">
      <w:pPr>
        <w:pStyle w:val="ListParagraph"/>
        <w:numPr>
          <w:ilvl w:val="0"/>
          <w:numId w:val="17"/>
        </w:numPr>
        <w:rPr>
          <w:rFonts w:asciiTheme="minorHAnsi" w:hAnsiTheme="minorHAnsi" w:cstheme="minorHAnsi"/>
        </w:rPr>
      </w:pPr>
      <w:r w:rsidRPr="0046477F">
        <w:rPr>
          <w:rFonts w:asciiTheme="minorHAnsi" w:hAnsiTheme="minorHAnsi" w:cstheme="minorHAnsi"/>
          <w:sz w:val="22"/>
          <w:szCs w:val="22"/>
        </w:rPr>
        <w:t>Explain the Literacy and Numeracy</w:t>
      </w:r>
      <w:r w:rsidRPr="0046477F">
        <w:rPr>
          <w:rFonts w:asciiTheme="minorHAnsi" w:hAnsiTheme="minorHAnsi" w:cstheme="minorHAnsi"/>
        </w:rPr>
        <w:t xml:space="preserve"> Framework in Wales and the</w:t>
      </w:r>
      <w:r w:rsidRPr="0046477F">
        <w:rPr>
          <w:rFonts w:asciiTheme="minorHAnsi" w:hAnsiTheme="minorHAnsi" w:cstheme="minorHAnsi"/>
          <w:sz w:val="22"/>
          <w:szCs w:val="22"/>
        </w:rPr>
        <w:t xml:space="preserve"> </w:t>
      </w:r>
      <w:r w:rsidRPr="0046477F">
        <w:rPr>
          <w:rFonts w:asciiTheme="minorHAnsi" w:hAnsiTheme="minorHAnsi" w:cstheme="minorHAnsi"/>
        </w:rPr>
        <w:t>reason(s) it came into being.</w:t>
      </w:r>
    </w:p>
    <w:p w:rsidR="006C6194" w:rsidRPr="0046477F" w:rsidRDefault="006C6194" w:rsidP="006C6194">
      <w:pPr>
        <w:pStyle w:val="ListParagraph"/>
        <w:rPr>
          <w:rFonts w:asciiTheme="minorHAnsi" w:hAnsiTheme="minorHAnsi" w:cstheme="minorHAnsi"/>
          <w:sz w:val="22"/>
          <w:szCs w:val="22"/>
        </w:rPr>
      </w:pPr>
    </w:p>
    <w:p w:rsidR="006C6194" w:rsidRDefault="006C6194" w:rsidP="006C6194">
      <w:pPr>
        <w:rPr>
          <w:rFonts w:cstheme="minorHAnsi"/>
        </w:rPr>
      </w:pPr>
    </w:p>
    <w:p w:rsidR="006C6194" w:rsidRDefault="006C6194" w:rsidP="006C6194">
      <w:pPr>
        <w:rPr>
          <w:rFonts w:cstheme="minorHAnsi"/>
          <w:b/>
          <w:i/>
        </w:rPr>
      </w:pPr>
      <w:r>
        <w:rPr>
          <w:rFonts w:cstheme="minorHAnsi"/>
          <w:b/>
          <w:i/>
        </w:rPr>
        <w:t>Main Body</w:t>
      </w:r>
    </w:p>
    <w:p w:rsidR="006C6194" w:rsidRDefault="006C6194" w:rsidP="006C6194">
      <w:pPr>
        <w:pStyle w:val="ListParagraph"/>
        <w:numPr>
          <w:ilvl w:val="0"/>
          <w:numId w:val="18"/>
        </w:numPr>
        <w:rPr>
          <w:rFonts w:asciiTheme="minorHAnsi" w:hAnsiTheme="minorHAnsi" w:cstheme="minorHAnsi"/>
        </w:rPr>
      </w:pPr>
      <w:r>
        <w:rPr>
          <w:rFonts w:asciiTheme="minorHAnsi" w:hAnsiTheme="minorHAnsi" w:cstheme="minorHAnsi"/>
        </w:rPr>
        <w:t xml:space="preserve">Explain, through detailed reference to literature, what is literacy or numeracy and how it is defined. </w:t>
      </w:r>
    </w:p>
    <w:p w:rsidR="006C6194" w:rsidRPr="00124E30" w:rsidRDefault="006C6194" w:rsidP="006C6194">
      <w:pPr>
        <w:pStyle w:val="ListParagraph"/>
        <w:numPr>
          <w:ilvl w:val="0"/>
          <w:numId w:val="18"/>
        </w:numPr>
        <w:rPr>
          <w:rFonts w:asciiTheme="minorHAnsi" w:hAnsiTheme="minorHAnsi" w:cstheme="minorHAnsi"/>
        </w:rPr>
      </w:pPr>
      <w:r w:rsidRPr="00124E30">
        <w:rPr>
          <w:rFonts w:asciiTheme="minorHAnsi" w:hAnsiTheme="minorHAnsi" w:cstheme="minorHAnsi"/>
        </w:rPr>
        <w:t xml:space="preserve">Consider what makes effective teaching </w:t>
      </w:r>
      <w:r>
        <w:rPr>
          <w:rFonts w:asciiTheme="minorHAnsi" w:hAnsiTheme="minorHAnsi" w:cstheme="minorHAnsi"/>
        </w:rPr>
        <w:t xml:space="preserve">of </w:t>
      </w:r>
      <w:r w:rsidRPr="00124E30">
        <w:rPr>
          <w:rFonts w:asciiTheme="minorHAnsi" w:hAnsiTheme="minorHAnsi" w:cstheme="minorHAnsi"/>
        </w:rPr>
        <w:t>literacy or numeracy and how it</w:t>
      </w:r>
      <w:r>
        <w:rPr>
          <w:rFonts w:asciiTheme="minorHAnsi" w:hAnsiTheme="minorHAnsi" w:cstheme="minorHAnsi"/>
        </w:rPr>
        <w:t xml:space="preserve"> </w:t>
      </w:r>
      <w:r w:rsidRPr="00124E30">
        <w:rPr>
          <w:rFonts w:asciiTheme="minorHAnsi" w:hAnsiTheme="minorHAnsi" w:cstheme="minorHAnsi"/>
        </w:rPr>
        <w:t xml:space="preserve">supports </w:t>
      </w:r>
      <w:r>
        <w:rPr>
          <w:rFonts w:asciiTheme="minorHAnsi" w:hAnsiTheme="minorHAnsi" w:cstheme="minorHAnsi"/>
        </w:rPr>
        <w:t xml:space="preserve">pupils’ </w:t>
      </w:r>
      <w:r w:rsidRPr="00124E30">
        <w:rPr>
          <w:rFonts w:asciiTheme="minorHAnsi" w:hAnsiTheme="minorHAnsi" w:cstheme="minorHAnsi"/>
        </w:rPr>
        <w:t>learning</w:t>
      </w:r>
      <w:r>
        <w:rPr>
          <w:rFonts w:asciiTheme="minorHAnsi" w:hAnsiTheme="minorHAnsi" w:cstheme="minorHAnsi"/>
        </w:rPr>
        <w:t xml:space="preserve"> in this key area.</w:t>
      </w:r>
    </w:p>
    <w:p w:rsidR="006C6194" w:rsidRPr="00124E30" w:rsidRDefault="006C6194" w:rsidP="006C6194">
      <w:pPr>
        <w:pStyle w:val="ListParagraph"/>
        <w:numPr>
          <w:ilvl w:val="0"/>
          <w:numId w:val="18"/>
        </w:numPr>
        <w:rPr>
          <w:rFonts w:asciiTheme="minorHAnsi" w:hAnsiTheme="minorHAnsi" w:cstheme="minorHAnsi"/>
        </w:rPr>
      </w:pPr>
      <w:r>
        <w:rPr>
          <w:rFonts w:asciiTheme="minorHAnsi" w:hAnsiTheme="minorHAnsi" w:cstheme="minorHAnsi"/>
        </w:rPr>
        <w:t xml:space="preserve">Explore key theory(ies), policy(ies), practice(s) related to the teaching of literacy or numeracy. </w:t>
      </w:r>
    </w:p>
    <w:p w:rsidR="006C6194" w:rsidRPr="00124E30" w:rsidRDefault="006C6194" w:rsidP="006C6194">
      <w:pPr>
        <w:pStyle w:val="ListParagraph"/>
        <w:numPr>
          <w:ilvl w:val="0"/>
          <w:numId w:val="18"/>
        </w:numPr>
        <w:rPr>
          <w:rFonts w:asciiTheme="minorHAnsi" w:hAnsiTheme="minorHAnsi" w:cstheme="minorHAnsi"/>
        </w:rPr>
      </w:pPr>
      <w:r w:rsidRPr="00124E30">
        <w:rPr>
          <w:rFonts w:asciiTheme="minorHAnsi" w:hAnsiTheme="minorHAnsi" w:cstheme="minorHAnsi"/>
        </w:rPr>
        <w:t xml:space="preserve">Explore key theory(ies), policy(ies), practice(s) related to </w:t>
      </w:r>
      <w:r>
        <w:rPr>
          <w:rFonts w:asciiTheme="minorHAnsi" w:hAnsiTheme="minorHAnsi" w:cstheme="minorHAnsi"/>
        </w:rPr>
        <w:t>how children best develop skills in literacy or numeracy.</w:t>
      </w:r>
    </w:p>
    <w:p w:rsidR="006C6194" w:rsidRDefault="006C6194" w:rsidP="006C6194">
      <w:pPr>
        <w:pStyle w:val="ListParagraph"/>
        <w:numPr>
          <w:ilvl w:val="0"/>
          <w:numId w:val="18"/>
        </w:numPr>
        <w:rPr>
          <w:rFonts w:asciiTheme="minorHAnsi" w:hAnsiTheme="minorHAnsi" w:cstheme="minorHAnsi"/>
        </w:rPr>
      </w:pPr>
      <w:r>
        <w:rPr>
          <w:rFonts w:asciiTheme="minorHAnsi" w:hAnsiTheme="minorHAnsi" w:cstheme="minorHAnsi"/>
        </w:rPr>
        <w:t>Provide examples of approaches to literacy or numeracy and l</w:t>
      </w:r>
      <w:r w:rsidRPr="00124E30">
        <w:rPr>
          <w:rFonts w:asciiTheme="minorHAnsi" w:hAnsiTheme="minorHAnsi" w:cstheme="minorHAnsi"/>
        </w:rPr>
        <w:t>ink the approach to examples of the way it can raise levels of achievement in n</w:t>
      </w:r>
      <w:r>
        <w:rPr>
          <w:rFonts w:asciiTheme="minorHAnsi" w:hAnsiTheme="minorHAnsi" w:cstheme="minorHAnsi"/>
        </w:rPr>
        <w:t>umeracy or</w:t>
      </w:r>
      <w:r w:rsidRPr="00124E30">
        <w:rPr>
          <w:rFonts w:asciiTheme="minorHAnsi" w:hAnsiTheme="minorHAnsi" w:cstheme="minorHAnsi"/>
        </w:rPr>
        <w:t xml:space="preserve"> literacy</w:t>
      </w:r>
    </w:p>
    <w:p w:rsidR="006C6194" w:rsidRPr="00124E30" w:rsidRDefault="006C6194" w:rsidP="006C6194">
      <w:pPr>
        <w:pStyle w:val="ListParagraph"/>
        <w:numPr>
          <w:ilvl w:val="1"/>
          <w:numId w:val="18"/>
        </w:numPr>
        <w:rPr>
          <w:rFonts w:asciiTheme="minorHAnsi" w:hAnsiTheme="minorHAnsi" w:cstheme="minorHAnsi"/>
        </w:rPr>
      </w:pPr>
      <w:r>
        <w:rPr>
          <w:rFonts w:asciiTheme="minorHAnsi" w:hAnsiTheme="minorHAnsi" w:cstheme="minorHAnsi"/>
        </w:rPr>
        <w:t xml:space="preserve">Consider the term ‘approach’ loosely – think of the range covered in lectures. For example, if you choose the strand ‘Writing’ then you could choose Pie Corbett’s Talk for Writing as an approach. </w:t>
      </w:r>
    </w:p>
    <w:p w:rsidR="006C6194" w:rsidRPr="0046477F" w:rsidRDefault="006C6194" w:rsidP="006C6194">
      <w:pPr>
        <w:pStyle w:val="ListParagraph"/>
        <w:numPr>
          <w:ilvl w:val="0"/>
          <w:numId w:val="18"/>
        </w:numPr>
        <w:rPr>
          <w:rFonts w:asciiTheme="minorHAnsi" w:hAnsiTheme="minorHAnsi" w:cstheme="minorHAnsi"/>
        </w:rPr>
      </w:pPr>
      <w:r w:rsidRPr="0046477F">
        <w:rPr>
          <w:rFonts w:asciiTheme="minorHAnsi" w:hAnsiTheme="minorHAnsi" w:cstheme="minorHAnsi"/>
        </w:rPr>
        <w:t xml:space="preserve">Evaluate </w:t>
      </w:r>
      <w:r>
        <w:rPr>
          <w:rFonts w:asciiTheme="minorHAnsi" w:hAnsiTheme="minorHAnsi" w:cstheme="minorHAnsi"/>
        </w:rPr>
        <w:t>what</w:t>
      </w:r>
      <w:r w:rsidRPr="0046477F">
        <w:rPr>
          <w:rFonts w:asciiTheme="minorHAnsi" w:hAnsiTheme="minorHAnsi" w:cstheme="minorHAnsi"/>
        </w:rPr>
        <w:t xml:space="preserve"> approach</w:t>
      </w:r>
      <w:r>
        <w:rPr>
          <w:rFonts w:asciiTheme="minorHAnsi" w:hAnsiTheme="minorHAnsi" w:cstheme="minorHAnsi"/>
        </w:rPr>
        <w:t>es are</w:t>
      </w:r>
      <w:r w:rsidRPr="0046477F">
        <w:rPr>
          <w:rFonts w:asciiTheme="minorHAnsi" w:hAnsiTheme="minorHAnsi" w:cstheme="minorHAnsi"/>
        </w:rPr>
        <w:t xml:space="preserve"> </w:t>
      </w:r>
      <w:r>
        <w:rPr>
          <w:rFonts w:asciiTheme="minorHAnsi" w:hAnsiTheme="minorHAnsi" w:cstheme="minorHAnsi"/>
        </w:rPr>
        <w:t xml:space="preserve">(or are not) </w:t>
      </w:r>
      <w:r w:rsidRPr="0046477F">
        <w:rPr>
          <w:rFonts w:asciiTheme="minorHAnsi" w:hAnsiTheme="minorHAnsi" w:cstheme="minorHAnsi"/>
        </w:rPr>
        <w:t xml:space="preserve">effective </w:t>
      </w:r>
      <w:r>
        <w:rPr>
          <w:rFonts w:asciiTheme="minorHAnsi" w:hAnsiTheme="minorHAnsi" w:cstheme="minorHAnsi"/>
        </w:rPr>
        <w:t xml:space="preserve">in supporting literacy or numeracy in </w:t>
      </w:r>
      <w:r w:rsidRPr="00E11A72">
        <w:rPr>
          <w:rFonts w:asciiTheme="minorHAnsi" w:hAnsiTheme="minorHAnsi" w:cstheme="minorHAnsi"/>
          <w:b/>
        </w:rPr>
        <w:t>your chosen strand</w:t>
      </w:r>
      <w:r>
        <w:rPr>
          <w:rFonts w:asciiTheme="minorHAnsi" w:hAnsiTheme="minorHAnsi" w:cstheme="minorHAnsi"/>
        </w:rPr>
        <w:t xml:space="preserve"> </w:t>
      </w:r>
    </w:p>
    <w:p w:rsidR="006C6194" w:rsidRDefault="006C6194" w:rsidP="006C6194">
      <w:pPr>
        <w:pStyle w:val="ListParagraph"/>
        <w:numPr>
          <w:ilvl w:val="0"/>
          <w:numId w:val="18"/>
        </w:numPr>
        <w:rPr>
          <w:rFonts w:asciiTheme="minorHAnsi" w:hAnsiTheme="minorHAnsi" w:cstheme="minorHAnsi"/>
        </w:rPr>
      </w:pPr>
      <w:r w:rsidRPr="0046477F">
        <w:rPr>
          <w:rFonts w:asciiTheme="minorHAnsi" w:hAnsiTheme="minorHAnsi" w:cstheme="minorHAnsi"/>
        </w:rPr>
        <w:t>Support your response with research and wider reading (e.g.  the Literacy and Numeracy Framework (Welsh Government 2013), Learning Wales website, Estyn Best Practice case studies in cross-curricular /thematic planning and delivery in primary schools</w:t>
      </w:r>
      <w:r>
        <w:rPr>
          <w:rFonts w:asciiTheme="minorHAnsi" w:hAnsiTheme="minorHAnsi" w:cstheme="minorHAnsi"/>
        </w:rPr>
        <w:t>, academic books and journal articles</w:t>
      </w:r>
      <w:r w:rsidRPr="0046477F">
        <w:rPr>
          <w:rFonts w:asciiTheme="minorHAnsi" w:hAnsiTheme="minorHAnsi" w:cstheme="minorHAnsi"/>
        </w:rPr>
        <w:t xml:space="preserve">) </w:t>
      </w:r>
    </w:p>
    <w:p w:rsidR="006C6194" w:rsidRDefault="006C6194" w:rsidP="006C6194">
      <w:pPr>
        <w:rPr>
          <w:rFonts w:cstheme="minorHAnsi"/>
        </w:rPr>
      </w:pPr>
    </w:p>
    <w:p w:rsidR="006C6194" w:rsidRPr="002257B4" w:rsidRDefault="006C6194" w:rsidP="006C6194">
      <w:pPr>
        <w:rPr>
          <w:rFonts w:cstheme="minorHAnsi"/>
          <w:b/>
          <w:i/>
        </w:rPr>
      </w:pPr>
      <w:r w:rsidRPr="002257B4">
        <w:rPr>
          <w:rFonts w:cstheme="minorHAnsi"/>
          <w:b/>
          <w:i/>
        </w:rPr>
        <w:t xml:space="preserve">Conclusion </w:t>
      </w:r>
    </w:p>
    <w:p w:rsidR="006C6194" w:rsidRPr="002257B4" w:rsidRDefault="006C6194" w:rsidP="006C6194">
      <w:pPr>
        <w:pStyle w:val="ListParagraph"/>
        <w:numPr>
          <w:ilvl w:val="0"/>
          <w:numId w:val="19"/>
        </w:numPr>
        <w:rPr>
          <w:rFonts w:asciiTheme="minorHAnsi" w:hAnsiTheme="minorHAnsi" w:cstheme="minorHAnsi"/>
        </w:rPr>
      </w:pPr>
      <w:r w:rsidRPr="002257B4">
        <w:rPr>
          <w:rFonts w:asciiTheme="minorHAnsi" w:hAnsiTheme="minorHAnsi" w:cstheme="minorHAnsi"/>
        </w:rPr>
        <w:t xml:space="preserve">Conclusion – Bring all your points together to reiterate the </w:t>
      </w:r>
      <w:r>
        <w:rPr>
          <w:rFonts w:asciiTheme="minorHAnsi" w:hAnsiTheme="minorHAnsi" w:cstheme="minorHAnsi"/>
          <w:b/>
          <w:i/>
          <w:u w:val="single"/>
        </w:rPr>
        <w:t xml:space="preserve">impact of your approach in supporting learning within your strand </w:t>
      </w:r>
    </w:p>
    <w:p w:rsidR="006C6194" w:rsidRPr="002257B4" w:rsidRDefault="006C6194" w:rsidP="006C6194">
      <w:pPr>
        <w:pStyle w:val="ListParagraph"/>
        <w:numPr>
          <w:ilvl w:val="0"/>
          <w:numId w:val="19"/>
        </w:numPr>
        <w:rPr>
          <w:rFonts w:asciiTheme="minorHAnsi" w:hAnsiTheme="minorHAnsi" w:cstheme="minorHAnsi"/>
        </w:rPr>
      </w:pPr>
      <w:r w:rsidRPr="002257B4">
        <w:rPr>
          <w:rFonts w:asciiTheme="minorHAnsi" w:hAnsiTheme="minorHAnsi" w:cstheme="minorHAnsi"/>
        </w:rPr>
        <w:t>Reference list – correctly referenced</w:t>
      </w:r>
    </w:p>
    <w:p w:rsidR="006C6194" w:rsidRPr="0046477F" w:rsidRDefault="006C6194" w:rsidP="006C6194">
      <w:pPr>
        <w:rPr>
          <w:rFonts w:cstheme="minorHAnsi"/>
        </w:rPr>
      </w:pPr>
    </w:p>
    <w:p w:rsidR="006C6194" w:rsidRPr="0046477F" w:rsidRDefault="006C6194" w:rsidP="006C6194">
      <w:pPr>
        <w:rPr>
          <w:rFonts w:cstheme="minorHAnsi"/>
          <w:b/>
          <w:u w:val="single"/>
        </w:rPr>
      </w:pPr>
    </w:p>
    <w:p w:rsidR="006C6194" w:rsidRPr="0046477F" w:rsidRDefault="006C6194" w:rsidP="006C6194">
      <w:pPr>
        <w:jc w:val="center"/>
        <w:rPr>
          <w:b/>
          <w:u w:val="single"/>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C6194"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C6194" w:rsidRPr="00A406E5" w:rsidRDefault="006C6194" w:rsidP="00C01A3F">
      <w:pPr>
        <w:jc w:val="both"/>
        <w:rPr>
          <w:rFonts w:ascii="Arial" w:hAnsi="Arial" w:cs="Arial"/>
          <w:i/>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6C6194" w:rsidRPr="00A406E5" w:rsidRDefault="006C6194" w:rsidP="006C6194">
      <w:pPr>
        <w:ind w:left="360"/>
        <w:jc w:val="both"/>
        <w:rPr>
          <w:rFonts w:ascii="Arial" w:hAnsi="Arial" w:cs="Arial"/>
          <w:b/>
          <w:sz w:val="22"/>
          <w:szCs w:val="22"/>
        </w:rPr>
      </w:pP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bl>
    <w:p w:rsidR="006C6194" w:rsidRPr="00A406E5" w:rsidRDefault="006C6194"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bl>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6194" w:rsidRPr="00741255">
        <w:rPr>
          <w:rFonts w:asciiTheme="minorHAnsi" w:hAnsiTheme="minorHAnsi" w:cstheme="minorHAnsi"/>
          <w:sz w:val="22"/>
        </w:rPr>
        <w:t>Identify, analyse and evaluate different approaches to raising levels of achievements in numeracy and literacy including the use of ICT.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framePr w:hSpace="180" w:wrap="around" w:vAnchor="text" w:hAnchor="text" w:x="288" w:y="1"/>
        <w:suppressOverlap/>
        <w:jc w:val="both"/>
        <w:rPr>
          <w:rFonts w:ascii="Arial" w:hAnsi="Arial" w:cs="Arial"/>
          <w:sz w:val="22"/>
          <w:szCs w:val="22"/>
        </w:rPr>
      </w:pPr>
    </w:p>
    <w:p w:rsidR="00FB3B4E" w:rsidRDefault="00FB3B4E" w:rsidP="00D22D9C">
      <w:pPr>
        <w:jc w:val="both"/>
        <w:rPr>
          <w:rFonts w:ascii="Arial" w:hAnsi="Arial" w:cs="Arial"/>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6C6194" w:rsidRPr="00A406E5" w:rsidRDefault="006C619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15</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D5F" w:rsidRDefault="00E54D5F">
      <w:r>
        <w:separator/>
      </w:r>
    </w:p>
  </w:endnote>
  <w:endnote w:type="continuationSeparator" w:id="0">
    <w:p w:rsidR="00E54D5F" w:rsidRDefault="00E54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C6194">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C6194">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D5F" w:rsidRDefault="00E54D5F">
      <w:r>
        <w:separator/>
      </w:r>
    </w:p>
  </w:footnote>
  <w:footnote w:type="continuationSeparator" w:id="0">
    <w:p w:rsidR="00E54D5F" w:rsidRDefault="00E54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FA0148"/>
    <w:multiLevelType w:val="hybridMultilevel"/>
    <w:tmpl w:val="C19A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C1C78"/>
    <w:multiLevelType w:val="hybridMultilevel"/>
    <w:tmpl w:val="DA20A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382C5C"/>
    <w:multiLevelType w:val="hybridMultilevel"/>
    <w:tmpl w:val="1D720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4"/>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2"/>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6194"/>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4D5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5EF94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C619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C619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3872</Words>
  <Characters>22074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25895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Stewart</cp:lastModifiedBy>
  <cp:revision>2</cp:revision>
  <cp:lastPrinted>2014-10-10T07:42:00Z</cp:lastPrinted>
  <dcterms:created xsi:type="dcterms:W3CDTF">2019-01-28T13:00:00Z</dcterms:created>
  <dcterms:modified xsi:type="dcterms:W3CDTF">2019-01-28T13:00:00Z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