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65A6145A">
      <w:pPr>
        <w:ind w:left="426"/>
        <w:rPr>
          <w:rFonts w:ascii="Arial" w:hAnsi="Arial" w:cs="Arial"/>
          <w:color w:val="FFFFFF" w:themeColor="background1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46420356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266A7F59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266A7F59">
        <w:rPr>
          <w:rFonts w:ascii="Aptos" w:hAnsi="Aptos" w:cs="Arial"/>
          <w:sz w:val="28"/>
          <w:szCs w:val="28"/>
          <w:lang w:val="nl-NL"/>
        </w:rPr>
        <w:t>:</w:t>
      </w:r>
      <w:r w:rsidR="49B9A8F0" w:rsidRPr="266A7F59">
        <w:rPr>
          <w:rFonts w:ascii="Aptos" w:hAnsi="Aptos" w:cs="Arial"/>
          <w:sz w:val="28"/>
          <w:szCs w:val="28"/>
          <w:lang w:val="nl-NL"/>
        </w:rPr>
        <w:t xml:space="preserve"> Godfred Minnow Yankey</w:t>
      </w:r>
    </w:p>
    <w:p w14:paraId="42A6E8AA" w14:textId="7E971082" w:rsidR="00C31D85" w:rsidRPr="00C31D85" w:rsidRDefault="00C31D85" w:rsidP="266A7F59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266A7F59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266A7F59">
        <w:rPr>
          <w:rFonts w:ascii="Aptos" w:hAnsi="Aptos" w:cs="Arial"/>
          <w:sz w:val="28"/>
          <w:szCs w:val="28"/>
          <w:lang w:val="nl-NL"/>
        </w:rPr>
        <w:t>:</w:t>
      </w:r>
      <w:r w:rsidR="1F00D3B7" w:rsidRPr="266A7F59">
        <w:rPr>
          <w:rFonts w:ascii="Aptos" w:hAnsi="Aptos" w:cs="Arial"/>
          <w:sz w:val="28"/>
          <w:szCs w:val="28"/>
          <w:lang w:val="nl-NL"/>
        </w:rPr>
        <w:t xml:space="preserve"> 2212092</w:t>
      </w:r>
    </w:p>
    <w:p w14:paraId="41A4DC93" w14:textId="46512763" w:rsidR="00C31D85" w:rsidRPr="00C31D85" w:rsidRDefault="00CC0A8F" w:rsidP="00C31D85">
      <w:pPr>
        <w:jc w:val="center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7225"/>
        <w:gridCol w:w="7391"/>
      </w:tblGrid>
      <w:tr w:rsidR="00802FF1" w:rsidRPr="00C31D85" w14:paraId="2F1EE6C0" w14:textId="77777777" w:rsidTr="65A6145A">
        <w:trPr>
          <w:trHeight w:val="597"/>
        </w:trPr>
        <w:tc>
          <w:tcPr>
            <w:tcW w:w="14616" w:type="dxa"/>
            <w:gridSpan w:val="2"/>
            <w:shd w:val="clear" w:color="auto" w:fill="FFF2CC" w:themeFill="accent4" w:themeFillTint="33"/>
            <w:vAlign w:val="center"/>
          </w:tcPr>
          <w:p w14:paraId="080E7EB0" w14:textId="7D797FF6" w:rsidR="00802FF1" w:rsidRPr="00802FF1" w:rsidRDefault="00A616DD" w:rsidP="00802FF1">
            <w:pPr>
              <w:jc w:val="center"/>
              <w:rPr>
                <w:rFonts w:ascii="Aptos" w:hAnsi="Aptos"/>
                <w:b/>
                <w:bCs/>
              </w:rPr>
            </w:pPr>
            <w:r w:rsidRPr="00A616DD">
              <w:rPr>
                <w:rFonts w:ascii="Aptos" w:hAnsi="Aptos"/>
                <w:b/>
                <w:bCs/>
                <w:sz w:val="36"/>
                <w:szCs w:val="36"/>
              </w:rPr>
              <w:t>How Effective Are Current Dementia Care and Treatment Strategies for Elderly Individuals in Managing Symptoms and Improving Quality of Life?</w:t>
            </w:r>
          </w:p>
        </w:tc>
      </w:tr>
      <w:tr w:rsidR="00C31D85" w:rsidRPr="00C31D85" w14:paraId="51100EC3" w14:textId="77777777" w:rsidTr="65A6145A">
        <w:trPr>
          <w:trHeight w:val="1856"/>
        </w:trPr>
        <w:tc>
          <w:tcPr>
            <w:tcW w:w="7225" w:type="dxa"/>
            <w:shd w:val="clear" w:color="auto" w:fill="FFF2CC" w:themeFill="accent4" w:themeFillTint="33"/>
          </w:tcPr>
          <w:p w14:paraId="7D5ABB49" w14:textId="1783F435" w:rsidR="00C31D85" w:rsidRPr="00187955" w:rsidRDefault="0DC28266" w:rsidP="00C46111">
            <w:pPr>
              <w:rPr>
                <w:rFonts w:ascii="Aptos" w:hAnsi="Aptos"/>
                <w:b/>
                <w:bCs/>
                <w:color w:val="FF0000"/>
              </w:rPr>
            </w:pPr>
            <w:r w:rsidRPr="65A6145A">
              <w:rPr>
                <w:rFonts w:ascii="Aptos" w:hAnsi="Aptos"/>
                <w:b/>
                <w:bCs/>
                <w:color w:val="FF0000"/>
                <w:sz w:val="40"/>
                <w:szCs w:val="40"/>
              </w:rPr>
              <w:t>01 Introduction</w:t>
            </w:r>
            <w:r w:rsidR="4DFDEBC2" w:rsidRPr="65A6145A">
              <w:rPr>
                <w:rFonts w:ascii="Aptos" w:hAnsi="Aptos"/>
                <w:b/>
                <w:bCs/>
                <w:color w:val="FF0000"/>
              </w:rPr>
              <w:t xml:space="preserve"> and </w:t>
            </w:r>
            <w:r w:rsidR="76E39AF8" w:rsidRPr="65A6145A">
              <w:rPr>
                <w:rFonts w:ascii="Aptos" w:hAnsi="Aptos"/>
                <w:b/>
                <w:bCs/>
                <w:color w:val="FF0000"/>
              </w:rPr>
              <w:t xml:space="preserve">Research </w:t>
            </w:r>
            <w:r w:rsidR="4DFDEBC2" w:rsidRPr="65A6145A">
              <w:rPr>
                <w:rFonts w:ascii="Aptos" w:hAnsi="Aptos"/>
                <w:b/>
                <w:bCs/>
                <w:color w:val="FF0000"/>
              </w:rPr>
              <w:t xml:space="preserve">Aim </w:t>
            </w:r>
          </w:p>
          <w:p w14:paraId="4AC0EEF3" w14:textId="0061A3CD" w:rsidR="004117F0" w:rsidRPr="004117F0" w:rsidRDefault="004117F0" w:rsidP="004117F0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ptos" w:hAnsi="Aptos"/>
              </w:rPr>
            </w:pPr>
            <w:r w:rsidRPr="004117F0">
              <w:rPr>
                <w:rFonts w:ascii="Aptos" w:hAnsi="Aptos"/>
              </w:rPr>
              <w:t>A methods chapter offers a precise account of how research was carried out, so it is transparent and reproducible.</w:t>
            </w:r>
          </w:p>
          <w:p w14:paraId="7F6B00A0" w14:textId="05573726" w:rsidR="004117F0" w:rsidRPr="004117F0" w:rsidRDefault="6563A50A" w:rsidP="004117F0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ptos" w:hAnsi="Aptos"/>
              </w:rPr>
            </w:pPr>
            <w:r w:rsidRPr="65A6145A">
              <w:rPr>
                <w:rFonts w:ascii="Aptos" w:hAnsi="Aptos"/>
              </w:rPr>
              <w:t xml:space="preserve">This chapter describes </w:t>
            </w:r>
            <w:r w:rsidR="19062FE9" w:rsidRPr="65A6145A">
              <w:rPr>
                <w:rFonts w:ascii="Aptos" w:hAnsi="Aptos"/>
              </w:rPr>
              <w:t>secondary</w:t>
            </w:r>
            <w:r w:rsidRPr="65A6145A">
              <w:rPr>
                <w:rFonts w:ascii="Aptos" w:hAnsi="Aptos"/>
              </w:rPr>
              <w:t xml:space="preserve"> research design, literature review methods, and analytical models.</w:t>
            </w:r>
          </w:p>
          <w:p w14:paraId="470408CA" w14:textId="77777777" w:rsidR="004117F0" w:rsidRPr="004117F0" w:rsidRDefault="004117F0" w:rsidP="004117F0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ptos" w:hAnsi="Aptos"/>
              </w:rPr>
            </w:pPr>
            <w:r w:rsidRPr="004117F0">
              <w:rPr>
                <w:rFonts w:ascii="Aptos" w:hAnsi="Aptos"/>
              </w:rPr>
              <w:t>Emphasis is put on assessing current UK and European dementia care approaches using existing peer-reviewed evidence and government reports.</w:t>
            </w:r>
          </w:p>
          <w:p w14:paraId="4F873229" w14:textId="448EEB20" w:rsidR="000E56ED" w:rsidRPr="004117F0" w:rsidRDefault="004117F0" w:rsidP="004117F0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ptos" w:hAnsi="Aptos"/>
              </w:rPr>
            </w:pPr>
            <w:r w:rsidRPr="004117F0">
              <w:rPr>
                <w:rFonts w:ascii="Aptos" w:hAnsi="Aptos"/>
              </w:rPr>
              <w:t>Aim: To examine existing systems of dementia treatment and care and evaluate their effect on symptom control and quality of life among older people.</w:t>
            </w:r>
          </w:p>
        </w:tc>
        <w:tc>
          <w:tcPr>
            <w:tcW w:w="7391" w:type="dxa"/>
            <w:shd w:val="clear" w:color="auto" w:fill="FFF2CC" w:themeFill="accent4" w:themeFillTint="33"/>
          </w:tcPr>
          <w:p w14:paraId="512F9F0B" w14:textId="77777777" w:rsidR="00C31D85" w:rsidRPr="00187955" w:rsidRDefault="00C31D85" w:rsidP="00C46111">
            <w:pPr>
              <w:rPr>
                <w:rFonts w:ascii="Aptos" w:hAnsi="Aptos"/>
                <w:color w:val="00B050"/>
              </w:rPr>
            </w:pPr>
            <w:r w:rsidRPr="00187955">
              <w:rPr>
                <w:rFonts w:ascii="Aptos" w:hAnsi="Aptos"/>
                <w:b/>
                <w:bCs/>
                <w:color w:val="00B050"/>
                <w:sz w:val="40"/>
                <w:szCs w:val="40"/>
              </w:rPr>
              <w:t>02</w:t>
            </w:r>
            <w:r w:rsidR="00AB5409" w:rsidRPr="00187955">
              <w:rPr>
                <w:rFonts w:ascii="Aptos" w:hAnsi="Aptos"/>
                <w:b/>
                <w:bCs/>
                <w:color w:val="00B050"/>
                <w:sz w:val="40"/>
                <w:szCs w:val="40"/>
              </w:rPr>
              <w:t xml:space="preserve"> </w:t>
            </w:r>
            <w:r w:rsidR="00AB5409" w:rsidRPr="00187955">
              <w:rPr>
                <w:rFonts w:ascii="Aptos" w:hAnsi="Aptos"/>
                <w:b/>
                <w:bCs/>
                <w:color w:val="00B050"/>
              </w:rPr>
              <w:t>Search Strategy</w:t>
            </w:r>
            <w:r w:rsidR="00AB5409" w:rsidRPr="00187955">
              <w:rPr>
                <w:rFonts w:ascii="Aptos" w:hAnsi="Aptos"/>
                <w:color w:val="00B050"/>
              </w:rPr>
              <w:t xml:space="preserve"> </w:t>
            </w:r>
          </w:p>
          <w:p w14:paraId="34A9BBB2" w14:textId="383F80EB" w:rsidR="000454E9" w:rsidRPr="000454E9" w:rsidRDefault="4ED1863C" w:rsidP="000454E9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65A6145A">
              <w:rPr>
                <w:rFonts w:ascii="Aptos" w:hAnsi="Aptos"/>
                <w:lang w:val="en-GB"/>
              </w:rPr>
              <w:t>Several</w:t>
            </w:r>
            <w:r w:rsidR="3F72C29F" w:rsidRPr="65A6145A">
              <w:rPr>
                <w:rFonts w:ascii="Aptos" w:hAnsi="Aptos"/>
                <w:lang w:val="en-GB"/>
              </w:rPr>
              <w:t xml:space="preserve"> academic databases were used, including Google Scholar, PubMed, and Wiley Online Library.</w:t>
            </w:r>
          </w:p>
          <w:p w14:paraId="00FB06D6" w14:textId="59E4C9D0" w:rsidR="000454E9" w:rsidRPr="000454E9" w:rsidRDefault="000454E9" w:rsidP="000454E9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0454E9">
              <w:rPr>
                <w:rFonts w:ascii="Aptos" w:hAnsi="Aptos"/>
                <w:lang w:val="en-GB"/>
              </w:rPr>
              <w:t>The keywords such as "dementia care", "quality of life", "non-pharmacological therapies", and "pharmacological treatments" were combined using Boolean operators to ensure accuracy.</w:t>
            </w:r>
          </w:p>
          <w:p w14:paraId="32057E0D" w14:textId="089B29C5" w:rsidR="000454E9" w:rsidRPr="000454E9" w:rsidRDefault="000454E9" w:rsidP="000454E9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0454E9">
              <w:rPr>
                <w:rFonts w:ascii="Aptos" w:hAnsi="Aptos"/>
                <w:lang w:val="en-GB"/>
              </w:rPr>
              <w:t>Search parameters were restricted to those published after 2021 to ensure current relevance.</w:t>
            </w:r>
          </w:p>
          <w:p w14:paraId="109C23A4" w14:textId="17C1982F" w:rsidR="0029329C" w:rsidRPr="000454E9" w:rsidRDefault="000454E9" w:rsidP="000454E9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0454E9">
              <w:rPr>
                <w:rFonts w:ascii="Aptos" w:hAnsi="Aptos"/>
                <w:lang w:val="en-GB"/>
              </w:rPr>
              <w:t>Institutional library access and government policy reports were also included to offer policy-level context (Wang et al., 2022).</w:t>
            </w:r>
          </w:p>
        </w:tc>
      </w:tr>
      <w:tr w:rsidR="00C31D85" w:rsidRPr="00C31D85" w14:paraId="56FBFF17" w14:textId="77777777" w:rsidTr="65A6145A">
        <w:trPr>
          <w:trHeight w:val="1856"/>
        </w:trPr>
        <w:tc>
          <w:tcPr>
            <w:tcW w:w="7225" w:type="dxa"/>
            <w:shd w:val="clear" w:color="auto" w:fill="FFF2CC" w:themeFill="accent4" w:themeFillTint="33"/>
          </w:tcPr>
          <w:p w14:paraId="30AEBD55" w14:textId="77777777" w:rsidR="00C31D85" w:rsidRPr="00187955" w:rsidRDefault="00C31D85" w:rsidP="00C46111">
            <w:pPr>
              <w:rPr>
                <w:rFonts w:ascii="Aptos" w:hAnsi="Aptos"/>
                <w:color w:val="4472C4" w:themeColor="accent1"/>
              </w:rPr>
            </w:pPr>
            <w:r w:rsidRPr="00187955">
              <w:rPr>
                <w:rFonts w:ascii="Aptos" w:hAnsi="Aptos"/>
                <w:b/>
                <w:bCs/>
                <w:color w:val="4472C4" w:themeColor="accent1"/>
                <w:sz w:val="40"/>
                <w:szCs w:val="40"/>
              </w:rPr>
              <w:t>03</w:t>
            </w:r>
            <w:r w:rsidR="00AB5409" w:rsidRPr="00187955">
              <w:rPr>
                <w:rFonts w:ascii="Aptos" w:hAnsi="Aptos"/>
                <w:color w:val="4472C4" w:themeColor="accent1"/>
              </w:rPr>
              <w:t xml:space="preserve"> </w:t>
            </w:r>
            <w:r w:rsidR="00AB5409" w:rsidRPr="00187955">
              <w:rPr>
                <w:rFonts w:ascii="Aptos" w:hAnsi="Aptos"/>
                <w:b/>
                <w:bCs/>
                <w:color w:val="4472C4" w:themeColor="accent1"/>
              </w:rPr>
              <w:t>Searching for Information</w:t>
            </w:r>
            <w:r w:rsidR="00AB5409" w:rsidRPr="00187955">
              <w:rPr>
                <w:rFonts w:ascii="Aptos" w:hAnsi="Aptos"/>
                <w:color w:val="4472C4" w:themeColor="accent1"/>
              </w:rPr>
              <w:t xml:space="preserve"> </w:t>
            </w:r>
          </w:p>
          <w:p w14:paraId="196465C3" w14:textId="34A26581" w:rsidR="00120536" w:rsidRPr="00120536" w:rsidRDefault="00120536" w:rsidP="00120536">
            <w:pPr>
              <w:pStyle w:val="ListParagraph"/>
              <w:numPr>
                <w:ilvl w:val="0"/>
                <w:numId w:val="24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120536">
              <w:rPr>
                <w:rFonts w:ascii="Aptos" w:hAnsi="Aptos"/>
                <w:lang w:val="en-GB"/>
              </w:rPr>
              <w:t>A systematic approach was used, starting with broad terms (e.g., "elderly dementia care") and filtering in turn: post-2021, English, and peer-reviewed.</w:t>
            </w:r>
          </w:p>
          <w:p w14:paraId="3BA0B212" w14:textId="4DFDF3A7" w:rsidR="00120536" w:rsidRPr="00120536" w:rsidRDefault="00120536" w:rsidP="00120536">
            <w:pPr>
              <w:pStyle w:val="ListParagraph"/>
              <w:numPr>
                <w:ilvl w:val="0"/>
                <w:numId w:val="24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120536">
              <w:rPr>
                <w:rFonts w:ascii="Aptos" w:hAnsi="Aptos"/>
                <w:lang w:val="en-GB"/>
              </w:rPr>
              <w:t>The reference lists of classic articles were searched using a snowball sampling method for other relevant studies.</w:t>
            </w:r>
          </w:p>
          <w:p w14:paraId="1EDC3A47" w14:textId="41641F13" w:rsidR="00120536" w:rsidRPr="00120536" w:rsidRDefault="00120536" w:rsidP="00120536">
            <w:pPr>
              <w:pStyle w:val="ListParagraph"/>
              <w:numPr>
                <w:ilvl w:val="0"/>
                <w:numId w:val="24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120536">
              <w:rPr>
                <w:rFonts w:ascii="Aptos" w:hAnsi="Aptos"/>
                <w:lang w:val="en-GB"/>
              </w:rPr>
              <w:t xml:space="preserve">An emphasis was on research that empirically measured effects of treatment in areas like cognitive deterioration, </w:t>
            </w:r>
            <w:r w:rsidR="00E57103" w:rsidRPr="00120536">
              <w:rPr>
                <w:rFonts w:ascii="Aptos" w:hAnsi="Aptos"/>
                <w:lang w:val="en-GB"/>
              </w:rPr>
              <w:t>behaviour</w:t>
            </w:r>
            <w:r w:rsidRPr="00120536">
              <w:rPr>
                <w:rFonts w:ascii="Aptos" w:hAnsi="Aptos"/>
                <w:lang w:val="en-GB"/>
              </w:rPr>
              <w:t xml:space="preserve"> symptoms, or quality of life (Burks et al., 2021).</w:t>
            </w:r>
          </w:p>
          <w:p w14:paraId="54E41379" w14:textId="672F8134" w:rsidR="0029329C" w:rsidRPr="00120536" w:rsidRDefault="00120536" w:rsidP="00120536">
            <w:pPr>
              <w:pStyle w:val="ListParagraph"/>
              <w:numPr>
                <w:ilvl w:val="0"/>
                <w:numId w:val="24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120536">
              <w:rPr>
                <w:rFonts w:ascii="Aptos" w:hAnsi="Aptos"/>
                <w:lang w:val="en-GB"/>
              </w:rPr>
              <w:t>Official documents (e.g., WHO, NHS guidelines) provided supported clinical and policy-level data (Butterworth, 2020).</w:t>
            </w:r>
          </w:p>
          <w:p w14:paraId="701333EA" w14:textId="003A59C4" w:rsidR="0029329C" w:rsidRPr="005F7D75" w:rsidRDefault="005F7D75" w:rsidP="00F52F83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5F7D75">
              <w:rPr>
                <w:rFonts w:ascii="Aptos" w:hAnsi="Aptos"/>
                <w:lang w:val="en-GB"/>
              </w:rPr>
              <w:t xml:space="preserve"> </w:t>
            </w:r>
          </w:p>
        </w:tc>
        <w:tc>
          <w:tcPr>
            <w:tcW w:w="7391" w:type="dxa"/>
            <w:shd w:val="clear" w:color="auto" w:fill="FFF2CC" w:themeFill="accent4" w:themeFillTint="33"/>
          </w:tcPr>
          <w:p w14:paraId="54995ADA" w14:textId="77777777" w:rsidR="00C31D85" w:rsidRPr="00187955" w:rsidRDefault="00C31D85" w:rsidP="00C46111">
            <w:pPr>
              <w:rPr>
                <w:rFonts w:ascii="Aptos" w:hAnsi="Aptos"/>
                <w:color w:val="C45911" w:themeColor="accent2" w:themeShade="BF"/>
              </w:rPr>
            </w:pPr>
            <w:r w:rsidRPr="00187955">
              <w:rPr>
                <w:rFonts w:ascii="Aptos" w:hAnsi="Aptos"/>
                <w:b/>
                <w:bCs/>
                <w:color w:val="C45911" w:themeColor="accent2" w:themeShade="BF"/>
                <w:sz w:val="40"/>
                <w:szCs w:val="40"/>
              </w:rPr>
              <w:t>04</w:t>
            </w:r>
            <w:r w:rsidR="00AB5409" w:rsidRPr="00187955">
              <w:rPr>
                <w:rFonts w:ascii="Aptos" w:hAnsi="Aptos"/>
                <w:color w:val="C45911" w:themeColor="accent2" w:themeShade="BF"/>
              </w:rPr>
              <w:t xml:space="preserve"> </w:t>
            </w:r>
            <w:r w:rsidR="00AB5409" w:rsidRPr="00187955">
              <w:rPr>
                <w:rFonts w:ascii="Aptos" w:hAnsi="Aptos"/>
                <w:b/>
                <w:bCs/>
                <w:color w:val="C45911" w:themeColor="accent2" w:themeShade="BF"/>
              </w:rPr>
              <w:t>Picture / Graph / Visual Aid / Statistics</w:t>
            </w:r>
            <w:r w:rsidR="00AB5409" w:rsidRPr="00187955">
              <w:rPr>
                <w:rFonts w:ascii="Aptos" w:hAnsi="Aptos"/>
                <w:color w:val="C45911" w:themeColor="accent2" w:themeShade="BF"/>
              </w:rPr>
              <w:t xml:space="preserve"> </w:t>
            </w:r>
          </w:p>
          <w:p w14:paraId="2BBB997C" w14:textId="45F04941" w:rsidR="005F7D75" w:rsidRPr="00C31D85" w:rsidRDefault="00A84466" w:rsidP="00A84466">
            <w:pPr>
              <w:spacing w:line="360" w:lineRule="auto"/>
              <w:jc w:val="center"/>
              <w:rPr>
                <w:rFonts w:ascii="Aptos" w:hAnsi="Aptos"/>
              </w:rPr>
            </w:pPr>
            <w:r>
              <w:rPr>
                <w:rFonts w:ascii="Aptos" w:hAnsi="Aptos"/>
                <w:noProof/>
                <w:lang w:val="en-GB" w:eastAsia="en-GB"/>
              </w:rPr>
              <w:drawing>
                <wp:inline distT="0" distB="0" distL="0" distR="0" wp14:anchorId="2E372F43" wp14:editId="438A9216">
                  <wp:extent cx="2657475" cy="6048375"/>
                  <wp:effectExtent l="0" t="0" r="952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dementia_methodology_flowchart.pn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7475" cy="6048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31D85" w:rsidRPr="00C31D85" w14:paraId="71279A0E" w14:textId="77777777" w:rsidTr="65A6145A">
        <w:trPr>
          <w:trHeight w:val="983"/>
        </w:trPr>
        <w:tc>
          <w:tcPr>
            <w:tcW w:w="14616" w:type="dxa"/>
            <w:gridSpan w:val="2"/>
            <w:shd w:val="clear" w:color="auto" w:fill="FFF2CC" w:themeFill="accent4" w:themeFillTint="33"/>
          </w:tcPr>
          <w:p w14:paraId="559B5E23" w14:textId="77777777" w:rsidR="00C31D85" w:rsidRPr="00187955" w:rsidRDefault="00C31D85" w:rsidP="00AB5409">
            <w:pPr>
              <w:jc w:val="center"/>
              <w:rPr>
                <w:rFonts w:ascii="Aptos" w:hAnsi="Aptos"/>
                <w:b/>
                <w:bCs/>
                <w:color w:val="7030A0"/>
              </w:rPr>
            </w:pPr>
            <w:r w:rsidRPr="00187955">
              <w:rPr>
                <w:rFonts w:ascii="Aptos" w:hAnsi="Aptos"/>
                <w:b/>
                <w:bCs/>
                <w:color w:val="7030A0"/>
                <w:sz w:val="40"/>
                <w:szCs w:val="40"/>
              </w:rPr>
              <w:t>05</w:t>
            </w:r>
            <w:r w:rsidR="00AB5409" w:rsidRPr="00187955">
              <w:rPr>
                <w:rFonts w:ascii="Aptos" w:hAnsi="Aptos"/>
                <w:color w:val="7030A0"/>
              </w:rPr>
              <w:t xml:space="preserve"> </w:t>
            </w:r>
            <w:r w:rsidR="00AB5409" w:rsidRPr="00187955">
              <w:rPr>
                <w:rFonts w:ascii="Aptos" w:hAnsi="Aptos"/>
                <w:b/>
                <w:bCs/>
                <w:color w:val="7030A0"/>
              </w:rPr>
              <w:t>Research Validation and Analysis</w:t>
            </w:r>
          </w:p>
          <w:p w14:paraId="4FCCC8CB" w14:textId="339CB534" w:rsidR="00095F59" w:rsidRPr="00095F59" w:rsidRDefault="00095F59" w:rsidP="00095F59">
            <w:pPr>
              <w:pStyle w:val="ListParagraph"/>
              <w:numPr>
                <w:ilvl w:val="0"/>
                <w:numId w:val="25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095F59">
              <w:rPr>
                <w:rFonts w:ascii="Aptos" w:hAnsi="Aptos"/>
                <w:lang w:val="en-GB"/>
              </w:rPr>
              <w:t>Validation is verifying validity and accuracy of sources by applying peer-reviewed, sound methodological studies (Baldwin et al., 2022).</w:t>
            </w:r>
          </w:p>
          <w:p w14:paraId="7E3FEB55" w14:textId="77777777" w:rsidR="00095F59" w:rsidRPr="00095F59" w:rsidRDefault="00095F59" w:rsidP="00095F59">
            <w:pPr>
              <w:pStyle w:val="ListParagraph"/>
              <w:numPr>
                <w:ilvl w:val="0"/>
                <w:numId w:val="25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095F59">
              <w:rPr>
                <w:rFonts w:ascii="Aptos" w:hAnsi="Aptos"/>
                <w:lang w:val="en-GB"/>
              </w:rPr>
              <w:t>High-level studies like RCTs, longitudinal reviews, and authoritative guidelines were given precedence.</w:t>
            </w:r>
          </w:p>
          <w:p w14:paraId="7534290A" w14:textId="4CE48318" w:rsidR="00095F59" w:rsidRPr="00095F59" w:rsidRDefault="00D801BF" w:rsidP="00095F59">
            <w:pPr>
              <w:pStyle w:val="ListParagraph"/>
              <w:numPr>
                <w:ilvl w:val="0"/>
                <w:numId w:val="25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>
              <w:rPr>
                <w:rFonts w:ascii="Aptos" w:hAnsi="Aptos"/>
                <w:lang w:val="en-GB"/>
              </w:rPr>
              <w:t>Thematic analysis was utilis</w:t>
            </w:r>
            <w:r w:rsidR="00095F59" w:rsidRPr="00095F59">
              <w:rPr>
                <w:rFonts w:ascii="Aptos" w:hAnsi="Aptos"/>
                <w:lang w:val="en-GB"/>
              </w:rPr>
              <w:t>ed in the retrieval of universal themes such as pharmacologic effect, social care systems, and digital interventions (</w:t>
            </w:r>
            <w:proofErr w:type="spellStart"/>
            <w:r w:rsidR="00095F59" w:rsidRPr="00095F59">
              <w:rPr>
                <w:rFonts w:ascii="Aptos" w:hAnsi="Aptos"/>
                <w:lang w:val="en-GB"/>
              </w:rPr>
              <w:t>Lochmiller</w:t>
            </w:r>
            <w:proofErr w:type="spellEnd"/>
            <w:r w:rsidR="00095F59" w:rsidRPr="00095F59">
              <w:rPr>
                <w:rFonts w:ascii="Aptos" w:hAnsi="Aptos"/>
                <w:lang w:val="en-GB"/>
              </w:rPr>
              <w:t>, 2021).</w:t>
            </w:r>
          </w:p>
          <w:p w14:paraId="7454B819" w14:textId="048FA515" w:rsidR="00516CC0" w:rsidRPr="00095F59" w:rsidRDefault="00095F59" w:rsidP="00095F59">
            <w:pPr>
              <w:pStyle w:val="ListParagraph"/>
              <w:numPr>
                <w:ilvl w:val="0"/>
                <w:numId w:val="25"/>
              </w:num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095F59">
              <w:rPr>
                <w:rFonts w:ascii="Aptos" w:hAnsi="Aptos"/>
                <w:lang w:val="en-GB"/>
              </w:rPr>
              <w:t>Advantages: Merges big data sets; Disadvantages: Unable to offer new information or record individual patient experience.</w:t>
            </w:r>
          </w:p>
        </w:tc>
      </w:tr>
      <w:tr w:rsidR="00AB5409" w:rsidRPr="00C31D85" w14:paraId="1159AF67" w14:textId="77777777" w:rsidTr="65A6145A">
        <w:trPr>
          <w:trHeight w:val="1856"/>
        </w:trPr>
        <w:tc>
          <w:tcPr>
            <w:tcW w:w="7225" w:type="dxa"/>
            <w:shd w:val="clear" w:color="auto" w:fill="FFF2CC" w:themeFill="accent4" w:themeFillTint="33"/>
          </w:tcPr>
          <w:p w14:paraId="398EE9B0" w14:textId="77777777" w:rsidR="00AB5409" w:rsidRPr="000F2C40" w:rsidRDefault="00AB5409" w:rsidP="00C46111">
            <w:pPr>
              <w:rPr>
                <w:rFonts w:ascii="Aptos" w:hAnsi="Aptos"/>
                <w:color w:val="C00000"/>
              </w:rPr>
            </w:pPr>
            <w:r w:rsidRPr="000F2C40">
              <w:rPr>
                <w:rFonts w:ascii="Aptos" w:hAnsi="Aptos"/>
                <w:b/>
                <w:bCs/>
                <w:color w:val="C00000"/>
                <w:sz w:val="40"/>
                <w:szCs w:val="40"/>
              </w:rPr>
              <w:t>06</w:t>
            </w:r>
            <w:r w:rsidRPr="000F2C40">
              <w:rPr>
                <w:rFonts w:ascii="Aptos" w:hAnsi="Aptos"/>
                <w:color w:val="C00000"/>
              </w:rPr>
              <w:t xml:space="preserve"> </w:t>
            </w:r>
            <w:r w:rsidRPr="000F2C40">
              <w:rPr>
                <w:rFonts w:ascii="Aptos" w:hAnsi="Aptos"/>
                <w:b/>
                <w:bCs/>
                <w:color w:val="C00000"/>
              </w:rPr>
              <w:t>Inclusion Criteria</w:t>
            </w:r>
            <w:r w:rsidRPr="000F2C40">
              <w:rPr>
                <w:rFonts w:ascii="Aptos" w:hAnsi="Aptos"/>
                <w:color w:val="C00000"/>
              </w:rPr>
              <w:t xml:space="preserve"> </w:t>
            </w:r>
          </w:p>
          <w:p w14:paraId="56B98224" w14:textId="640DF87E" w:rsidR="006B3A4A" w:rsidRPr="006B3A4A" w:rsidRDefault="006B3A4A" w:rsidP="006B3A4A">
            <w:pPr>
              <w:pStyle w:val="ListParagraph"/>
              <w:numPr>
                <w:ilvl w:val="0"/>
                <w:numId w:val="26"/>
              </w:numPr>
              <w:spacing w:line="360" w:lineRule="auto"/>
              <w:jc w:val="both"/>
              <w:rPr>
                <w:rFonts w:ascii="Aptos" w:hAnsi="Aptos"/>
              </w:rPr>
            </w:pPr>
            <w:r w:rsidRPr="006B3A4A">
              <w:rPr>
                <w:rFonts w:ascii="Aptos" w:hAnsi="Aptos"/>
              </w:rPr>
              <w:t>Peer-reviewed publications from 2021 and onwards on elderly dementia patients.</w:t>
            </w:r>
          </w:p>
          <w:p w14:paraId="25C28AAD" w14:textId="327B931E" w:rsidR="006B3A4A" w:rsidRPr="006B3A4A" w:rsidRDefault="006B3A4A" w:rsidP="006B3A4A">
            <w:pPr>
              <w:pStyle w:val="ListParagraph"/>
              <w:numPr>
                <w:ilvl w:val="0"/>
                <w:numId w:val="26"/>
              </w:numPr>
              <w:spacing w:line="360" w:lineRule="auto"/>
              <w:jc w:val="both"/>
              <w:rPr>
                <w:rFonts w:ascii="Aptos" w:hAnsi="Aptos"/>
              </w:rPr>
            </w:pPr>
            <w:r w:rsidRPr="006B3A4A">
              <w:rPr>
                <w:rFonts w:ascii="Aptos" w:hAnsi="Aptos"/>
              </w:rPr>
              <w:t>Research aimed at both pharmacologic and non-pharmacologic treatments.</w:t>
            </w:r>
          </w:p>
          <w:p w14:paraId="334EE265" w14:textId="0B225BB7" w:rsidR="006B3A4A" w:rsidRPr="006B3A4A" w:rsidRDefault="006B3A4A" w:rsidP="006B3A4A">
            <w:pPr>
              <w:pStyle w:val="ListParagraph"/>
              <w:numPr>
                <w:ilvl w:val="0"/>
                <w:numId w:val="26"/>
              </w:numPr>
              <w:spacing w:line="360" w:lineRule="auto"/>
              <w:jc w:val="both"/>
              <w:rPr>
                <w:rFonts w:ascii="Aptos" w:hAnsi="Aptos"/>
              </w:rPr>
            </w:pPr>
            <w:r w:rsidRPr="006B3A4A">
              <w:rPr>
                <w:rFonts w:ascii="Aptos" w:hAnsi="Aptos"/>
              </w:rPr>
              <w:t>Publications discussing symptom management and quality of life outcomes.</w:t>
            </w:r>
          </w:p>
          <w:p w14:paraId="00628477" w14:textId="44B6CE07" w:rsidR="00516CC0" w:rsidRPr="006B3A4A" w:rsidRDefault="006B3A4A" w:rsidP="006B3A4A">
            <w:pPr>
              <w:pStyle w:val="ListParagraph"/>
              <w:numPr>
                <w:ilvl w:val="0"/>
                <w:numId w:val="26"/>
              </w:numPr>
              <w:spacing w:line="360" w:lineRule="auto"/>
              <w:jc w:val="both"/>
              <w:rPr>
                <w:rFonts w:ascii="Aptos" w:hAnsi="Aptos"/>
              </w:rPr>
            </w:pPr>
            <w:r w:rsidRPr="006B3A4A">
              <w:rPr>
                <w:rFonts w:ascii="Aptos" w:hAnsi="Aptos"/>
              </w:rPr>
              <w:t>UK and European research to provide local context to the scope of the project.</w:t>
            </w:r>
          </w:p>
        </w:tc>
        <w:tc>
          <w:tcPr>
            <w:tcW w:w="7391" w:type="dxa"/>
            <w:shd w:val="clear" w:color="auto" w:fill="FFF2CC" w:themeFill="accent4" w:themeFillTint="33"/>
          </w:tcPr>
          <w:p w14:paraId="51867809" w14:textId="77777777" w:rsidR="00AB5409" w:rsidRPr="000F2C40" w:rsidRDefault="00AB5409" w:rsidP="00C46111">
            <w:pPr>
              <w:rPr>
                <w:rFonts w:ascii="Aptos" w:hAnsi="Aptos"/>
                <w:color w:val="538135" w:themeColor="accent6" w:themeShade="BF"/>
              </w:rPr>
            </w:pPr>
            <w:r w:rsidRPr="000F2C40">
              <w:rPr>
                <w:rFonts w:ascii="Aptos" w:hAnsi="Aptos"/>
                <w:b/>
                <w:bCs/>
                <w:color w:val="538135" w:themeColor="accent6" w:themeShade="BF"/>
                <w:sz w:val="40"/>
                <w:szCs w:val="40"/>
              </w:rPr>
              <w:t>07</w:t>
            </w:r>
            <w:r w:rsidRPr="000F2C40">
              <w:rPr>
                <w:rFonts w:ascii="Aptos" w:hAnsi="Aptos"/>
                <w:color w:val="538135" w:themeColor="accent6" w:themeShade="BF"/>
              </w:rPr>
              <w:t xml:space="preserve"> </w:t>
            </w:r>
            <w:r w:rsidRPr="000F2C40">
              <w:rPr>
                <w:rFonts w:ascii="Aptos" w:hAnsi="Aptos"/>
                <w:b/>
                <w:bCs/>
                <w:color w:val="538135" w:themeColor="accent6" w:themeShade="BF"/>
              </w:rPr>
              <w:t>Exclusion Criteria</w:t>
            </w:r>
            <w:r w:rsidRPr="000F2C40">
              <w:rPr>
                <w:rFonts w:ascii="Aptos" w:hAnsi="Aptos"/>
                <w:color w:val="538135" w:themeColor="accent6" w:themeShade="BF"/>
              </w:rPr>
              <w:t xml:space="preserve"> </w:t>
            </w:r>
          </w:p>
          <w:p w14:paraId="3486CD4A" w14:textId="59F3D756" w:rsidR="00B02046" w:rsidRPr="00B02046" w:rsidRDefault="00B02046" w:rsidP="00B02046">
            <w:pPr>
              <w:pStyle w:val="ListParagraph"/>
              <w:numPr>
                <w:ilvl w:val="0"/>
                <w:numId w:val="27"/>
              </w:numPr>
              <w:spacing w:line="360" w:lineRule="auto"/>
              <w:jc w:val="both"/>
              <w:rPr>
                <w:rFonts w:ascii="Aptos" w:hAnsi="Aptos"/>
              </w:rPr>
            </w:pPr>
            <w:r w:rsidRPr="00B02046">
              <w:rPr>
                <w:rFonts w:ascii="Aptos" w:hAnsi="Aptos"/>
              </w:rPr>
              <w:t>Pre-2021 articles excluded due to outdated practice and treatments.</w:t>
            </w:r>
          </w:p>
          <w:p w14:paraId="327E6980" w14:textId="02181540" w:rsidR="00B02046" w:rsidRPr="00B02046" w:rsidRDefault="00B02046" w:rsidP="00B02046">
            <w:pPr>
              <w:pStyle w:val="ListParagraph"/>
              <w:numPr>
                <w:ilvl w:val="0"/>
                <w:numId w:val="27"/>
              </w:numPr>
              <w:spacing w:line="360" w:lineRule="auto"/>
              <w:jc w:val="both"/>
              <w:rPr>
                <w:rFonts w:ascii="Aptos" w:hAnsi="Aptos"/>
              </w:rPr>
            </w:pPr>
            <w:r w:rsidRPr="00B02046">
              <w:rPr>
                <w:rFonts w:ascii="Aptos" w:hAnsi="Aptos"/>
              </w:rPr>
              <w:t>Grey literature or non-peer-reviewed literature (e.g., editorials, blogs).</w:t>
            </w:r>
          </w:p>
          <w:p w14:paraId="36A21045" w14:textId="1C0B762A" w:rsidR="00B02046" w:rsidRPr="00B02046" w:rsidRDefault="00B02046" w:rsidP="00B02046">
            <w:pPr>
              <w:pStyle w:val="ListParagraph"/>
              <w:numPr>
                <w:ilvl w:val="0"/>
                <w:numId w:val="27"/>
              </w:numPr>
              <w:spacing w:line="360" w:lineRule="auto"/>
              <w:jc w:val="both"/>
              <w:rPr>
                <w:rFonts w:ascii="Aptos" w:hAnsi="Aptos"/>
              </w:rPr>
            </w:pPr>
            <w:r w:rsidRPr="00B02046">
              <w:rPr>
                <w:rFonts w:ascii="Aptos" w:hAnsi="Aptos"/>
              </w:rPr>
              <w:t>Studies that did not assess treatment effectiveness or did not report quality of life.</w:t>
            </w:r>
          </w:p>
          <w:p w14:paraId="253F8839" w14:textId="1050F262" w:rsidR="00516CC0" w:rsidRPr="00B02046" w:rsidRDefault="00B02046" w:rsidP="00B02046">
            <w:pPr>
              <w:pStyle w:val="ListParagraph"/>
              <w:numPr>
                <w:ilvl w:val="0"/>
                <w:numId w:val="27"/>
              </w:numPr>
              <w:spacing w:line="360" w:lineRule="auto"/>
              <w:jc w:val="both"/>
              <w:rPr>
                <w:rFonts w:ascii="Aptos" w:hAnsi="Aptos"/>
              </w:rPr>
            </w:pPr>
            <w:r w:rsidRPr="00B02046">
              <w:rPr>
                <w:rFonts w:ascii="Aptos" w:hAnsi="Aptos"/>
              </w:rPr>
              <w:t>Non-English language articles were excluded because of the constraints of translation.</w:t>
            </w:r>
          </w:p>
        </w:tc>
      </w:tr>
      <w:tr w:rsidR="00C31D85" w:rsidRPr="00C31D85" w14:paraId="583C9C87" w14:textId="77777777" w:rsidTr="65A6145A">
        <w:trPr>
          <w:trHeight w:val="3840"/>
        </w:trPr>
        <w:tc>
          <w:tcPr>
            <w:tcW w:w="14616" w:type="dxa"/>
            <w:gridSpan w:val="2"/>
            <w:shd w:val="clear" w:color="auto" w:fill="FFF2CC" w:themeFill="accent4" w:themeFillTint="33"/>
          </w:tcPr>
          <w:p w14:paraId="44C8BC9D" w14:textId="77777777" w:rsidR="00C31D85" w:rsidRPr="006B5EF1" w:rsidRDefault="00C31D85" w:rsidP="00AB5409">
            <w:pPr>
              <w:jc w:val="center"/>
              <w:rPr>
                <w:rFonts w:ascii="Aptos" w:hAnsi="Aptos"/>
                <w:b/>
                <w:bCs/>
                <w:color w:val="5B9BD5" w:themeColor="accent5"/>
              </w:rPr>
            </w:pPr>
            <w:r w:rsidRPr="006B5EF1">
              <w:rPr>
                <w:rFonts w:ascii="Aptos" w:hAnsi="Aptos"/>
                <w:b/>
                <w:bCs/>
                <w:color w:val="5B9BD5" w:themeColor="accent5"/>
                <w:sz w:val="40"/>
                <w:szCs w:val="40"/>
              </w:rPr>
              <w:t>0</w:t>
            </w:r>
            <w:r w:rsidR="00AB5409" w:rsidRPr="006B5EF1">
              <w:rPr>
                <w:rFonts w:ascii="Aptos" w:hAnsi="Aptos"/>
                <w:b/>
                <w:bCs/>
                <w:color w:val="5B9BD5" w:themeColor="accent5"/>
                <w:sz w:val="40"/>
                <w:szCs w:val="40"/>
              </w:rPr>
              <w:t>8</w:t>
            </w:r>
            <w:r w:rsidR="00AB5409" w:rsidRPr="006B5EF1">
              <w:rPr>
                <w:rFonts w:ascii="Aptos" w:hAnsi="Aptos"/>
                <w:color w:val="5B9BD5" w:themeColor="accent5"/>
              </w:rPr>
              <w:t xml:space="preserve"> </w:t>
            </w:r>
            <w:r w:rsidR="00AB5409" w:rsidRPr="006B5EF1">
              <w:rPr>
                <w:rFonts w:ascii="Aptos" w:hAnsi="Aptos"/>
                <w:b/>
                <w:bCs/>
                <w:color w:val="5B9BD5" w:themeColor="accent5"/>
              </w:rPr>
              <w:t>Ethical Considerations</w:t>
            </w:r>
          </w:p>
          <w:p w14:paraId="17502DAC" w14:textId="5AE8A866" w:rsidR="00A83046" w:rsidRPr="00A83046" w:rsidRDefault="00A83046" w:rsidP="00A83046">
            <w:pPr>
              <w:pStyle w:val="ListParagraph"/>
              <w:numPr>
                <w:ilvl w:val="0"/>
                <w:numId w:val="28"/>
              </w:numPr>
              <w:rPr>
                <w:rFonts w:ascii="Aptos" w:hAnsi="Aptos"/>
                <w:lang w:val="en-GB"/>
              </w:rPr>
            </w:pPr>
            <w:r w:rsidRPr="00A83046">
              <w:rPr>
                <w:rFonts w:ascii="Aptos" w:hAnsi="Aptos"/>
                <w:lang w:val="en-GB"/>
              </w:rPr>
              <w:t>Secondary research e</w:t>
            </w:r>
            <w:r w:rsidR="00D801BF">
              <w:rPr>
                <w:rFonts w:ascii="Aptos" w:hAnsi="Aptos"/>
                <w:lang w:val="en-GB"/>
              </w:rPr>
              <w:t>thics involve the correct utilis</w:t>
            </w:r>
            <w:r w:rsidRPr="00A83046">
              <w:rPr>
                <w:rFonts w:ascii="Aptos" w:hAnsi="Aptos"/>
                <w:lang w:val="en-GB"/>
              </w:rPr>
              <w:t>ation, analysis, and citation of previously published information (Baldwin et al., 2022).</w:t>
            </w:r>
          </w:p>
          <w:p w14:paraId="79F4ED2F" w14:textId="77777777" w:rsidR="00A83046" w:rsidRPr="00A83046" w:rsidRDefault="00A83046" w:rsidP="00A83046">
            <w:pPr>
              <w:pStyle w:val="ListParagraph"/>
              <w:numPr>
                <w:ilvl w:val="0"/>
                <w:numId w:val="28"/>
              </w:numPr>
              <w:rPr>
                <w:rFonts w:ascii="Aptos" w:hAnsi="Aptos"/>
                <w:lang w:val="en-GB"/>
              </w:rPr>
            </w:pPr>
            <w:r w:rsidRPr="00A83046">
              <w:rPr>
                <w:rFonts w:ascii="Aptos" w:hAnsi="Aptos"/>
                <w:lang w:val="en-GB"/>
              </w:rPr>
              <w:t>Proper Harvard style referencing was employed to uphold academic integrity.</w:t>
            </w:r>
          </w:p>
          <w:p w14:paraId="443C1747" w14:textId="6A433A22" w:rsidR="00A83046" w:rsidRPr="00A83046" w:rsidRDefault="00A83046" w:rsidP="00A83046">
            <w:pPr>
              <w:pStyle w:val="ListParagraph"/>
              <w:numPr>
                <w:ilvl w:val="0"/>
                <w:numId w:val="28"/>
              </w:numPr>
              <w:rPr>
                <w:rFonts w:ascii="Aptos" w:hAnsi="Aptos"/>
                <w:lang w:val="en-GB"/>
              </w:rPr>
            </w:pPr>
            <w:r w:rsidRPr="00A83046">
              <w:rPr>
                <w:rFonts w:ascii="Aptos" w:hAnsi="Aptos"/>
                <w:lang w:val="en-GB"/>
              </w:rPr>
              <w:t>Only studies that met ethical publication standards (e.g., peer-reviewed, i</w:t>
            </w:r>
            <w:r w:rsidR="00D801BF">
              <w:rPr>
                <w:rFonts w:ascii="Aptos" w:hAnsi="Aptos"/>
                <w:lang w:val="en-GB"/>
              </w:rPr>
              <w:t>nstitutional review) were utilis</w:t>
            </w:r>
            <w:r w:rsidRPr="00A83046">
              <w:rPr>
                <w:rFonts w:ascii="Aptos" w:hAnsi="Aptos"/>
                <w:lang w:val="en-GB"/>
              </w:rPr>
              <w:t>ed.</w:t>
            </w:r>
          </w:p>
          <w:p w14:paraId="28D04039" w14:textId="5AC399C5" w:rsidR="00F52F83" w:rsidRPr="00A83046" w:rsidRDefault="00A83046" w:rsidP="00A83046">
            <w:pPr>
              <w:pStyle w:val="ListParagraph"/>
              <w:numPr>
                <w:ilvl w:val="0"/>
                <w:numId w:val="28"/>
              </w:numPr>
              <w:rPr>
                <w:rFonts w:ascii="Aptos" w:hAnsi="Aptos"/>
                <w:lang w:val="en-GB"/>
              </w:rPr>
            </w:pPr>
            <w:r w:rsidRPr="00A83046">
              <w:rPr>
                <w:rFonts w:ascii="Aptos" w:hAnsi="Aptos"/>
                <w:lang w:val="en-GB"/>
              </w:rPr>
              <w:t>No human interaction or personal data was engaged, hence eliminating potential ethical risks such as violations of confidentiality.</w:t>
            </w:r>
          </w:p>
        </w:tc>
      </w:tr>
    </w:tbl>
    <w:p w14:paraId="53F82A21" w14:textId="77777777" w:rsidR="00C31D85" w:rsidRDefault="00C31D85" w:rsidP="00C46111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79920A52" w:rsidR="00ED1049" w:rsidRPr="00C31D85" w:rsidRDefault="00ED1049" w:rsidP="00C31D85"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5762B02D" w14:textId="78A98A38" w:rsidR="00E5066B" w:rsidRP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r w:rsidRPr="00E5066B">
        <w:rPr>
          <w:rFonts w:ascii="Arial" w:hAnsi="Arial" w:cs="Arial"/>
          <w:sz w:val="24"/>
          <w:szCs w:val="24"/>
        </w:rPr>
        <w:t>Baldwin, J. R. et al. (2022)</w:t>
      </w:r>
      <w:r w:rsidR="00A52845">
        <w:rPr>
          <w:rFonts w:ascii="Arial" w:hAnsi="Arial" w:cs="Arial"/>
          <w:sz w:val="24"/>
          <w:szCs w:val="24"/>
        </w:rPr>
        <w:t>’</w:t>
      </w:r>
      <w:r w:rsidRPr="00E5066B">
        <w:rPr>
          <w:rFonts w:ascii="Arial" w:hAnsi="Arial" w:cs="Arial"/>
          <w:sz w:val="24"/>
          <w:szCs w:val="24"/>
        </w:rPr>
        <w:t>European Journal of Epidemiology</w:t>
      </w:r>
      <w:r w:rsidR="00A52845">
        <w:rPr>
          <w:rFonts w:ascii="Arial" w:hAnsi="Arial" w:cs="Arial"/>
          <w:sz w:val="24"/>
          <w:szCs w:val="24"/>
        </w:rPr>
        <w:t>’</w:t>
      </w:r>
      <w:r w:rsidR="003536FE">
        <w:rPr>
          <w:rFonts w:ascii="Arial" w:hAnsi="Arial" w:cs="Arial"/>
          <w:sz w:val="24"/>
          <w:szCs w:val="24"/>
        </w:rPr>
        <w:t>,</w:t>
      </w:r>
      <w:r w:rsidRPr="00E5066B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Pr="008A2226">
          <w:rPr>
            <w:rStyle w:val="Hyperlink"/>
            <w:rFonts w:ascii="Arial" w:hAnsi="Arial" w:cs="Arial"/>
            <w:sz w:val="24"/>
            <w:szCs w:val="24"/>
          </w:rPr>
          <w:t>https://doi.org/10.1007/s10654-021-00839-0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000D9B4C" w14:textId="77777777" w:rsidR="00E5066B" w:rsidRP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r w:rsidRPr="00E5066B">
        <w:rPr>
          <w:rFonts w:ascii="Arial" w:hAnsi="Arial" w:cs="Arial"/>
          <w:sz w:val="24"/>
          <w:szCs w:val="24"/>
        </w:rPr>
        <w:t xml:space="preserve">Begum, J. (2024). WebMD. </w:t>
      </w:r>
      <w:hyperlink r:id="rId16" w:history="1">
        <w:r w:rsidRPr="008A2226">
          <w:rPr>
            <w:rStyle w:val="Hyperlink"/>
            <w:rFonts w:ascii="Arial" w:hAnsi="Arial" w:cs="Arial"/>
            <w:sz w:val="24"/>
            <w:szCs w:val="24"/>
          </w:rPr>
          <w:t>https://www.webmd.com/alzheimers/alzheimers-dementia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250B6A22" w14:textId="1EDBEF2E" w:rsidR="00E5066B" w:rsidRP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r w:rsidRPr="00E5066B">
        <w:rPr>
          <w:rFonts w:ascii="Arial" w:hAnsi="Arial" w:cs="Arial"/>
          <w:sz w:val="24"/>
          <w:szCs w:val="24"/>
        </w:rPr>
        <w:t>Burks, H. B. et al. (2021)</w:t>
      </w:r>
      <w:r w:rsidR="003536FE">
        <w:rPr>
          <w:rFonts w:ascii="Arial" w:hAnsi="Arial" w:cs="Arial"/>
          <w:sz w:val="24"/>
          <w:szCs w:val="24"/>
        </w:rPr>
        <w:t>’</w:t>
      </w:r>
      <w:r w:rsidRPr="00E5066B">
        <w:rPr>
          <w:rFonts w:ascii="Arial" w:hAnsi="Arial" w:cs="Arial"/>
          <w:sz w:val="24"/>
          <w:szCs w:val="24"/>
        </w:rPr>
        <w:t>Dementia and Geriatric Cognitive Disorder</w:t>
      </w:r>
      <w:r w:rsidR="00C11C7E">
        <w:rPr>
          <w:rFonts w:ascii="Arial" w:hAnsi="Arial" w:cs="Arial"/>
          <w:sz w:val="24"/>
          <w:szCs w:val="24"/>
        </w:rPr>
        <w:t>’,</w:t>
      </w:r>
      <w:r w:rsidR="00A91604">
        <w:rPr>
          <w:rFonts w:ascii="Arial" w:hAnsi="Arial" w:cs="Arial"/>
          <w:sz w:val="24"/>
          <w:szCs w:val="24"/>
        </w:rPr>
        <w:t xml:space="preserve"> </w:t>
      </w:r>
      <w:r w:rsidRPr="00E5066B">
        <w:rPr>
          <w:rFonts w:ascii="Arial" w:hAnsi="Arial" w:cs="Arial"/>
          <w:sz w:val="24"/>
          <w:szCs w:val="24"/>
        </w:rPr>
        <w:t xml:space="preserve">50(2), </w:t>
      </w:r>
      <w:r w:rsidR="00A91604">
        <w:rPr>
          <w:rFonts w:ascii="Arial" w:hAnsi="Arial" w:cs="Arial"/>
          <w:sz w:val="24"/>
          <w:szCs w:val="24"/>
        </w:rPr>
        <w:t>pp.</w:t>
      </w:r>
      <w:r w:rsidRPr="00E5066B">
        <w:rPr>
          <w:rFonts w:ascii="Arial" w:hAnsi="Arial" w:cs="Arial"/>
          <w:sz w:val="24"/>
          <w:szCs w:val="24"/>
        </w:rPr>
        <w:t xml:space="preserve">103–110. </w:t>
      </w:r>
      <w:hyperlink r:id="rId17" w:history="1">
        <w:r w:rsidRPr="008A2226">
          <w:rPr>
            <w:rStyle w:val="Hyperlink"/>
            <w:rFonts w:ascii="Arial" w:hAnsi="Arial" w:cs="Arial"/>
            <w:sz w:val="24"/>
            <w:szCs w:val="24"/>
          </w:rPr>
          <w:t>https://doi.org/10.1159/000515317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1F364AF" w14:textId="77777777" w:rsidR="00E5066B" w:rsidRP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r w:rsidRPr="00E5066B">
        <w:rPr>
          <w:rFonts w:ascii="Arial" w:hAnsi="Arial" w:cs="Arial"/>
          <w:sz w:val="24"/>
          <w:szCs w:val="24"/>
        </w:rPr>
        <w:t xml:space="preserve">Butterworth, S. (2020). Hertfordshire Partnership NHS. </w:t>
      </w:r>
      <w:hyperlink r:id="rId18" w:history="1">
        <w:r w:rsidRPr="008A2226">
          <w:rPr>
            <w:rStyle w:val="Hyperlink"/>
            <w:rFonts w:ascii="Arial" w:hAnsi="Arial" w:cs="Arial"/>
            <w:sz w:val="24"/>
            <w:szCs w:val="24"/>
          </w:rPr>
          <w:t>https://www.hpft.nhs.uk/media/5079/guidelines-pharmacological-management-of-dementia-220920.pdf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316A55E2" w14:textId="18C3CA8A" w:rsidR="00E5066B" w:rsidRP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E5066B">
        <w:rPr>
          <w:rFonts w:ascii="Arial" w:hAnsi="Arial" w:cs="Arial"/>
          <w:sz w:val="24"/>
          <w:szCs w:val="24"/>
        </w:rPr>
        <w:t>Lochmiller</w:t>
      </w:r>
      <w:proofErr w:type="spellEnd"/>
      <w:r w:rsidRPr="00E5066B">
        <w:rPr>
          <w:rFonts w:ascii="Arial" w:hAnsi="Arial" w:cs="Arial"/>
          <w:sz w:val="24"/>
          <w:szCs w:val="24"/>
        </w:rPr>
        <w:t>, C. R. (2021)</w:t>
      </w:r>
      <w:r w:rsidR="00E07E39">
        <w:rPr>
          <w:rFonts w:ascii="Arial" w:hAnsi="Arial" w:cs="Arial"/>
          <w:sz w:val="24"/>
          <w:szCs w:val="24"/>
        </w:rPr>
        <w:t>’</w:t>
      </w:r>
      <w:r w:rsidRPr="00E5066B">
        <w:rPr>
          <w:rFonts w:ascii="Arial" w:hAnsi="Arial" w:cs="Arial"/>
          <w:sz w:val="24"/>
          <w:szCs w:val="24"/>
        </w:rPr>
        <w:t>The Qualit</w:t>
      </w:r>
      <w:r>
        <w:rPr>
          <w:rFonts w:ascii="Arial" w:hAnsi="Arial" w:cs="Arial"/>
          <w:sz w:val="24"/>
          <w:szCs w:val="24"/>
        </w:rPr>
        <w:t>ative Report</w:t>
      </w:r>
      <w:r w:rsidR="00E07E39"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sz w:val="24"/>
          <w:szCs w:val="24"/>
        </w:rPr>
        <w:t>26(6),</w:t>
      </w:r>
      <w:r w:rsidR="00F86769">
        <w:rPr>
          <w:rFonts w:ascii="Arial" w:hAnsi="Arial" w:cs="Arial"/>
          <w:sz w:val="24"/>
          <w:szCs w:val="24"/>
        </w:rPr>
        <w:t xml:space="preserve"> pp.</w:t>
      </w:r>
      <w:r>
        <w:rPr>
          <w:rFonts w:ascii="Arial" w:hAnsi="Arial" w:cs="Arial"/>
          <w:sz w:val="24"/>
          <w:szCs w:val="24"/>
        </w:rPr>
        <w:t xml:space="preserve"> 2029–2044.</w:t>
      </w:r>
    </w:p>
    <w:p w14:paraId="576D7D71" w14:textId="584B17AD" w:rsidR="00E5066B" w:rsidRP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E5066B">
        <w:rPr>
          <w:rFonts w:ascii="Arial" w:hAnsi="Arial" w:cs="Arial"/>
          <w:sz w:val="24"/>
          <w:szCs w:val="24"/>
        </w:rPr>
        <w:t>Shu</w:t>
      </w:r>
      <w:proofErr w:type="spellEnd"/>
      <w:r w:rsidRPr="00E5066B">
        <w:rPr>
          <w:rFonts w:ascii="Arial" w:hAnsi="Arial" w:cs="Arial"/>
          <w:sz w:val="24"/>
          <w:szCs w:val="24"/>
        </w:rPr>
        <w:t>, S., &amp; Woo, B. K. (2021)</w:t>
      </w:r>
      <w:r w:rsidR="00F86769">
        <w:rPr>
          <w:rFonts w:ascii="Arial" w:hAnsi="Arial" w:cs="Arial"/>
          <w:sz w:val="24"/>
          <w:szCs w:val="24"/>
        </w:rPr>
        <w:t>’</w:t>
      </w:r>
      <w:r w:rsidRPr="00E5066B">
        <w:rPr>
          <w:rFonts w:ascii="Arial" w:hAnsi="Arial" w:cs="Arial"/>
          <w:sz w:val="24"/>
          <w:szCs w:val="24"/>
        </w:rPr>
        <w:t>World Journal of Psychiatry</w:t>
      </w:r>
      <w:r w:rsidR="00F86769">
        <w:rPr>
          <w:rFonts w:ascii="Arial" w:hAnsi="Arial" w:cs="Arial"/>
          <w:sz w:val="24"/>
          <w:szCs w:val="24"/>
        </w:rPr>
        <w:t>’,</w:t>
      </w:r>
      <w:r w:rsidRPr="00E5066B">
        <w:rPr>
          <w:rFonts w:ascii="Arial" w:hAnsi="Arial" w:cs="Arial"/>
          <w:sz w:val="24"/>
          <w:szCs w:val="24"/>
        </w:rPr>
        <w:t>11(4),</w:t>
      </w:r>
      <w:r w:rsidR="005B2862">
        <w:rPr>
          <w:rFonts w:ascii="Arial" w:hAnsi="Arial" w:cs="Arial"/>
          <w:sz w:val="24"/>
          <w:szCs w:val="24"/>
        </w:rPr>
        <w:t xml:space="preserve"> p.</w:t>
      </w:r>
      <w:r w:rsidRPr="00E5066B">
        <w:rPr>
          <w:rFonts w:ascii="Arial" w:hAnsi="Arial" w:cs="Arial"/>
          <w:sz w:val="24"/>
          <w:szCs w:val="24"/>
        </w:rPr>
        <w:t xml:space="preserve"> 109. </w:t>
      </w:r>
      <w:hyperlink r:id="rId19" w:history="1">
        <w:r w:rsidRPr="008A2226">
          <w:rPr>
            <w:rStyle w:val="Hyperlink"/>
            <w:rFonts w:ascii="Arial" w:hAnsi="Arial" w:cs="Arial"/>
            <w:sz w:val="24"/>
            <w:szCs w:val="24"/>
          </w:rPr>
          <w:t>https://doi.org/10.5498/wjp.v11.i4.109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E7236B0" w14:textId="286303A6" w:rsid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E5066B">
        <w:rPr>
          <w:rFonts w:ascii="Arial" w:hAnsi="Arial" w:cs="Arial"/>
          <w:sz w:val="24"/>
          <w:szCs w:val="24"/>
        </w:rPr>
        <w:t>Tesky</w:t>
      </w:r>
      <w:proofErr w:type="spellEnd"/>
      <w:r w:rsidRPr="00E5066B">
        <w:rPr>
          <w:rFonts w:ascii="Arial" w:hAnsi="Arial" w:cs="Arial"/>
          <w:sz w:val="24"/>
          <w:szCs w:val="24"/>
        </w:rPr>
        <w:t xml:space="preserve">, V. A., </w:t>
      </w:r>
      <w:proofErr w:type="spellStart"/>
      <w:r w:rsidRPr="00E5066B">
        <w:rPr>
          <w:rFonts w:ascii="Arial" w:hAnsi="Arial" w:cs="Arial"/>
          <w:sz w:val="24"/>
          <w:szCs w:val="24"/>
        </w:rPr>
        <w:t>Schall</w:t>
      </w:r>
      <w:proofErr w:type="spellEnd"/>
      <w:r w:rsidRPr="00E5066B">
        <w:rPr>
          <w:rFonts w:ascii="Arial" w:hAnsi="Arial" w:cs="Arial"/>
          <w:sz w:val="24"/>
          <w:szCs w:val="24"/>
        </w:rPr>
        <w:t xml:space="preserve">, A., &amp; </w:t>
      </w:r>
      <w:proofErr w:type="spellStart"/>
      <w:r w:rsidRPr="00E5066B">
        <w:rPr>
          <w:rFonts w:ascii="Arial" w:hAnsi="Arial" w:cs="Arial"/>
          <w:sz w:val="24"/>
          <w:szCs w:val="24"/>
        </w:rPr>
        <w:t>Pantel</w:t>
      </w:r>
      <w:proofErr w:type="spellEnd"/>
      <w:r w:rsidRPr="00E5066B">
        <w:rPr>
          <w:rFonts w:ascii="Arial" w:hAnsi="Arial" w:cs="Arial"/>
          <w:sz w:val="24"/>
          <w:szCs w:val="24"/>
        </w:rPr>
        <w:t>, J. (2023)</w:t>
      </w:r>
      <w:r w:rsidR="005B2862">
        <w:rPr>
          <w:rFonts w:ascii="Arial" w:hAnsi="Arial" w:cs="Arial"/>
          <w:sz w:val="24"/>
          <w:szCs w:val="24"/>
        </w:rPr>
        <w:t>’</w:t>
      </w:r>
      <w:r w:rsidRPr="00E5066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066B">
        <w:rPr>
          <w:rFonts w:ascii="Arial" w:hAnsi="Arial" w:cs="Arial"/>
          <w:sz w:val="24"/>
          <w:szCs w:val="24"/>
        </w:rPr>
        <w:t>Therapeutische</w:t>
      </w:r>
      <w:proofErr w:type="spellEnd"/>
      <w:r w:rsidRPr="00E5066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066B">
        <w:rPr>
          <w:rFonts w:ascii="Arial" w:hAnsi="Arial" w:cs="Arial"/>
          <w:sz w:val="24"/>
          <w:szCs w:val="24"/>
        </w:rPr>
        <w:t>Umschau</w:t>
      </w:r>
      <w:proofErr w:type="spellEnd"/>
      <w:r w:rsidR="00DD74B8">
        <w:rPr>
          <w:rFonts w:ascii="Arial" w:hAnsi="Arial" w:cs="Arial"/>
          <w:sz w:val="24"/>
          <w:szCs w:val="24"/>
        </w:rPr>
        <w:t>’,</w:t>
      </w:r>
      <w:r w:rsidRPr="00E5066B">
        <w:rPr>
          <w:rFonts w:ascii="Arial" w:hAnsi="Arial" w:cs="Arial"/>
          <w:sz w:val="24"/>
          <w:szCs w:val="24"/>
        </w:rPr>
        <w:t xml:space="preserve"> 80(5), </w:t>
      </w:r>
      <w:r w:rsidR="00DD74B8">
        <w:rPr>
          <w:rFonts w:ascii="Arial" w:hAnsi="Arial" w:cs="Arial"/>
          <w:sz w:val="24"/>
          <w:szCs w:val="24"/>
        </w:rPr>
        <w:t xml:space="preserve">pp. </w:t>
      </w:r>
      <w:r w:rsidRPr="00E5066B">
        <w:rPr>
          <w:rFonts w:ascii="Arial" w:hAnsi="Arial" w:cs="Arial"/>
          <w:sz w:val="24"/>
          <w:szCs w:val="24"/>
        </w:rPr>
        <w:t xml:space="preserve">234–241. </w:t>
      </w:r>
      <w:hyperlink r:id="rId20" w:history="1">
        <w:r w:rsidRPr="008A2226">
          <w:rPr>
            <w:rStyle w:val="Hyperlink"/>
            <w:rFonts w:ascii="Arial" w:hAnsi="Arial" w:cs="Arial"/>
            <w:sz w:val="24"/>
            <w:szCs w:val="24"/>
          </w:rPr>
          <w:t>https://doi.org/10.1024/0040-5930/a001442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EA8C13A" w14:textId="58E7C964" w:rsidR="00E5066B" w:rsidRPr="00E5066B" w:rsidRDefault="00E5066B" w:rsidP="00E5066B">
      <w:pPr>
        <w:ind w:left="720" w:hanging="720"/>
        <w:rPr>
          <w:rFonts w:ascii="Arial" w:hAnsi="Arial" w:cs="Arial"/>
          <w:sz w:val="24"/>
          <w:szCs w:val="24"/>
        </w:rPr>
      </w:pPr>
      <w:r w:rsidRPr="00E5066B">
        <w:rPr>
          <w:rFonts w:ascii="Arial" w:hAnsi="Arial" w:cs="Arial"/>
          <w:sz w:val="24"/>
          <w:szCs w:val="24"/>
        </w:rPr>
        <w:t xml:space="preserve">Wang, C., Song, P., &amp; </w:t>
      </w:r>
      <w:proofErr w:type="spellStart"/>
      <w:r w:rsidRPr="00E5066B">
        <w:rPr>
          <w:rFonts w:ascii="Arial" w:hAnsi="Arial" w:cs="Arial"/>
          <w:sz w:val="24"/>
          <w:szCs w:val="24"/>
        </w:rPr>
        <w:t>Niu</w:t>
      </w:r>
      <w:proofErr w:type="spellEnd"/>
      <w:r w:rsidRPr="00E5066B">
        <w:rPr>
          <w:rFonts w:ascii="Arial" w:hAnsi="Arial" w:cs="Arial"/>
          <w:sz w:val="24"/>
          <w:szCs w:val="24"/>
        </w:rPr>
        <w:t>, Y. (2022)</w:t>
      </w:r>
      <w:r w:rsidR="00DD74B8">
        <w:rPr>
          <w:rFonts w:ascii="Arial" w:hAnsi="Arial" w:cs="Arial"/>
          <w:sz w:val="24"/>
          <w:szCs w:val="24"/>
        </w:rPr>
        <w:t>’</w:t>
      </w:r>
      <w:r w:rsidRPr="00E5066B">
        <w:rPr>
          <w:rFonts w:ascii="Arial" w:hAnsi="Arial" w:cs="Arial"/>
          <w:sz w:val="24"/>
          <w:szCs w:val="24"/>
        </w:rPr>
        <w:t>Bioscience Trends</w:t>
      </w:r>
      <w:r w:rsidR="00C74F58">
        <w:rPr>
          <w:rFonts w:ascii="Arial" w:hAnsi="Arial" w:cs="Arial"/>
          <w:sz w:val="24"/>
          <w:szCs w:val="24"/>
        </w:rPr>
        <w:t>’,</w:t>
      </w:r>
      <w:r w:rsidRPr="00E5066B">
        <w:rPr>
          <w:rFonts w:ascii="Arial" w:hAnsi="Arial" w:cs="Arial"/>
          <w:sz w:val="24"/>
          <w:szCs w:val="24"/>
        </w:rPr>
        <w:t xml:space="preserve">16(2), </w:t>
      </w:r>
      <w:r w:rsidR="00C74F58">
        <w:rPr>
          <w:rFonts w:ascii="Arial" w:hAnsi="Arial" w:cs="Arial"/>
          <w:sz w:val="24"/>
          <w:szCs w:val="24"/>
        </w:rPr>
        <w:t>pp.</w:t>
      </w:r>
      <w:r w:rsidRPr="00E5066B">
        <w:rPr>
          <w:rFonts w:ascii="Arial" w:hAnsi="Arial" w:cs="Arial"/>
          <w:sz w:val="24"/>
          <w:szCs w:val="24"/>
        </w:rPr>
        <w:t xml:space="preserve">119–129. </w:t>
      </w:r>
      <w:hyperlink r:id="rId21" w:history="1">
        <w:r w:rsidRPr="008A2226">
          <w:rPr>
            <w:rStyle w:val="Hyperlink"/>
            <w:rFonts w:ascii="Arial" w:hAnsi="Arial" w:cs="Arial"/>
            <w:sz w:val="24"/>
            <w:szCs w:val="24"/>
          </w:rPr>
          <w:t>https://doi.org/10.5582/bst.2022.01042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0217A54B" w:rsidR="00EB6F36" w:rsidRDefault="00846694" w:rsidP="00C46111">
      <w:pPr>
        <w:rPr>
          <w:noProof/>
        </w:rPr>
      </w:pPr>
      <w:r w:rsidRPr="00846694">
        <w:rPr>
          <w:noProof/>
        </w:rPr>
        <w:t xml:space="preserve"> </w:t>
      </w:r>
    </w:p>
    <w:p w14:paraId="1117C621" w14:textId="77777777" w:rsidR="005F7D75" w:rsidRDefault="005F7D75" w:rsidP="00C46111">
      <w:pPr>
        <w:rPr>
          <w:noProof/>
        </w:rPr>
      </w:pPr>
    </w:p>
    <w:p w14:paraId="403780EA" w14:textId="77777777" w:rsidR="005F7D75" w:rsidRDefault="005F7D75" w:rsidP="00C46111">
      <w:pPr>
        <w:rPr>
          <w:noProof/>
        </w:rPr>
      </w:pP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59F89357" w14:textId="77777777" w:rsidR="005F7D75" w:rsidRDefault="005F7D75" w:rsidP="00C46111">
      <w:pPr>
        <w:rPr>
          <w:noProof/>
        </w:rPr>
      </w:pPr>
    </w:p>
    <w:p w14:paraId="241FFB1B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p w14:paraId="75B17DEF" w14:textId="77777777" w:rsidR="005F7D75" w:rsidRDefault="005F7D75" w:rsidP="00C46111">
      <w:pPr>
        <w:rPr>
          <w:noProof/>
        </w:rPr>
      </w:pPr>
    </w:p>
    <w:p w14:paraId="704E6675" w14:textId="77777777" w:rsidR="005F7D75" w:rsidRDefault="005F7D75" w:rsidP="00C46111">
      <w:pPr>
        <w:rPr>
          <w:noProof/>
        </w:rPr>
      </w:pPr>
    </w:p>
    <w:p w14:paraId="26540F31" w14:textId="77777777" w:rsidR="005F7D75" w:rsidRDefault="005F7D75" w:rsidP="00C46111">
      <w:pPr>
        <w:rPr>
          <w:noProof/>
        </w:rPr>
      </w:pPr>
    </w:p>
    <w:p w14:paraId="433F5986" w14:textId="77777777" w:rsidR="005F7D75" w:rsidRDefault="005F7D75" w:rsidP="00C46111">
      <w:pPr>
        <w:rPr>
          <w:noProof/>
        </w:rPr>
      </w:pPr>
    </w:p>
    <w:p w14:paraId="03F0D60E" w14:textId="0BBD7D17" w:rsidR="00582081" w:rsidRPr="00441D1F" w:rsidRDefault="00582081" w:rsidP="65A6145A">
      <w:pPr>
        <w:spacing w:line="360" w:lineRule="auto"/>
        <w:rPr>
          <w:noProof/>
        </w:rPr>
      </w:pPr>
    </w:p>
    <w:sectPr w:rsidR="00582081" w:rsidRPr="00441D1F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8AB0F8" w14:textId="77777777" w:rsidR="00E87D86" w:rsidRDefault="00E87D86" w:rsidP="00D210FA">
      <w:pPr>
        <w:spacing w:after="0"/>
      </w:pPr>
      <w:r>
        <w:separator/>
      </w:r>
    </w:p>
  </w:endnote>
  <w:endnote w:type="continuationSeparator" w:id="0">
    <w:p w14:paraId="3C2111D9" w14:textId="77777777" w:rsidR="00E87D86" w:rsidRDefault="00E87D86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8F5191" w14:textId="77777777" w:rsidR="00E87D86" w:rsidRDefault="00E87D86" w:rsidP="00D210FA">
      <w:pPr>
        <w:spacing w:after="0"/>
      </w:pPr>
      <w:r>
        <w:separator/>
      </w:r>
    </w:p>
  </w:footnote>
  <w:footnote w:type="continuationSeparator" w:id="0">
    <w:p w14:paraId="4CBF6DD5" w14:textId="77777777" w:rsidR="00E87D86" w:rsidRDefault="00E87D86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9994380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01A7CBD" w14:textId="3803B97E" w:rsidR="00A84466" w:rsidRDefault="00A8446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B5EF1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1920CB3" w14:textId="50B30D85" w:rsidR="00CC0A8F" w:rsidRDefault="00CC0A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6660BB3"/>
    <w:multiLevelType w:val="hybridMultilevel"/>
    <w:tmpl w:val="2AD8FEC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7A503F"/>
    <w:multiLevelType w:val="hybridMultilevel"/>
    <w:tmpl w:val="713C7DB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41040FB"/>
    <w:multiLevelType w:val="hybridMultilevel"/>
    <w:tmpl w:val="60D8BCF8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C71A6B"/>
    <w:multiLevelType w:val="hybridMultilevel"/>
    <w:tmpl w:val="6A76A5B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086CC9"/>
    <w:multiLevelType w:val="hybridMultilevel"/>
    <w:tmpl w:val="783C20A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80A6FE9"/>
    <w:multiLevelType w:val="hybridMultilevel"/>
    <w:tmpl w:val="152EF8BC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997293"/>
    <w:multiLevelType w:val="hybridMultilevel"/>
    <w:tmpl w:val="7EF27F5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B01A91"/>
    <w:multiLevelType w:val="hybridMultilevel"/>
    <w:tmpl w:val="C06C79D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05744DA"/>
    <w:multiLevelType w:val="hybridMultilevel"/>
    <w:tmpl w:val="4934E20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3395B72"/>
    <w:multiLevelType w:val="hybridMultilevel"/>
    <w:tmpl w:val="C6CAC756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F433BC8"/>
    <w:multiLevelType w:val="hybridMultilevel"/>
    <w:tmpl w:val="40E87FB4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6E91712"/>
    <w:multiLevelType w:val="hybridMultilevel"/>
    <w:tmpl w:val="6D26E61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EF2014"/>
    <w:multiLevelType w:val="hybridMultilevel"/>
    <w:tmpl w:val="CF2C5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481C8A"/>
    <w:multiLevelType w:val="hybridMultilevel"/>
    <w:tmpl w:val="06146ECC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5D3495"/>
    <w:multiLevelType w:val="hybridMultilevel"/>
    <w:tmpl w:val="F7760CA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4975637">
    <w:abstractNumId w:val="6"/>
  </w:num>
  <w:num w:numId="2" w16cid:durableId="827094229">
    <w:abstractNumId w:val="3"/>
  </w:num>
  <w:num w:numId="3" w16cid:durableId="1756169383">
    <w:abstractNumId w:val="26"/>
  </w:num>
  <w:num w:numId="4" w16cid:durableId="686441014">
    <w:abstractNumId w:val="27"/>
  </w:num>
  <w:num w:numId="5" w16cid:durableId="791292521">
    <w:abstractNumId w:val="12"/>
  </w:num>
  <w:num w:numId="6" w16cid:durableId="1076587421">
    <w:abstractNumId w:val="9"/>
  </w:num>
  <w:num w:numId="7" w16cid:durableId="160463685">
    <w:abstractNumId w:val="18"/>
  </w:num>
  <w:num w:numId="8" w16cid:durableId="2080250769">
    <w:abstractNumId w:val="13"/>
  </w:num>
  <w:num w:numId="9" w16cid:durableId="1336565733">
    <w:abstractNumId w:val="2"/>
  </w:num>
  <w:num w:numId="10" w16cid:durableId="1219703972">
    <w:abstractNumId w:val="0"/>
  </w:num>
  <w:num w:numId="11" w16cid:durableId="908926674">
    <w:abstractNumId w:val="7"/>
  </w:num>
  <w:num w:numId="12" w16cid:durableId="1309703917">
    <w:abstractNumId w:val="1"/>
  </w:num>
  <w:num w:numId="13" w16cid:durableId="1043945776">
    <w:abstractNumId w:val="23"/>
  </w:num>
  <w:num w:numId="14" w16cid:durableId="1443108239">
    <w:abstractNumId w:val="11"/>
  </w:num>
  <w:num w:numId="15" w16cid:durableId="902837161">
    <w:abstractNumId w:val="4"/>
  </w:num>
  <w:num w:numId="16" w16cid:durableId="886648024">
    <w:abstractNumId w:val="24"/>
  </w:num>
  <w:num w:numId="17" w16cid:durableId="1766150351">
    <w:abstractNumId w:val="10"/>
  </w:num>
  <w:num w:numId="18" w16cid:durableId="1001004680">
    <w:abstractNumId w:val="8"/>
  </w:num>
  <w:num w:numId="19" w16cid:durableId="1225095644">
    <w:abstractNumId w:val="5"/>
  </w:num>
  <w:num w:numId="20" w16cid:durableId="519660049">
    <w:abstractNumId w:val="20"/>
  </w:num>
  <w:num w:numId="21" w16cid:durableId="1788814316">
    <w:abstractNumId w:val="22"/>
  </w:num>
  <w:num w:numId="22" w16cid:durableId="186407152">
    <w:abstractNumId w:val="16"/>
  </w:num>
  <w:num w:numId="23" w16cid:durableId="1309942909">
    <w:abstractNumId w:val="14"/>
  </w:num>
  <w:num w:numId="24" w16cid:durableId="1242831520">
    <w:abstractNumId w:val="15"/>
  </w:num>
  <w:num w:numId="25" w16cid:durableId="1021591207">
    <w:abstractNumId w:val="21"/>
  </w:num>
  <w:num w:numId="26" w16cid:durableId="1028023642">
    <w:abstractNumId w:val="19"/>
  </w:num>
  <w:num w:numId="27" w16cid:durableId="1235117192">
    <w:abstractNumId w:val="17"/>
  </w:num>
  <w:num w:numId="28" w16cid:durableId="1813912558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movePersonalInformation/>
  <w:removeDateAndTime/>
  <w:displayBackgroundShap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23293"/>
    <w:rsid w:val="00041F91"/>
    <w:rsid w:val="000454E9"/>
    <w:rsid w:val="00061977"/>
    <w:rsid w:val="00063B85"/>
    <w:rsid w:val="0008782A"/>
    <w:rsid w:val="00095F59"/>
    <w:rsid w:val="000A065A"/>
    <w:rsid w:val="000E56ED"/>
    <w:rsid w:val="000F2C40"/>
    <w:rsid w:val="00101DF4"/>
    <w:rsid w:val="00106FC5"/>
    <w:rsid w:val="00120536"/>
    <w:rsid w:val="00120DEC"/>
    <w:rsid w:val="00123C19"/>
    <w:rsid w:val="00187955"/>
    <w:rsid w:val="001A2DAB"/>
    <w:rsid w:val="001B6583"/>
    <w:rsid w:val="001C55B6"/>
    <w:rsid w:val="001D6CC4"/>
    <w:rsid w:val="00206405"/>
    <w:rsid w:val="002341AD"/>
    <w:rsid w:val="00253267"/>
    <w:rsid w:val="002823CD"/>
    <w:rsid w:val="00287787"/>
    <w:rsid w:val="00291685"/>
    <w:rsid w:val="0029329C"/>
    <w:rsid w:val="002B0A3D"/>
    <w:rsid w:val="002F26AB"/>
    <w:rsid w:val="003007A7"/>
    <w:rsid w:val="003061E7"/>
    <w:rsid w:val="003257E1"/>
    <w:rsid w:val="00325DEC"/>
    <w:rsid w:val="00346FFA"/>
    <w:rsid w:val="003536FE"/>
    <w:rsid w:val="00385494"/>
    <w:rsid w:val="003A3069"/>
    <w:rsid w:val="003C20B5"/>
    <w:rsid w:val="003D6404"/>
    <w:rsid w:val="003E545F"/>
    <w:rsid w:val="003E74EA"/>
    <w:rsid w:val="003E7792"/>
    <w:rsid w:val="003F03D2"/>
    <w:rsid w:val="003F1E1A"/>
    <w:rsid w:val="004045E5"/>
    <w:rsid w:val="004117F0"/>
    <w:rsid w:val="00421496"/>
    <w:rsid w:val="00422C27"/>
    <w:rsid w:val="00441D1F"/>
    <w:rsid w:val="0044367C"/>
    <w:rsid w:val="0044412C"/>
    <w:rsid w:val="004642F0"/>
    <w:rsid w:val="00500564"/>
    <w:rsid w:val="0051102B"/>
    <w:rsid w:val="00516CC0"/>
    <w:rsid w:val="005349FA"/>
    <w:rsid w:val="005475F0"/>
    <w:rsid w:val="00582081"/>
    <w:rsid w:val="005838BC"/>
    <w:rsid w:val="005B2862"/>
    <w:rsid w:val="005B57E1"/>
    <w:rsid w:val="005E61E0"/>
    <w:rsid w:val="005F0F31"/>
    <w:rsid w:val="005F7D75"/>
    <w:rsid w:val="006024ED"/>
    <w:rsid w:val="0061793F"/>
    <w:rsid w:val="0062123A"/>
    <w:rsid w:val="006605F8"/>
    <w:rsid w:val="006676A1"/>
    <w:rsid w:val="006833BD"/>
    <w:rsid w:val="006B3A4A"/>
    <w:rsid w:val="006B5EF1"/>
    <w:rsid w:val="006D2642"/>
    <w:rsid w:val="006E2D42"/>
    <w:rsid w:val="00714D24"/>
    <w:rsid w:val="00720FEE"/>
    <w:rsid w:val="00764B6F"/>
    <w:rsid w:val="007C7319"/>
    <w:rsid w:val="007D43B3"/>
    <w:rsid w:val="007F20B4"/>
    <w:rsid w:val="007F525E"/>
    <w:rsid w:val="00802FF1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3921"/>
    <w:rsid w:val="008F493C"/>
    <w:rsid w:val="008F6C1C"/>
    <w:rsid w:val="0090027B"/>
    <w:rsid w:val="00905238"/>
    <w:rsid w:val="0094702A"/>
    <w:rsid w:val="00967DAB"/>
    <w:rsid w:val="00987E08"/>
    <w:rsid w:val="00990E76"/>
    <w:rsid w:val="00991A53"/>
    <w:rsid w:val="00996F4E"/>
    <w:rsid w:val="009F2FF7"/>
    <w:rsid w:val="009F71FE"/>
    <w:rsid w:val="00A27D8D"/>
    <w:rsid w:val="00A31F33"/>
    <w:rsid w:val="00A52845"/>
    <w:rsid w:val="00A616DD"/>
    <w:rsid w:val="00A70A62"/>
    <w:rsid w:val="00A71DA8"/>
    <w:rsid w:val="00A83046"/>
    <w:rsid w:val="00A84466"/>
    <w:rsid w:val="00A90A7A"/>
    <w:rsid w:val="00A91604"/>
    <w:rsid w:val="00AB1210"/>
    <w:rsid w:val="00AB5409"/>
    <w:rsid w:val="00AB770D"/>
    <w:rsid w:val="00AF2088"/>
    <w:rsid w:val="00AF5FB0"/>
    <w:rsid w:val="00B0080A"/>
    <w:rsid w:val="00B02046"/>
    <w:rsid w:val="00B0538C"/>
    <w:rsid w:val="00B376E4"/>
    <w:rsid w:val="00B37AB8"/>
    <w:rsid w:val="00B418DE"/>
    <w:rsid w:val="00B47D3E"/>
    <w:rsid w:val="00B47FE7"/>
    <w:rsid w:val="00B67824"/>
    <w:rsid w:val="00BE15BA"/>
    <w:rsid w:val="00C11C7E"/>
    <w:rsid w:val="00C20ED0"/>
    <w:rsid w:val="00C31D85"/>
    <w:rsid w:val="00C348A8"/>
    <w:rsid w:val="00C34FA0"/>
    <w:rsid w:val="00C46111"/>
    <w:rsid w:val="00C47DCC"/>
    <w:rsid w:val="00C61FBA"/>
    <w:rsid w:val="00C74F58"/>
    <w:rsid w:val="00C83332"/>
    <w:rsid w:val="00C95E04"/>
    <w:rsid w:val="00CC0A8F"/>
    <w:rsid w:val="00CC24B6"/>
    <w:rsid w:val="00CD3A64"/>
    <w:rsid w:val="00CE08CD"/>
    <w:rsid w:val="00CE7FFD"/>
    <w:rsid w:val="00D0664A"/>
    <w:rsid w:val="00D210FA"/>
    <w:rsid w:val="00D23025"/>
    <w:rsid w:val="00D30F1D"/>
    <w:rsid w:val="00D57231"/>
    <w:rsid w:val="00D801BF"/>
    <w:rsid w:val="00D87B48"/>
    <w:rsid w:val="00D910D7"/>
    <w:rsid w:val="00D91203"/>
    <w:rsid w:val="00D94FD1"/>
    <w:rsid w:val="00DC57B5"/>
    <w:rsid w:val="00DD74B8"/>
    <w:rsid w:val="00E07E39"/>
    <w:rsid w:val="00E41692"/>
    <w:rsid w:val="00E5066B"/>
    <w:rsid w:val="00E55D74"/>
    <w:rsid w:val="00E57103"/>
    <w:rsid w:val="00E73178"/>
    <w:rsid w:val="00E81234"/>
    <w:rsid w:val="00E87D86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52F83"/>
    <w:rsid w:val="00F608FC"/>
    <w:rsid w:val="00F61360"/>
    <w:rsid w:val="00F86769"/>
    <w:rsid w:val="00FC538A"/>
    <w:rsid w:val="00FE2B9F"/>
    <w:rsid w:val="00FF3CF0"/>
    <w:rsid w:val="00FF4076"/>
    <w:rsid w:val="0DC28266"/>
    <w:rsid w:val="19062FE9"/>
    <w:rsid w:val="1F00D3B7"/>
    <w:rsid w:val="266A7F59"/>
    <w:rsid w:val="3F72C29F"/>
    <w:rsid w:val="45146BC9"/>
    <w:rsid w:val="49B9A8F0"/>
    <w:rsid w:val="4DFDEBC2"/>
    <w:rsid w:val="4ED1863C"/>
    <w:rsid w:val="613E49B9"/>
    <w:rsid w:val="6563A50A"/>
    <w:rsid w:val="65A6145A"/>
    <w:rsid w:val="70F91FDA"/>
    <w:rsid w:val="76E39AF8"/>
    <w:rsid w:val="78B97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1">
    <w:name w:val="Hashtag1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1">
    <w:name w:val="Unresolved Mention1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E5066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360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www.hpft.nhs.uk/media/5079/guidelines-pharmacological-management-of-dementia-220920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5582/bst.2022.01042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doi.org/10.1159/00051531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webmd.com/alzheimers/alzheimers-dementia" TargetMode="External"/><Relationship Id="rId20" Type="http://schemas.openxmlformats.org/officeDocument/2006/relationships/hyperlink" Target="https://doi.org/10.1024/0040-5930/a00144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007/s10654-021-00839-0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doi.org/10.5498/wjp.v11.i4.109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2c9eb8ce54c1130171a025763080e54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3b8e37959bb1347ea9842c1d2d2f550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D7AA8C8F-FE4B-4560-9B55-67B8BB6FD12C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733071-A711-4C8B-BBE3-5E4180E1E86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055ddc6-ee7b-4b5b-b8fb-52871646f80e"/>
    <ds:schemaRef ds:uri="0338428b-3fc8-4989-9d03-78e16c931d9f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www.w3.org/2000/xmlns/"/>
    <ds:schemaRef ds:uri="4055ddc6-ee7b-4b5b-b8fb-52871646f80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0</TotalTime>
  <Pages>1</Pages>
  <Words>754</Words>
  <Characters>4298</Characters>
  <Application>Microsoft Office Word</Application>
  <DocSecurity>0</DocSecurity>
  <Lines>35</Lines>
  <Paragraphs>10</Paragraphs>
  <ScaleCrop>false</ScaleCrop>
  <Company/>
  <LinksUpToDate>false</LinksUpToDate>
  <CharactersWithSpaces>5042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3</cp:revision>
  <dcterms:created xsi:type="dcterms:W3CDTF">2025-06-18T09:23:00Z</dcterms:created>
  <dcterms:modified xsi:type="dcterms:W3CDTF">2025-06-24T21:25:00Z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