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8DB5F" w14:textId="77777777" w:rsidR="00B81479" w:rsidRPr="0047192E" w:rsidRDefault="00B81479" w:rsidP="00B81479">
      <w:pPr>
        <w:pStyle w:val="Heading1"/>
        <w:jc w:val="center"/>
        <w:rPr>
          <w:b w:val="0"/>
        </w:rPr>
      </w:pPr>
      <w:bookmarkStart w:id="0" w:name="_Toc210149302"/>
      <w:r w:rsidRPr="0047192E">
        <w:t>CHAPTER 4 – FINDINGS AND DISCUSSION</w:t>
      </w:r>
      <w:bookmarkEnd w:id="0"/>
    </w:p>
    <w:p w14:paraId="7734B2FC" w14:textId="77777777" w:rsidR="00B81479" w:rsidRPr="0047192E" w:rsidRDefault="00B81479" w:rsidP="00B81479">
      <w:pPr>
        <w:pStyle w:val="Heading2"/>
        <w:spacing w:before="120" w:after="120" w:line="360" w:lineRule="auto"/>
        <w:rPr>
          <w:rFonts w:ascii="Arial" w:hAnsi="Arial" w:cs="Arial"/>
          <w:b/>
          <w:color w:val="000000" w:themeColor="text1"/>
        </w:rPr>
      </w:pPr>
      <w:bookmarkStart w:id="1" w:name="_Toc210149303"/>
      <w:r w:rsidRPr="0047192E">
        <w:rPr>
          <w:rFonts w:ascii="Arial" w:hAnsi="Arial" w:cs="Arial"/>
          <w:b/>
          <w:color w:val="000000" w:themeColor="text1"/>
        </w:rPr>
        <w:t>4.1 Introduction</w:t>
      </w:r>
      <w:bookmarkEnd w:id="1"/>
    </w:p>
    <w:p w14:paraId="3BC367D5"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This chapter presents findings from the thematic synthesis of qualitative studies and related evidence on mothers raising autistic children. The chapter begins by outlining the use of thematic analysis in secondary research and links this to the coded corpus described earlier. Four </w:t>
      </w:r>
      <w:proofErr w:type="gramStart"/>
      <w:r w:rsidRPr="0047192E">
        <w:rPr>
          <w:rFonts w:ascii="Arial" w:hAnsi="Arial" w:cs="Arial"/>
          <w:color w:val="000000" w:themeColor="text1"/>
          <w:sz w:val="22"/>
          <w:szCs w:val="22"/>
        </w:rPr>
        <w:t>integrative themes</w:t>
      </w:r>
      <w:proofErr w:type="gramEnd"/>
      <w:r w:rsidRPr="0047192E">
        <w:rPr>
          <w:rFonts w:ascii="Arial" w:hAnsi="Arial" w:cs="Arial"/>
          <w:color w:val="000000" w:themeColor="text1"/>
          <w:sz w:val="22"/>
          <w:szCs w:val="22"/>
        </w:rPr>
        <w:t xml:space="preserve"> are then discussed: (1) emotional load, stress, and resilience; (2) stigma, identity, and camouflaging; (3) diagnosis, service navigation, and access; and (4) coping, supports, and intervention pathways. Each theme is examined with evidence, policy links, and implications for practice. The discussion connects patterns across studies and prepares the ground for the practical recommendations developed in the next chapter.</w:t>
      </w:r>
    </w:p>
    <w:p w14:paraId="52731AA3" w14:textId="77777777" w:rsidR="00B81479" w:rsidRPr="0047192E" w:rsidRDefault="00B81479" w:rsidP="00B81479">
      <w:pPr>
        <w:pStyle w:val="NormalWeb"/>
        <w:spacing w:before="120" w:beforeAutospacing="0" w:after="120" w:afterAutospacing="0" w:line="360" w:lineRule="auto"/>
        <w:rPr>
          <w:rFonts w:ascii="Arial" w:hAnsi="Arial" w:cs="Arial"/>
          <w:sz w:val="22"/>
        </w:rPr>
      </w:pPr>
      <w:r w:rsidRPr="0047192E">
        <w:rPr>
          <w:rFonts w:ascii="Arial" w:hAnsi="Arial" w:cs="Arial"/>
          <w:sz w:val="22"/>
        </w:rPr>
        <w:t>With the scope set, section 4.2 explains how thematic analysis was applied to the reviewed literature and introduces the final theme map.</w:t>
      </w:r>
    </w:p>
    <w:p w14:paraId="24D1CB43" w14:textId="77777777" w:rsidR="00B81479" w:rsidRPr="0047192E" w:rsidRDefault="00B81479" w:rsidP="00B81479">
      <w:pPr>
        <w:pStyle w:val="Heading2"/>
        <w:spacing w:before="120" w:after="120" w:line="360" w:lineRule="auto"/>
        <w:rPr>
          <w:rFonts w:ascii="Arial" w:hAnsi="Arial" w:cs="Arial"/>
          <w:b/>
          <w:color w:val="000000" w:themeColor="text1"/>
        </w:rPr>
      </w:pPr>
      <w:bookmarkStart w:id="2" w:name="_Toc210149304"/>
      <w:r w:rsidRPr="0047192E">
        <w:rPr>
          <w:rFonts w:ascii="Arial" w:hAnsi="Arial" w:cs="Arial"/>
          <w:b/>
          <w:color w:val="000000" w:themeColor="text1"/>
        </w:rPr>
        <w:t>4.2 Thematic Analysis</w:t>
      </w:r>
      <w:bookmarkEnd w:id="2"/>
    </w:p>
    <w:p w14:paraId="1F6FA055"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Thematic analysis in secondary research involves identifying patterned meaning across a set of texts and iteratively moving between codes, candidate themes, and the corpus to build coherent explanations (Braun and Clarke, 2006). Application to this review followed the six-phase model and used a structured codebook to capture issues such as stress, stigma, diagnostic pathways, and support access. Coding drew on the results table and audit trail presented in Chapter 3, which documented search decisions, inclusion criteria, and code–theme development. The final thematic map comprised four overarching themes supported by subthemes and representative extracts. These themes reflect recurring problems and strengths across contexts and show how maternal experiences are shaped by health systems, social perceptions, and policy frameworks (Creswell and Creswell, 2018; Gough et al., 2012). The following sections discuss each theme and integrate theoretical, empirical, and policy perspectives to explain their significance.</w:t>
      </w:r>
    </w:p>
    <w:p w14:paraId="1866B24D" w14:textId="77777777" w:rsidR="00B81479" w:rsidRPr="0047192E" w:rsidRDefault="00B81479" w:rsidP="00B81479">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Having outlined the analytic approach, the discussion in section 4.2 now turns to the first theme: emotional load, stress, and resilience.</w:t>
      </w:r>
    </w:p>
    <w:p w14:paraId="36D2EA26" w14:textId="77777777" w:rsidR="00B81479" w:rsidRPr="0047192E" w:rsidRDefault="00B81479" w:rsidP="00B81479">
      <w:pPr>
        <w:pStyle w:val="Heading2"/>
        <w:spacing w:before="120" w:after="120" w:line="360" w:lineRule="auto"/>
        <w:rPr>
          <w:rFonts w:ascii="Arial" w:hAnsi="Arial" w:cs="Arial"/>
          <w:b/>
          <w:color w:val="000000" w:themeColor="text1"/>
        </w:rPr>
      </w:pPr>
      <w:bookmarkStart w:id="3" w:name="_Toc210149305"/>
      <w:r w:rsidRPr="0047192E">
        <w:rPr>
          <w:rFonts w:ascii="Arial" w:hAnsi="Arial" w:cs="Arial"/>
          <w:b/>
          <w:color w:val="000000" w:themeColor="text1"/>
        </w:rPr>
        <w:t>4.3 Theme 1: Emotional Load, Stress, and Resilience</w:t>
      </w:r>
      <w:bookmarkEnd w:id="3"/>
    </w:p>
    <w:p w14:paraId="546D73CB"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Definition and scope:</w:t>
      </w:r>
      <w:r w:rsidRPr="0047192E">
        <w:rPr>
          <w:rFonts w:ascii="Arial" w:hAnsi="Arial" w:cs="Arial"/>
          <w:color w:val="000000" w:themeColor="text1"/>
          <w:sz w:val="22"/>
          <w:szCs w:val="22"/>
        </w:rPr>
        <w:t xml:space="preserve"> Emotional load refers to the cumulative psychological and practical demands placed on mothers as primary caregivers, including daily care, advocacy, and anticipatory planning. Stress encompasses emotional strain linked with symptom severity, </w:t>
      </w:r>
      <w:proofErr w:type="spellStart"/>
      <w:r w:rsidRPr="0047192E">
        <w:rPr>
          <w:rFonts w:ascii="Arial" w:hAnsi="Arial" w:cs="Arial"/>
          <w:color w:val="000000" w:themeColor="text1"/>
          <w:sz w:val="22"/>
          <w:szCs w:val="22"/>
        </w:rPr>
        <w:lastRenderedPageBreak/>
        <w:t>behavioural</w:t>
      </w:r>
      <w:proofErr w:type="spellEnd"/>
      <w:r w:rsidRPr="0047192E">
        <w:rPr>
          <w:rFonts w:ascii="Arial" w:hAnsi="Arial" w:cs="Arial"/>
          <w:color w:val="000000" w:themeColor="text1"/>
          <w:sz w:val="22"/>
          <w:szCs w:val="22"/>
        </w:rPr>
        <w:t xml:space="preserve"> challenges, and system interactions, while resilience denotes adaptive capacities and resources that enable functioning and </w:t>
      </w:r>
      <w:proofErr w:type="gramStart"/>
      <w:r w:rsidRPr="0047192E">
        <w:rPr>
          <w:rFonts w:ascii="Arial" w:hAnsi="Arial" w:cs="Arial"/>
          <w:color w:val="000000" w:themeColor="text1"/>
          <w:sz w:val="22"/>
          <w:szCs w:val="22"/>
        </w:rPr>
        <w:t>meaning-making</w:t>
      </w:r>
      <w:proofErr w:type="gramEnd"/>
      <w:r w:rsidRPr="0047192E">
        <w:rPr>
          <w:rFonts w:ascii="Arial" w:hAnsi="Arial" w:cs="Arial"/>
          <w:color w:val="000000" w:themeColor="text1"/>
          <w:sz w:val="22"/>
          <w:szCs w:val="22"/>
        </w:rPr>
        <w:t xml:space="preserve"> over time.</w:t>
      </w:r>
    </w:p>
    <w:p w14:paraId="0600113C"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Pr="0047192E">
        <w:rPr>
          <w:rFonts w:ascii="Arial" w:hAnsi="Arial" w:cs="Arial"/>
          <w:color w:val="000000" w:themeColor="text1"/>
          <w:sz w:val="22"/>
          <w:szCs w:val="22"/>
        </w:rPr>
        <w:t xml:space="preserve"> Evidence consistently indicates elevated parenting stress among mothers of autistic children, with associations to child </w:t>
      </w:r>
      <w:proofErr w:type="spellStart"/>
      <w:r w:rsidRPr="0047192E">
        <w:rPr>
          <w:rFonts w:ascii="Arial" w:hAnsi="Arial" w:cs="Arial"/>
          <w:color w:val="000000" w:themeColor="text1"/>
          <w:sz w:val="22"/>
          <w:szCs w:val="22"/>
        </w:rPr>
        <w:t>behaviour</w:t>
      </w:r>
      <w:proofErr w:type="spellEnd"/>
      <w:r w:rsidRPr="0047192E">
        <w:rPr>
          <w:rFonts w:ascii="Arial" w:hAnsi="Arial" w:cs="Arial"/>
          <w:color w:val="000000" w:themeColor="text1"/>
          <w:sz w:val="22"/>
          <w:szCs w:val="22"/>
        </w:rPr>
        <w:t xml:space="preserve">, co-occurring conditions, and constrained support (Benson, 2023; McDonnell and DeLucia, 2021). Quantitative and qualitative studies show that stress often fluctuates with service availability and the quality of professional responses, rather than child characteristics alone (Dugdale et al., 2021; Pohl et al., 2020). Conceptual work tracing shifts in autism definitions helps explain rising recognition and changing expectations that can amplify caregiver burden when systems </w:t>
      </w:r>
      <w:proofErr w:type="gramStart"/>
      <w:r w:rsidRPr="0047192E">
        <w:rPr>
          <w:rFonts w:ascii="Arial" w:hAnsi="Arial" w:cs="Arial"/>
          <w:color w:val="000000" w:themeColor="text1"/>
          <w:sz w:val="22"/>
          <w:szCs w:val="22"/>
        </w:rPr>
        <w:t>lag behind</w:t>
      </w:r>
      <w:proofErr w:type="gramEnd"/>
      <w:r w:rsidRPr="0047192E">
        <w:rPr>
          <w:rFonts w:ascii="Arial" w:hAnsi="Arial" w:cs="Arial"/>
          <w:color w:val="000000" w:themeColor="text1"/>
          <w:sz w:val="22"/>
          <w:szCs w:val="22"/>
        </w:rPr>
        <w:t xml:space="preserve"> need (</w:t>
      </w:r>
      <w:proofErr w:type="spellStart"/>
      <w:r w:rsidRPr="0047192E">
        <w:rPr>
          <w:rFonts w:ascii="Arial" w:hAnsi="Arial" w:cs="Arial"/>
          <w:color w:val="000000" w:themeColor="text1"/>
          <w:sz w:val="22"/>
          <w:szCs w:val="22"/>
        </w:rPr>
        <w:t>Happé</w:t>
      </w:r>
      <w:proofErr w:type="spellEnd"/>
      <w:r w:rsidRPr="0047192E">
        <w:rPr>
          <w:rFonts w:ascii="Arial" w:hAnsi="Arial" w:cs="Arial"/>
          <w:color w:val="000000" w:themeColor="text1"/>
          <w:sz w:val="22"/>
          <w:szCs w:val="22"/>
        </w:rPr>
        <w:t xml:space="preserve"> and Frith, 2020; Rosen et al., 2021). Broader reviews underline heterogeneity in autism, which affects family routines and the kinds of adjustments required at home and school (Masi et al., 2017; APA, 2022).</w:t>
      </w:r>
    </w:p>
    <w:p w14:paraId="4BA1E025"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Relevance to the research question:</w:t>
      </w:r>
      <w:r w:rsidRPr="0047192E">
        <w:rPr>
          <w:rFonts w:ascii="Arial" w:hAnsi="Arial" w:cs="Arial"/>
          <w:color w:val="000000" w:themeColor="text1"/>
          <w:sz w:val="22"/>
          <w:szCs w:val="22"/>
        </w:rPr>
        <w:t xml:space="preserve"> The theme is central to understanding lived experience because stress and resilience shape how mothers interpret challenges, seek help, and sustain caregiving. Patterns here inform subsequent themes on stigma and service navigation by showing how emotional load interacts with social context and institutional responses (Dugdale et al., 2021; Benson, 2023).</w:t>
      </w:r>
    </w:p>
    <w:p w14:paraId="1C20D1DF"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Conceptual shifts and expectations:</w:t>
      </w:r>
      <w:r w:rsidRPr="0047192E">
        <w:rPr>
          <w:rFonts w:ascii="Arial" w:eastAsia="Times New Roman" w:hAnsi="Arial" w:cs="Arial"/>
          <w:color w:val="000000" w:themeColor="text1"/>
        </w:rPr>
        <w:t xml:space="preserve"> Changing diagnostic frameworks have broadened recognition and altered public and professional expectations. These shifts help explain why more families now seek assessment and support, placing additional demands on systems that may not scale quickly (</w:t>
      </w: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and Frith, 2020). Historical analyses of diagnostic practice show how criteria and thresholds influence referral patterns and service design, with practical consequences for families who must advocate within evolving eligibility rules (Rosen et al., 2021). When recognition expands faster than capacity, mothers often carry the administrative and emotional work required to bridge gaps between policy aspirations and local delivery.</w:t>
      </w:r>
    </w:p>
    <w:p w14:paraId="3220171A"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Heterogeneity and daily living:</w:t>
      </w:r>
      <w:r w:rsidRPr="0047192E">
        <w:rPr>
          <w:rFonts w:ascii="Arial" w:eastAsia="Times New Roman" w:hAnsi="Arial" w:cs="Arial"/>
          <w:color w:val="000000" w:themeColor="text1"/>
        </w:rPr>
        <w:t xml:space="preserve"> Reviews </w:t>
      </w:r>
      <w:proofErr w:type="spellStart"/>
      <w:r w:rsidRPr="0047192E">
        <w:rPr>
          <w:rFonts w:ascii="Arial" w:eastAsia="Times New Roman" w:hAnsi="Arial" w:cs="Arial"/>
          <w:color w:val="000000" w:themeColor="text1"/>
        </w:rPr>
        <w:t>emphasise</w:t>
      </w:r>
      <w:proofErr w:type="spellEnd"/>
      <w:r w:rsidRPr="0047192E">
        <w:rPr>
          <w:rFonts w:ascii="Arial" w:eastAsia="Times New Roman" w:hAnsi="Arial" w:cs="Arial"/>
          <w:color w:val="000000" w:themeColor="text1"/>
        </w:rPr>
        <w:t xml:space="preserve"> the heterogeneity of autism, from communication profiles to sensory patterns and adaptive functioning. This heterogeneity affects every aspect of daily living, from morning routines to healthcare encounters, and it expands the range of adjustments mothers must orchestrate (American Psychiatric Association, 2022). Some mothers report the strain of sustaining high-structure environments to reduce anxiety and meltdowns (Masi et al., 2017). Others describe the invisible </w:t>
      </w:r>
      <w:proofErr w:type="spellStart"/>
      <w:r w:rsidRPr="0047192E">
        <w:rPr>
          <w:rFonts w:ascii="Arial" w:eastAsia="Times New Roman" w:hAnsi="Arial" w:cs="Arial"/>
          <w:color w:val="000000" w:themeColor="text1"/>
        </w:rPr>
        <w:t>labour</w:t>
      </w:r>
      <w:proofErr w:type="spellEnd"/>
      <w:r w:rsidRPr="0047192E">
        <w:rPr>
          <w:rFonts w:ascii="Arial" w:eastAsia="Times New Roman" w:hAnsi="Arial" w:cs="Arial"/>
          <w:color w:val="000000" w:themeColor="text1"/>
        </w:rPr>
        <w:t xml:space="preserve"> of preparing for appointments, scripting social situations, or adapting community outings to </w:t>
      </w:r>
      <w:proofErr w:type="spellStart"/>
      <w:r w:rsidRPr="0047192E">
        <w:rPr>
          <w:rFonts w:ascii="Arial" w:eastAsia="Times New Roman" w:hAnsi="Arial" w:cs="Arial"/>
          <w:color w:val="000000" w:themeColor="text1"/>
        </w:rPr>
        <w:t>minimise</w:t>
      </w:r>
      <w:proofErr w:type="spellEnd"/>
      <w:r w:rsidRPr="0047192E">
        <w:rPr>
          <w:rFonts w:ascii="Arial" w:eastAsia="Times New Roman" w:hAnsi="Arial" w:cs="Arial"/>
          <w:color w:val="000000" w:themeColor="text1"/>
        </w:rPr>
        <w:t xml:space="preserve"> sensory overload. These tasks accumulate into a persistent emotional load that can outlast acute periods of difficulty and extend across the life course.</w:t>
      </w:r>
    </w:p>
    <w:p w14:paraId="1423180A"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lastRenderedPageBreak/>
        <w:t>Population patterns:</w:t>
      </w:r>
      <w:r w:rsidRPr="0047192E">
        <w:rPr>
          <w:rFonts w:ascii="Arial" w:eastAsia="Times New Roman" w:hAnsi="Arial" w:cs="Arial"/>
          <w:color w:val="000000" w:themeColor="text1"/>
        </w:rPr>
        <w:t xml:space="preserve"> National data report increasing identified prevalence of autism, including in school-age cohorts and among adults, which confirms the need for sustained family support over time (Office for National Statistics, 2023). International surveillance shows parallel trends and underscores that services must address ongoing, not episodic, needs in families (Centers for Disease Control and Prevention, 2025). For mothers, higher recognition can create opportunities for validation and access, yet it can also heighten competition for limited services, intensifying stress during waiting periods and transitions. When pathways lack clarity, mothers absorb the coordination work and emotional risk associated with delays.</w:t>
      </w:r>
    </w:p>
    <w:p w14:paraId="215DF813"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Mechanisms linking systems and stress:</w:t>
      </w:r>
      <w:r w:rsidRPr="0047192E">
        <w:rPr>
          <w:rFonts w:ascii="Arial" w:eastAsia="Times New Roman" w:hAnsi="Arial" w:cs="Arial"/>
          <w:color w:val="000000" w:themeColor="text1"/>
        </w:rPr>
        <w:t xml:space="preserve"> Studies repeatedly highlight the role of service context in amplifying or </w:t>
      </w:r>
      <w:proofErr w:type="gramStart"/>
      <w:r w:rsidRPr="0047192E">
        <w:rPr>
          <w:rFonts w:ascii="Arial" w:eastAsia="Times New Roman" w:hAnsi="Arial" w:cs="Arial"/>
          <w:color w:val="000000" w:themeColor="text1"/>
        </w:rPr>
        <w:t>buffering</w:t>
      </w:r>
      <w:proofErr w:type="gramEnd"/>
      <w:r w:rsidRPr="0047192E">
        <w:rPr>
          <w:rFonts w:ascii="Arial" w:eastAsia="Times New Roman" w:hAnsi="Arial" w:cs="Arial"/>
          <w:color w:val="000000" w:themeColor="text1"/>
        </w:rPr>
        <w:t xml:space="preserve"> maternal stress. Positive interactions with professional’s clear communication, respect for parental expertise, and timely adjustments reduce load and make daily routines more manageable (McDonnell and DeLucia, 2021; Dugdale et al., 2021). By contrast, </w:t>
      </w:r>
      <w:proofErr w:type="spellStart"/>
      <w:r w:rsidRPr="0047192E">
        <w:rPr>
          <w:rFonts w:ascii="Arial" w:eastAsia="Times New Roman" w:hAnsi="Arial" w:cs="Arial"/>
          <w:color w:val="000000" w:themeColor="text1"/>
        </w:rPr>
        <w:t>sceptical</w:t>
      </w:r>
      <w:proofErr w:type="spellEnd"/>
      <w:r w:rsidRPr="0047192E">
        <w:rPr>
          <w:rFonts w:ascii="Arial" w:eastAsia="Times New Roman" w:hAnsi="Arial" w:cs="Arial"/>
          <w:color w:val="000000" w:themeColor="text1"/>
        </w:rPr>
        <w:t xml:space="preserve"> responses, rigid criteria, or frequent signposting without concrete help increase uncertainty and undermine coping. System navigation becomes a form of hidden </w:t>
      </w:r>
      <w:proofErr w:type="spellStart"/>
      <w:r w:rsidRPr="0047192E">
        <w:rPr>
          <w:rFonts w:ascii="Arial" w:eastAsia="Times New Roman" w:hAnsi="Arial" w:cs="Arial"/>
          <w:color w:val="000000" w:themeColor="text1"/>
        </w:rPr>
        <w:t>labour</w:t>
      </w:r>
      <w:proofErr w:type="spellEnd"/>
      <w:r w:rsidRPr="0047192E">
        <w:rPr>
          <w:rFonts w:ascii="Arial" w:eastAsia="Times New Roman" w:hAnsi="Arial" w:cs="Arial"/>
          <w:color w:val="000000" w:themeColor="text1"/>
        </w:rPr>
        <w:t xml:space="preserve"> that competes with rest, employment, and caring for other children. These mechanisms explain why two families facing similar </w:t>
      </w:r>
      <w:proofErr w:type="spellStart"/>
      <w:r w:rsidRPr="0047192E">
        <w:rPr>
          <w:rFonts w:ascii="Arial" w:eastAsia="Times New Roman" w:hAnsi="Arial" w:cs="Arial"/>
          <w:color w:val="000000" w:themeColor="text1"/>
        </w:rPr>
        <w:t>behaviours</w:t>
      </w:r>
      <w:proofErr w:type="spellEnd"/>
      <w:r w:rsidRPr="0047192E">
        <w:rPr>
          <w:rFonts w:ascii="Arial" w:eastAsia="Times New Roman" w:hAnsi="Arial" w:cs="Arial"/>
          <w:color w:val="000000" w:themeColor="text1"/>
        </w:rPr>
        <w:t xml:space="preserve"> can report very different stress profiles when their service environments diverge.</w:t>
      </w:r>
    </w:p>
    <w:p w14:paraId="2D02AC79"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Resilience processes and resources:</w:t>
      </w:r>
      <w:r w:rsidRPr="0047192E">
        <w:rPr>
          <w:rFonts w:ascii="Arial" w:eastAsia="Times New Roman" w:hAnsi="Arial" w:cs="Arial"/>
          <w:color w:val="000000" w:themeColor="text1"/>
        </w:rPr>
        <w:t xml:space="preserve"> Resilience does not eliminate stress; it </w:t>
      </w:r>
      <w:proofErr w:type="spellStart"/>
      <w:r w:rsidRPr="0047192E">
        <w:rPr>
          <w:rFonts w:ascii="Arial" w:eastAsia="Times New Roman" w:hAnsi="Arial" w:cs="Arial"/>
          <w:color w:val="000000" w:themeColor="text1"/>
        </w:rPr>
        <w:t>reorganises</w:t>
      </w:r>
      <w:proofErr w:type="spellEnd"/>
      <w:r w:rsidRPr="0047192E">
        <w:rPr>
          <w:rFonts w:ascii="Arial" w:eastAsia="Times New Roman" w:hAnsi="Arial" w:cs="Arial"/>
          <w:color w:val="000000" w:themeColor="text1"/>
        </w:rPr>
        <w:t xml:space="preserve"> demands and resources so that stress becomes tolerable and predictable. Mothers describe practical routines, environmental adaptations, and co-produced </w:t>
      </w:r>
      <w:proofErr w:type="spellStart"/>
      <w:r w:rsidRPr="0047192E">
        <w:rPr>
          <w:rFonts w:ascii="Arial" w:eastAsia="Times New Roman" w:hAnsi="Arial" w:cs="Arial"/>
          <w:color w:val="000000" w:themeColor="text1"/>
        </w:rPr>
        <w:t>behaviour</w:t>
      </w:r>
      <w:proofErr w:type="spellEnd"/>
      <w:r w:rsidRPr="0047192E">
        <w:rPr>
          <w:rFonts w:ascii="Arial" w:eastAsia="Times New Roman" w:hAnsi="Arial" w:cs="Arial"/>
          <w:color w:val="000000" w:themeColor="text1"/>
        </w:rPr>
        <w:t xml:space="preserve"> plans as scaffolds that </w:t>
      </w:r>
      <w:proofErr w:type="spellStart"/>
      <w:r w:rsidRPr="0047192E">
        <w:rPr>
          <w:rFonts w:ascii="Arial" w:eastAsia="Times New Roman" w:hAnsi="Arial" w:cs="Arial"/>
          <w:color w:val="000000" w:themeColor="text1"/>
        </w:rPr>
        <w:t>stabilise</w:t>
      </w:r>
      <w:proofErr w:type="spellEnd"/>
      <w:r w:rsidRPr="0047192E">
        <w:rPr>
          <w:rFonts w:ascii="Arial" w:eastAsia="Times New Roman" w:hAnsi="Arial" w:cs="Arial"/>
          <w:color w:val="000000" w:themeColor="text1"/>
        </w:rPr>
        <w:t xml:space="preserve"> family life. Peer groups provide emotional validation and micro-solutions that professionals may overlook, such as sensory-aware strategies for shopping or travel (Dugdale et al., 2021). Access to reliable information reduces anticipatory anxiety and strengthens advocacy, particularly when presented in plain language and tailored to the child’s profile (Benson, 2023). For autistic mothers, insight into sensory and social dynamics can enhance </w:t>
      </w:r>
      <w:proofErr w:type="gramStart"/>
      <w:r w:rsidRPr="0047192E">
        <w:rPr>
          <w:rFonts w:ascii="Arial" w:eastAsia="Times New Roman" w:hAnsi="Arial" w:cs="Arial"/>
          <w:color w:val="000000" w:themeColor="text1"/>
        </w:rPr>
        <w:t>attunement</w:t>
      </w:r>
      <w:proofErr w:type="gramEnd"/>
      <w:r w:rsidRPr="0047192E">
        <w:rPr>
          <w:rFonts w:ascii="Arial" w:eastAsia="Times New Roman" w:hAnsi="Arial" w:cs="Arial"/>
          <w:color w:val="000000" w:themeColor="text1"/>
        </w:rPr>
        <w:t xml:space="preserve">, although camouflaging and sensory overload can also deplete energy and complicate resilience if </w:t>
      </w:r>
      <w:proofErr w:type="spellStart"/>
      <w:r w:rsidRPr="0047192E">
        <w:rPr>
          <w:rFonts w:ascii="Arial" w:eastAsia="Times New Roman" w:hAnsi="Arial" w:cs="Arial"/>
          <w:color w:val="000000" w:themeColor="text1"/>
        </w:rPr>
        <w:t>unrecognised</w:t>
      </w:r>
      <w:proofErr w:type="spellEnd"/>
      <w:r w:rsidRPr="0047192E">
        <w:rPr>
          <w:rFonts w:ascii="Arial" w:eastAsia="Times New Roman" w:hAnsi="Arial" w:cs="Arial"/>
          <w:color w:val="000000" w:themeColor="text1"/>
        </w:rPr>
        <w:t xml:space="preserve"> by services (Pohl et al., 2020).</w:t>
      </w:r>
    </w:p>
    <w:p w14:paraId="5A9F60F1"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Intersections with evolving concepts:</w:t>
      </w:r>
      <w:r w:rsidRPr="0047192E">
        <w:rPr>
          <w:rFonts w:ascii="Arial" w:eastAsia="Times New Roman" w:hAnsi="Arial" w:cs="Arial"/>
          <w:color w:val="000000" w:themeColor="text1"/>
        </w:rPr>
        <w:t xml:space="preserve"> Conceptual work charting the evolution of autism informs maternal narratives by reframing difference and challenging deficit-only models. Greater recognition of heterogeneity and developmental change supports </w:t>
      </w:r>
      <w:proofErr w:type="spellStart"/>
      <w:r w:rsidRPr="0047192E">
        <w:rPr>
          <w:rFonts w:ascii="Arial" w:eastAsia="Times New Roman" w:hAnsi="Arial" w:cs="Arial"/>
          <w:color w:val="000000" w:themeColor="text1"/>
        </w:rPr>
        <w:t>personalised</w:t>
      </w:r>
      <w:proofErr w:type="spellEnd"/>
      <w:r w:rsidRPr="0047192E">
        <w:rPr>
          <w:rFonts w:ascii="Arial" w:eastAsia="Times New Roman" w:hAnsi="Arial" w:cs="Arial"/>
          <w:color w:val="000000" w:themeColor="text1"/>
        </w:rPr>
        <w:t xml:space="preserve"> planning and may reduce self-blame when </w:t>
      </w:r>
      <w:proofErr w:type="spellStart"/>
      <w:r w:rsidRPr="0047192E">
        <w:rPr>
          <w:rFonts w:ascii="Arial" w:eastAsia="Times New Roman" w:hAnsi="Arial" w:cs="Arial"/>
          <w:color w:val="000000" w:themeColor="text1"/>
        </w:rPr>
        <w:t>behaviours</w:t>
      </w:r>
      <w:proofErr w:type="spellEnd"/>
      <w:r w:rsidRPr="0047192E">
        <w:rPr>
          <w:rFonts w:ascii="Arial" w:eastAsia="Times New Roman" w:hAnsi="Arial" w:cs="Arial"/>
          <w:color w:val="000000" w:themeColor="text1"/>
        </w:rPr>
        <w:t xml:space="preserve"> fluctuate (</w:t>
      </w: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and Frith, 2020). Historical reviews of diagnosis caution against rigid application of criteria without attention to context, which can otherwise shift responsibility back onto families when services are constrained (Rosen et al., </w:t>
      </w:r>
      <w:r w:rsidRPr="0047192E">
        <w:rPr>
          <w:rFonts w:ascii="Arial" w:eastAsia="Times New Roman" w:hAnsi="Arial" w:cs="Arial"/>
          <w:color w:val="000000" w:themeColor="text1"/>
        </w:rPr>
        <w:lastRenderedPageBreak/>
        <w:t xml:space="preserve">2021). These insights align with mothers’ calls for assessments and </w:t>
      </w:r>
      <w:proofErr w:type="gramStart"/>
      <w:r w:rsidRPr="0047192E">
        <w:rPr>
          <w:rFonts w:ascii="Arial" w:eastAsia="Times New Roman" w:hAnsi="Arial" w:cs="Arial"/>
          <w:color w:val="000000" w:themeColor="text1"/>
        </w:rPr>
        <w:t>supports</w:t>
      </w:r>
      <w:proofErr w:type="gramEnd"/>
      <w:r w:rsidRPr="0047192E">
        <w:rPr>
          <w:rFonts w:ascii="Arial" w:eastAsia="Times New Roman" w:hAnsi="Arial" w:cs="Arial"/>
          <w:color w:val="000000" w:themeColor="text1"/>
        </w:rPr>
        <w:t xml:space="preserve"> that reflect the child’s profile and the family’s realities, rather than </w:t>
      </w:r>
      <w:proofErr w:type="spellStart"/>
      <w:r w:rsidRPr="0047192E">
        <w:rPr>
          <w:rFonts w:ascii="Arial" w:eastAsia="Times New Roman" w:hAnsi="Arial" w:cs="Arial"/>
          <w:color w:val="000000" w:themeColor="text1"/>
        </w:rPr>
        <w:t>standardised</w:t>
      </w:r>
      <w:proofErr w:type="spellEnd"/>
      <w:r w:rsidRPr="0047192E">
        <w:rPr>
          <w:rFonts w:ascii="Arial" w:eastAsia="Times New Roman" w:hAnsi="Arial" w:cs="Arial"/>
          <w:color w:val="000000" w:themeColor="text1"/>
        </w:rPr>
        <w:t xml:space="preserve"> packages that do not fit.</w:t>
      </w:r>
    </w:p>
    <w:p w14:paraId="2F56E63A" w14:textId="77777777" w:rsidR="00B81479" w:rsidRPr="0047192E" w:rsidRDefault="00B81479" w:rsidP="00B81479">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Illustrative findings across studies:</w:t>
      </w:r>
      <w:r w:rsidRPr="0047192E">
        <w:rPr>
          <w:rFonts w:ascii="Arial" w:eastAsia="Times New Roman" w:hAnsi="Arial" w:cs="Arial"/>
          <w:color w:val="000000" w:themeColor="text1"/>
        </w:rPr>
        <w:t xml:space="preserve"> Dugdale et al. (2021) reported maternal stress linked to uncertainty and school liaison, with resilience supported by predictable routines and peer contact. Benson (2023) quantified the moderating role of resilience resources, showing associations with lower depressive symptoms. McDonnell and DeLucia (2021) connected child </w:t>
      </w:r>
      <w:proofErr w:type="spellStart"/>
      <w:r w:rsidRPr="0047192E">
        <w:rPr>
          <w:rFonts w:ascii="Arial" w:eastAsia="Times New Roman" w:hAnsi="Arial" w:cs="Arial"/>
          <w:color w:val="000000" w:themeColor="text1"/>
        </w:rPr>
        <w:t>behaviour</w:t>
      </w:r>
      <w:proofErr w:type="spellEnd"/>
      <w:r w:rsidRPr="0047192E">
        <w:rPr>
          <w:rFonts w:ascii="Arial" w:eastAsia="Times New Roman" w:hAnsi="Arial" w:cs="Arial"/>
          <w:color w:val="000000" w:themeColor="text1"/>
        </w:rPr>
        <w:t xml:space="preserve"> patterns to maternal stress and reinforced the buffering effect of support quality. Pohl et al. (2020) compared parenting across autistic and non-autistic mothers, showing common strengths and unique pressures that services should acknowledge. Masi et al. (2017) and the American Psychiatric Association (2022) provided the heterogeneity lens that explains why supports must be flexible and responsive. </w:t>
      </w: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and Frith (2020) and Rosen, Lord and Volkmar (2021) situated current expectations within a trajectory of conceptual change. Office for National Statistics (2023) and Centers for Disease Control and Prevention (2025) supplied the population context indicating that family support needs are widespread and ongoing.</w:t>
      </w:r>
    </w:p>
    <w:p w14:paraId="33CB0F65" w14:textId="77777777" w:rsidR="00B81479" w:rsidRPr="0047192E" w:rsidRDefault="00B81479" w:rsidP="00B81479">
      <w:pPr>
        <w:pBdr>
          <w:top w:val="single" w:sz="6" w:space="1" w:color="auto"/>
        </w:pBdr>
        <w:spacing w:before="120" w:after="120" w:line="360" w:lineRule="auto"/>
        <w:jc w:val="both"/>
        <w:rPr>
          <w:rFonts w:ascii="Arial" w:eastAsia="Times New Roman" w:hAnsi="Arial" w:cs="Arial"/>
          <w:b/>
          <w:vanish/>
          <w:color w:val="000000" w:themeColor="text1"/>
        </w:rPr>
      </w:pPr>
      <w:r w:rsidRPr="0047192E">
        <w:rPr>
          <w:rFonts w:ascii="Arial" w:eastAsia="Times New Roman" w:hAnsi="Arial" w:cs="Arial"/>
          <w:b/>
          <w:vanish/>
          <w:color w:val="000000" w:themeColor="text1"/>
        </w:rPr>
        <w:t>Bottom of Form</w:t>
      </w:r>
    </w:p>
    <w:p w14:paraId="101A64BE"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Theories and framing:</w:t>
      </w:r>
      <w:r w:rsidRPr="0047192E">
        <w:rPr>
          <w:rFonts w:ascii="Arial" w:hAnsi="Arial" w:cs="Arial"/>
          <w:color w:val="000000" w:themeColor="text1"/>
          <w:sz w:val="22"/>
          <w:szCs w:val="22"/>
        </w:rPr>
        <w:t xml:space="preserve"> Stress coping frameworks help explain appraisals and coping strategies observed in maternal narratives, including problem-focused planning and emotion-focused reframing (Creswell and Creswell, 2018). Resilience emerges where mothers access reliable information, peer networks, and responsive professionals, while stress accelerates with uncertainty and fragmented services (Dugdale et al., 2021).</w:t>
      </w:r>
    </w:p>
    <w:p w14:paraId="5F9798B3"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Implications:</w:t>
      </w:r>
      <w:r w:rsidRPr="0047192E">
        <w:rPr>
          <w:rFonts w:ascii="Arial" w:hAnsi="Arial" w:cs="Arial"/>
          <w:color w:val="000000" w:themeColor="text1"/>
          <w:sz w:val="22"/>
          <w:szCs w:val="22"/>
        </w:rPr>
        <w:t xml:space="preserve"> Findings suggest that service reliability and predictable support can reduce emotional load more than generic advice. Interventions that combine caregiver psychoeducation with navigation help may yield greater stress reduction than single-component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The theme therefore underscores the need for integrated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xml:space="preserve"> that </w:t>
      </w:r>
      <w:proofErr w:type="gramStart"/>
      <w:r w:rsidRPr="0047192E">
        <w:rPr>
          <w:rFonts w:ascii="Arial" w:hAnsi="Arial" w:cs="Arial"/>
          <w:color w:val="000000" w:themeColor="text1"/>
          <w:sz w:val="22"/>
          <w:szCs w:val="22"/>
        </w:rPr>
        <w:t>match</w:t>
      </w:r>
      <w:proofErr w:type="gramEnd"/>
      <w:r w:rsidRPr="0047192E">
        <w:rPr>
          <w:rFonts w:ascii="Arial" w:hAnsi="Arial" w:cs="Arial"/>
          <w:color w:val="000000" w:themeColor="text1"/>
          <w:sz w:val="22"/>
          <w:szCs w:val="22"/>
        </w:rPr>
        <w:t xml:space="preserve"> heterogeneity and </w:t>
      </w:r>
      <w:proofErr w:type="gramStart"/>
      <w:r w:rsidRPr="0047192E">
        <w:rPr>
          <w:rFonts w:ascii="Arial" w:hAnsi="Arial" w:cs="Arial"/>
          <w:color w:val="000000" w:themeColor="text1"/>
          <w:sz w:val="22"/>
          <w:szCs w:val="22"/>
        </w:rPr>
        <w:t>adapt</w:t>
      </w:r>
      <w:proofErr w:type="gramEnd"/>
      <w:r w:rsidRPr="0047192E">
        <w:rPr>
          <w:rFonts w:ascii="Arial" w:hAnsi="Arial" w:cs="Arial"/>
          <w:color w:val="000000" w:themeColor="text1"/>
          <w:sz w:val="22"/>
          <w:szCs w:val="22"/>
        </w:rPr>
        <w:t xml:space="preserve"> to changing family needs.</w:t>
      </w:r>
    </w:p>
    <w:p w14:paraId="55C9F666"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Pr="0047192E">
        <w:rPr>
          <w:rFonts w:ascii="Arial" w:hAnsi="Arial" w:cs="Arial"/>
          <w:color w:val="000000" w:themeColor="text1"/>
          <w:sz w:val="22"/>
          <w:szCs w:val="22"/>
        </w:rPr>
        <w:t xml:space="preserve"> Emotional load links directly to Theme 2 through the effect of stigma and camouflaging on stress; to Theme 3 via delays that prolong uncertainty; and to Theme 4 through the protective role of structured supports and early intervention.</w:t>
      </w:r>
    </w:p>
    <w:p w14:paraId="3FFE8C0F" w14:textId="77777777" w:rsidR="00B81479" w:rsidRPr="0047192E" w:rsidRDefault="00B81479" w:rsidP="00B81479">
      <w:pPr>
        <w:pStyle w:val="NormalWeb"/>
        <w:spacing w:before="120" w:beforeAutospacing="0" w:after="120" w:afterAutospacing="0" w:line="360" w:lineRule="auto"/>
        <w:rPr>
          <w:rFonts w:ascii="Arial" w:hAnsi="Arial" w:cs="Arial"/>
          <w:sz w:val="22"/>
        </w:rPr>
      </w:pPr>
      <w:r w:rsidRPr="0047192E">
        <w:rPr>
          <w:rFonts w:ascii="Arial" w:hAnsi="Arial" w:cs="Arial"/>
          <w:sz w:val="22"/>
        </w:rPr>
        <w:t>Building on stress–resilience dynamics, the next theme in section 4.4 examines stigma, identity work, and camouflaging and their effects on families.</w:t>
      </w:r>
    </w:p>
    <w:p w14:paraId="234FEF99" w14:textId="77777777" w:rsidR="00B81479" w:rsidRPr="0047192E" w:rsidRDefault="00B81479" w:rsidP="00B81479">
      <w:pPr>
        <w:pStyle w:val="Heading2"/>
        <w:spacing w:before="120" w:after="120" w:line="360" w:lineRule="auto"/>
        <w:rPr>
          <w:rFonts w:ascii="Arial" w:hAnsi="Arial" w:cs="Arial"/>
          <w:b/>
          <w:color w:val="000000" w:themeColor="text1"/>
        </w:rPr>
      </w:pPr>
      <w:bookmarkStart w:id="4" w:name="_Toc210149306"/>
      <w:r w:rsidRPr="0047192E">
        <w:rPr>
          <w:rFonts w:ascii="Arial" w:hAnsi="Arial" w:cs="Arial"/>
          <w:b/>
          <w:color w:val="000000" w:themeColor="text1"/>
        </w:rPr>
        <w:t>4.4 Theme 2: Stigma, Identity, and Camouflaging</w:t>
      </w:r>
      <w:bookmarkEnd w:id="4"/>
    </w:p>
    <w:p w14:paraId="4CA77362"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Definition and scope:</w:t>
      </w:r>
      <w:r w:rsidRPr="0047192E">
        <w:rPr>
          <w:rFonts w:ascii="Arial" w:hAnsi="Arial" w:cs="Arial"/>
          <w:color w:val="000000" w:themeColor="text1"/>
          <w:sz w:val="22"/>
          <w:szCs w:val="22"/>
        </w:rPr>
        <w:t xml:space="preserve"> Stigma encompasses social devaluation and stereotyping directed at autistic people and their families, including “courtesy stigma” experienced by parents. Identity </w:t>
      </w:r>
      <w:r w:rsidRPr="0047192E">
        <w:rPr>
          <w:rFonts w:ascii="Arial" w:hAnsi="Arial" w:cs="Arial"/>
          <w:color w:val="000000" w:themeColor="text1"/>
          <w:sz w:val="22"/>
          <w:szCs w:val="22"/>
        </w:rPr>
        <w:lastRenderedPageBreak/>
        <w:t>concerns relate to how mothers negotiate meanings around autism and motherhood. Camouflaging denotes masking or compensating for autistic traits, with impacts on wellbeing among autistic mothers and daughters (D’Mello, Gabrielsen and Rogers, 2022).</w:t>
      </w:r>
    </w:p>
    <w:p w14:paraId="4F025649"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 xml:space="preserve">Context and drivers: </w:t>
      </w:r>
      <w:r w:rsidRPr="0047192E">
        <w:rPr>
          <w:rFonts w:ascii="Arial" w:hAnsi="Arial" w:cs="Arial"/>
          <w:color w:val="000000" w:themeColor="text1"/>
          <w:sz w:val="22"/>
          <w:szCs w:val="22"/>
        </w:rPr>
        <w:t xml:space="preserve">Qualitative research documents stigma in healthcare and community settings, with mothers reporting blame or misunderstanding by professionals and peers (Kelly et al., 2022; Gosling et al., 2023). The “double empathy problem” reframes strained interactions as mutual </w:t>
      </w:r>
      <w:proofErr w:type="spellStart"/>
      <w:r w:rsidRPr="0047192E">
        <w:rPr>
          <w:rFonts w:ascii="Arial" w:hAnsi="Arial" w:cs="Arial"/>
          <w:color w:val="000000" w:themeColor="text1"/>
          <w:sz w:val="22"/>
          <w:szCs w:val="22"/>
        </w:rPr>
        <w:t>misattunement</w:t>
      </w:r>
      <w:proofErr w:type="spellEnd"/>
      <w:r w:rsidRPr="0047192E">
        <w:rPr>
          <w:rFonts w:ascii="Arial" w:hAnsi="Arial" w:cs="Arial"/>
          <w:color w:val="000000" w:themeColor="text1"/>
          <w:sz w:val="22"/>
          <w:szCs w:val="22"/>
        </w:rPr>
        <w:t xml:space="preserve"> rather than deficits within autistic people, challenging deficit narratives that underpin stigma (Milton, 2014; Milton, 2017). Gender-focused reviews show differential pathways to recognition and support for women, which affect maternal identity and access to care (Lai and Kassee, 2019;). </w:t>
      </w:r>
      <w:proofErr w:type="gramStart"/>
      <w:r w:rsidRPr="0047192E">
        <w:rPr>
          <w:rFonts w:ascii="Arial" w:hAnsi="Arial" w:cs="Arial"/>
          <w:color w:val="000000" w:themeColor="text1"/>
          <w:sz w:val="22"/>
          <w:szCs w:val="22"/>
        </w:rPr>
        <w:t>Camouflaging</w:t>
      </w:r>
      <w:proofErr w:type="gramEnd"/>
      <w:r w:rsidRPr="0047192E">
        <w:rPr>
          <w:rFonts w:ascii="Arial" w:hAnsi="Arial" w:cs="Arial"/>
          <w:color w:val="000000" w:themeColor="text1"/>
          <w:sz w:val="22"/>
          <w:szCs w:val="22"/>
        </w:rPr>
        <w:t xml:space="preserve"> research indicates costs to mental health and fatigue, which can compound caregiving pressure where autistic mothers mask to meet social expectations (Hull et al., 2020; Leedham et al., 2020).</w:t>
      </w:r>
    </w:p>
    <w:p w14:paraId="27B506A3"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Relevance to the research question:</w:t>
      </w:r>
      <w:r w:rsidRPr="0047192E">
        <w:rPr>
          <w:rFonts w:ascii="Arial" w:hAnsi="Arial" w:cs="Arial"/>
          <w:color w:val="000000" w:themeColor="text1"/>
          <w:sz w:val="22"/>
          <w:szCs w:val="22"/>
        </w:rPr>
        <w:t xml:space="preserve"> Stigma shapes how families are treated and how mothers advocate for their children, influencing stress, help-seeking, and service uptake. Identity work, including acceptance aligned with neurodiversity, can reduce </w:t>
      </w:r>
      <w:proofErr w:type="spellStart"/>
      <w:r w:rsidRPr="0047192E">
        <w:rPr>
          <w:rFonts w:ascii="Arial" w:hAnsi="Arial" w:cs="Arial"/>
          <w:color w:val="000000" w:themeColor="text1"/>
          <w:sz w:val="22"/>
          <w:szCs w:val="22"/>
        </w:rPr>
        <w:t>internalised</w:t>
      </w:r>
      <w:proofErr w:type="spellEnd"/>
      <w:r w:rsidRPr="0047192E">
        <w:rPr>
          <w:rFonts w:ascii="Arial" w:hAnsi="Arial" w:cs="Arial"/>
          <w:color w:val="000000" w:themeColor="text1"/>
          <w:sz w:val="22"/>
          <w:szCs w:val="22"/>
        </w:rPr>
        <w:t xml:space="preserve"> stigma and support resilient coping.</w:t>
      </w:r>
    </w:p>
    <w:p w14:paraId="66CC6611"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Selected patterns: </w:t>
      </w:r>
      <w:r w:rsidRPr="0047192E">
        <w:rPr>
          <w:rFonts w:ascii="Arial" w:hAnsi="Arial" w:cs="Arial"/>
          <w:color w:val="000000" w:themeColor="text1"/>
          <w:sz w:val="22"/>
          <w:szCs w:val="22"/>
        </w:rPr>
        <w:t xml:space="preserve">Cross-cultural evidence shows that beliefs about autism vary, affecting disclosure strategies, reliance on family networks, and attitudes toward professional help (Mo et al., 2022; </w:t>
      </w:r>
      <w:proofErr w:type="spellStart"/>
      <w:r w:rsidRPr="0047192E">
        <w:rPr>
          <w:rFonts w:ascii="Arial" w:hAnsi="Arial" w:cs="Arial"/>
          <w:color w:val="000000" w:themeColor="text1"/>
          <w:sz w:val="22"/>
          <w:szCs w:val="22"/>
        </w:rPr>
        <w:t>Cherewick</w:t>
      </w:r>
      <w:proofErr w:type="spellEnd"/>
      <w:r w:rsidRPr="0047192E">
        <w:rPr>
          <w:rFonts w:ascii="Arial" w:hAnsi="Arial" w:cs="Arial"/>
          <w:color w:val="000000" w:themeColor="text1"/>
          <w:sz w:val="22"/>
          <w:szCs w:val="22"/>
        </w:rPr>
        <w:t xml:space="preserve"> and </w:t>
      </w:r>
      <w:proofErr w:type="spellStart"/>
      <w:r w:rsidRPr="0047192E">
        <w:rPr>
          <w:rFonts w:ascii="Arial" w:hAnsi="Arial" w:cs="Arial"/>
          <w:color w:val="000000" w:themeColor="text1"/>
          <w:sz w:val="22"/>
          <w:szCs w:val="22"/>
        </w:rPr>
        <w:t>Matergia</w:t>
      </w:r>
      <w:proofErr w:type="spellEnd"/>
      <w:r w:rsidRPr="0047192E">
        <w:rPr>
          <w:rFonts w:ascii="Arial" w:hAnsi="Arial" w:cs="Arial"/>
          <w:color w:val="000000" w:themeColor="text1"/>
          <w:sz w:val="22"/>
          <w:szCs w:val="22"/>
        </w:rPr>
        <w:t>, 2023). In South Asian and other minority contexts, mothers may face layered stigma tied to gender roles, disability narratives, and community expectations, which can intensify isolation or silence (Hamdani et al., 2023). Policy ambitions for inclusion frequently meet uneven implementation, leaving everyday interactions unchanged and reinforcing stigma in schools, clinics, and public spaces (Soares et al., 2024).</w:t>
      </w:r>
    </w:p>
    <w:p w14:paraId="4A74859F"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Theories and framing:</w:t>
      </w:r>
      <w:r w:rsidRPr="0047192E">
        <w:rPr>
          <w:rFonts w:ascii="Arial" w:hAnsi="Arial" w:cs="Arial"/>
          <w:color w:val="000000" w:themeColor="text1"/>
          <w:sz w:val="22"/>
          <w:szCs w:val="22"/>
        </w:rPr>
        <w:t xml:space="preserve"> Stigma theory explains processes of labelling, stereotyping, and exclusion that transfer blame onto mothers when </w:t>
      </w:r>
      <w:proofErr w:type="spellStart"/>
      <w:r w:rsidRPr="0047192E">
        <w:rPr>
          <w:rFonts w:ascii="Arial" w:hAnsi="Arial" w:cs="Arial"/>
          <w:color w:val="000000" w:themeColor="text1"/>
          <w:sz w:val="22"/>
          <w:szCs w:val="22"/>
        </w:rPr>
        <w:t>behaviour</w:t>
      </w:r>
      <w:proofErr w:type="spellEnd"/>
      <w:r w:rsidRPr="0047192E">
        <w:rPr>
          <w:rFonts w:ascii="Arial" w:hAnsi="Arial" w:cs="Arial"/>
          <w:color w:val="000000" w:themeColor="text1"/>
          <w:sz w:val="22"/>
          <w:szCs w:val="22"/>
        </w:rPr>
        <w:t xml:space="preserve"> challenges occur in public or when services are rationed. Neurodiversity reframes autism as natural variation and </w:t>
      </w:r>
      <w:proofErr w:type="spellStart"/>
      <w:r w:rsidRPr="0047192E">
        <w:rPr>
          <w:rFonts w:ascii="Arial" w:hAnsi="Arial" w:cs="Arial"/>
          <w:color w:val="000000" w:themeColor="text1"/>
          <w:sz w:val="22"/>
          <w:szCs w:val="22"/>
        </w:rPr>
        <w:t>emphasises</w:t>
      </w:r>
      <w:proofErr w:type="spellEnd"/>
      <w:r w:rsidRPr="0047192E">
        <w:rPr>
          <w:rFonts w:ascii="Arial" w:hAnsi="Arial" w:cs="Arial"/>
          <w:color w:val="000000" w:themeColor="text1"/>
          <w:sz w:val="22"/>
          <w:szCs w:val="22"/>
        </w:rPr>
        <w:t xml:space="preserve"> rights, participation, and strength-based supports, providing a counter-narrative to deficit models that often justify inflexible services (Leadbitter et al., 2021). The double empathy perspective situates communication breakdowns within relational contexts, suggesting that training and environmental adjustments not “fixing” the autistic person are crucial to reduce friction and secondary harms.</w:t>
      </w:r>
    </w:p>
    <w:p w14:paraId="733710BB"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Camouflaging and maternal wellbeing: </w:t>
      </w:r>
      <w:r w:rsidRPr="0047192E">
        <w:rPr>
          <w:rFonts w:ascii="Arial" w:hAnsi="Arial" w:cs="Arial"/>
          <w:color w:val="000000" w:themeColor="text1"/>
          <w:sz w:val="22"/>
          <w:szCs w:val="22"/>
        </w:rPr>
        <w:t xml:space="preserve">Evidence links camouflaging to increased anxiety, fatigue, and depressive symptoms, particularly among autistic women striving to meet </w:t>
      </w:r>
      <w:r w:rsidRPr="0047192E">
        <w:rPr>
          <w:rFonts w:ascii="Arial" w:hAnsi="Arial" w:cs="Arial"/>
          <w:color w:val="000000" w:themeColor="text1"/>
          <w:sz w:val="22"/>
          <w:szCs w:val="22"/>
        </w:rPr>
        <w:lastRenderedPageBreak/>
        <w:t>conventional expectations in work, healthcare, or parenting roles (Leedham et al., 2020). Camouflaging may temporarily reduce interpersonal friction but can mask support needs and delay recognition, leading to fewer adjustments and greater cumulative strain (Hull et al., 2020). Autistic mothers may also mirror or model masking for daughters, which could perpetuate cycles of exhaustion if unacknowledged by professionals (D’Mello et al., 2022). These dynamics connect stigma and identity directly to the emotional load described in Theme 1.</w:t>
      </w:r>
    </w:p>
    <w:p w14:paraId="2289CC53"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Illustrative studies:</w:t>
      </w:r>
      <w:r w:rsidRPr="0047192E">
        <w:rPr>
          <w:rFonts w:ascii="Arial" w:hAnsi="Arial" w:cs="Arial"/>
          <w:color w:val="000000" w:themeColor="text1"/>
          <w:sz w:val="22"/>
          <w:szCs w:val="22"/>
        </w:rPr>
        <w:t xml:space="preserve"> Kelly et al. (2022) reported healthcare barriers rooted in stigma and poor adjustments, including sensory-unfriendly environments and time-pressured consultations that overlook communication differences. Gosling et al. (2023) found that stigma erodes trust and deters continued engagement, with women reporting gatekeeping and limited understanding of autistic presentations in adulthood. Hull et al. (2020) validated the Camouflaging Autistic Traits Questionnaire (CAT-Q), linking higher camouflaging with psychological costs. Leedham et al. (2020) described how </w:t>
      </w:r>
      <w:proofErr w:type="gramStart"/>
      <w:r w:rsidRPr="0047192E">
        <w:rPr>
          <w:rFonts w:ascii="Arial" w:hAnsi="Arial" w:cs="Arial"/>
          <w:color w:val="000000" w:themeColor="text1"/>
          <w:sz w:val="22"/>
          <w:szCs w:val="22"/>
        </w:rPr>
        <w:t>camouflaging</w:t>
      </w:r>
      <w:proofErr w:type="gramEnd"/>
      <w:r w:rsidRPr="0047192E">
        <w:rPr>
          <w:rFonts w:ascii="Arial" w:hAnsi="Arial" w:cs="Arial"/>
          <w:color w:val="000000" w:themeColor="text1"/>
          <w:sz w:val="22"/>
          <w:szCs w:val="22"/>
        </w:rPr>
        <w:t xml:space="preserve"> supports short-term social functioning yet compromises mental health over time. Lai and Kassee (2019) </w:t>
      </w:r>
      <w:proofErr w:type="spellStart"/>
      <w:r w:rsidRPr="0047192E">
        <w:rPr>
          <w:rFonts w:ascii="Arial" w:hAnsi="Arial" w:cs="Arial"/>
          <w:color w:val="000000" w:themeColor="text1"/>
          <w:sz w:val="22"/>
          <w:szCs w:val="22"/>
        </w:rPr>
        <w:t>synthesised</w:t>
      </w:r>
      <w:proofErr w:type="spellEnd"/>
      <w:r w:rsidRPr="0047192E">
        <w:rPr>
          <w:rFonts w:ascii="Arial" w:hAnsi="Arial" w:cs="Arial"/>
          <w:color w:val="000000" w:themeColor="text1"/>
          <w:sz w:val="22"/>
          <w:szCs w:val="22"/>
        </w:rPr>
        <w:t xml:space="preserve"> gendered diagnostic issues, while D’Mello et al. (2022) extended the case for gender-responsive approaches. Cultural studies by Mo et al. (2022) and </w:t>
      </w:r>
      <w:proofErr w:type="spellStart"/>
      <w:r w:rsidRPr="0047192E">
        <w:rPr>
          <w:rFonts w:ascii="Arial" w:hAnsi="Arial" w:cs="Arial"/>
          <w:color w:val="000000" w:themeColor="text1"/>
          <w:sz w:val="22"/>
          <w:szCs w:val="22"/>
        </w:rPr>
        <w:t>Cherewick</w:t>
      </w:r>
      <w:proofErr w:type="spellEnd"/>
      <w:r w:rsidRPr="0047192E">
        <w:rPr>
          <w:rFonts w:ascii="Arial" w:hAnsi="Arial" w:cs="Arial"/>
          <w:color w:val="000000" w:themeColor="text1"/>
          <w:sz w:val="22"/>
          <w:szCs w:val="22"/>
        </w:rPr>
        <w:t xml:space="preserve"> and </w:t>
      </w:r>
      <w:proofErr w:type="spellStart"/>
      <w:r w:rsidRPr="0047192E">
        <w:rPr>
          <w:rFonts w:ascii="Arial" w:hAnsi="Arial" w:cs="Arial"/>
          <w:color w:val="000000" w:themeColor="text1"/>
          <w:sz w:val="22"/>
          <w:szCs w:val="22"/>
        </w:rPr>
        <w:t>Matergia</w:t>
      </w:r>
      <w:proofErr w:type="spellEnd"/>
      <w:r w:rsidRPr="0047192E">
        <w:rPr>
          <w:rFonts w:ascii="Arial" w:hAnsi="Arial" w:cs="Arial"/>
          <w:color w:val="000000" w:themeColor="text1"/>
          <w:sz w:val="22"/>
          <w:szCs w:val="22"/>
        </w:rPr>
        <w:t xml:space="preserve"> (2023) highlighted how explanatory models shape stigma and disclosure, and Hamdani et al. (2023) described region-specific barriers and emergent community adaptations. A policy analysis by Soares et al. (2024) showed that national equity goals require concrete local mechanisms to alter daily experiences.</w:t>
      </w:r>
    </w:p>
    <w:p w14:paraId="1B703F55"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Mechanisms and pathways:</w:t>
      </w:r>
      <w:r w:rsidRPr="0047192E">
        <w:rPr>
          <w:rFonts w:ascii="Arial" w:hAnsi="Arial" w:cs="Arial"/>
          <w:color w:val="000000" w:themeColor="text1"/>
          <w:sz w:val="22"/>
          <w:szCs w:val="22"/>
        </w:rPr>
        <w:t xml:space="preserve"> Stigma acts through multiple channels. At the interpersonal level, negative attributions and disbelief heighten stress and discourage help-seeking. At the </w:t>
      </w:r>
      <w:proofErr w:type="spellStart"/>
      <w:r w:rsidRPr="0047192E">
        <w:rPr>
          <w:rFonts w:ascii="Arial" w:hAnsi="Arial" w:cs="Arial"/>
          <w:color w:val="000000" w:themeColor="text1"/>
          <w:sz w:val="22"/>
          <w:szCs w:val="22"/>
        </w:rPr>
        <w:t>organisational</w:t>
      </w:r>
      <w:proofErr w:type="spellEnd"/>
      <w:r w:rsidRPr="0047192E">
        <w:rPr>
          <w:rFonts w:ascii="Arial" w:hAnsi="Arial" w:cs="Arial"/>
          <w:color w:val="000000" w:themeColor="text1"/>
          <w:sz w:val="22"/>
          <w:szCs w:val="22"/>
        </w:rPr>
        <w:t xml:space="preserve"> level, rigid processes, narrow eligibility criteria, and sensory-insensitive settings signal low receptivity to difference. At the discursive level, deficit-heavy narratives </w:t>
      </w:r>
      <w:proofErr w:type="spellStart"/>
      <w:r w:rsidRPr="0047192E">
        <w:rPr>
          <w:rFonts w:ascii="Arial" w:hAnsi="Arial" w:cs="Arial"/>
          <w:color w:val="000000" w:themeColor="text1"/>
          <w:sz w:val="22"/>
          <w:szCs w:val="22"/>
        </w:rPr>
        <w:t>legitimise</w:t>
      </w:r>
      <w:proofErr w:type="spellEnd"/>
      <w:r w:rsidRPr="0047192E">
        <w:rPr>
          <w:rFonts w:ascii="Arial" w:hAnsi="Arial" w:cs="Arial"/>
          <w:color w:val="000000" w:themeColor="text1"/>
          <w:sz w:val="22"/>
          <w:szCs w:val="22"/>
        </w:rPr>
        <w:t xml:space="preserve"> minimal adjustments and place responsibility for “fitting in” on families, which encourages camouflaging and erodes identity. Counter-mechanisms include validation of lived experience, explicit recognition of autistic presentations in women, and routine environmental adjustments that reduce the need to mask.</w:t>
      </w:r>
    </w:p>
    <w:p w14:paraId="3C3A55AE"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Implications for practice and policy:</w:t>
      </w:r>
      <w:r w:rsidRPr="0047192E">
        <w:rPr>
          <w:rFonts w:ascii="Arial" w:hAnsi="Arial" w:cs="Arial"/>
          <w:color w:val="000000" w:themeColor="text1"/>
          <w:sz w:val="22"/>
          <w:szCs w:val="22"/>
        </w:rPr>
        <w:t xml:space="preserve"> Anti-stigma efforts should combine training in neuro-affirming communication with structural changes. Examples include flexible appointment systems, low-arousal waiting areas, written and plain-language information, and permission for alternative communication modes (Gosling et al., 2023). Clinicians should screen for camouflaging and its costs, particularly in mothers, and tailor support to reduce masking pressure. Peer-led groups can provide counter-narratives and practical problem-solving, improving self-efficacy and reducing </w:t>
      </w:r>
      <w:r w:rsidRPr="0047192E">
        <w:rPr>
          <w:rFonts w:ascii="Arial" w:hAnsi="Arial" w:cs="Arial"/>
          <w:color w:val="000000" w:themeColor="text1"/>
          <w:sz w:val="22"/>
          <w:szCs w:val="22"/>
        </w:rPr>
        <w:lastRenderedPageBreak/>
        <w:t>isolation (Leadbitter et al., 2021). Service audits should include measures of perceived respect, validation, and environmental fit, not only throughput, to capture stigma-related barriers (Soares et al., 2024).</w:t>
      </w:r>
    </w:p>
    <w:p w14:paraId="24F5B7B9"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Pr="0047192E">
        <w:rPr>
          <w:rFonts w:ascii="Arial" w:hAnsi="Arial" w:cs="Arial"/>
          <w:color w:val="000000" w:themeColor="text1"/>
          <w:sz w:val="22"/>
          <w:szCs w:val="22"/>
        </w:rPr>
        <w:t xml:space="preserve"> Stigma intensifies emotional load (Theme 1), obstructs access (Theme 3), and is mitigated when effective supports validate identity and needs (Theme 4).</w:t>
      </w:r>
    </w:p>
    <w:p w14:paraId="019600F0" w14:textId="77777777" w:rsidR="00B81479" w:rsidRPr="0047192E" w:rsidRDefault="00B81479" w:rsidP="00B81479">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From social perceptions</w:t>
      </w:r>
      <w:proofErr w:type="gramStart"/>
      <w:r w:rsidRPr="0047192E">
        <w:rPr>
          <w:rFonts w:ascii="Arial" w:hAnsi="Arial" w:cs="Arial"/>
          <w:sz w:val="22"/>
        </w:rPr>
        <w:t xml:space="preserve">, the </w:t>
      </w:r>
      <w:proofErr w:type="spellStart"/>
      <w:r w:rsidRPr="0047192E">
        <w:rPr>
          <w:rFonts w:ascii="Arial" w:hAnsi="Arial" w:cs="Arial"/>
          <w:sz w:val="22"/>
        </w:rPr>
        <w:t>setion</w:t>
      </w:r>
      <w:proofErr w:type="spellEnd"/>
      <w:proofErr w:type="gramEnd"/>
      <w:r w:rsidRPr="0047192E">
        <w:rPr>
          <w:rFonts w:ascii="Arial" w:hAnsi="Arial" w:cs="Arial"/>
          <w:sz w:val="22"/>
        </w:rPr>
        <w:t xml:space="preserve"> 4.5 shifts to system design diagnosis pathways, service navigation, and access.</w:t>
      </w:r>
    </w:p>
    <w:p w14:paraId="72AEAAA9" w14:textId="77777777" w:rsidR="00B81479" w:rsidRPr="0047192E" w:rsidRDefault="00B81479" w:rsidP="00B81479">
      <w:pPr>
        <w:pStyle w:val="Heading2"/>
        <w:spacing w:before="120" w:after="120" w:line="360" w:lineRule="auto"/>
        <w:rPr>
          <w:rFonts w:ascii="Arial" w:hAnsi="Arial" w:cs="Arial"/>
          <w:b/>
          <w:color w:val="000000" w:themeColor="text1"/>
        </w:rPr>
      </w:pPr>
      <w:bookmarkStart w:id="5" w:name="_Toc210149307"/>
      <w:r w:rsidRPr="0047192E">
        <w:rPr>
          <w:rFonts w:ascii="Arial" w:hAnsi="Arial" w:cs="Arial"/>
          <w:b/>
          <w:color w:val="000000" w:themeColor="text1"/>
        </w:rPr>
        <w:t>4.5 Theme 3: Diagnosis, Service Navigation, and Access</w:t>
      </w:r>
      <w:bookmarkEnd w:id="5"/>
    </w:p>
    <w:p w14:paraId="31D60D6F"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Definition and scope:</w:t>
      </w:r>
      <w:r w:rsidRPr="0047192E">
        <w:rPr>
          <w:rFonts w:ascii="Arial" w:hAnsi="Arial" w:cs="Arial"/>
          <w:color w:val="000000" w:themeColor="text1"/>
          <w:sz w:val="22"/>
          <w:szCs w:val="22"/>
        </w:rPr>
        <w:t xml:space="preserve"> This theme covers pathways to diagnosis, the complexity of navigating health, education, and social care, and barriers to timely and equitable access. It includes national policy frameworks and local implementation. </w:t>
      </w:r>
    </w:p>
    <w:p w14:paraId="7BCE19E3"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Pr="0047192E">
        <w:rPr>
          <w:rFonts w:ascii="Arial" w:hAnsi="Arial" w:cs="Arial"/>
          <w:color w:val="000000" w:themeColor="text1"/>
          <w:sz w:val="22"/>
          <w:szCs w:val="22"/>
        </w:rPr>
        <w:t xml:space="preserve"> UK strategies </w:t>
      </w:r>
      <w:proofErr w:type="spellStart"/>
      <w:r w:rsidRPr="0047192E">
        <w:rPr>
          <w:rFonts w:ascii="Arial" w:hAnsi="Arial" w:cs="Arial"/>
          <w:color w:val="000000" w:themeColor="text1"/>
          <w:sz w:val="22"/>
          <w:szCs w:val="22"/>
        </w:rPr>
        <w:t>recognise</w:t>
      </w:r>
      <w:proofErr w:type="spellEnd"/>
      <w:r w:rsidRPr="0047192E">
        <w:rPr>
          <w:rFonts w:ascii="Arial" w:hAnsi="Arial" w:cs="Arial"/>
          <w:color w:val="000000" w:themeColor="text1"/>
          <w:sz w:val="22"/>
          <w:szCs w:val="22"/>
        </w:rPr>
        <w:t xml:space="preserve"> long waits, uneven provision, and disparities by region, age, and background (DHSC, 2021; Soares, Patel and Williams, 2024). National prevalence and adult recognition studies show continued gaps, especially for women and minority groups, which shape family journeys and post-diagnostic support (</w:t>
      </w:r>
      <w:proofErr w:type="spellStart"/>
      <w:r w:rsidRPr="0047192E">
        <w:rPr>
          <w:rFonts w:ascii="Arial" w:hAnsi="Arial" w:cs="Arial"/>
          <w:color w:val="000000" w:themeColor="text1"/>
          <w:sz w:val="22"/>
          <w:szCs w:val="22"/>
        </w:rPr>
        <w:t>Brugha</w:t>
      </w:r>
      <w:proofErr w:type="spellEnd"/>
      <w:r w:rsidRPr="0047192E">
        <w:rPr>
          <w:rFonts w:ascii="Arial" w:hAnsi="Arial" w:cs="Arial"/>
          <w:color w:val="000000" w:themeColor="text1"/>
          <w:sz w:val="22"/>
          <w:szCs w:val="22"/>
        </w:rPr>
        <w:t xml:space="preserve">, Cooper and McManus, 2016; Russell, Mandy and Elliott, 2016). Diagnostic criteria and their evolution influence referral thresholds and service eligibility, affecting mothers who must advocate within changing systems (APA, 2022). </w:t>
      </w:r>
    </w:p>
    <w:p w14:paraId="2CC40D01"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Relevance to the research question:</w:t>
      </w:r>
      <w:r w:rsidRPr="0047192E">
        <w:rPr>
          <w:rFonts w:ascii="Arial" w:hAnsi="Arial" w:cs="Arial"/>
          <w:color w:val="000000" w:themeColor="text1"/>
          <w:sz w:val="22"/>
          <w:szCs w:val="22"/>
        </w:rPr>
        <w:t xml:space="preserve"> Timely diagnosis and coordinated support reduce uncertainty and lighten the emotional and administrative burden on mothers. Navigation demands forms, referrals, meetings are repeatedly described as stressful when systems are siloed or unresponsive.</w:t>
      </w:r>
    </w:p>
    <w:p w14:paraId="7833BCCC"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Selected patterns:</w:t>
      </w:r>
      <w:r w:rsidRPr="0047192E">
        <w:rPr>
          <w:rFonts w:ascii="Arial" w:hAnsi="Arial" w:cs="Arial"/>
          <w:color w:val="000000" w:themeColor="text1"/>
          <w:sz w:val="22"/>
          <w:szCs w:val="22"/>
        </w:rPr>
        <w:t xml:space="preserve"> National reporting indicates rising identified prevalence and sustained demand on services, with capacity pressures felt across </w:t>
      </w:r>
      <w:proofErr w:type="spellStart"/>
      <w:r w:rsidRPr="0047192E">
        <w:rPr>
          <w:rFonts w:ascii="Arial" w:hAnsi="Arial" w:cs="Arial"/>
          <w:color w:val="000000" w:themeColor="text1"/>
          <w:sz w:val="22"/>
          <w:szCs w:val="22"/>
        </w:rPr>
        <w:t>paediatrics</w:t>
      </w:r>
      <w:proofErr w:type="spellEnd"/>
      <w:r w:rsidRPr="0047192E">
        <w:rPr>
          <w:rFonts w:ascii="Arial" w:hAnsi="Arial" w:cs="Arial"/>
          <w:color w:val="000000" w:themeColor="text1"/>
          <w:sz w:val="22"/>
          <w:szCs w:val="22"/>
        </w:rPr>
        <w:t xml:space="preserve">, child development </w:t>
      </w:r>
      <w:proofErr w:type="spellStart"/>
      <w:r w:rsidRPr="0047192E">
        <w:rPr>
          <w:rFonts w:ascii="Arial" w:hAnsi="Arial" w:cs="Arial"/>
          <w:color w:val="000000" w:themeColor="text1"/>
          <w:sz w:val="22"/>
          <w:szCs w:val="22"/>
        </w:rPr>
        <w:t>centres</w:t>
      </w:r>
      <w:proofErr w:type="spellEnd"/>
      <w:r w:rsidRPr="0047192E">
        <w:rPr>
          <w:rFonts w:ascii="Arial" w:hAnsi="Arial" w:cs="Arial"/>
          <w:color w:val="000000" w:themeColor="text1"/>
          <w:sz w:val="22"/>
          <w:szCs w:val="22"/>
        </w:rPr>
        <w:t xml:space="preserve">, and neurodevelopmental teams (Office for National Statistics, 2023; Department of Health and Social Care, 2021). Policy analyses </w:t>
      </w:r>
      <w:proofErr w:type="spellStart"/>
      <w:r w:rsidRPr="0047192E">
        <w:rPr>
          <w:rFonts w:ascii="Arial" w:hAnsi="Arial" w:cs="Arial"/>
          <w:color w:val="000000" w:themeColor="text1"/>
          <w:sz w:val="22"/>
          <w:szCs w:val="22"/>
        </w:rPr>
        <w:t>emphasise</w:t>
      </w:r>
      <w:proofErr w:type="spellEnd"/>
      <w:r w:rsidRPr="0047192E">
        <w:rPr>
          <w:rFonts w:ascii="Arial" w:hAnsi="Arial" w:cs="Arial"/>
          <w:color w:val="000000" w:themeColor="text1"/>
          <w:sz w:val="22"/>
          <w:szCs w:val="22"/>
        </w:rPr>
        <w:t xml:space="preserve"> that formal commitments do not automatically improve real-world access unless backed by local resourcing, workforce planning, and implementation support (Soares et al., 2024). Sociological accounts further show how field priorities, professional discourses, and political attention cycles influence what gets funded, how thresholds are set, and which groups benefit first (Hollin, 2017). These patterns help explain persistent geographical variation and the “postcode lottery” experienced by many families.</w:t>
      </w:r>
    </w:p>
    <w:p w14:paraId="73DECB5A"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lastRenderedPageBreak/>
        <w:t>Theories and framing:</w:t>
      </w:r>
      <w:r w:rsidRPr="0047192E">
        <w:rPr>
          <w:rFonts w:ascii="Arial" w:hAnsi="Arial" w:cs="Arial"/>
          <w:color w:val="000000" w:themeColor="text1"/>
          <w:sz w:val="22"/>
          <w:szCs w:val="22"/>
        </w:rPr>
        <w:t xml:space="preserve"> Ecological and systems perspectives highlight the dependence of micro-level family experiences on meso-level </w:t>
      </w:r>
      <w:proofErr w:type="spellStart"/>
      <w:r w:rsidRPr="0047192E">
        <w:rPr>
          <w:rFonts w:ascii="Arial" w:hAnsi="Arial" w:cs="Arial"/>
          <w:color w:val="000000" w:themeColor="text1"/>
          <w:sz w:val="22"/>
          <w:szCs w:val="22"/>
        </w:rPr>
        <w:t>organisational</w:t>
      </w:r>
      <w:proofErr w:type="spellEnd"/>
      <w:r w:rsidRPr="0047192E">
        <w:rPr>
          <w:rFonts w:ascii="Arial" w:hAnsi="Arial" w:cs="Arial"/>
          <w:color w:val="000000" w:themeColor="text1"/>
          <w:sz w:val="22"/>
          <w:szCs w:val="22"/>
        </w:rPr>
        <w:t xml:space="preserve"> practices and macro-level policy. Similar needs can lead to different outcomes when local commissioning, school culture, and clinical capacity diverge (Creswell and Creswell, 2018). Within this framing, access is not a single gate but a series of interlocking decision points. Each point can either streamline progress through coordinated information flows or multiply friction through duplication, rigid criteria, and unclear accountability.</w:t>
      </w:r>
    </w:p>
    <w:p w14:paraId="452C359B"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Diagnostic evolution and pathway implications:</w:t>
      </w:r>
      <w:r w:rsidRPr="0047192E">
        <w:rPr>
          <w:rFonts w:ascii="Arial" w:hAnsi="Arial" w:cs="Arial"/>
          <w:color w:val="000000" w:themeColor="text1"/>
          <w:sz w:val="22"/>
          <w:szCs w:val="22"/>
        </w:rPr>
        <w:t xml:space="preserve"> Historical reviews show that shifts from categorical to spectrum </w:t>
      </w:r>
      <w:proofErr w:type="spellStart"/>
      <w:r w:rsidRPr="0047192E">
        <w:rPr>
          <w:rFonts w:ascii="Arial" w:hAnsi="Arial" w:cs="Arial"/>
          <w:color w:val="000000" w:themeColor="text1"/>
          <w:sz w:val="22"/>
          <w:szCs w:val="22"/>
        </w:rPr>
        <w:t>conceptualisations</w:t>
      </w:r>
      <w:proofErr w:type="spellEnd"/>
      <w:r w:rsidRPr="0047192E">
        <w:rPr>
          <w:rFonts w:ascii="Arial" w:hAnsi="Arial" w:cs="Arial"/>
          <w:color w:val="000000" w:themeColor="text1"/>
          <w:sz w:val="22"/>
          <w:szCs w:val="22"/>
        </w:rPr>
        <w:t xml:space="preserve"> widened recognition while complicating boundary decisions in practice (Rosen et al., 2021). The DSM-5-TR codifies current criteria and specifies the role of functional impact, which requires contextual interpretation and good multi-agency communication (American Psychiatric Association, 2022). Inconsistent application of criteria or narrow readings of “significant impairment” can defer referral or limit educational support, pushing parents into prolonged advocacy. Where local pathways include multi-disciplinary triage, clear timelines, and feedback loops, families report greater clarity and reduced duplication of assessments.</w:t>
      </w:r>
    </w:p>
    <w:p w14:paraId="4C11432A"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Illustrative studies and reports:</w:t>
      </w:r>
      <w:r w:rsidRPr="0047192E">
        <w:rPr>
          <w:rFonts w:ascii="Arial" w:hAnsi="Arial" w:cs="Arial"/>
          <w:color w:val="000000" w:themeColor="text1"/>
          <w:sz w:val="22"/>
          <w:szCs w:val="22"/>
        </w:rPr>
        <w:t xml:space="preserve"> Crane et al. (2018) surveyed over 1,000 UK parents and documented delays, inconsistent professional responses, and limited signposting after diagnosis. The study highlighted how disbelief or dismissal at first contact lengthens routes to assessment. Soares et al. (2024) examined equity and access under recent reforms, finding that national strategies require targeted implementation to shift outcomes for under-served groups. The national strategy set goals for faster diagnosis, reasonable adjustments, and improved post-diagnostic support, while acknowledging wide regional variation (Department of Health and Social Care, 2021). </w:t>
      </w:r>
      <w:proofErr w:type="spellStart"/>
      <w:r w:rsidRPr="0047192E">
        <w:rPr>
          <w:rFonts w:ascii="Arial" w:hAnsi="Arial" w:cs="Arial"/>
          <w:color w:val="000000" w:themeColor="text1"/>
          <w:sz w:val="22"/>
          <w:szCs w:val="22"/>
        </w:rPr>
        <w:t>Brugha</w:t>
      </w:r>
      <w:proofErr w:type="spellEnd"/>
      <w:r w:rsidRPr="0047192E">
        <w:rPr>
          <w:rFonts w:ascii="Arial" w:hAnsi="Arial" w:cs="Arial"/>
          <w:color w:val="000000" w:themeColor="text1"/>
          <w:sz w:val="22"/>
          <w:szCs w:val="22"/>
        </w:rPr>
        <w:t xml:space="preserve"> et al. (2016) extended adult prevalence estimates, underscoring service needs beyond childhood and the importance of adult diagnostic capacity for family stability. Russell et al. (2016) described UK-specific challenges across diagnosis and service use, including coordination gaps. Rosen et al. (2021) traced diagnostic evolution and its practical consequences, while the DSM-5-TR provided contemporary criteria relevant to assessment design (American Psychiatric Association, 2022). Hollin (2017) mapped sociopolitical currents that shape attention and resourcing. NAS (2024) produced authoritative guidance and signposting for families, which many mothers report using to orient themselves to local offers. ONS (2023) prevalence data </w:t>
      </w:r>
      <w:proofErr w:type="gramStart"/>
      <w:r w:rsidRPr="0047192E">
        <w:rPr>
          <w:rFonts w:ascii="Arial" w:hAnsi="Arial" w:cs="Arial"/>
          <w:color w:val="000000" w:themeColor="text1"/>
          <w:sz w:val="22"/>
          <w:szCs w:val="22"/>
        </w:rPr>
        <w:t>continue</w:t>
      </w:r>
      <w:proofErr w:type="gramEnd"/>
      <w:r w:rsidRPr="0047192E">
        <w:rPr>
          <w:rFonts w:ascii="Arial" w:hAnsi="Arial" w:cs="Arial"/>
          <w:color w:val="000000" w:themeColor="text1"/>
          <w:sz w:val="22"/>
          <w:szCs w:val="22"/>
        </w:rPr>
        <w:t xml:space="preserve"> to frame commissioning discussions and workforce planning.</w:t>
      </w:r>
    </w:p>
    <w:p w14:paraId="4D4A8384"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lastRenderedPageBreak/>
        <w:t>Mechanisms linking navigation and burden:</w:t>
      </w:r>
      <w:r w:rsidRPr="0047192E">
        <w:rPr>
          <w:rFonts w:ascii="Arial" w:hAnsi="Arial" w:cs="Arial"/>
          <w:color w:val="000000" w:themeColor="text1"/>
          <w:sz w:val="22"/>
          <w:szCs w:val="22"/>
        </w:rPr>
        <w:t xml:space="preserve"> Several mechanisms connect pathway design to maternal burden. First, information asymmetry forces parents to become de facto case managers, learning terminology, criteria, and evidence standards. Second, fragmented records require repeated narratives and re-assessment, increasing emotional and time costs. Third, eligibility cliffs between services create gaps at transitions, such as moving from early years to school, or from child to adult services. Fourth, limited reasonable adjustments such as sensory-considerate appointment environments or flexible communication deter engagement and extend timelines (Crane et al., 2018). Each mechanism compounds stress and can reduce trust, especially where previous encounters involved blame or disbelief.</w:t>
      </w:r>
    </w:p>
    <w:p w14:paraId="3EA42FF3"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Implications for practice and policy: </w:t>
      </w:r>
      <w:r w:rsidRPr="0047192E">
        <w:rPr>
          <w:rFonts w:ascii="Arial" w:hAnsi="Arial" w:cs="Arial"/>
          <w:color w:val="000000" w:themeColor="text1"/>
          <w:sz w:val="22"/>
          <w:szCs w:val="22"/>
        </w:rPr>
        <w:t xml:space="preserve">Streamlined, multi-agency pathways can reduce duplication and clarify responsibility. Practical steps include single-front-door referral with clear timelines, shared digital records, and proactive case coordination through navigator roles. Standard post-diagnostic offers should combine psychoeducation, benefits and rights advice, and school liaison support, with clear routes into parenting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and peer networks. Monitoring should track waiting times, drop-off points, and equity indicators to ensure that reforms reach women, </w:t>
      </w:r>
      <w:proofErr w:type="spellStart"/>
      <w:r w:rsidRPr="0047192E">
        <w:rPr>
          <w:rFonts w:ascii="Arial" w:hAnsi="Arial" w:cs="Arial"/>
          <w:color w:val="000000" w:themeColor="text1"/>
          <w:sz w:val="22"/>
          <w:szCs w:val="22"/>
        </w:rPr>
        <w:t>minoritised</w:t>
      </w:r>
      <w:proofErr w:type="spellEnd"/>
      <w:r w:rsidRPr="0047192E">
        <w:rPr>
          <w:rFonts w:ascii="Arial" w:hAnsi="Arial" w:cs="Arial"/>
          <w:color w:val="000000" w:themeColor="text1"/>
          <w:sz w:val="22"/>
          <w:szCs w:val="22"/>
        </w:rPr>
        <w:t xml:space="preserve"> communities, and low-income families who face compounded barriers (Department of Health and Social Care, 2021). At the clinical interface, routine reasonable </w:t>
      </w:r>
      <w:proofErr w:type="gramStart"/>
      <w:r w:rsidRPr="0047192E">
        <w:rPr>
          <w:rFonts w:ascii="Arial" w:hAnsi="Arial" w:cs="Arial"/>
          <w:color w:val="000000" w:themeColor="text1"/>
          <w:sz w:val="22"/>
          <w:szCs w:val="22"/>
        </w:rPr>
        <w:t>adjustments</w:t>
      </w:r>
      <w:proofErr w:type="gramEnd"/>
      <w:r w:rsidRPr="0047192E">
        <w:rPr>
          <w:rFonts w:ascii="Arial" w:hAnsi="Arial" w:cs="Arial"/>
          <w:color w:val="000000" w:themeColor="text1"/>
          <w:sz w:val="22"/>
          <w:szCs w:val="22"/>
        </w:rPr>
        <w:t xml:space="preserve"> quiet waiting options, written summaries</w:t>
      </w:r>
      <w:proofErr w:type="gramStart"/>
      <w:r w:rsidRPr="0047192E">
        <w:rPr>
          <w:rFonts w:ascii="Arial" w:hAnsi="Arial" w:cs="Arial"/>
          <w:color w:val="000000" w:themeColor="text1"/>
          <w:sz w:val="22"/>
          <w:szCs w:val="22"/>
        </w:rPr>
        <w:t>, longer</w:t>
      </w:r>
      <w:proofErr w:type="gramEnd"/>
      <w:r w:rsidRPr="0047192E">
        <w:rPr>
          <w:rFonts w:ascii="Arial" w:hAnsi="Arial" w:cs="Arial"/>
          <w:color w:val="000000" w:themeColor="text1"/>
          <w:sz w:val="22"/>
          <w:szCs w:val="22"/>
        </w:rPr>
        <w:t xml:space="preserve"> appointments where needed can improve engagement and reduce missed contacts (Kelly et al., 2022). Education and social care partners should align processes so that health assessments translate into timely school plans and community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xml:space="preserve"> without repeated re-</w:t>
      </w:r>
      <w:proofErr w:type="gramStart"/>
      <w:r w:rsidRPr="0047192E">
        <w:rPr>
          <w:rFonts w:ascii="Arial" w:hAnsi="Arial" w:cs="Arial"/>
          <w:color w:val="000000" w:themeColor="text1"/>
          <w:sz w:val="22"/>
          <w:szCs w:val="22"/>
        </w:rPr>
        <w:t>evidence</w:t>
      </w:r>
      <w:proofErr w:type="gramEnd"/>
      <w:r w:rsidRPr="0047192E">
        <w:rPr>
          <w:rFonts w:ascii="Arial" w:hAnsi="Arial" w:cs="Arial"/>
          <w:color w:val="000000" w:themeColor="text1"/>
          <w:sz w:val="22"/>
          <w:szCs w:val="22"/>
        </w:rPr>
        <w:t>.</w:t>
      </w:r>
    </w:p>
    <w:p w14:paraId="3BD064AE"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Pr="0047192E">
        <w:rPr>
          <w:rFonts w:ascii="Arial" w:hAnsi="Arial" w:cs="Arial"/>
          <w:color w:val="000000" w:themeColor="text1"/>
          <w:sz w:val="22"/>
          <w:szCs w:val="22"/>
        </w:rPr>
        <w:t xml:space="preserve"> Service access interacts with stress (Theme 1) and is constrained or enabled by stigma and identity dynamics (Theme 2). Access also determines which supports mothers can </w:t>
      </w:r>
      <w:proofErr w:type="spellStart"/>
      <w:r w:rsidRPr="0047192E">
        <w:rPr>
          <w:rFonts w:ascii="Arial" w:hAnsi="Arial" w:cs="Arial"/>
          <w:color w:val="000000" w:themeColor="text1"/>
          <w:sz w:val="22"/>
          <w:szCs w:val="22"/>
        </w:rPr>
        <w:t>mobilise</w:t>
      </w:r>
      <w:proofErr w:type="spellEnd"/>
      <w:r w:rsidRPr="0047192E">
        <w:rPr>
          <w:rFonts w:ascii="Arial" w:hAnsi="Arial" w:cs="Arial"/>
          <w:color w:val="000000" w:themeColor="text1"/>
          <w:sz w:val="22"/>
          <w:szCs w:val="22"/>
        </w:rPr>
        <w:t xml:space="preserve"> (Theme 4).</w:t>
      </w:r>
    </w:p>
    <w:p w14:paraId="44B3342A" w14:textId="77777777" w:rsidR="00B81479" w:rsidRPr="0047192E" w:rsidRDefault="00B81479" w:rsidP="00B81479">
      <w:pPr>
        <w:pStyle w:val="NormalWeb"/>
        <w:spacing w:before="120" w:beforeAutospacing="0" w:after="120" w:afterAutospacing="0" w:line="360" w:lineRule="auto"/>
        <w:rPr>
          <w:rFonts w:ascii="Arial" w:hAnsi="Arial" w:cs="Arial"/>
          <w:sz w:val="22"/>
        </w:rPr>
      </w:pPr>
      <w:r w:rsidRPr="0047192E">
        <w:rPr>
          <w:rFonts w:ascii="Arial" w:hAnsi="Arial" w:cs="Arial"/>
          <w:sz w:val="22"/>
        </w:rPr>
        <w:t>With access issues clarified, in section 4.6 attention moves to what helps, coping strategies, supports, and intervention pathways.</w:t>
      </w:r>
    </w:p>
    <w:p w14:paraId="29E4F7A4" w14:textId="77777777" w:rsidR="00B81479" w:rsidRPr="0047192E" w:rsidRDefault="00B81479" w:rsidP="00B81479">
      <w:pPr>
        <w:pStyle w:val="Heading2"/>
        <w:spacing w:before="120" w:after="120" w:line="360" w:lineRule="auto"/>
        <w:rPr>
          <w:rFonts w:ascii="Arial" w:hAnsi="Arial" w:cs="Arial"/>
          <w:b/>
          <w:color w:val="000000" w:themeColor="text1"/>
        </w:rPr>
      </w:pPr>
      <w:bookmarkStart w:id="6" w:name="_Toc210149308"/>
      <w:r w:rsidRPr="0047192E">
        <w:rPr>
          <w:rFonts w:ascii="Arial" w:hAnsi="Arial" w:cs="Arial"/>
          <w:b/>
          <w:color w:val="000000" w:themeColor="text1"/>
        </w:rPr>
        <w:t>4.6 Theme 4: Coping, Supports, and Intervention Pathways</w:t>
      </w:r>
      <w:bookmarkEnd w:id="6"/>
    </w:p>
    <w:p w14:paraId="4FFD13E3"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Definition and scope: Coping refers to strategies used by mothers to manage demands and sustain wellbeing. Supports span informal networks, peer groups, and formal services. Intervention pathways include early intervention guidance and parent-led or community models.</w:t>
      </w:r>
    </w:p>
    <w:p w14:paraId="3AF0C5FB"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Pr="0047192E">
        <w:rPr>
          <w:rFonts w:ascii="Arial" w:hAnsi="Arial" w:cs="Arial"/>
          <w:color w:val="000000" w:themeColor="text1"/>
          <w:sz w:val="22"/>
          <w:szCs w:val="22"/>
        </w:rPr>
        <w:t xml:space="preserve"> Evidence </w:t>
      </w:r>
      <w:proofErr w:type="spellStart"/>
      <w:r w:rsidRPr="0047192E">
        <w:rPr>
          <w:rFonts w:ascii="Arial" w:hAnsi="Arial" w:cs="Arial"/>
          <w:color w:val="000000" w:themeColor="text1"/>
          <w:sz w:val="22"/>
          <w:szCs w:val="22"/>
        </w:rPr>
        <w:t>emphasises</w:t>
      </w:r>
      <w:proofErr w:type="spellEnd"/>
      <w:r w:rsidRPr="0047192E">
        <w:rPr>
          <w:rFonts w:ascii="Arial" w:hAnsi="Arial" w:cs="Arial"/>
          <w:color w:val="000000" w:themeColor="text1"/>
          <w:sz w:val="22"/>
          <w:szCs w:val="22"/>
        </w:rPr>
        <w:t xml:space="preserve"> that coping improves where mothers access practical knowledge, predictable routines, and peer validation, while brittle coping emerges under </w:t>
      </w:r>
      <w:r w:rsidRPr="0047192E">
        <w:rPr>
          <w:rFonts w:ascii="Arial" w:hAnsi="Arial" w:cs="Arial"/>
          <w:color w:val="000000" w:themeColor="text1"/>
          <w:sz w:val="22"/>
          <w:szCs w:val="22"/>
        </w:rPr>
        <w:lastRenderedPageBreak/>
        <w:t>uncertainty and isolation (Dugdale et al., 2021; Hernandez-Gonzalez et al., 2023). Early intervention guidance outlines principles that affect family experiences, including coordination, parent training, and adaptation to child and family needs (</w:t>
      </w:r>
      <w:proofErr w:type="spellStart"/>
      <w:r w:rsidRPr="0047192E">
        <w:rPr>
          <w:rFonts w:ascii="Arial" w:hAnsi="Arial" w:cs="Arial"/>
          <w:color w:val="000000" w:themeColor="text1"/>
          <w:sz w:val="22"/>
          <w:szCs w:val="22"/>
        </w:rPr>
        <w:t>Zwaigenbaum</w:t>
      </w:r>
      <w:proofErr w:type="spellEnd"/>
      <w:r w:rsidRPr="0047192E">
        <w:rPr>
          <w:rFonts w:ascii="Arial" w:hAnsi="Arial" w:cs="Arial"/>
          <w:color w:val="000000" w:themeColor="text1"/>
          <w:sz w:val="22"/>
          <w:szCs w:val="22"/>
        </w:rPr>
        <w:t xml:space="preserve"> et al., 2020). Neurodiversity-informed perspectives encourage strengths-based framing, supporting identity-affirming practices that can reduce </w:t>
      </w:r>
      <w:proofErr w:type="spellStart"/>
      <w:r w:rsidRPr="0047192E">
        <w:rPr>
          <w:rFonts w:ascii="Arial" w:hAnsi="Arial" w:cs="Arial"/>
          <w:color w:val="000000" w:themeColor="text1"/>
          <w:sz w:val="22"/>
          <w:szCs w:val="22"/>
        </w:rPr>
        <w:t>internalised</w:t>
      </w:r>
      <w:proofErr w:type="spellEnd"/>
      <w:r w:rsidRPr="0047192E">
        <w:rPr>
          <w:rFonts w:ascii="Arial" w:hAnsi="Arial" w:cs="Arial"/>
          <w:color w:val="000000" w:themeColor="text1"/>
          <w:sz w:val="22"/>
          <w:szCs w:val="22"/>
        </w:rPr>
        <w:t xml:space="preserve"> stigma and enhance coping.</w:t>
      </w:r>
    </w:p>
    <w:p w14:paraId="41E7F1D8"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Relevance to the research question:</w:t>
      </w:r>
      <w:r w:rsidRPr="0047192E">
        <w:rPr>
          <w:rFonts w:ascii="Arial" w:hAnsi="Arial" w:cs="Arial"/>
          <w:color w:val="000000" w:themeColor="text1"/>
          <w:sz w:val="22"/>
          <w:szCs w:val="22"/>
        </w:rPr>
        <w:t xml:space="preserve"> Understanding which supports mothers </w:t>
      </w:r>
      <w:proofErr w:type="gramStart"/>
      <w:r w:rsidRPr="0047192E">
        <w:rPr>
          <w:rFonts w:ascii="Arial" w:hAnsi="Arial" w:cs="Arial"/>
          <w:color w:val="000000" w:themeColor="text1"/>
          <w:sz w:val="22"/>
          <w:szCs w:val="22"/>
        </w:rPr>
        <w:t>actually use</w:t>
      </w:r>
      <w:proofErr w:type="gramEnd"/>
      <w:r w:rsidRPr="0047192E">
        <w:rPr>
          <w:rFonts w:ascii="Arial" w:hAnsi="Arial" w:cs="Arial"/>
          <w:color w:val="000000" w:themeColor="text1"/>
          <w:sz w:val="22"/>
          <w:szCs w:val="22"/>
        </w:rPr>
        <w:t xml:space="preserve"> and which they find acceptable directly informs recommendations for health and social care. Evidence indicates value in peer support, practical skill-building, and navigation assistance.</w:t>
      </w:r>
    </w:p>
    <w:p w14:paraId="7A35C621"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Patterns across policy and provision.</w:t>
      </w:r>
      <w:r w:rsidRPr="0047192E">
        <w:rPr>
          <w:rFonts w:ascii="Arial" w:hAnsi="Arial" w:cs="Arial"/>
          <w:color w:val="000000" w:themeColor="text1"/>
          <w:sz w:val="22"/>
          <w:szCs w:val="22"/>
        </w:rPr>
        <w:t xml:space="preserve"> UK strategy documents describe ambitions to expand family hubs, improve post-diagnostic offers, and embed reasonable adjustments across services (Department of Health and Social Care, 2021). Policy analyses note, however, that access remains uneven and that acceptability varies with local resourcing, cultural fit, and workforce capacity (Hamdani et al., 2023). International comparisons suggest that parent-led initiatives and community adaptations can extend reach and acceptability, especially where formal resources are constrained (Makino et al., 2021). These insights indicate the need for flexible models that balance clinical input with community strengths.</w:t>
      </w:r>
    </w:p>
    <w:p w14:paraId="7BFED7F2"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Theories and framing:</w:t>
      </w:r>
      <w:r w:rsidRPr="0047192E">
        <w:rPr>
          <w:rFonts w:ascii="Arial" w:hAnsi="Arial" w:cs="Arial"/>
          <w:color w:val="000000" w:themeColor="text1"/>
          <w:sz w:val="22"/>
          <w:szCs w:val="22"/>
        </w:rPr>
        <w:t xml:space="preserve"> Stress–coping and resilience frameworks help explain why mastery, predictability, and social validation support sustained coping. Mastery grows when parents acquire context-specific strategies such as sensory-aware routines or visual supports—and observe improvements in daily functioning (Dugdale et al., 2021). Validation from peers and practitioner’s counters self-blame and </w:t>
      </w:r>
      <w:proofErr w:type="gramStart"/>
      <w:r w:rsidRPr="0047192E">
        <w:rPr>
          <w:rFonts w:ascii="Arial" w:hAnsi="Arial" w:cs="Arial"/>
          <w:color w:val="000000" w:themeColor="text1"/>
          <w:sz w:val="22"/>
          <w:szCs w:val="22"/>
        </w:rPr>
        <w:t>reinforces</w:t>
      </w:r>
      <w:proofErr w:type="gramEnd"/>
      <w:r w:rsidRPr="0047192E">
        <w:rPr>
          <w:rFonts w:ascii="Arial" w:hAnsi="Arial" w:cs="Arial"/>
          <w:color w:val="000000" w:themeColor="text1"/>
          <w:sz w:val="22"/>
          <w:szCs w:val="22"/>
        </w:rPr>
        <w:t xml:space="preserve"> continued engagement. Ecological perspectives underscore that coping is co-produced across levels: family practices, school adjustments, and service design interact to either bolster or erode maternal bandwidth (Gough and Thomas, 2012). Hence, even well-designed training may falter if schools or clinics do not align their environments and expectations.</w:t>
      </w:r>
    </w:p>
    <w:p w14:paraId="7AAF57C5"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Coping strategies in practice:</w:t>
      </w:r>
      <w:r w:rsidRPr="0047192E">
        <w:rPr>
          <w:rFonts w:ascii="Arial" w:hAnsi="Arial" w:cs="Arial"/>
          <w:color w:val="000000" w:themeColor="text1"/>
          <w:sz w:val="22"/>
          <w:szCs w:val="22"/>
        </w:rPr>
        <w:t xml:space="preserve"> Qualitative findings outline a repertoire of practical strategies: structured routines for predictable transitions, sensory accommodations in the home and community, visual schedules, and collaborative </w:t>
      </w:r>
      <w:proofErr w:type="spellStart"/>
      <w:r w:rsidRPr="0047192E">
        <w:rPr>
          <w:rFonts w:ascii="Arial" w:hAnsi="Arial" w:cs="Arial"/>
          <w:color w:val="000000" w:themeColor="text1"/>
          <w:sz w:val="22"/>
          <w:szCs w:val="22"/>
        </w:rPr>
        <w:t>behaviour</w:t>
      </w:r>
      <w:proofErr w:type="spellEnd"/>
      <w:r w:rsidRPr="0047192E">
        <w:rPr>
          <w:rFonts w:ascii="Arial" w:hAnsi="Arial" w:cs="Arial"/>
          <w:color w:val="000000" w:themeColor="text1"/>
          <w:sz w:val="22"/>
          <w:szCs w:val="22"/>
        </w:rPr>
        <w:t xml:space="preserve"> plans that reduce ambiguity (Dugdale et al., 2021). Mothers often describe “micro-innovations” learned in peer spaces, quiet shopping hours, sensory backpacks, or communication cards, that make public settings more manageable (Hernandez-Gonzalez et al., 2023). Where autistic mothers are present, insight into sensory and social dynamics can enhance </w:t>
      </w:r>
      <w:proofErr w:type="gramStart"/>
      <w:r w:rsidRPr="0047192E">
        <w:rPr>
          <w:rFonts w:ascii="Arial" w:hAnsi="Arial" w:cs="Arial"/>
          <w:color w:val="000000" w:themeColor="text1"/>
          <w:sz w:val="22"/>
          <w:szCs w:val="22"/>
        </w:rPr>
        <w:t>attunement</w:t>
      </w:r>
      <w:proofErr w:type="gramEnd"/>
      <w:r w:rsidRPr="0047192E">
        <w:rPr>
          <w:rFonts w:ascii="Arial" w:hAnsi="Arial" w:cs="Arial"/>
          <w:color w:val="000000" w:themeColor="text1"/>
          <w:sz w:val="22"/>
          <w:szCs w:val="22"/>
        </w:rPr>
        <w:t xml:space="preserve"> and strategy choice, although energy costs from </w:t>
      </w:r>
      <w:r w:rsidRPr="0047192E">
        <w:rPr>
          <w:rFonts w:ascii="Arial" w:hAnsi="Arial" w:cs="Arial"/>
          <w:color w:val="000000" w:themeColor="text1"/>
          <w:sz w:val="22"/>
          <w:szCs w:val="22"/>
        </w:rPr>
        <w:lastRenderedPageBreak/>
        <w:t xml:space="preserve">camouflaging or overload must be </w:t>
      </w:r>
      <w:proofErr w:type="spellStart"/>
      <w:r w:rsidRPr="0047192E">
        <w:rPr>
          <w:rFonts w:ascii="Arial" w:hAnsi="Arial" w:cs="Arial"/>
          <w:color w:val="000000" w:themeColor="text1"/>
          <w:sz w:val="22"/>
          <w:szCs w:val="22"/>
        </w:rPr>
        <w:t>recognised</w:t>
      </w:r>
      <w:proofErr w:type="spellEnd"/>
      <w:r w:rsidRPr="0047192E">
        <w:rPr>
          <w:rFonts w:ascii="Arial" w:hAnsi="Arial" w:cs="Arial"/>
          <w:color w:val="000000" w:themeColor="text1"/>
          <w:sz w:val="22"/>
          <w:szCs w:val="22"/>
        </w:rPr>
        <w:t xml:space="preserve"> and addressed to avoid depletion (Pohl et al., 2020).</w:t>
      </w:r>
    </w:p>
    <w:p w14:paraId="33C72052"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Intervention pathways and parent training:</w:t>
      </w:r>
      <w:r w:rsidRPr="0047192E">
        <w:rPr>
          <w:rFonts w:ascii="Arial" w:hAnsi="Arial" w:cs="Arial"/>
          <w:color w:val="000000" w:themeColor="text1"/>
          <w:sz w:val="22"/>
          <w:szCs w:val="22"/>
        </w:rPr>
        <w:t xml:space="preserve"> Early intervention recommendations </w:t>
      </w:r>
      <w:proofErr w:type="spellStart"/>
      <w:r w:rsidRPr="0047192E">
        <w:rPr>
          <w:rFonts w:ascii="Arial" w:hAnsi="Arial" w:cs="Arial"/>
          <w:color w:val="000000" w:themeColor="text1"/>
          <w:sz w:val="22"/>
          <w:szCs w:val="22"/>
        </w:rPr>
        <w:t>emphasise</w:t>
      </w:r>
      <w:proofErr w:type="spellEnd"/>
      <w:r w:rsidRPr="0047192E">
        <w:rPr>
          <w:rFonts w:ascii="Arial" w:hAnsi="Arial" w:cs="Arial"/>
          <w:color w:val="000000" w:themeColor="text1"/>
          <w:sz w:val="22"/>
          <w:szCs w:val="22"/>
        </w:rPr>
        <w:t xml:space="preserve"> </w:t>
      </w:r>
      <w:proofErr w:type="spellStart"/>
      <w:r w:rsidRPr="0047192E">
        <w:rPr>
          <w:rFonts w:ascii="Arial" w:hAnsi="Arial" w:cs="Arial"/>
          <w:color w:val="000000" w:themeColor="text1"/>
          <w:sz w:val="22"/>
          <w:szCs w:val="22"/>
        </w:rPr>
        <w:t>individualised</w:t>
      </w:r>
      <w:proofErr w:type="spellEnd"/>
      <w:r w:rsidRPr="0047192E">
        <w:rPr>
          <w:rFonts w:ascii="Arial" w:hAnsi="Arial" w:cs="Arial"/>
          <w:color w:val="000000" w:themeColor="text1"/>
          <w:sz w:val="22"/>
          <w:szCs w:val="22"/>
        </w:rPr>
        <w:t xml:space="preserve"> targets, </w:t>
      </w:r>
      <w:proofErr w:type="gramStart"/>
      <w:r w:rsidRPr="0047192E">
        <w:rPr>
          <w:rFonts w:ascii="Arial" w:hAnsi="Arial" w:cs="Arial"/>
          <w:color w:val="000000" w:themeColor="text1"/>
          <w:sz w:val="22"/>
          <w:szCs w:val="22"/>
        </w:rPr>
        <w:t>strengths</w:t>
      </w:r>
      <w:proofErr w:type="gramEnd"/>
      <w:r w:rsidRPr="0047192E">
        <w:rPr>
          <w:rFonts w:ascii="Arial" w:hAnsi="Arial" w:cs="Arial"/>
          <w:color w:val="000000" w:themeColor="text1"/>
          <w:sz w:val="22"/>
          <w:szCs w:val="22"/>
        </w:rPr>
        <w:t>-based approaches, and active parent involvement (</w:t>
      </w:r>
      <w:proofErr w:type="spellStart"/>
      <w:r w:rsidRPr="0047192E">
        <w:rPr>
          <w:rFonts w:ascii="Arial" w:hAnsi="Arial" w:cs="Arial"/>
          <w:color w:val="000000" w:themeColor="text1"/>
          <w:sz w:val="22"/>
          <w:szCs w:val="22"/>
        </w:rPr>
        <w:t>Zwaigenbaum</w:t>
      </w:r>
      <w:proofErr w:type="spellEnd"/>
      <w:r w:rsidRPr="0047192E">
        <w:rPr>
          <w:rFonts w:ascii="Arial" w:hAnsi="Arial" w:cs="Arial"/>
          <w:color w:val="000000" w:themeColor="text1"/>
          <w:sz w:val="22"/>
          <w:szCs w:val="22"/>
        </w:rPr>
        <w:t xml:space="preserve"> et al., 2020).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that blend psychoeducation with coached practice tend to be valued, particularly when coaches adapt strategies to family routines and cultural preferences. Effective pathways also include clear signposting to benefits advice, school liaison, and community resources to avoid leaving parents with knowledge but no practical leverage (National Autistic Society, 2024). Evidence from policy and comparative reports suggests that parent-mediated models can scale acceptably when delivered with fidelity, cultural tailoring, and ongoing support rather than short, one-off courses (Makino, 2021).</w:t>
      </w:r>
    </w:p>
    <w:p w14:paraId="792FB816"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Neurodiversity-aligned supports:</w:t>
      </w:r>
      <w:r w:rsidRPr="0047192E">
        <w:rPr>
          <w:rFonts w:ascii="Arial" w:hAnsi="Arial" w:cs="Arial"/>
          <w:color w:val="000000" w:themeColor="text1"/>
          <w:sz w:val="22"/>
          <w:szCs w:val="22"/>
        </w:rPr>
        <w:t xml:space="preserve"> Strengths-based, rights-oriented practice reframes goals from “</w:t>
      </w:r>
      <w:proofErr w:type="spellStart"/>
      <w:r w:rsidRPr="0047192E">
        <w:rPr>
          <w:rFonts w:ascii="Arial" w:hAnsi="Arial" w:cs="Arial"/>
          <w:color w:val="000000" w:themeColor="text1"/>
          <w:sz w:val="22"/>
          <w:szCs w:val="22"/>
        </w:rPr>
        <w:t>normalisation</w:t>
      </w:r>
      <w:proofErr w:type="spellEnd"/>
      <w:r w:rsidRPr="0047192E">
        <w:rPr>
          <w:rFonts w:ascii="Arial" w:hAnsi="Arial" w:cs="Arial"/>
          <w:color w:val="000000" w:themeColor="text1"/>
          <w:sz w:val="22"/>
          <w:szCs w:val="22"/>
        </w:rPr>
        <w:t xml:space="preserve">” toward participation, comfort, and autonomy. This stance </w:t>
      </w:r>
      <w:proofErr w:type="spellStart"/>
      <w:r w:rsidRPr="0047192E">
        <w:rPr>
          <w:rFonts w:ascii="Arial" w:hAnsi="Arial" w:cs="Arial"/>
          <w:color w:val="000000" w:themeColor="text1"/>
          <w:sz w:val="22"/>
          <w:szCs w:val="22"/>
        </w:rPr>
        <w:t>legitimises</w:t>
      </w:r>
      <w:proofErr w:type="spellEnd"/>
      <w:r w:rsidRPr="0047192E">
        <w:rPr>
          <w:rFonts w:ascii="Arial" w:hAnsi="Arial" w:cs="Arial"/>
          <w:color w:val="000000" w:themeColor="text1"/>
          <w:sz w:val="22"/>
          <w:szCs w:val="22"/>
        </w:rPr>
        <w:t xml:space="preserve"> sensory and communication differences and promotes reasonable adjustments across settings. Mothers report higher acceptability when interventions </w:t>
      </w:r>
      <w:proofErr w:type="spellStart"/>
      <w:r w:rsidRPr="0047192E">
        <w:rPr>
          <w:rFonts w:ascii="Arial" w:hAnsi="Arial" w:cs="Arial"/>
          <w:color w:val="000000" w:themeColor="text1"/>
          <w:sz w:val="22"/>
          <w:szCs w:val="22"/>
        </w:rPr>
        <w:t>honour</w:t>
      </w:r>
      <w:proofErr w:type="spellEnd"/>
      <w:r w:rsidRPr="0047192E">
        <w:rPr>
          <w:rFonts w:ascii="Arial" w:hAnsi="Arial" w:cs="Arial"/>
          <w:color w:val="000000" w:themeColor="text1"/>
          <w:sz w:val="22"/>
          <w:szCs w:val="22"/>
        </w:rPr>
        <w:t xml:space="preserve"> child preferences, include choice-making, and avoid </w:t>
      </w:r>
      <w:proofErr w:type="spellStart"/>
      <w:r w:rsidRPr="0047192E">
        <w:rPr>
          <w:rFonts w:ascii="Arial" w:hAnsi="Arial" w:cs="Arial"/>
          <w:color w:val="000000" w:themeColor="text1"/>
          <w:sz w:val="22"/>
          <w:szCs w:val="22"/>
        </w:rPr>
        <w:t>pathologising</w:t>
      </w:r>
      <w:proofErr w:type="spellEnd"/>
      <w:r w:rsidRPr="0047192E">
        <w:rPr>
          <w:rFonts w:ascii="Arial" w:hAnsi="Arial" w:cs="Arial"/>
          <w:color w:val="000000" w:themeColor="text1"/>
          <w:sz w:val="22"/>
          <w:szCs w:val="22"/>
        </w:rPr>
        <w:t xml:space="preserve"> differences (Leadbitter et al., 2021). Commentaries caution that rhetoric without redesign can disappoint families; genuine alignment requires staff training, environment changes, and co-design with autistic people and parents (Pellicano et al., 2018; Pellicano and Stahmer, 2022).</w:t>
      </w:r>
    </w:p>
    <w:p w14:paraId="36B61D14"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What helps most and why: </w:t>
      </w:r>
      <w:r w:rsidRPr="0047192E">
        <w:rPr>
          <w:rFonts w:ascii="Arial" w:hAnsi="Arial" w:cs="Arial"/>
          <w:color w:val="000000" w:themeColor="text1"/>
          <w:sz w:val="22"/>
          <w:szCs w:val="22"/>
        </w:rPr>
        <w:t xml:space="preserve">Three mechanisms appear central. First, </w:t>
      </w:r>
      <w:r w:rsidRPr="0047192E">
        <w:rPr>
          <w:rStyle w:val="Strong"/>
          <w:rFonts w:ascii="Arial" w:hAnsi="Arial" w:cs="Arial"/>
          <w:color w:val="000000" w:themeColor="text1"/>
          <w:sz w:val="22"/>
          <w:szCs w:val="22"/>
        </w:rPr>
        <w:t>predictability</w:t>
      </w:r>
      <w:r w:rsidRPr="0047192E">
        <w:rPr>
          <w:rFonts w:ascii="Arial" w:hAnsi="Arial" w:cs="Arial"/>
          <w:color w:val="000000" w:themeColor="text1"/>
          <w:sz w:val="22"/>
          <w:szCs w:val="22"/>
        </w:rPr>
        <w:t xml:space="preserve"> lowers background stress by reducing uncertainty about appointments, school transitions, and support availability. Second, </w:t>
      </w:r>
      <w:r w:rsidRPr="0047192E">
        <w:rPr>
          <w:rStyle w:val="Strong"/>
          <w:rFonts w:ascii="Arial" w:hAnsi="Arial" w:cs="Arial"/>
          <w:color w:val="000000" w:themeColor="text1"/>
          <w:sz w:val="22"/>
          <w:szCs w:val="22"/>
        </w:rPr>
        <w:t>co-production</w:t>
      </w:r>
      <w:r w:rsidRPr="0047192E">
        <w:rPr>
          <w:rFonts w:ascii="Arial" w:hAnsi="Arial" w:cs="Arial"/>
          <w:color w:val="000000" w:themeColor="text1"/>
          <w:sz w:val="22"/>
          <w:szCs w:val="22"/>
        </w:rPr>
        <w:t xml:space="preserve"> improves </w:t>
      </w:r>
      <w:proofErr w:type="gramStart"/>
      <w:r w:rsidRPr="0047192E">
        <w:rPr>
          <w:rFonts w:ascii="Arial" w:hAnsi="Arial" w:cs="Arial"/>
          <w:color w:val="000000" w:themeColor="text1"/>
          <w:sz w:val="22"/>
          <w:szCs w:val="22"/>
        </w:rPr>
        <w:t>fit</w:t>
      </w:r>
      <w:proofErr w:type="gramEnd"/>
      <w:r w:rsidRPr="0047192E">
        <w:rPr>
          <w:rFonts w:ascii="Arial" w:hAnsi="Arial" w:cs="Arial"/>
          <w:color w:val="000000" w:themeColor="text1"/>
          <w:sz w:val="22"/>
          <w:szCs w:val="22"/>
        </w:rPr>
        <w:t xml:space="preserve">; mothers are more likely to use strategies they helped shape and that respect family context. Third, </w:t>
      </w:r>
      <w:r w:rsidRPr="0047192E">
        <w:rPr>
          <w:rStyle w:val="Strong"/>
          <w:rFonts w:ascii="Arial" w:hAnsi="Arial" w:cs="Arial"/>
          <w:color w:val="000000" w:themeColor="text1"/>
          <w:sz w:val="22"/>
          <w:szCs w:val="22"/>
        </w:rPr>
        <w:t>connectedness</w:t>
      </w:r>
      <w:r w:rsidRPr="0047192E">
        <w:rPr>
          <w:rFonts w:ascii="Arial" w:hAnsi="Arial" w:cs="Arial"/>
          <w:color w:val="000000" w:themeColor="text1"/>
          <w:sz w:val="22"/>
          <w:szCs w:val="22"/>
        </w:rPr>
        <w:t xml:space="preserve"> sustains effort; peer groups and responsive practitioners prevent isolation and provide rapid problem-solving for everyday obstacles (Dugdale et al., 2021). These mechanisms also explain why families disengage when offers are generic, short-term, or delivered without attention to cultural and socioeconomic realities (Hernandez-Gonzalez et al., 2023).</w:t>
      </w:r>
    </w:p>
    <w:p w14:paraId="03865020"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Equity, access, and implementation: </w:t>
      </w:r>
      <w:r w:rsidRPr="0047192E">
        <w:rPr>
          <w:rFonts w:ascii="Arial" w:hAnsi="Arial" w:cs="Arial"/>
          <w:color w:val="000000" w:themeColor="text1"/>
          <w:sz w:val="22"/>
          <w:szCs w:val="22"/>
        </w:rPr>
        <w:t xml:space="preserve">Policy commitments to integrated offers are necessary but insufficient without local capacity, culturally responsive delivery, and transport-aware scheduling. Family hubs and navigator roles can reduce bureaucratic friction, particularly for families facing literacy, language, or caregiving constraints (Department of Health and Social Care, 2021; Soares and Williams, 2024). International experiences highlight the promise of community health workers and parent champions who bridge trust and context gaps, especially </w:t>
      </w:r>
      <w:r w:rsidRPr="0047192E">
        <w:rPr>
          <w:rFonts w:ascii="Arial" w:hAnsi="Arial" w:cs="Arial"/>
          <w:color w:val="000000" w:themeColor="text1"/>
          <w:sz w:val="22"/>
          <w:szCs w:val="22"/>
        </w:rPr>
        <w:lastRenderedPageBreak/>
        <w:t>in resource-limited settings (Hamdani et al., 2023). Monitoring should track not only attendance but also caregiver-</w:t>
      </w:r>
      <w:proofErr w:type="spellStart"/>
      <w:r w:rsidRPr="0047192E">
        <w:rPr>
          <w:rFonts w:ascii="Arial" w:hAnsi="Arial" w:cs="Arial"/>
          <w:color w:val="000000" w:themeColor="text1"/>
          <w:sz w:val="22"/>
          <w:szCs w:val="22"/>
        </w:rPr>
        <w:t>centred</w:t>
      </w:r>
      <w:proofErr w:type="spellEnd"/>
      <w:r w:rsidRPr="0047192E">
        <w:rPr>
          <w:rFonts w:ascii="Arial" w:hAnsi="Arial" w:cs="Arial"/>
          <w:color w:val="000000" w:themeColor="text1"/>
          <w:sz w:val="22"/>
          <w:szCs w:val="22"/>
        </w:rPr>
        <w:t xml:space="preserve"> outcomes such as perceived predictability, reduced time costs, and confidence in strategy use.</w:t>
      </w:r>
    </w:p>
    <w:p w14:paraId="52BC9685"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Implications:</w:t>
      </w:r>
      <w:r w:rsidRPr="0047192E">
        <w:rPr>
          <w:rFonts w:ascii="Arial" w:hAnsi="Arial" w:cs="Arial"/>
          <w:color w:val="000000" w:themeColor="text1"/>
          <w:sz w:val="22"/>
          <w:szCs w:val="22"/>
        </w:rPr>
        <w:t xml:space="preserve"> Interventions that couple psychoeducation with navigation and peer connection appear especially promising. Services should adopt co-design with parents to improve acceptability and sustain engagement. Strengths-based framing can sit alongside clinical support without </w:t>
      </w:r>
      <w:proofErr w:type="spellStart"/>
      <w:r w:rsidRPr="0047192E">
        <w:rPr>
          <w:rFonts w:ascii="Arial" w:hAnsi="Arial" w:cs="Arial"/>
          <w:color w:val="000000" w:themeColor="text1"/>
          <w:sz w:val="22"/>
          <w:szCs w:val="22"/>
        </w:rPr>
        <w:t>minimising</w:t>
      </w:r>
      <w:proofErr w:type="spellEnd"/>
      <w:r w:rsidRPr="0047192E">
        <w:rPr>
          <w:rFonts w:ascii="Arial" w:hAnsi="Arial" w:cs="Arial"/>
          <w:color w:val="000000" w:themeColor="text1"/>
          <w:sz w:val="22"/>
          <w:szCs w:val="22"/>
        </w:rPr>
        <w:t xml:space="preserve"> needs.</w:t>
      </w:r>
    </w:p>
    <w:p w14:paraId="27E73D51"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Pr="0047192E">
        <w:rPr>
          <w:rFonts w:ascii="Arial" w:hAnsi="Arial" w:cs="Arial"/>
          <w:color w:val="000000" w:themeColor="text1"/>
          <w:sz w:val="22"/>
          <w:szCs w:val="22"/>
        </w:rPr>
        <w:t xml:space="preserve"> Effective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xml:space="preserve"> mitigate stress (Theme 1), buffer stigma through validation (Theme 2), and depend on accessible, coordinated pathways (Theme 3).</w:t>
      </w:r>
    </w:p>
    <w:p w14:paraId="6D280D76" w14:textId="77777777" w:rsidR="00B81479" w:rsidRPr="0047192E" w:rsidRDefault="00B81479" w:rsidP="00B81479">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 xml:space="preserve">Having detailed all themes, </w:t>
      </w:r>
      <w:proofErr w:type="gramStart"/>
      <w:r w:rsidRPr="0047192E">
        <w:rPr>
          <w:rFonts w:ascii="Arial" w:hAnsi="Arial" w:cs="Arial"/>
          <w:sz w:val="22"/>
        </w:rPr>
        <w:t>the section</w:t>
      </w:r>
      <w:proofErr w:type="gramEnd"/>
      <w:r w:rsidRPr="0047192E">
        <w:rPr>
          <w:rFonts w:ascii="Arial" w:hAnsi="Arial" w:cs="Arial"/>
          <w:sz w:val="22"/>
        </w:rPr>
        <w:t xml:space="preserve"> 4.6 now </w:t>
      </w:r>
      <w:proofErr w:type="spellStart"/>
      <w:r w:rsidRPr="0047192E">
        <w:rPr>
          <w:rFonts w:ascii="Arial" w:hAnsi="Arial" w:cs="Arial"/>
          <w:sz w:val="22"/>
        </w:rPr>
        <w:t>synthesises</w:t>
      </w:r>
      <w:proofErr w:type="spellEnd"/>
      <w:r w:rsidRPr="0047192E">
        <w:rPr>
          <w:rFonts w:ascii="Arial" w:hAnsi="Arial" w:cs="Arial"/>
          <w:sz w:val="22"/>
        </w:rPr>
        <w:t xml:space="preserve"> cross-cutting insights and practice implications.</w:t>
      </w:r>
    </w:p>
    <w:p w14:paraId="34995B2F" w14:textId="77777777" w:rsidR="00B81479" w:rsidRPr="0047192E" w:rsidRDefault="00B81479" w:rsidP="00B81479">
      <w:pPr>
        <w:pStyle w:val="Heading2"/>
        <w:spacing w:before="120" w:after="120" w:line="360" w:lineRule="auto"/>
        <w:rPr>
          <w:rFonts w:ascii="Arial" w:hAnsi="Arial" w:cs="Arial"/>
          <w:b/>
          <w:color w:val="000000" w:themeColor="text1"/>
        </w:rPr>
      </w:pPr>
      <w:bookmarkStart w:id="7" w:name="_Toc210149309"/>
      <w:r w:rsidRPr="0047192E">
        <w:rPr>
          <w:rFonts w:ascii="Arial" w:hAnsi="Arial" w:cs="Arial"/>
          <w:b/>
          <w:color w:val="000000" w:themeColor="text1"/>
        </w:rPr>
        <w:t>4.7 Chapter Conclusion</w:t>
      </w:r>
      <w:bookmarkEnd w:id="7"/>
    </w:p>
    <w:p w14:paraId="7A4BE287"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The synthesis identified four interlinked themes shaping mothers’ experiences: emotional load and resilience; stigma and identity; diagnosis and access; and coping,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xml:space="preserve">, and intervention pathways. Emotional load is intensified by uncertainty, fragmented services, and social misunderstanding, while resilience grows with reliable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xml:space="preserve"> and validating narratives. Stigma and camouflaging affect wellbeing and access, indicating the need for cultural and practice shifts. Diagnosis and service navigation remain uneven, despite national strategies and guidance. Coping improves when </w:t>
      </w:r>
      <w:proofErr w:type="gramStart"/>
      <w:r w:rsidRPr="0047192E">
        <w:rPr>
          <w:rFonts w:ascii="Arial" w:hAnsi="Arial" w:cs="Arial"/>
          <w:color w:val="000000" w:themeColor="text1"/>
          <w:sz w:val="22"/>
          <w:szCs w:val="22"/>
        </w:rPr>
        <w:t>supports are</w:t>
      </w:r>
      <w:proofErr w:type="gramEnd"/>
      <w:r w:rsidRPr="0047192E">
        <w:rPr>
          <w:rFonts w:ascii="Arial" w:hAnsi="Arial" w:cs="Arial"/>
          <w:color w:val="000000" w:themeColor="text1"/>
          <w:sz w:val="22"/>
          <w:szCs w:val="22"/>
        </w:rPr>
        <w:t xml:space="preserve"> predictable, tailored, and co-designed. These findings point to actionable priorities: shorten and coordinate pathways; embed anti-stigma and neurodiversity-informed practice; expand practical, peer-linked supports; and track equity outcomes. The following chapter translates these insights into targeted recommendations for policy and practice.</w:t>
      </w:r>
    </w:p>
    <w:p w14:paraId="4C3E47AF"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0C50DB1F"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14F2DFDF"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44833CE9"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79C49ABF"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06718501"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4C083554"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71F2B9AB"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07C9D361" w14:textId="77777777" w:rsidR="00B81479" w:rsidRPr="0047192E" w:rsidRDefault="00B81479" w:rsidP="00B81479">
      <w:pPr>
        <w:pStyle w:val="Heading1"/>
        <w:jc w:val="center"/>
        <w:rPr>
          <w:b w:val="0"/>
        </w:rPr>
      </w:pPr>
      <w:bookmarkStart w:id="8" w:name="_Toc210149310"/>
      <w:r w:rsidRPr="0047192E">
        <w:lastRenderedPageBreak/>
        <w:t>CHAPTER 5 – CONCLUSION AND RECOMMENDATIONS</w:t>
      </w:r>
      <w:bookmarkEnd w:id="8"/>
    </w:p>
    <w:p w14:paraId="64BEE642" w14:textId="77777777" w:rsidR="00B81479" w:rsidRPr="0047192E" w:rsidRDefault="00B81479" w:rsidP="00B81479">
      <w:pPr>
        <w:pStyle w:val="Heading2"/>
        <w:spacing w:before="120" w:after="120" w:line="360" w:lineRule="auto"/>
        <w:rPr>
          <w:rFonts w:ascii="Arial" w:hAnsi="Arial" w:cs="Arial"/>
          <w:b/>
          <w:color w:val="000000" w:themeColor="text1"/>
        </w:rPr>
      </w:pPr>
      <w:bookmarkStart w:id="9" w:name="_Toc210149311"/>
      <w:r w:rsidRPr="0047192E">
        <w:rPr>
          <w:rFonts w:ascii="Arial" w:hAnsi="Arial" w:cs="Arial"/>
          <w:b/>
          <w:color w:val="000000" w:themeColor="text1"/>
        </w:rPr>
        <w:t>5.1 Overall Conclusion</w:t>
      </w:r>
      <w:bookmarkEnd w:id="9"/>
    </w:p>
    <w:p w14:paraId="0A9470C2"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This dissertation examined mothers’ experiences of raising a child with autism through a desk-based thematic synthesis of qualitative studies, case studies, and policy sources. Chapter 1 set the context and defined the aim and objectives. Chapter 2 mapped historical, theoretical, international, and UK policy backgrounds that shape everyday family life. Chapter 3 detailed a transparent method, including search strategy, CRAAP appraisal, and a Braun and Clarke–informed coding framework. Chapter 4 presented four interlinked themes: emotional load, stress, and resilience; stigma, identity, and camouflaging; diagnosis, service navigation, and access; and coping, supports, and intervention pathways.</w:t>
      </w:r>
    </w:p>
    <w:p w14:paraId="7BB682D6"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The research aim has been addressed by </w:t>
      </w:r>
      <w:proofErr w:type="spellStart"/>
      <w:r w:rsidRPr="0047192E">
        <w:rPr>
          <w:rFonts w:ascii="Arial" w:hAnsi="Arial" w:cs="Arial"/>
          <w:color w:val="000000" w:themeColor="text1"/>
          <w:sz w:val="22"/>
          <w:szCs w:val="22"/>
        </w:rPr>
        <w:t>synthesising</w:t>
      </w:r>
      <w:proofErr w:type="spellEnd"/>
      <w:r w:rsidRPr="0047192E">
        <w:rPr>
          <w:rFonts w:ascii="Arial" w:hAnsi="Arial" w:cs="Arial"/>
          <w:color w:val="000000" w:themeColor="text1"/>
          <w:sz w:val="22"/>
          <w:szCs w:val="22"/>
        </w:rPr>
        <w:t xml:space="preserve"> evidence into clear, policy-relevant themes. Objective 1 was met by </w:t>
      </w:r>
      <w:proofErr w:type="spellStart"/>
      <w:r w:rsidRPr="0047192E">
        <w:rPr>
          <w:rFonts w:ascii="Arial" w:hAnsi="Arial" w:cs="Arial"/>
          <w:color w:val="000000" w:themeColor="text1"/>
          <w:sz w:val="22"/>
          <w:szCs w:val="22"/>
        </w:rPr>
        <w:t>analysing</w:t>
      </w:r>
      <w:proofErr w:type="spellEnd"/>
      <w:r w:rsidRPr="0047192E">
        <w:rPr>
          <w:rFonts w:ascii="Arial" w:hAnsi="Arial" w:cs="Arial"/>
          <w:color w:val="000000" w:themeColor="text1"/>
          <w:sz w:val="22"/>
          <w:szCs w:val="22"/>
        </w:rPr>
        <w:t xml:space="preserve"> emotional, psychological, and social issues central to maternal caregiving. Objective 2 was achieved through identification of common themes, stress, resilience, stigma, and support systems, across qualitative literature. Objective 3 was met by assessing the effectiveness and variability of support structures, including policy–practice gaps. Objective 4 was fulfilled by generating practical, evidence-informed recommendations to improve awareness, social support, and health and social care services. Together, the findings offer a concise map of challenges and strengths, and indicate actionable next steps for more equitable, family-</w:t>
      </w:r>
      <w:proofErr w:type="spellStart"/>
      <w:r w:rsidRPr="0047192E">
        <w:rPr>
          <w:rFonts w:ascii="Arial" w:hAnsi="Arial" w:cs="Arial"/>
          <w:color w:val="000000" w:themeColor="text1"/>
          <w:sz w:val="22"/>
          <w:szCs w:val="22"/>
        </w:rPr>
        <w:t>centred</w:t>
      </w:r>
      <w:proofErr w:type="spellEnd"/>
      <w:r w:rsidRPr="0047192E">
        <w:rPr>
          <w:rFonts w:ascii="Arial" w:hAnsi="Arial" w:cs="Arial"/>
          <w:color w:val="000000" w:themeColor="text1"/>
          <w:sz w:val="22"/>
          <w:szCs w:val="22"/>
        </w:rPr>
        <w:t xml:space="preserve"> provision.</w:t>
      </w:r>
    </w:p>
    <w:p w14:paraId="23C64D12" w14:textId="77777777" w:rsidR="00B81479" w:rsidRPr="0079023D" w:rsidRDefault="00B81479" w:rsidP="00B81479">
      <w:pPr>
        <w:pStyle w:val="NormalWeb"/>
        <w:spacing w:before="120" w:beforeAutospacing="0" w:after="120" w:afterAutospacing="0" w:line="360" w:lineRule="auto"/>
        <w:rPr>
          <w:rFonts w:ascii="Arial" w:hAnsi="Arial" w:cs="Arial"/>
          <w:sz w:val="22"/>
        </w:rPr>
      </w:pPr>
      <w:r w:rsidRPr="0047192E">
        <w:rPr>
          <w:rFonts w:ascii="Arial" w:hAnsi="Arial" w:cs="Arial"/>
          <w:sz w:val="22"/>
        </w:rPr>
        <w:t>With the key insights consolidated, section 5.2 now translates findings into practical, evidence-informed recommendations.</w:t>
      </w:r>
    </w:p>
    <w:p w14:paraId="098772CD" w14:textId="77777777" w:rsidR="00B81479" w:rsidRPr="0047192E" w:rsidRDefault="00B81479" w:rsidP="00B81479">
      <w:pPr>
        <w:pStyle w:val="Heading2"/>
        <w:spacing w:before="120" w:after="120" w:line="360" w:lineRule="auto"/>
        <w:rPr>
          <w:rFonts w:ascii="Arial" w:hAnsi="Arial" w:cs="Arial"/>
          <w:b/>
          <w:color w:val="000000" w:themeColor="text1"/>
        </w:rPr>
      </w:pPr>
      <w:bookmarkStart w:id="10" w:name="_Toc210149312"/>
      <w:r w:rsidRPr="0047192E">
        <w:rPr>
          <w:rFonts w:ascii="Arial" w:hAnsi="Arial" w:cs="Arial"/>
          <w:b/>
          <w:color w:val="000000" w:themeColor="text1"/>
        </w:rPr>
        <w:t>5.2 Recommendations</w:t>
      </w:r>
      <w:bookmarkEnd w:id="10"/>
      <w:r w:rsidRPr="0047192E">
        <w:rPr>
          <w:rFonts w:ascii="Arial" w:hAnsi="Arial" w:cs="Arial"/>
          <w:b/>
          <w:color w:val="000000" w:themeColor="text1"/>
        </w:rPr>
        <w:t xml:space="preserve"> </w:t>
      </w:r>
    </w:p>
    <w:p w14:paraId="2C4BCBFC" w14:textId="77777777" w:rsidR="00B81479" w:rsidRPr="0047192E" w:rsidRDefault="00B81479" w:rsidP="00B81479">
      <w:pPr>
        <w:pStyle w:val="NormalWeb"/>
        <w:spacing w:before="120" w:beforeAutospacing="0" w:after="120" w:afterAutospacing="0" w:line="360" w:lineRule="auto"/>
        <w:rPr>
          <w:rFonts w:ascii="Arial" w:hAnsi="Arial" w:cs="Arial"/>
          <w:sz w:val="22"/>
        </w:rPr>
      </w:pPr>
      <w:r w:rsidRPr="0047192E">
        <w:rPr>
          <w:rFonts w:ascii="Arial" w:hAnsi="Arial" w:cs="Arial"/>
          <w:sz w:val="22"/>
        </w:rPr>
        <w:t>The first recommendation targets pathway design, coordinating services and adding navigation support to reduce family burden.</w:t>
      </w:r>
    </w:p>
    <w:p w14:paraId="72DD4E26" w14:textId="77777777" w:rsidR="00B81479" w:rsidRPr="0047192E" w:rsidRDefault="00B81479" w:rsidP="00B81479">
      <w:pPr>
        <w:pStyle w:val="Heading3"/>
        <w:spacing w:before="120" w:after="120" w:line="360" w:lineRule="auto"/>
        <w:rPr>
          <w:rFonts w:ascii="Arial" w:hAnsi="Arial" w:cs="Arial"/>
          <w:b/>
          <w:color w:val="000000" w:themeColor="text1"/>
        </w:rPr>
      </w:pPr>
      <w:bookmarkStart w:id="11" w:name="_Toc210149313"/>
      <w:r w:rsidRPr="0047192E">
        <w:rPr>
          <w:rFonts w:ascii="Arial" w:hAnsi="Arial" w:cs="Arial"/>
          <w:b/>
          <w:color w:val="000000" w:themeColor="text1"/>
        </w:rPr>
        <w:t>5.2.1 Recommendation 1: Build Coordinated, Family-</w:t>
      </w:r>
      <w:proofErr w:type="spellStart"/>
      <w:r w:rsidRPr="0047192E">
        <w:rPr>
          <w:rFonts w:ascii="Arial" w:hAnsi="Arial" w:cs="Arial"/>
          <w:b/>
          <w:color w:val="000000" w:themeColor="text1"/>
        </w:rPr>
        <w:t>Centred</w:t>
      </w:r>
      <w:proofErr w:type="spellEnd"/>
      <w:r w:rsidRPr="0047192E">
        <w:rPr>
          <w:rFonts w:ascii="Arial" w:hAnsi="Arial" w:cs="Arial"/>
          <w:b/>
          <w:color w:val="000000" w:themeColor="text1"/>
        </w:rPr>
        <w:t xml:space="preserve"> Pathways with Navigation Support</w:t>
      </w:r>
      <w:bookmarkEnd w:id="11"/>
    </w:p>
    <w:p w14:paraId="2F0BEC36"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Local systems should move toward a single, coordinated pathway that joins health, education, and social care from first concern to post-diagnosis follow-up. A single front door for referrals, shared records, and warm handovers would cut duplication and reduce the need for mothers to repeat their story at every step. Each family should have a named navigator who schedules </w:t>
      </w:r>
      <w:r w:rsidRPr="0047192E">
        <w:rPr>
          <w:rFonts w:ascii="Arial" w:hAnsi="Arial" w:cs="Arial"/>
          <w:color w:val="000000" w:themeColor="text1"/>
          <w:sz w:val="22"/>
          <w:szCs w:val="22"/>
        </w:rPr>
        <w:lastRenderedPageBreak/>
        <w:t xml:space="preserve">appointments, translates reports into plain language, and links assessments to school plans, benefits advice, and community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Standard post-diagnostic offers should bundle psychoeducation, peer connections, and practical guidance rather than rely on one-off signposting. The main barriers are data-sharing rules, siloed budgets, and workforce pressure. These can be eased by piloting in one locality, agreeing minimal shared datasets and consent templates, pooling funds for navigator roles, and publishing a simple responsibility matrix. Equity dashboards should track waits, drop-off points, and outcomes by gender, ethnicity, language, and deprivation to ensure the pathway works for under-served groups as well as for those with stronger resources.</w:t>
      </w:r>
    </w:p>
    <w:p w14:paraId="77719660" w14:textId="77777777" w:rsidR="00B81479" w:rsidRPr="0047192E" w:rsidRDefault="00B81479" w:rsidP="00B81479">
      <w:pPr>
        <w:pStyle w:val="NormalWeb"/>
        <w:spacing w:before="120" w:beforeAutospacing="0" w:after="120" w:afterAutospacing="0" w:line="360" w:lineRule="auto"/>
        <w:jc w:val="both"/>
        <w:rPr>
          <w:rFonts w:ascii="Arial" w:hAnsi="Arial" w:cs="Arial"/>
          <w:sz w:val="22"/>
        </w:rPr>
      </w:pPr>
      <w:bookmarkStart w:id="12" w:name="_Toc210149314"/>
      <w:r w:rsidRPr="0047192E">
        <w:rPr>
          <w:rFonts w:ascii="Arial" w:hAnsi="Arial" w:cs="Arial"/>
          <w:sz w:val="22"/>
        </w:rPr>
        <w:t>Having addressed coordination, the next recommendation focuses on neuro-affirming practice and sensory-considerate environments.</w:t>
      </w:r>
    </w:p>
    <w:p w14:paraId="5BA2DB02" w14:textId="77777777" w:rsidR="00B81479" w:rsidRPr="0047192E" w:rsidRDefault="00B81479" w:rsidP="00B81479">
      <w:pPr>
        <w:pStyle w:val="Heading3"/>
        <w:spacing w:before="120" w:after="120" w:line="360" w:lineRule="auto"/>
        <w:rPr>
          <w:rFonts w:ascii="Arial" w:hAnsi="Arial" w:cs="Arial"/>
          <w:b/>
          <w:color w:val="000000" w:themeColor="text1"/>
        </w:rPr>
      </w:pPr>
      <w:r w:rsidRPr="0047192E">
        <w:rPr>
          <w:rFonts w:ascii="Arial" w:hAnsi="Arial" w:cs="Arial"/>
          <w:b/>
          <w:color w:val="000000" w:themeColor="text1"/>
        </w:rPr>
        <w:t>5.2.2 Recommendation 2: Embed Neuro-Affirming, Sensory-Considerate Practice Across Services</w:t>
      </w:r>
      <w:bookmarkEnd w:id="12"/>
    </w:p>
    <w:p w14:paraId="11B8B891"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Every point of contact should demonstrate neuro-affirming values in both staff </w:t>
      </w:r>
      <w:proofErr w:type="spellStart"/>
      <w:r w:rsidRPr="0047192E">
        <w:rPr>
          <w:rFonts w:ascii="Arial" w:hAnsi="Arial" w:cs="Arial"/>
          <w:color w:val="000000" w:themeColor="text1"/>
          <w:sz w:val="22"/>
          <w:szCs w:val="22"/>
        </w:rPr>
        <w:t>behaviour</w:t>
      </w:r>
      <w:proofErr w:type="spellEnd"/>
      <w:r w:rsidRPr="0047192E">
        <w:rPr>
          <w:rFonts w:ascii="Arial" w:hAnsi="Arial" w:cs="Arial"/>
          <w:color w:val="000000" w:themeColor="text1"/>
          <w:sz w:val="22"/>
          <w:szCs w:val="22"/>
        </w:rPr>
        <w:t xml:space="preserve"> and the physical environment. Short, scenario-based training co-delivered with autistic adults and parents can improve communication, consent practices, and shared </w:t>
      </w:r>
      <w:proofErr w:type="gramStart"/>
      <w:r w:rsidRPr="0047192E">
        <w:rPr>
          <w:rFonts w:ascii="Arial" w:hAnsi="Arial" w:cs="Arial"/>
          <w:color w:val="000000" w:themeColor="text1"/>
          <w:sz w:val="22"/>
          <w:szCs w:val="22"/>
        </w:rPr>
        <w:t>goal-setting</w:t>
      </w:r>
      <w:proofErr w:type="gramEnd"/>
      <w:r w:rsidRPr="0047192E">
        <w:rPr>
          <w:rFonts w:ascii="Arial" w:hAnsi="Arial" w:cs="Arial"/>
          <w:color w:val="000000" w:themeColor="text1"/>
          <w:sz w:val="22"/>
          <w:szCs w:val="22"/>
        </w:rPr>
        <w:t xml:space="preserve"> without adding heavy time burdens. Reasonable adjustments should be offered by default: quiet waiting options, flexible appointment lengths, alternative communication modes, and written summaries in plain language. Clinics, schools, and community venues should audit lighting, noise, wayfinding, and seating to create calmer spaces, starting with low-cost changes and publishing an accessibility statement. Identity-affirming information packs can </w:t>
      </w:r>
      <w:proofErr w:type="spellStart"/>
      <w:r w:rsidRPr="0047192E">
        <w:rPr>
          <w:rFonts w:ascii="Arial" w:hAnsi="Arial" w:cs="Arial"/>
          <w:color w:val="000000" w:themeColor="text1"/>
          <w:sz w:val="22"/>
          <w:szCs w:val="22"/>
        </w:rPr>
        <w:t>normalise</w:t>
      </w:r>
      <w:proofErr w:type="spellEnd"/>
      <w:r w:rsidRPr="0047192E">
        <w:rPr>
          <w:rFonts w:ascii="Arial" w:hAnsi="Arial" w:cs="Arial"/>
          <w:color w:val="000000" w:themeColor="text1"/>
          <w:sz w:val="22"/>
          <w:szCs w:val="22"/>
        </w:rPr>
        <w:t xml:space="preserve"> sensory differences and explain practical strategies without deficit language. The frequent barriers here are competing training demands, limited estates budgets, and concerns that “neuro-affirming” means less clinical </w:t>
      </w:r>
      <w:proofErr w:type="spellStart"/>
      <w:r w:rsidRPr="0047192E">
        <w:rPr>
          <w:rFonts w:ascii="Arial" w:hAnsi="Arial" w:cs="Arial"/>
          <w:color w:val="000000" w:themeColor="text1"/>
          <w:sz w:val="22"/>
          <w:szCs w:val="22"/>
        </w:rPr>
        <w:t>rigour</w:t>
      </w:r>
      <w:proofErr w:type="spellEnd"/>
      <w:r w:rsidRPr="0047192E">
        <w:rPr>
          <w:rFonts w:ascii="Arial" w:hAnsi="Arial" w:cs="Arial"/>
          <w:color w:val="000000" w:themeColor="text1"/>
          <w:sz w:val="22"/>
          <w:szCs w:val="22"/>
        </w:rPr>
        <w:t>. These concerns can be addressed by integrating micro-learning into mandatory updates, linking adjustments to legal duties, and sharing before-and-after case studies that show fewer missed appointments, better engagement, and higher satisfaction. Ongoing co-design panels with autistic people and parents should review materials, spaces, and feedback to keep practice grounded and credible.</w:t>
      </w:r>
    </w:p>
    <w:p w14:paraId="768D482C" w14:textId="77777777" w:rsidR="00B81479" w:rsidRPr="0047192E" w:rsidRDefault="00B81479" w:rsidP="00B81479">
      <w:pPr>
        <w:pStyle w:val="NormalWeb"/>
        <w:spacing w:before="120" w:beforeAutospacing="0" w:after="120" w:afterAutospacing="0" w:line="360" w:lineRule="auto"/>
        <w:jc w:val="both"/>
        <w:rPr>
          <w:rFonts w:ascii="Arial" w:hAnsi="Arial" w:cs="Arial"/>
          <w:sz w:val="22"/>
          <w:szCs w:val="22"/>
        </w:rPr>
      </w:pPr>
      <w:r w:rsidRPr="0047192E">
        <w:rPr>
          <w:rFonts w:ascii="Arial" w:hAnsi="Arial" w:cs="Arial"/>
          <w:sz w:val="22"/>
          <w:szCs w:val="22"/>
        </w:rPr>
        <w:t>With culture and environment in view, the final recommendation pairs parent skill-building with peer support and scheduled review.</w:t>
      </w:r>
    </w:p>
    <w:p w14:paraId="2516B45A" w14:textId="77777777" w:rsidR="00B81479" w:rsidRPr="0047192E" w:rsidRDefault="00B81479" w:rsidP="00B81479">
      <w:pPr>
        <w:pStyle w:val="Heading3"/>
        <w:spacing w:before="120" w:after="120" w:line="360" w:lineRule="auto"/>
        <w:rPr>
          <w:rFonts w:ascii="Arial" w:hAnsi="Arial" w:cs="Arial"/>
          <w:b/>
          <w:color w:val="000000" w:themeColor="text1"/>
        </w:rPr>
      </w:pPr>
      <w:bookmarkStart w:id="13" w:name="_Toc210149315"/>
      <w:r w:rsidRPr="0047192E">
        <w:rPr>
          <w:rFonts w:ascii="Arial" w:hAnsi="Arial" w:cs="Arial"/>
          <w:b/>
          <w:color w:val="000000" w:themeColor="text1"/>
        </w:rPr>
        <w:lastRenderedPageBreak/>
        <w:t>5.2.3 Recommendation 3: Pair Skill-Building and Peer Connection with Ongoing Review</w:t>
      </w:r>
      <w:bookmarkEnd w:id="13"/>
    </w:p>
    <w:p w14:paraId="7311979D"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Families benefit most when practical skill-building is paired with trusted peer support and followed by structured reviews. Parent-mediated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should blend psychoeducation with coached practice in daily routines such as sleep, mealtimes, communication, and sensory regulation. Peer-led groups and mentoring provide rapid, lived solutions and reduce isolation; these should be available in hybrid formats to fit work patterns and caring duties. Transition toolkits can help families move smoothly between nursery and school, across school phases, and into adult services, with timelines, checklists, and template letters. Review points at three, six, and twelve months after diagnosis or </w:t>
      </w:r>
      <w:proofErr w:type="spellStart"/>
      <w:r w:rsidRPr="0047192E">
        <w:rPr>
          <w:rFonts w:ascii="Arial" w:hAnsi="Arial" w:cs="Arial"/>
          <w:color w:val="000000" w:themeColor="text1"/>
          <w:sz w:val="22"/>
          <w:szCs w:val="22"/>
        </w:rPr>
        <w:t>programme</w:t>
      </w:r>
      <w:proofErr w:type="spellEnd"/>
      <w:r w:rsidRPr="0047192E">
        <w:rPr>
          <w:rFonts w:ascii="Arial" w:hAnsi="Arial" w:cs="Arial"/>
          <w:color w:val="000000" w:themeColor="text1"/>
          <w:sz w:val="22"/>
          <w:szCs w:val="22"/>
        </w:rPr>
        <w:t xml:space="preserve"> completion allow plans to adapt to developmental change and prevent drift. Barriers include transport and childcare, low facilitator capacity, and hesitancy to join groups after previous stigma. Practical </w:t>
      </w:r>
      <w:proofErr w:type="gramStart"/>
      <w:r w:rsidRPr="0047192E">
        <w:rPr>
          <w:rFonts w:ascii="Arial" w:hAnsi="Arial" w:cs="Arial"/>
          <w:color w:val="000000" w:themeColor="text1"/>
          <w:sz w:val="22"/>
          <w:szCs w:val="22"/>
        </w:rPr>
        <w:t>supports</w:t>
      </w:r>
      <w:proofErr w:type="gramEnd"/>
      <w:r w:rsidRPr="0047192E">
        <w:rPr>
          <w:rFonts w:ascii="Arial" w:hAnsi="Arial" w:cs="Arial"/>
          <w:color w:val="000000" w:themeColor="text1"/>
          <w:sz w:val="22"/>
          <w:szCs w:val="22"/>
        </w:rPr>
        <w:t xml:space="preserve"> such as crèche places, travel vouchers, and evening or online sessions will widen access. </w:t>
      </w:r>
      <w:proofErr w:type="spellStart"/>
      <w:r w:rsidRPr="0047192E">
        <w:rPr>
          <w:rFonts w:ascii="Arial" w:hAnsi="Arial" w:cs="Arial"/>
          <w:color w:val="000000" w:themeColor="text1"/>
          <w:sz w:val="22"/>
          <w:szCs w:val="22"/>
        </w:rPr>
        <w:t>Standardised</w:t>
      </w:r>
      <w:proofErr w:type="spellEnd"/>
      <w:r w:rsidRPr="0047192E">
        <w:rPr>
          <w:rFonts w:ascii="Arial" w:hAnsi="Arial" w:cs="Arial"/>
          <w:color w:val="000000" w:themeColor="text1"/>
          <w:sz w:val="22"/>
          <w:szCs w:val="22"/>
        </w:rPr>
        <w:t xml:space="preserve"> curricula with local tailoring and light-touch fidelity checks can protect quality while respecting context. Trusted referrers, navigators, SEN leads, and health visitors should extend opt-out invitations to </w:t>
      </w:r>
      <w:proofErr w:type="spellStart"/>
      <w:r w:rsidRPr="0047192E">
        <w:rPr>
          <w:rFonts w:ascii="Arial" w:hAnsi="Arial" w:cs="Arial"/>
          <w:color w:val="000000" w:themeColor="text1"/>
          <w:sz w:val="22"/>
          <w:szCs w:val="22"/>
        </w:rPr>
        <w:t>normalise</w:t>
      </w:r>
      <w:proofErr w:type="spellEnd"/>
      <w:r w:rsidRPr="0047192E">
        <w:rPr>
          <w:rFonts w:ascii="Arial" w:hAnsi="Arial" w:cs="Arial"/>
          <w:color w:val="000000" w:themeColor="text1"/>
          <w:sz w:val="22"/>
          <w:szCs w:val="22"/>
        </w:rPr>
        <w:t xml:space="preserve"> participation. Outcome tracking should </w:t>
      </w:r>
      <w:proofErr w:type="spellStart"/>
      <w:r w:rsidRPr="0047192E">
        <w:rPr>
          <w:rFonts w:ascii="Arial" w:hAnsi="Arial" w:cs="Arial"/>
          <w:color w:val="000000" w:themeColor="text1"/>
          <w:sz w:val="22"/>
          <w:szCs w:val="22"/>
        </w:rPr>
        <w:t>prioritise</w:t>
      </w:r>
      <w:proofErr w:type="spellEnd"/>
      <w:r w:rsidRPr="0047192E">
        <w:rPr>
          <w:rFonts w:ascii="Arial" w:hAnsi="Arial" w:cs="Arial"/>
          <w:color w:val="000000" w:themeColor="text1"/>
          <w:sz w:val="22"/>
          <w:szCs w:val="22"/>
        </w:rPr>
        <w:t xml:space="preserve"> caregiver-</w:t>
      </w:r>
      <w:proofErr w:type="spellStart"/>
      <w:r w:rsidRPr="0047192E">
        <w:rPr>
          <w:rFonts w:ascii="Arial" w:hAnsi="Arial" w:cs="Arial"/>
          <w:color w:val="000000" w:themeColor="text1"/>
          <w:sz w:val="22"/>
          <w:szCs w:val="22"/>
        </w:rPr>
        <w:t>centred</w:t>
      </w:r>
      <w:proofErr w:type="spellEnd"/>
      <w:r w:rsidRPr="0047192E">
        <w:rPr>
          <w:rFonts w:ascii="Arial" w:hAnsi="Arial" w:cs="Arial"/>
          <w:color w:val="000000" w:themeColor="text1"/>
          <w:sz w:val="22"/>
          <w:szCs w:val="22"/>
        </w:rPr>
        <w:t xml:space="preserve"> measures such as perceived predictability, time costs saved, confidence using strategies, and the success of school adjustments, so that support can be refined quickly and transparently.</w:t>
      </w:r>
    </w:p>
    <w:p w14:paraId="04F267B6"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In short, these recommendations work best as a package. Coordinated pathways reduce administrative load and create the conditions for engagement. Neuro-affirming practice improves acceptability and reduces the need to camouflage. Skill-building with peer connection sustains coping across transitions. Phased pilots, co-design, and equity-linked commissioning can turn these proposals into practical, measurable improvements for mothers and their families.</w:t>
      </w:r>
    </w:p>
    <w:p w14:paraId="62816664" w14:textId="77777777" w:rsidR="00B81479" w:rsidRPr="0047192E" w:rsidRDefault="00B81479" w:rsidP="00B81479">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The chapter concludes here; the document now moves to references and any appendices that support transparency and replication.</w:t>
      </w:r>
    </w:p>
    <w:p w14:paraId="1941E9CA" w14:textId="77777777" w:rsidR="00B81479" w:rsidRPr="0047192E" w:rsidRDefault="00B81479" w:rsidP="00B81479">
      <w:pPr>
        <w:pStyle w:val="NormalWeb"/>
        <w:spacing w:before="120" w:beforeAutospacing="0" w:after="120" w:afterAutospacing="0" w:line="360" w:lineRule="auto"/>
        <w:jc w:val="both"/>
        <w:rPr>
          <w:rFonts w:ascii="Arial" w:hAnsi="Arial" w:cs="Arial"/>
          <w:color w:val="000000" w:themeColor="text1"/>
          <w:sz w:val="22"/>
          <w:szCs w:val="22"/>
        </w:rPr>
      </w:pPr>
    </w:p>
    <w:p w14:paraId="10B2AD99" w14:textId="77777777" w:rsidR="00B81479" w:rsidRPr="0047192E" w:rsidRDefault="00B81479" w:rsidP="00B81479">
      <w:pPr>
        <w:spacing w:before="120" w:after="120" w:line="360" w:lineRule="auto"/>
        <w:jc w:val="both"/>
        <w:rPr>
          <w:rFonts w:ascii="Arial" w:eastAsia="Times New Roman" w:hAnsi="Arial" w:cs="Arial"/>
          <w:color w:val="000000" w:themeColor="text1"/>
        </w:rPr>
      </w:pPr>
    </w:p>
    <w:p w14:paraId="31BA7770" w14:textId="77777777" w:rsidR="00B81479" w:rsidRPr="0047192E" w:rsidRDefault="00B81479" w:rsidP="00B81479">
      <w:pPr>
        <w:spacing w:before="120" w:after="120" w:line="360" w:lineRule="auto"/>
        <w:jc w:val="both"/>
        <w:rPr>
          <w:rFonts w:ascii="Arial" w:hAnsi="Arial" w:cs="Arial"/>
          <w:color w:val="000000" w:themeColor="text1"/>
        </w:rPr>
      </w:pPr>
    </w:p>
    <w:p w14:paraId="5984C7A5" w14:textId="77777777" w:rsidR="00B81479" w:rsidRPr="0047192E" w:rsidRDefault="00B81479" w:rsidP="00B81479">
      <w:pPr>
        <w:spacing w:before="120" w:after="120" w:line="360" w:lineRule="auto"/>
        <w:jc w:val="both"/>
        <w:rPr>
          <w:rFonts w:ascii="Arial" w:hAnsi="Arial" w:cs="Arial"/>
          <w:color w:val="000000" w:themeColor="text1"/>
        </w:rPr>
      </w:pPr>
    </w:p>
    <w:p w14:paraId="55EBFB7A" w14:textId="77777777" w:rsidR="00B81479" w:rsidRPr="0047192E" w:rsidRDefault="00B81479" w:rsidP="00B81479">
      <w:pPr>
        <w:spacing w:before="120" w:after="120" w:line="360" w:lineRule="auto"/>
        <w:jc w:val="both"/>
        <w:rPr>
          <w:rFonts w:ascii="Arial" w:hAnsi="Arial" w:cs="Arial"/>
          <w:color w:val="000000" w:themeColor="text1"/>
        </w:rPr>
      </w:pPr>
    </w:p>
    <w:p w14:paraId="591B5ECC" w14:textId="77777777" w:rsidR="00B81479" w:rsidRPr="0047192E" w:rsidRDefault="00B81479" w:rsidP="00B81479">
      <w:pPr>
        <w:spacing w:before="120" w:after="120" w:line="360" w:lineRule="auto"/>
        <w:jc w:val="both"/>
        <w:rPr>
          <w:rFonts w:ascii="Arial" w:hAnsi="Arial" w:cs="Arial"/>
          <w:color w:val="000000" w:themeColor="text1"/>
        </w:rPr>
      </w:pPr>
    </w:p>
    <w:p w14:paraId="0A108C08" w14:textId="77777777" w:rsidR="00B81479" w:rsidRPr="0047192E" w:rsidRDefault="00B81479" w:rsidP="00B81479">
      <w:pPr>
        <w:pStyle w:val="Heading2"/>
        <w:spacing w:line="360" w:lineRule="auto"/>
        <w:jc w:val="both"/>
        <w:rPr>
          <w:rFonts w:ascii="Arial" w:eastAsia="Times New Roman" w:hAnsi="Arial" w:cs="Arial"/>
          <w:b/>
          <w:color w:val="000000" w:themeColor="text1"/>
          <w:szCs w:val="22"/>
        </w:rPr>
      </w:pPr>
      <w:bookmarkStart w:id="14" w:name="_Toc210149317"/>
      <w:r w:rsidRPr="0047192E">
        <w:rPr>
          <w:rFonts w:ascii="Arial" w:eastAsia="Times New Roman" w:hAnsi="Arial" w:cs="Arial"/>
          <w:b/>
          <w:color w:val="000000" w:themeColor="text1"/>
          <w:szCs w:val="22"/>
        </w:rPr>
        <w:lastRenderedPageBreak/>
        <w:t>References</w:t>
      </w:r>
      <w:bookmarkEnd w:id="14"/>
    </w:p>
    <w:p w14:paraId="37D8D32B"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American Psychiatric Association (2022) </w:t>
      </w:r>
      <w:r w:rsidRPr="0047192E">
        <w:rPr>
          <w:rFonts w:ascii="Arial" w:eastAsia="Times New Roman" w:hAnsi="Arial" w:cs="Arial"/>
          <w:i/>
          <w:iCs/>
          <w:color w:val="000000" w:themeColor="text1"/>
          <w:sz w:val="22"/>
        </w:rPr>
        <w:t>Diagnostic and Statistical Manual of Mental Disorders: DSM-5-TR</w:t>
      </w:r>
      <w:r w:rsidRPr="0047192E">
        <w:rPr>
          <w:rFonts w:ascii="Arial" w:eastAsia="Times New Roman" w:hAnsi="Arial" w:cs="Arial"/>
          <w:color w:val="000000" w:themeColor="text1"/>
          <w:sz w:val="22"/>
        </w:rPr>
        <w:t>. 5th ed., text revision. Washington, DC: American Psychiatric Publishing.</w:t>
      </w:r>
    </w:p>
    <w:p w14:paraId="1429DE4F"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Baldwin, S. and Costley, D. (2016) ‘The experiences and needs of female adults with high-functioning autism spectrum disorder’, </w:t>
      </w:r>
      <w:r w:rsidRPr="0047192E">
        <w:rPr>
          <w:rFonts w:ascii="Arial" w:eastAsia="Times New Roman" w:hAnsi="Arial" w:cs="Arial"/>
          <w:i/>
          <w:iCs/>
          <w:color w:val="000000" w:themeColor="text1"/>
          <w:sz w:val="22"/>
        </w:rPr>
        <w:t>Autism</w:t>
      </w:r>
      <w:r w:rsidRPr="0047192E">
        <w:rPr>
          <w:rFonts w:ascii="Arial" w:eastAsia="Times New Roman" w:hAnsi="Arial" w:cs="Arial"/>
          <w:color w:val="000000" w:themeColor="text1"/>
          <w:sz w:val="22"/>
        </w:rPr>
        <w:t>, 20(4), pp. 483–495. https://doi.org/10.1177/1362361315590805</w:t>
      </w:r>
    </w:p>
    <w:p w14:paraId="25422D54"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Benson, P.R. (2023) ‘Parenting stress and resilience among mothers of children with autism spectrum disorder’,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53(4), pp. 1672–1684. https://doi.org/10.1007/s10803-022-05728-1</w:t>
      </w:r>
    </w:p>
    <w:p w14:paraId="76D1C4EE"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proofErr w:type="spellStart"/>
      <w:r w:rsidRPr="0047192E">
        <w:rPr>
          <w:rFonts w:ascii="Arial" w:eastAsia="Times New Roman" w:hAnsi="Arial" w:cs="Arial"/>
          <w:color w:val="000000" w:themeColor="text1"/>
          <w:sz w:val="22"/>
        </w:rPr>
        <w:t>Brugha</w:t>
      </w:r>
      <w:proofErr w:type="spellEnd"/>
      <w:r w:rsidRPr="0047192E">
        <w:rPr>
          <w:rFonts w:ascii="Arial" w:eastAsia="Times New Roman" w:hAnsi="Arial" w:cs="Arial"/>
          <w:color w:val="000000" w:themeColor="text1"/>
          <w:sz w:val="22"/>
        </w:rPr>
        <w:t>, T.S., Cooper, S.A. and McManus, S. (2016) ‘Estimating the prevalence of autism spectrum conditions in adults: Extending the 2007 adult psychiatric morbidity survey’, Leeds: NHS Digital.</w:t>
      </w:r>
    </w:p>
    <w:p w14:paraId="687CE15C"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proofErr w:type="spellStart"/>
      <w:r w:rsidRPr="0047192E">
        <w:rPr>
          <w:rFonts w:ascii="Arial" w:eastAsia="Times New Roman" w:hAnsi="Arial" w:cs="Arial"/>
          <w:color w:val="000000" w:themeColor="text1"/>
          <w:sz w:val="22"/>
        </w:rPr>
        <w:t>Centers</w:t>
      </w:r>
      <w:proofErr w:type="spellEnd"/>
      <w:r w:rsidRPr="0047192E">
        <w:rPr>
          <w:rFonts w:ascii="Arial" w:eastAsia="Times New Roman" w:hAnsi="Arial" w:cs="Arial"/>
          <w:color w:val="000000" w:themeColor="text1"/>
          <w:sz w:val="22"/>
        </w:rPr>
        <w:t xml:space="preserve"> for Disease Control and Prevention (CDC) (2025) </w:t>
      </w:r>
      <w:r w:rsidRPr="0047192E">
        <w:rPr>
          <w:rFonts w:ascii="Arial" w:eastAsia="Times New Roman" w:hAnsi="Arial" w:cs="Arial"/>
          <w:i/>
          <w:iCs/>
          <w:color w:val="000000" w:themeColor="text1"/>
          <w:sz w:val="22"/>
        </w:rPr>
        <w:t>Data &amp; statistics on autism spectrum disorder (ASD)</w:t>
      </w:r>
      <w:r w:rsidRPr="0047192E">
        <w:rPr>
          <w:rFonts w:ascii="Arial" w:eastAsia="Times New Roman" w:hAnsi="Arial" w:cs="Arial"/>
          <w:color w:val="000000" w:themeColor="text1"/>
          <w:sz w:val="22"/>
        </w:rPr>
        <w:t xml:space="preserve">. Available at: </w:t>
      </w:r>
      <w:hyperlink r:id="rId5" w:tgtFrame="_new" w:history="1">
        <w:r w:rsidRPr="0047192E">
          <w:rPr>
            <w:rFonts w:ascii="Arial" w:eastAsia="Times New Roman" w:hAnsi="Arial" w:cs="Arial"/>
            <w:color w:val="000000" w:themeColor="text1"/>
            <w:sz w:val="22"/>
            <w:u w:val="single"/>
          </w:rPr>
          <w:t>https://www.cdc.gov/autism/data/index.html</w:t>
        </w:r>
      </w:hyperlink>
      <w:r w:rsidRPr="0047192E">
        <w:rPr>
          <w:rFonts w:ascii="Arial" w:eastAsia="Times New Roman" w:hAnsi="Arial" w:cs="Arial"/>
          <w:color w:val="000000" w:themeColor="text1"/>
          <w:sz w:val="22"/>
        </w:rPr>
        <w:t xml:space="preserve"> (Accessed: 20 September 2025).</w:t>
      </w:r>
    </w:p>
    <w:p w14:paraId="19DE6CDA"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Blakeslee, S. (2004) ‘The CRAAP test’, LOEX Quarterly, 31(3), pp. 6–7.</w:t>
      </w:r>
    </w:p>
    <w:p w14:paraId="0502A64A"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Booth, A., Sutton, A. and Papaioannou, D. (2016) Systematic Approaches to a Successful Literature Review. 2nd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London: SAGE.</w:t>
      </w:r>
    </w:p>
    <w:p w14:paraId="51B2161C"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Booth, W.C., Colomb, G.G. and Williams, J.M. (2016) The Craft of Research. 4th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Chicago: University of Chicago Press.</w:t>
      </w:r>
    </w:p>
    <w:p w14:paraId="380716F9"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Braun, V. and Clarke, V. (2006) ‘Using thematic analysis in psychology’, Qualitative Research in Psychology, 3(2), pp. 77–101.</w:t>
      </w:r>
    </w:p>
    <w:p w14:paraId="03093064"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Bryman, A. (2016) Social Research Methods. 5th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Oxford: Oxford University Press.</w:t>
      </w:r>
    </w:p>
    <w:p w14:paraId="12922F51"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Cohen, L., Manion, L. and Morrison, K. (2018) Research Methods in Education. 8th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London: Routledge.</w:t>
      </w:r>
    </w:p>
    <w:p w14:paraId="0D2DF8BE"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Creswell, J.W. and Creswell, J.D. (2018) Research Design: Qualitative, Quantitative, and Mixed Methods Approaches. 5th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Thousand Oaks, CA: SAGE.</w:t>
      </w:r>
    </w:p>
    <w:p w14:paraId="37AC51FD"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proofErr w:type="spellStart"/>
      <w:r w:rsidRPr="0047192E">
        <w:rPr>
          <w:rFonts w:ascii="Arial" w:eastAsia="Times New Roman" w:hAnsi="Arial" w:cs="Arial"/>
          <w:color w:val="000000" w:themeColor="text1"/>
          <w:sz w:val="22"/>
        </w:rPr>
        <w:t>Cherewick</w:t>
      </w:r>
      <w:proofErr w:type="spellEnd"/>
      <w:r w:rsidRPr="0047192E">
        <w:rPr>
          <w:rFonts w:ascii="Arial" w:eastAsia="Times New Roman" w:hAnsi="Arial" w:cs="Arial"/>
          <w:color w:val="000000" w:themeColor="text1"/>
          <w:sz w:val="22"/>
        </w:rPr>
        <w:t xml:space="preserve">, M. and </w:t>
      </w:r>
      <w:proofErr w:type="spellStart"/>
      <w:r w:rsidRPr="0047192E">
        <w:rPr>
          <w:rFonts w:ascii="Arial" w:eastAsia="Times New Roman" w:hAnsi="Arial" w:cs="Arial"/>
          <w:color w:val="000000" w:themeColor="text1"/>
          <w:sz w:val="22"/>
        </w:rPr>
        <w:t>Matergia</w:t>
      </w:r>
      <w:proofErr w:type="spellEnd"/>
      <w:r w:rsidRPr="0047192E">
        <w:rPr>
          <w:rFonts w:ascii="Arial" w:eastAsia="Times New Roman" w:hAnsi="Arial" w:cs="Arial"/>
          <w:color w:val="000000" w:themeColor="text1"/>
          <w:sz w:val="22"/>
        </w:rPr>
        <w:t xml:space="preserve">, M. (2023) ‘Intersecting identities and autism: The role of gender and culture in experiences of autistic individuals’, </w:t>
      </w:r>
      <w:r w:rsidRPr="0047192E">
        <w:rPr>
          <w:rFonts w:ascii="Arial" w:eastAsia="Times New Roman" w:hAnsi="Arial" w:cs="Arial"/>
          <w:i/>
          <w:iCs/>
          <w:color w:val="000000" w:themeColor="text1"/>
          <w:sz w:val="22"/>
        </w:rPr>
        <w:t>Social Science &amp; Medicine</w:t>
      </w:r>
      <w:r w:rsidRPr="0047192E">
        <w:rPr>
          <w:rFonts w:ascii="Arial" w:eastAsia="Times New Roman" w:hAnsi="Arial" w:cs="Arial"/>
          <w:color w:val="000000" w:themeColor="text1"/>
          <w:sz w:val="22"/>
        </w:rPr>
        <w:t>, 320, 115707. https://doi.org/10.1016/j.socscimed.2023.115707</w:t>
      </w:r>
    </w:p>
    <w:p w14:paraId="68D21CE4"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Chown, N. and Beardon, L. (2017) </w:t>
      </w:r>
      <w:r w:rsidRPr="0047192E">
        <w:rPr>
          <w:rFonts w:ascii="Arial" w:eastAsia="Times New Roman" w:hAnsi="Arial" w:cs="Arial"/>
          <w:i/>
          <w:iCs/>
          <w:color w:val="000000" w:themeColor="text1"/>
          <w:sz w:val="22"/>
        </w:rPr>
        <w:t>Autism and Asperger Syndrome in Adults</w:t>
      </w:r>
      <w:r w:rsidRPr="0047192E">
        <w:rPr>
          <w:rFonts w:ascii="Arial" w:eastAsia="Times New Roman" w:hAnsi="Arial" w:cs="Arial"/>
          <w:color w:val="000000" w:themeColor="text1"/>
          <w:sz w:val="22"/>
        </w:rPr>
        <w:t>. London: Routledge.</w:t>
      </w:r>
    </w:p>
    <w:p w14:paraId="5FAB49B1"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lastRenderedPageBreak/>
        <w:t xml:space="preserve">Crane, L., Chester, J.W., Goddard, L., Henry, L.A. and Hill, E. (2018) ‘Experiences of autism diagnosis: A survey of over 1000 parents in the United Kingdom’, </w:t>
      </w:r>
      <w:r w:rsidRPr="0047192E">
        <w:rPr>
          <w:rFonts w:ascii="Arial" w:eastAsia="Times New Roman" w:hAnsi="Arial" w:cs="Arial"/>
          <w:i/>
          <w:iCs/>
          <w:color w:val="000000" w:themeColor="text1"/>
          <w:sz w:val="22"/>
        </w:rPr>
        <w:t>Autism</w:t>
      </w:r>
      <w:r w:rsidRPr="0047192E">
        <w:rPr>
          <w:rFonts w:ascii="Arial" w:eastAsia="Times New Roman" w:hAnsi="Arial" w:cs="Arial"/>
          <w:color w:val="000000" w:themeColor="text1"/>
          <w:sz w:val="22"/>
        </w:rPr>
        <w:t>, 22(7), pp. 801–810. https://doi.org/10.1177/1362361317715706</w:t>
      </w:r>
    </w:p>
    <w:p w14:paraId="4936F699"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Department of Health and Social Care (2021) </w:t>
      </w:r>
      <w:r w:rsidRPr="0047192E">
        <w:rPr>
          <w:rFonts w:ascii="Arial" w:eastAsia="Times New Roman" w:hAnsi="Arial" w:cs="Arial"/>
          <w:i/>
          <w:iCs/>
          <w:color w:val="000000" w:themeColor="text1"/>
          <w:sz w:val="22"/>
        </w:rPr>
        <w:t>The national strategy for autistic children, young people and adults: 2021 to 2026</w:t>
      </w:r>
      <w:r w:rsidRPr="0047192E">
        <w:rPr>
          <w:rFonts w:ascii="Arial" w:eastAsia="Times New Roman" w:hAnsi="Arial" w:cs="Arial"/>
          <w:color w:val="000000" w:themeColor="text1"/>
          <w:sz w:val="22"/>
        </w:rPr>
        <w:t xml:space="preserve">. London: DHSC. Available at: </w:t>
      </w:r>
      <w:hyperlink r:id="rId6" w:tgtFrame="_new" w:history="1">
        <w:r w:rsidRPr="0047192E">
          <w:rPr>
            <w:rFonts w:ascii="Arial" w:eastAsia="Times New Roman" w:hAnsi="Arial" w:cs="Arial"/>
            <w:color w:val="000000" w:themeColor="text1"/>
            <w:sz w:val="22"/>
            <w:u w:val="single"/>
          </w:rPr>
          <w:t>https://www.gov.uk/government/publications/national-strategy-for-autistic-children-young-people-and-adults-2021-to-2026</w:t>
        </w:r>
      </w:hyperlink>
      <w:r w:rsidRPr="0047192E">
        <w:rPr>
          <w:rFonts w:ascii="Arial" w:eastAsia="Times New Roman" w:hAnsi="Arial" w:cs="Arial"/>
          <w:color w:val="000000" w:themeColor="text1"/>
          <w:sz w:val="22"/>
        </w:rPr>
        <w:t xml:space="preserve"> (Accessed: 20 September 2025).</w:t>
      </w:r>
    </w:p>
    <w:p w14:paraId="5C9F299E"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D’Mello, A.M., Gabrielsen, T.P. and Rogers, S.J. (2022) ‘Gender differences in autism spectrum disorder: Evidence from large-scale datasets’, </w:t>
      </w:r>
      <w:r w:rsidRPr="0047192E">
        <w:rPr>
          <w:rFonts w:ascii="Arial" w:eastAsia="Times New Roman" w:hAnsi="Arial" w:cs="Arial"/>
          <w:i/>
          <w:iCs/>
          <w:color w:val="000000" w:themeColor="text1"/>
          <w:sz w:val="22"/>
        </w:rPr>
        <w:t>Journal of Child Psychology and Psychiatry</w:t>
      </w:r>
      <w:r w:rsidRPr="0047192E">
        <w:rPr>
          <w:rFonts w:ascii="Arial" w:eastAsia="Times New Roman" w:hAnsi="Arial" w:cs="Arial"/>
          <w:color w:val="000000" w:themeColor="text1"/>
          <w:sz w:val="22"/>
        </w:rPr>
        <w:t>, 63(5), pp. 495–510. https://doi.org/10.1111/jcpp.13581</w:t>
      </w:r>
    </w:p>
    <w:p w14:paraId="610C6AAA"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Dugdale, A., Carpenter, R., Webber, S. and Hill, V. (2021) ‘Parenting children with autism: Maternal experiences of stress and resilience’, </w:t>
      </w:r>
      <w:r w:rsidRPr="0047192E">
        <w:rPr>
          <w:rFonts w:ascii="Arial" w:eastAsia="Times New Roman" w:hAnsi="Arial" w:cs="Arial"/>
          <w:i/>
          <w:iCs/>
          <w:color w:val="000000" w:themeColor="text1"/>
          <w:sz w:val="22"/>
        </w:rPr>
        <w:t>Early Child Development and Care</w:t>
      </w:r>
      <w:r w:rsidRPr="0047192E">
        <w:rPr>
          <w:rFonts w:ascii="Arial" w:eastAsia="Times New Roman" w:hAnsi="Arial" w:cs="Arial"/>
          <w:color w:val="000000" w:themeColor="text1"/>
          <w:sz w:val="22"/>
        </w:rPr>
        <w:t>, 191(14), pp. 2195–2209. https://doi.org/10.1080/03004430.2020.1841552</w:t>
      </w:r>
    </w:p>
    <w:p w14:paraId="3464D48D"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Fink, A. (2019) Conducting Research Literature Reviews: From the Internet to Paper. 5th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Thousand Oaks, CA: SAGE.</w:t>
      </w:r>
    </w:p>
    <w:p w14:paraId="1B3AE211"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Gough, D., Oliver, S. and Thomas, J. (2012) An Introduction to Systematic Reviews. London: SAGE.</w:t>
      </w:r>
    </w:p>
    <w:p w14:paraId="3CFF6C89"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Gosling, C.J., Smith, L. and Preece, D. (2023) ‘Autistic women’s experiences of health, stigma, and support’, </w:t>
      </w:r>
      <w:r w:rsidRPr="0047192E">
        <w:rPr>
          <w:rFonts w:ascii="Arial" w:eastAsia="Times New Roman" w:hAnsi="Arial" w:cs="Arial"/>
          <w:i/>
          <w:iCs/>
          <w:color w:val="000000" w:themeColor="text1"/>
          <w:sz w:val="22"/>
        </w:rPr>
        <w:t>Disability &amp; Society</w:t>
      </w:r>
      <w:r w:rsidRPr="0047192E">
        <w:rPr>
          <w:rFonts w:ascii="Arial" w:eastAsia="Times New Roman" w:hAnsi="Arial" w:cs="Arial"/>
          <w:color w:val="000000" w:themeColor="text1"/>
          <w:sz w:val="22"/>
        </w:rPr>
        <w:t>, 38(3), pp. 421–438. https://doi.org/10.1080/09687599.2021.1996322</w:t>
      </w:r>
    </w:p>
    <w:p w14:paraId="2DF38CC0"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Hamdani, S.U., Akhtar, P., Huma, Z.E., Nazir, H. and Minhas, F.A. (2023) ‘Autism in South Asia: Challenges, opportunities, and emerging research’, </w:t>
      </w:r>
      <w:r w:rsidRPr="0047192E">
        <w:rPr>
          <w:rFonts w:ascii="Arial" w:eastAsia="Times New Roman" w:hAnsi="Arial" w:cs="Arial"/>
          <w:i/>
          <w:iCs/>
          <w:color w:val="000000" w:themeColor="text1"/>
          <w:sz w:val="22"/>
        </w:rPr>
        <w:t>Asian Journal of Psychiatry</w:t>
      </w:r>
      <w:r w:rsidRPr="0047192E">
        <w:rPr>
          <w:rFonts w:ascii="Arial" w:eastAsia="Times New Roman" w:hAnsi="Arial" w:cs="Arial"/>
          <w:color w:val="000000" w:themeColor="text1"/>
          <w:sz w:val="22"/>
        </w:rPr>
        <w:t>, 83, 103588. https://doi.org/10.1016/j.ajp.2023.103588</w:t>
      </w:r>
    </w:p>
    <w:p w14:paraId="736B7870"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proofErr w:type="spellStart"/>
      <w:r w:rsidRPr="0047192E">
        <w:rPr>
          <w:rFonts w:ascii="Arial" w:eastAsia="Times New Roman" w:hAnsi="Arial" w:cs="Arial"/>
          <w:color w:val="000000" w:themeColor="text1"/>
          <w:sz w:val="22"/>
        </w:rPr>
        <w:t>Happé</w:t>
      </w:r>
      <w:proofErr w:type="spellEnd"/>
      <w:r w:rsidRPr="0047192E">
        <w:rPr>
          <w:rFonts w:ascii="Arial" w:eastAsia="Times New Roman" w:hAnsi="Arial" w:cs="Arial"/>
          <w:color w:val="000000" w:themeColor="text1"/>
          <w:sz w:val="22"/>
        </w:rPr>
        <w:t xml:space="preserve">, F. and Frith, U. (2020) ‘Annual research review: Looking back to look forward—changes in the concept of autism and implications for future research’, </w:t>
      </w:r>
      <w:r w:rsidRPr="0047192E">
        <w:rPr>
          <w:rFonts w:ascii="Arial" w:eastAsia="Times New Roman" w:hAnsi="Arial" w:cs="Arial"/>
          <w:i/>
          <w:iCs/>
          <w:color w:val="000000" w:themeColor="text1"/>
          <w:sz w:val="22"/>
        </w:rPr>
        <w:t>Journal of Child Psychology and Psychiatry</w:t>
      </w:r>
      <w:r w:rsidRPr="0047192E">
        <w:rPr>
          <w:rFonts w:ascii="Arial" w:eastAsia="Times New Roman" w:hAnsi="Arial" w:cs="Arial"/>
          <w:color w:val="000000" w:themeColor="text1"/>
          <w:sz w:val="22"/>
        </w:rPr>
        <w:t>, 61(3), pp. 218–232. https://doi.org/10.1111/jcpp.13176</w:t>
      </w:r>
    </w:p>
    <w:p w14:paraId="7CF866F5"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Hernandez-Gonzalez, M., Mas, M., </w:t>
      </w:r>
      <w:proofErr w:type="spellStart"/>
      <w:r w:rsidRPr="0047192E">
        <w:rPr>
          <w:rFonts w:ascii="Arial" w:eastAsia="Times New Roman" w:hAnsi="Arial" w:cs="Arial"/>
          <w:color w:val="000000" w:themeColor="text1"/>
          <w:sz w:val="22"/>
        </w:rPr>
        <w:t>Saperas</w:t>
      </w:r>
      <w:proofErr w:type="spellEnd"/>
      <w:r w:rsidRPr="0047192E">
        <w:rPr>
          <w:rFonts w:ascii="Arial" w:eastAsia="Times New Roman" w:hAnsi="Arial" w:cs="Arial"/>
          <w:color w:val="000000" w:themeColor="text1"/>
          <w:sz w:val="22"/>
        </w:rPr>
        <w:t xml:space="preserve">, A. and Garcia-Primo, P. (2023) ‘Parenting in autism spectrum disorder: Mothers’ experiences and support needs’, </w:t>
      </w:r>
      <w:r w:rsidRPr="0047192E">
        <w:rPr>
          <w:rFonts w:ascii="Arial" w:eastAsia="Times New Roman" w:hAnsi="Arial" w:cs="Arial"/>
          <w:i/>
          <w:iCs/>
          <w:color w:val="000000" w:themeColor="text1"/>
          <w:sz w:val="22"/>
        </w:rPr>
        <w:t>Research in Autism Spectrum Disorders</w:t>
      </w:r>
      <w:r w:rsidRPr="0047192E">
        <w:rPr>
          <w:rFonts w:ascii="Arial" w:eastAsia="Times New Roman" w:hAnsi="Arial" w:cs="Arial"/>
          <w:color w:val="000000" w:themeColor="text1"/>
          <w:sz w:val="22"/>
        </w:rPr>
        <w:t>, 104, 102118. https://doi.org/10.1016/j.rasd.2022.102118</w:t>
      </w:r>
    </w:p>
    <w:p w14:paraId="6092B206"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Hodges, H. (2020) </w:t>
      </w:r>
      <w:r w:rsidRPr="0047192E">
        <w:rPr>
          <w:rFonts w:ascii="Arial" w:eastAsia="Times New Roman" w:hAnsi="Arial" w:cs="Arial"/>
          <w:i/>
          <w:iCs/>
          <w:color w:val="000000" w:themeColor="text1"/>
          <w:sz w:val="22"/>
        </w:rPr>
        <w:t>Autism and Diagnostic Change: A Historical and Sociological Study</w:t>
      </w:r>
      <w:r w:rsidRPr="0047192E">
        <w:rPr>
          <w:rFonts w:ascii="Arial" w:eastAsia="Times New Roman" w:hAnsi="Arial" w:cs="Arial"/>
          <w:color w:val="000000" w:themeColor="text1"/>
          <w:sz w:val="22"/>
        </w:rPr>
        <w:t>. Bristol: Policy Press.</w:t>
      </w:r>
    </w:p>
    <w:p w14:paraId="76C4751B"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lastRenderedPageBreak/>
        <w:t xml:space="preserve">Hollin, G. (2017) ‘Autism, sociality, and politics: Tracing the contours of the autism field in the UK’, </w:t>
      </w:r>
      <w:r w:rsidRPr="0047192E">
        <w:rPr>
          <w:rFonts w:ascii="Arial" w:eastAsia="Times New Roman" w:hAnsi="Arial" w:cs="Arial"/>
          <w:i/>
          <w:iCs/>
          <w:color w:val="000000" w:themeColor="text1"/>
          <w:sz w:val="22"/>
        </w:rPr>
        <w:t>Sociology of Health &amp; Illness</w:t>
      </w:r>
      <w:r w:rsidRPr="0047192E">
        <w:rPr>
          <w:rFonts w:ascii="Arial" w:eastAsia="Times New Roman" w:hAnsi="Arial" w:cs="Arial"/>
          <w:color w:val="000000" w:themeColor="text1"/>
          <w:sz w:val="22"/>
        </w:rPr>
        <w:t>, 39(7), pp. 1272–1287. https://doi.org/10.1111/1467-9566.12583</w:t>
      </w:r>
    </w:p>
    <w:p w14:paraId="69CD8059"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Hull, L., Mandy, W., Lai, M.C., Baron-Cohen, S., Allison, C., Smith, P. and Petrides, K.V. (2020) ‘Development and validation of the Camouflaging Autistic Traits Questionnaire (CAT-Q)’,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50(3), pp. 819–833. https://doi.org/10.1007/s10803-019-04397-6</w:t>
      </w:r>
    </w:p>
    <w:p w14:paraId="0BC1B3C5"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Kelly, A., Crabtree, J. and Williams, C. (2022) ‘Barriers to healthcare access for autistic women: A qualitative exploration’, </w:t>
      </w:r>
      <w:r w:rsidRPr="0047192E">
        <w:rPr>
          <w:rFonts w:ascii="Arial" w:eastAsia="Times New Roman" w:hAnsi="Arial" w:cs="Arial"/>
          <w:i/>
          <w:iCs/>
          <w:color w:val="000000" w:themeColor="text1"/>
          <w:sz w:val="22"/>
        </w:rPr>
        <w:t>Autism in Adulthood</w:t>
      </w:r>
      <w:r w:rsidRPr="0047192E">
        <w:rPr>
          <w:rFonts w:ascii="Arial" w:eastAsia="Times New Roman" w:hAnsi="Arial" w:cs="Arial"/>
          <w:color w:val="000000" w:themeColor="text1"/>
          <w:sz w:val="22"/>
        </w:rPr>
        <w:t>, 4(2), pp. 120–131. https://doi.org/10.1089/aut.2021.0029</w:t>
      </w:r>
    </w:p>
    <w:p w14:paraId="211A5373"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Lai, M.C., Lombardo, M.V. and Baron-Cohen, S. (2015) ‘Autism’, </w:t>
      </w:r>
      <w:r w:rsidRPr="0047192E">
        <w:rPr>
          <w:rFonts w:ascii="Arial" w:eastAsia="Times New Roman" w:hAnsi="Arial" w:cs="Arial"/>
          <w:i/>
          <w:iCs/>
          <w:color w:val="000000" w:themeColor="text1"/>
          <w:sz w:val="22"/>
        </w:rPr>
        <w:t>The Lancet</w:t>
      </w:r>
      <w:r w:rsidRPr="0047192E">
        <w:rPr>
          <w:rFonts w:ascii="Arial" w:eastAsia="Times New Roman" w:hAnsi="Arial" w:cs="Arial"/>
          <w:color w:val="000000" w:themeColor="text1"/>
          <w:sz w:val="22"/>
        </w:rPr>
        <w:t>, 383(9920), pp. 896–910. https://doi.org/10.1016/S0140-6736(13)61539-1</w:t>
      </w:r>
    </w:p>
    <w:p w14:paraId="0A00362D"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Lai, M.C. and Kassee, C. (2019) ‘Gender, sex and autism: Towards better approaches’, </w:t>
      </w:r>
      <w:r w:rsidRPr="0047192E">
        <w:rPr>
          <w:rFonts w:ascii="Arial" w:eastAsia="Times New Roman" w:hAnsi="Arial" w:cs="Arial"/>
          <w:i/>
          <w:iCs/>
          <w:color w:val="000000" w:themeColor="text1"/>
          <w:sz w:val="22"/>
        </w:rPr>
        <w:t>Autism</w:t>
      </w:r>
      <w:r w:rsidRPr="0047192E">
        <w:rPr>
          <w:rFonts w:ascii="Arial" w:eastAsia="Times New Roman" w:hAnsi="Arial" w:cs="Arial"/>
          <w:color w:val="000000" w:themeColor="text1"/>
          <w:sz w:val="22"/>
        </w:rPr>
        <w:t>, 23(9), pp. 1421–1435. https://doi.org/10.1177/1362361319836536</w:t>
      </w:r>
    </w:p>
    <w:p w14:paraId="452B1631"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Leadbitter, K., Buckle, K.L., Ellis, C. and Dekker, M. (2021) ‘Autistic self-advocacy and the neurodiversity movement: Implications for autism early intervention research and practice’, </w:t>
      </w:r>
      <w:r w:rsidRPr="0047192E">
        <w:rPr>
          <w:rFonts w:ascii="Arial" w:eastAsia="Times New Roman" w:hAnsi="Arial" w:cs="Arial"/>
          <w:i/>
          <w:iCs/>
          <w:color w:val="000000" w:themeColor="text1"/>
          <w:sz w:val="22"/>
        </w:rPr>
        <w:t>Frontiers in Psychology</w:t>
      </w:r>
      <w:r w:rsidRPr="0047192E">
        <w:rPr>
          <w:rFonts w:ascii="Arial" w:eastAsia="Times New Roman" w:hAnsi="Arial" w:cs="Arial"/>
          <w:color w:val="000000" w:themeColor="text1"/>
          <w:sz w:val="22"/>
        </w:rPr>
        <w:t>, 12, 635690. https://doi.org/10.3389/fpsyg.2021.635690</w:t>
      </w:r>
    </w:p>
    <w:p w14:paraId="20FF3855"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Leedham, A., Thompson, A., Smith, R. and Freeth, M. (2020) ‘Autistic adults’ experiences of camouflaging and its perceived impact on mental health’, </w:t>
      </w:r>
      <w:r w:rsidRPr="0047192E">
        <w:rPr>
          <w:rFonts w:ascii="Arial" w:eastAsia="Times New Roman" w:hAnsi="Arial" w:cs="Arial"/>
          <w:i/>
          <w:iCs/>
          <w:color w:val="000000" w:themeColor="text1"/>
          <w:sz w:val="22"/>
        </w:rPr>
        <w:t>Autism in Adulthood</w:t>
      </w:r>
      <w:r w:rsidRPr="0047192E">
        <w:rPr>
          <w:rFonts w:ascii="Arial" w:eastAsia="Times New Roman" w:hAnsi="Arial" w:cs="Arial"/>
          <w:color w:val="000000" w:themeColor="text1"/>
          <w:sz w:val="22"/>
        </w:rPr>
        <w:t>, 2(2), pp. 93–103. https://doi.org/10.1089/aut.2019.0078</w:t>
      </w:r>
    </w:p>
    <w:p w14:paraId="7A20E93F"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Lordan, M. (2021) </w:t>
      </w:r>
      <w:r w:rsidRPr="0047192E">
        <w:rPr>
          <w:rFonts w:ascii="Arial" w:eastAsia="Times New Roman" w:hAnsi="Arial" w:cs="Arial"/>
          <w:i/>
          <w:iCs/>
          <w:color w:val="000000" w:themeColor="text1"/>
          <w:sz w:val="22"/>
        </w:rPr>
        <w:t>Intervention and family research in autism: Emerging UK perspectives</w:t>
      </w:r>
      <w:r w:rsidRPr="0047192E">
        <w:rPr>
          <w:rFonts w:ascii="Arial" w:eastAsia="Times New Roman" w:hAnsi="Arial" w:cs="Arial"/>
          <w:color w:val="000000" w:themeColor="text1"/>
          <w:sz w:val="22"/>
        </w:rPr>
        <w:t>. London: King’s College Policy Institute.</w:t>
      </w:r>
    </w:p>
    <w:p w14:paraId="5BA103F4"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Moher, D., Liberati, A., Tetzlaff, J. and Altman, D.G. (</w:t>
      </w:r>
      <w:proofErr w:type="gramStart"/>
      <w:r w:rsidRPr="0047192E">
        <w:rPr>
          <w:rFonts w:ascii="Arial" w:hAnsi="Arial" w:cs="Arial"/>
          <w:color w:val="000000" w:themeColor="text1"/>
          <w:sz w:val="22"/>
          <w:szCs w:val="22"/>
        </w:rPr>
        <w:t>2009) ‘</w:t>
      </w:r>
      <w:proofErr w:type="gramEnd"/>
      <w:r w:rsidRPr="0047192E">
        <w:rPr>
          <w:rFonts w:ascii="Arial" w:hAnsi="Arial" w:cs="Arial"/>
          <w:color w:val="000000" w:themeColor="text1"/>
          <w:sz w:val="22"/>
          <w:szCs w:val="22"/>
        </w:rPr>
        <w:t xml:space="preserve">Preferred reporting items for systematic reviews and meta-analyses: The PRISMA statement’, </w:t>
      </w:r>
      <w:proofErr w:type="spellStart"/>
      <w:r w:rsidRPr="0047192E">
        <w:rPr>
          <w:rFonts w:ascii="Arial" w:hAnsi="Arial" w:cs="Arial"/>
          <w:color w:val="000000" w:themeColor="text1"/>
          <w:sz w:val="22"/>
          <w:szCs w:val="22"/>
        </w:rPr>
        <w:t>PLoS</w:t>
      </w:r>
      <w:proofErr w:type="spellEnd"/>
      <w:r w:rsidRPr="0047192E">
        <w:rPr>
          <w:rFonts w:ascii="Arial" w:hAnsi="Arial" w:cs="Arial"/>
          <w:color w:val="000000" w:themeColor="text1"/>
          <w:sz w:val="22"/>
          <w:szCs w:val="22"/>
        </w:rPr>
        <w:t xml:space="preserve"> Medicine, 6(7), e1000097.</w:t>
      </w:r>
    </w:p>
    <w:p w14:paraId="4B21A166"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Makino, M., Saito, A. and Yamazaki, Y. (2021) </w:t>
      </w:r>
      <w:r w:rsidRPr="0047192E">
        <w:rPr>
          <w:rFonts w:ascii="Arial" w:eastAsia="Times New Roman" w:hAnsi="Arial" w:cs="Arial"/>
          <w:i/>
          <w:iCs/>
          <w:color w:val="000000" w:themeColor="text1"/>
          <w:sz w:val="22"/>
        </w:rPr>
        <w:t>Parent-led initiatives and autism policy: International comparative report</w:t>
      </w:r>
      <w:r w:rsidRPr="0047192E">
        <w:rPr>
          <w:rFonts w:ascii="Arial" w:eastAsia="Times New Roman" w:hAnsi="Arial" w:cs="Arial"/>
          <w:color w:val="000000" w:themeColor="text1"/>
          <w:sz w:val="22"/>
        </w:rPr>
        <w:t>. OECD Working Paper No. 334. Paris: OECD Publishing.</w:t>
      </w:r>
    </w:p>
    <w:p w14:paraId="6439A643"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Masi, A., DeMayo, M.M., Glozier, N. and Guastella, A.J. (2017) ‘An overview of autism spectrum disorder, heterogeneity and treatment options’, </w:t>
      </w:r>
      <w:r w:rsidRPr="0047192E">
        <w:rPr>
          <w:rFonts w:ascii="Arial" w:eastAsia="Times New Roman" w:hAnsi="Arial" w:cs="Arial"/>
          <w:i/>
          <w:iCs/>
          <w:color w:val="000000" w:themeColor="text1"/>
          <w:sz w:val="22"/>
        </w:rPr>
        <w:t>Neuroscience Bulletin</w:t>
      </w:r>
      <w:r w:rsidRPr="0047192E">
        <w:rPr>
          <w:rFonts w:ascii="Arial" w:eastAsia="Times New Roman" w:hAnsi="Arial" w:cs="Arial"/>
          <w:color w:val="000000" w:themeColor="text1"/>
          <w:sz w:val="22"/>
        </w:rPr>
        <w:t>, 33(2), pp. 183–193. https://doi.org/10.1007/s12264-017-0100-y</w:t>
      </w:r>
    </w:p>
    <w:p w14:paraId="12AC3AE0"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McDonnell, C.G. and DeLucia, E.A. (2021) ‘Parenting stress and child behaviour among mothers of children with autism’,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51(2), pp. 554–567. https://doi.org/10.1007/s10803-020-04538-6</w:t>
      </w:r>
    </w:p>
    <w:p w14:paraId="745B5161"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lastRenderedPageBreak/>
        <w:t xml:space="preserve">Milner, V., McIntosh, H., Colvert, E. and </w:t>
      </w:r>
      <w:proofErr w:type="spellStart"/>
      <w:r w:rsidRPr="0047192E">
        <w:rPr>
          <w:rFonts w:ascii="Arial" w:eastAsia="Times New Roman" w:hAnsi="Arial" w:cs="Arial"/>
          <w:color w:val="000000" w:themeColor="text1"/>
          <w:sz w:val="22"/>
        </w:rPr>
        <w:t>Happé</w:t>
      </w:r>
      <w:proofErr w:type="spellEnd"/>
      <w:r w:rsidRPr="0047192E">
        <w:rPr>
          <w:rFonts w:ascii="Arial" w:eastAsia="Times New Roman" w:hAnsi="Arial" w:cs="Arial"/>
          <w:color w:val="000000" w:themeColor="text1"/>
          <w:sz w:val="22"/>
        </w:rPr>
        <w:t xml:space="preserve">, F. (2019) ‘A qualitative exploration of the female experience of autism spectrum disorder (ASD)’,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49(6), pp. 2389–2402. https://doi.org/10.1007/s10803-019-03906-4</w:t>
      </w:r>
    </w:p>
    <w:p w14:paraId="6E4DE44E"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Milton, D. (2014) ‘Autism and the double empathy problem’, </w:t>
      </w:r>
      <w:r w:rsidRPr="0047192E">
        <w:rPr>
          <w:rFonts w:ascii="Arial" w:eastAsia="Times New Roman" w:hAnsi="Arial" w:cs="Arial"/>
          <w:i/>
          <w:iCs/>
          <w:color w:val="000000" w:themeColor="text1"/>
          <w:sz w:val="22"/>
        </w:rPr>
        <w:t>Disability &amp; Society</w:t>
      </w:r>
      <w:r w:rsidRPr="0047192E">
        <w:rPr>
          <w:rFonts w:ascii="Arial" w:eastAsia="Times New Roman" w:hAnsi="Arial" w:cs="Arial"/>
          <w:color w:val="000000" w:themeColor="text1"/>
          <w:sz w:val="22"/>
        </w:rPr>
        <w:t>, 27(6), pp. 883–887. https://doi.org/10.1080/09687599.2012.710008</w:t>
      </w:r>
    </w:p>
    <w:p w14:paraId="3D3C7E18"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Milton, D. (2017) ‘A mismatch of salience: Explorations of the nature of autism from theory to practice’, </w:t>
      </w:r>
      <w:r w:rsidRPr="0047192E">
        <w:rPr>
          <w:rFonts w:ascii="Arial" w:eastAsia="Times New Roman" w:hAnsi="Arial" w:cs="Arial"/>
          <w:i/>
          <w:iCs/>
          <w:color w:val="000000" w:themeColor="text1"/>
          <w:sz w:val="22"/>
        </w:rPr>
        <w:t>Autonomy, the Critical Journal of Interdisciplinary Autism Studies</w:t>
      </w:r>
      <w:r w:rsidRPr="0047192E">
        <w:rPr>
          <w:rFonts w:ascii="Arial" w:eastAsia="Times New Roman" w:hAnsi="Arial" w:cs="Arial"/>
          <w:color w:val="000000" w:themeColor="text1"/>
          <w:sz w:val="22"/>
        </w:rPr>
        <w:t>, 1(1), pp. 1–13.</w:t>
      </w:r>
    </w:p>
    <w:p w14:paraId="54BE3F00"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Mo, Y., Su, L., Xu, L. and Luo, X. (2022) ‘Cultural perspectives on autism: A comparative study’, </w:t>
      </w:r>
      <w:r w:rsidRPr="0047192E">
        <w:rPr>
          <w:rFonts w:ascii="Arial" w:eastAsia="Times New Roman" w:hAnsi="Arial" w:cs="Arial"/>
          <w:i/>
          <w:iCs/>
          <w:color w:val="000000" w:themeColor="text1"/>
          <w:sz w:val="22"/>
        </w:rPr>
        <w:t>Journal of Cross-Cultural Psychology</w:t>
      </w:r>
      <w:r w:rsidRPr="0047192E">
        <w:rPr>
          <w:rFonts w:ascii="Arial" w:eastAsia="Times New Roman" w:hAnsi="Arial" w:cs="Arial"/>
          <w:color w:val="000000" w:themeColor="text1"/>
          <w:sz w:val="22"/>
        </w:rPr>
        <w:t>, 53(4), pp. 333–347. https://doi.org/10.1177/00220221221088252</w:t>
      </w:r>
    </w:p>
    <w:p w14:paraId="2183CC80"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Murray, A.L., Booth, T., McKenzie, K., Kuenssberg, R. and O’Donnell, M. (2019) ‘Are autistic traits measured equivalently in individuals with and without an autism spectrum disorder? An invariance analysis of the Autism-Spectrum Quotient Short Form’,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49(4), pp. 1593–1602. https://doi.org/10.1007/s10803-018-3856-0</w:t>
      </w:r>
    </w:p>
    <w:p w14:paraId="58491ABF"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National Autistic Society (2024) </w:t>
      </w:r>
      <w:r w:rsidRPr="0047192E">
        <w:rPr>
          <w:rFonts w:ascii="Arial" w:eastAsia="Times New Roman" w:hAnsi="Arial" w:cs="Arial"/>
          <w:i/>
          <w:iCs/>
          <w:color w:val="000000" w:themeColor="text1"/>
          <w:sz w:val="22"/>
        </w:rPr>
        <w:t>What is autism?</w:t>
      </w:r>
      <w:r w:rsidRPr="0047192E">
        <w:rPr>
          <w:rFonts w:ascii="Arial" w:eastAsia="Times New Roman" w:hAnsi="Arial" w:cs="Arial"/>
          <w:color w:val="000000" w:themeColor="text1"/>
          <w:sz w:val="22"/>
        </w:rPr>
        <w:t xml:space="preserve"> London: NAS. Available at: https://www.autism.org.uk/advice-and-guidance/what-is-autism (Accessed: 20 September 2025).</w:t>
      </w:r>
    </w:p>
    <w:p w14:paraId="0793FFD6"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Office for National Statistics (2023) </w:t>
      </w:r>
      <w:r w:rsidRPr="0047192E">
        <w:rPr>
          <w:rFonts w:ascii="Arial" w:eastAsia="Times New Roman" w:hAnsi="Arial" w:cs="Arial"/>
          <w:i/>
          <w:iCs/>
          <w:color w:val="000000" w:themeColor="text1"/>
          <w:sz w:val="22"/>
        </w:rPr>
        <w:t>Autism prevalence, UK</w:t>
      </w:r>
      <w:r w:rsidRPr="0047192E">
        <w:rPr>
          <w:rFonts w:ascii="Arial" w:eastAsia="Times New Roman" w:hAnsi="Arial" w:cs="Arial"/>
          <w:color w:val="000000" w:themeColor="text1"/>
          <w:sz w:val="22"/>
        </w:rPr>
        <w:t>. Newport: ONS. Available at: https://www.ons.gov.uk (Accessed: 20 September 2025).</w:t>
      </w:r>
    </w:p>
    <w:p w14:paraId="53CA5E2D"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Pellicano, E., </w:t>
      </w:r>
      <w:proofErr w:type="spellStart"/>
      <w:r w:rsidRPr="0047192E">
        <w:rPr>
          <w:rFonts w:ascii="Arial" w:eastAsia="Times New Roman" w:hAnsi="Arial" w:cs="Arial"/>
          <w:color w:val="000000" w:themeColor="text1"/>
          <w:sz w:val="22"/>
        </w:rPr>
        <w:t>Bölte</w:t>
      </w:r>
      <w:proofErr w:type="spellEnd"/>
      <w:r w:rsidRPr="0047192E">
        <w:rPr>
          <w:rFonts w:ascii="Arial" w:eastAsia="Times New Roman" w:hAnsi="Arial" w:cs="Arial"/>
          <w:color w:val="000000" w:themeColor="text1"/>
          <w:sz w:val="22"/>
        </w:rPr>
        <w:t xml:space="preserve">, S. and Stahmer, A. (2018) ‘The current illusion of neurodiversity in autism research’, </w:t>
      </w:r>
      <w:r w:rsidRPr="0047192E">
        <w:rPr>
          <w:rFonts w:ascii="Arial" w:eastAsia="Times New Roman" w:hAnsi="Arial" w:cs="Arial"/>
          <w:i/>
          <w:iCs/>
          <w:color w:val="000000" w:themeColor="text1"/>
          <w:sz w:val="22"/>
        </w:rPr>
        <w:t>Autism</w:t>
      </w:r>
      <w:r w:rsidRPr="0047192E">
        <w:rPr>
          <w:rFonts w:ascii="Arial" w:eastAsia="Times New Roman" w:hAnsi="Arial" w:cs="Arial"/>
          <w:color w:val="000000" w:themeColor="text1"/>
          <w:sz w:val="22"/>
        </w:rPr>
        <w:t>, 22(6), pp. 643–645. https://doi.org/10.1177/1362361318766569</w:t>
      </w:r>
    </w:p>
    <w:p w14:paraId="158BCF59"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Pellicano, E., </w:t>
      </w:r>
      <w:proofErr w:type="spellStart"/>
      <w:r w:rsidRPr="0047192E">
        <w:rPr>
          <w:rFonts w:ascii="Arial" w:eastAsia="Times New Roman" w:hAnsi="Arial" w:cs="Arial"/>
          <w:color w:val="000000" w:themeColor="text1"/>
          <w:sz w:val="22"/>
        </w:rPr>
        <w:t>Bölte</w:t>
      </w:r>
      <w:proofErr w:type="spellEnd"/>
      <w:r w:rsidRPr="0047192E">
        <w:rPr>
          <w:rFonts w:ascii="Arial" w:eastAsia="Times New Roman" w:hAnsi="Arial" w:cs="Arial"/>
          <w:color w:val="000000" w:themeColor="text1"/>
          <w:sz w:val="22"/>
        </w:rPr>
        <w:t xml:space="preserve">, S. and Stahmer, A. (2022) ‘The current illusion of educational inclusion’, </w:t>
      </w:r>
      <w:r w:rsidRPr="0047192E">
        <w:rPr>
          <w:rFonts w:ascii="Arial" w:eastAsia="Times New Roman" w:hAnsi="Arial" w:cs="Arial"/>
          <w:i/>
          <w:iCs/>
          <w:color w:val="000000" w:themeColor="text1"/>
          <w:sz w:val="22"/>
        </w:rPr>
        <w:t>Autism</w:t>
      </w:r>
      <w:r w:rsidRPr="0047192E">
        <w:rPr>
          <w:rFonts w:ascii="Arial" w:eastAsia="Times New Roman" w:hAnsi="Arial" w:cs="Arial"/>
          <w:color w:val="000000" w:themeColor="text1"/>
          <w:sz w:val="22"/>
        </w:rPr>
        <w:t>, 26(2), pp. 386–394. https://doi.org/10.1177/13623613211060508</w:t>
      </w:r>
    </w:p>
    <w:p w14:paraId="2F9E4B7F"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Pohl, A.L., Crockford, S.K., Blakemore, M. and Allison, C. (2020) ‘A comparative study of parenting in mothers with and without autism’, </w:t>
      </w:r>
      <w:r w:rsidRPr="0047192E">
        <w:rPr>
          <w:rFonts w:ascii="Arial" w:eastAsia="Times New Roman" w:hAnsi="Arial" w:cs="Arial"/>
          <w:i/>
          <w:iCs/>
          <w:color w:val="000000" w:themeColor="text1"/>
          <w:sz w:val="22"/>
        </w:rPr>
        <w:t>Molecular Autism</w:t>
      </w:r>
      <w:r w:rsidRPr="0047192E">
        <w:rPr>
          <w:rFonts w:ascii="Arial" w:eastAsia="Times New Roman" w:hAnsi="Arial" w:cs="Arial"/>
          <w:color w:val="000000" w:themeColor="text1"/>
          <w:sz w:val="22"/>
        </w:rPr>
        <w:t>, 11, 52. https://doi.org/10.1186/s13229-020-00356-5</w:t>
      </w:r>
    </w:p>
    <w:p w14:paraId="66C30985"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Petticrew, M. and Roberts, H. (2006) Systematic Reviews in the Social Sciences: A Practical Guide. Oxford: Blackwell.</w:t>
      </w:r>
    </w:p>
    <w:p w14:paraId="635130F8"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lastRenderedPageBreak/>
        <w:t xml:space="preserve">Rosen, N.E., Lord, C. and Volkmar, F.R. (2021) ‘The diagnosis of autism: From Kanner to DSM-III to DSM-5 and beyond’,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51(12), pp. 4253–4270. https://doi.org/10.1007/s10803-021-05082-1</w:t>
      </w:r>
    </w:p>
    <w:p w14:paraId="3CD08B63"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Russell, G., Mandy, W. and Elliott, D. (2016) ‘Researching diagnosis, service use, and care in autism spectrum disorder: A UK perspective’, </w:t>
      </w:r>
      <w:r w:rsidRPr="0047192E">
        <w:rPr>
          <w:rFonts w:ascii="Arial" w:eastAsia="Times New Roman" w:hAnsi="Arial" w:cs="Arial"/>
          <w:i/>
          <w:iCs/>
          <w:color w:val="000000" w:themeColor="text1"/>
          <w:sz w:val="22"/>
        </w:rPr>
        <w:t>Journal of Autism and Developmental Disorders</w:t>
      </w:r>
      <w:r w:rsidRPr="0047192E">
        <w:rPr>
          <w:rFonts w:ascii="Arial" w:eastAsia="Times New Roman" w:hAnsi="Arial" w:cs="Arial"/>
          <w:color w:val="000000" w:themeColor="text1"/>
          <w:sz w:val="22"/>
        </w:rPr>
        <w:t>, 46(6), pp. 1591–1601. https://doi.org/10.1007/s10803-016-2716-6</w:t>
      </w:r>
    </w:p>
    <w:p w14:paraId="27802105"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Soares, D., Patel, P. and Williams, R. (2024) ‘Equity and access in autism services: Reviewing the impact of recent UK policy reforms’, </w:t>
      </w:r>
      <w:r w:rsidRPr="0047192E">
        <w:rPr>
          <w:rFonts w:ascii="Arial" w:eastAsia="Times New Roman" w:hAnsi="Arial" w:cs="Arial"/>
          <w:i/>
          <w:iCs/>
          <w:color w:val="000000" w:themeColor="text1"/>
          <w:sz w:val="22"/>
        </w:rPr>
        <w:t>British Journal of Social Work</w:t>
      </w:r>
      <w:r w:rsidRPr="0047192E">
        <w:rPr>
          <w:rFonts w:ascii="Arial" w:eastAsia="Times New Roman" w:hAnsi="Arial" w:cs="Arial"/>
          <w:color w:val="000000" w:themeColor="text1"/>
          <w:sz w:val="22"/>
        </w:rPr>
        <w:t>, 54(3), pp. 765–782. https://doi.org/10.1093/bjsw/bcad031</w:t>
      </w:r>
    </w:p>
    <w:p w14:paraId="797F7E4D"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Saunders, M., Lewis, P. and Thornhill, M. (2019) </w:t>
      </w:r>
      <w:r w:rsidRPr="0047192E">
        <w:rPr>
          <w:rStyle w:val="Emphasis"/>
          <w:rFonts w:ascii="Arial" w:hAnsi="Arial" w:cs="Arial"/>
          <w:color w:val="000000" w:themeColor="text1"/>
          <w:sz w:val="22"/>
          <w:szCs w:val="22"/>
        </w:rPr>
        <w:t>Research Methods for Business Students</w:t>
      </w:r>
      <w:r w:rsidRPr="0047192E">
        <w:rPr>
          <w:rFonts w:ascii="Arial" w:hAnsi="Arial" w:cs="Arial"/>
          <w:color w:val="000000" w:themeColor="text1"/>
          <w:sz w:val="22"/>
          <w:szCs w:val="22"/>
        </w:rPr>
        <w:t xml:space="preserve">. 8th </w:t>
      </w:r>
      <w:proofErr w:type="spellStart"/>
      <w:proofErr w:type="gramStart"/>
      <w:r w:rsidRPr="0047192E">
        <w:rPr>
          <w:rFonts w:ascii="Arial" w:hAnsi="Arial" w:cs="Arial"/>
          <w:color w:val="000000" w:themeColor="text1"/>
          <w:sz w:val="22"/>
          <w:szCs w:val="22"/>
        </w:rPr>
        <w:t>edn</w:t>
      </w:r>
      <w:proofErr w:type="spellEnd"/>
      <w:proofErr w:type="gramEnd"/>
      <w:r w:rsidRPr="0047192E">
        <w:rPr>
          <w:rFonts w:ascii="Arial" w:hAnsi="Arial" w:cs="Arial"/>
          <w:color w:val="000000" w:themeColor="text1"/>
          <w:sz w:val="22"/>
          <w:szCs w:val="22"/>
        </w:rPr>
        <w:t>. Harlow: Pearson.</w:t>
      </w:r>
    </w:p>
    <w:p w14:paraId="2B1D46BC" w14:textId="77777777" w:rsidR="00B81479" w:rsidRPr="0047192E" w:rsidRDefault="00B81479" w:rsidP="00B81479">
      <w:pPr>
        <w:pStyle w:val="NormalWeb"/>
        <w:numPr>
          <w:ilvl w:val="0"/>
          <w:numId w:val="1"/>
        </w:numPr>
        <w:spacing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Tranfield, D., Denyer, D. and Smart, P. (2003) ‘Towards a methodology for developing evidence-informed management knowledge by means of systematic review’, </w:t>
      </w:r>
      <w:r w:rsidRPr="0047192E">
        <w:rPr>
          <w:rStyle w:val="Emphasis"/>
          <w:rFonts w:ascii="Arial" w:hAnsi="Arial" w:cs="Arial"/>
          <w:color w:val="000000" w:themeColor="text1"/>
          <w:sz w:val="22"/>
          <w:szCs w:val="22"/>
        </w:rPr>
        <w:t>British Journal of Management</w:t>
      </w:r>
      <w:r w:rsidRPr="0047192E">
        <w:rPr>
          <w:rFonts w:ascii="Arial" w:hAnsi="Arial" w:cs="Arial"/>
          <w:color w:val="000000" w:themeColor="text1"/>
          <w:sz w:val="22"/>
          <w:szCs w:val="22"/>
        </w:rPr>
        <w:t>, 14(3), pp. 207–222.</w:t>
      </w:r>
    </w:p>
    <w:p w14:paraId="1D2F7064"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Taylor, L. (2023) </w:t>
      </w:r>
      <w:r w:rsidRPr="0047192E">
        <w:rPr>
          <w:rFonts w:ascii="Arial" w:eastAsia="Times New Roman" w:hAnsi="Arial" w:cs="Arial"/>
          <w:i/>
          <w:iCs/>
          <w:color w:val="000000" w:themeColor="text1"/>
          <w:sz w:val="22"/>
        </w:rPr>
        <w:t>Parent advocacy and autism services: A UK policy analysis</w:t>
      </w:r>
      <w:r w:rsidRPr="0047192E">
        <w:rPr>
          <w:rFonts w:ascii="Arial" w:eastAsia="Times New Roman" w:hAnsi="Arial" w:cs="Arial"/>
          <w:color w:val="000000" w:themeColor="text1"/>
          <w:sz w:val="22"/>
        </w:rPr>
        <w:t>. PhD thesis. University of Manchester.</w:t>
      </w:r>
    </w:p>
    <w:p w14:paraId="3FF77ADA"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Tick, B., Bolton, P., </w:t>
      </w:r>
      <w:proofErr w:type="spellStart"/>
      <w:r w:rsidRPr="0047192E">
        <w:rPr>
          <w:rFonts w:ascii="Arial" w:eastAsia="Times New Roman" w:hAnsi="Arial" w:cs="Arial"/>
          <w:color w:val="000000" w:themeColor="text1"/>
          <w:sz w:val="22"/>
        </w:rPr>
        <w:t>Happé</w:t>
      </w:r>
      <w:proofErr w:type="spellEnd"/>
      <w:r w:rsidRPr="0047192E">
        <w:rPr>
          <w:rFonts w:ascii="Arial" w:eastAsia="Times New Roman" w:hAnsi="Arial" w:cs="Arial"/>
          <w:color w:val="000000" w:themeColor="text1"/>
          <w:sz w:val="22"/>
        </w:rPr>
        <w:t xml:space="preserve">, F., Rutter, M. and Rijsdijk, F. (2016) ‘Heritability of autism spectrum disorders: A UK twin study’, </w:t>
      </w:r>
      <w:r w:rsidRPr="0047192E">
        <w:rPr>
          <w:rFonts w:ascii="Arial" w:eastAsia="Times New Roman" w:hAnsi="Arial" w:cs="Arial"/>
          <w:i/>
          <w:iCs/>
          <w:color w:val="000000" w:themeColor="text1"/>
          <w:sz w:val="22"/>
        </w:rPr>
        <w:t>JAMA Psychiatry</w:t>
      </w:r>
      <w:r w:rsidRPr="0047192E">
        <w:rPr>
          <w:rFonts w:ascii="Arial" w:eastAsia="Times New Roman" w:hAnsi="Arial" w:cs="Arial"/>
          <w:color w:val="000000" w:themeColor="text1"/>
          <w:sz w:val="22"/>
        </w:rPr>
        <w:t>, 73(3), pp. 234–243. https://doi.org/10.1001/jamapsychiatry.2015.3026</w:t>
      </w:r>
    </w:p>
    <w:p w14:paraId="1430E4D3" w14:textId="77777777" w:rsidR="00B81479" w:rsidRPr="0047192E"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 xml:space="preserve">Wassell, C. and Burke, J. (2022) ‘Autism and gender: Women’s experiences of diagnosis and identity’, </w:t>
      </w:r>
      <w:r w:rsidRPr="0047192E">
        <w:rPr>
          <w:rFonts w:ascii="Arial" w:eastAsia="Times New Roman" w:hAnsi="Arial" w:cs="Arial"/>
          <w:i/>
          <w:iCs/>
          <w:color w:val="000000" w:themeColor="text1"/>
          <w:sz w:val="22"/>
        </w:rPr>
        <w:t>Autism in Adulthood</w:t>
      </w:r>
      <w:r w:rsidRPr="0047192E">
        <w:rPr>
          <w:rFonts w:ascii="Arial" w:eastAsia="Times New Roman" w:hAnsi="Arial" w:cs="Arial"/>
          <w:color w:val="000000" w:themeColor="text1"/>
          <w:sz w:val="22"/>
        </w:rPr>
        <w:t>, 4(1), pp. 45–56. https://doi.org/10.1089/aut.2021.0035</w:t>
      </w:r>
    </w:p>
    <w:p w14:paraId="32C72E26" w14:textId="77777777" w:rsidR="00B81479" w:rsidRDefault="00B81479" w:rsidP="00B81479">
      <w:pPr>
        <w:pStyle w:val="ListParagraph"/>
        <w:numPr>
          <w:ilvl w:val="0"/>
          <w:numId w:val="1"/>
        </w:numPr>
        <w:spacing w:before="120" w:after="120" w:line="360" w:lineRule="auto"/>
        <w:jc w:val="both"/>
        <w:rPr>
          <w:rFonts w:ascii="Arial" w:eastAsia="Times New Roman" w:hAnsi="Arial" w:cs="Arial"/>
          <w:color w:val="000000" w:themeColor="text1"/>
          <w:sz w:val="22"/>
        </w:rPr>
      </w:pPr>
      <w:proofErr w:type="spellStart"/>
      <w:r w:rsidRPr="0047192E">
        <w:rPr>
          <w:rFonts w:ascii="Arial" w:eastAsia="Times New Roman" w:hAnsi="Arial" w:cs="Arial"/>
          <w:color w:val="000000" w:themeColor="text1"/>
          <w:sz w:val="22"/>
        </w:rPr>
        <w:t>Zwaigenbaum</w:t>
      </w:r>
      <w:proofErr w:type="spellEnd"/>
      <w:r w:rsidRPr="0047192E">
        <w:rPr>
          <w:rFonts w:ascii="Arial" w:eastAsia="Times New Roman" w:hAnsi="Arial" w:cs="Arial"/>
          <w:color w:val="000000" w:themeColor="text1"/>
          <w:sz w:val="22"/>
        </w:rPr>
        <w:t xml:space="preserve">, L., Bauman, M.L., Choueiri, R., </w:t>
      </w:r>
      <w:proofErr w:type="spellStart"/>
      <w:r w:rsidRPr="0047192E">
        <w:rPr>
          <w:rFonts w:ascii="Arial" w:eastAsia="Times New Roman" w:hAnsi="Arial" w:cs="Arial"/>
          <w:color w:val="000000" w:themeColor="text1"/>
          <w:sz w:val="22"/>
        </w:rPr>
        <w:t>Kasari</w:t>
      </w:r>
      <w:proofErr w:type="spellEnd"/>
      <w:r w:rsidRPr="0047192E">
        <w:rPr>
          <w:rFonts w:ascii="Arial" w:eastAsia="Times New Roman" w:hAnsi="Arial" w:cs="Arial"/>
          <w:color w:val="000000" w:themeColor="text1"/>
          <w:sz w:val="22"/>
        </w:rPr>
        <w:t xml:space="preserve">, C., Carter, A., </w:t>
      </w:r>
      <w:proofErr w:type="spellStart"/>
      <w:r w:rsidRPr="0047192E">
        <w:rPr>
          <w:rFonts w:ascii="Arial" w:eastAsia="Times New Roman" w:hAnsi="Arial" w:cs="Arial"/>
          <w:color w:val="000000" w:themeColor="text1"/>
          <w:sz w:val="22"/>
        </w:rPr>
        <w:t>Granpeesheh</w:t>
      </w:r>
      <w:proofErr w:type="spellEnd"/>
      <w:r w:rsidRPr="0047192E">
        <w:rPr>
          <w:rFonts w:ascii="Arial" w:eastAsia="Times New Roman" w:hAnsi="Arial" w:cs="Arial"/>
          <w:color w:val="000000" w:themeColor="text1"/>
          <w:sz w:val="22"/>
        </w:rPr>
        <w:t xml:space="preserve">, D., Mailloux, Z., Smith, I.C., Wagner, S. and Wetherby, A. (2020) ‘Early intervention for children with autism spectrum disorder under 3 years of age: Recommendations for practice and research’, </w:t>
      </w:r>
      <w:proofErr w:type="spellStart"/>
      <w:r w:rsidRPr="0047192E">
        <w:rPr>
          <w:rFonts w:ascii="Arial" w:eastAsia="Times New Roman" w:hAnsi="Arial" w:cs="Arial"/>
          <w:i/>
          <w:iCs/>
          <w:color w:val="000000" w:themeColor="text1"/>
          <w:sz w:val="22"/>
        </w:rPr>
        <w:t>Pediatrics</w:t>
      </w:r>
      <w:proofErr w:type="spellEnd"/>
      <w:r w:rsidRPr="0047192E">
        <w:rPr>
          <w:rFonts w:ascii="Arial" w:eastAsia="Times New Roman" w:hAnsi="Arial" w:cs="Arial"/>
          <w:color w:val="000000" w:themeColor="text1"/>
          <w:sz w:val="22"/>
        </w:rPr>
        <w:t xml:space="preserve">, 145(1), pp. e20193447. </w:t>
      </w:r>
      <w:hyperlink r:id="rId7" w:history="1">
        <w:r w:rsidRPr="00244985">
          <w:rPr>
            <w:rStyle w:val="Hyperlink"/>
            <w:rFonts w:ascii="Arial" w:eastAsia="Times New Roman" w:hAnsi="Arial" w:cs="Arial"/>
            <w:sz w:val="22"/>
          </w:rPr>
          <w:t>https://doi.org/10.1542/peds.2019-3447</w:t>
        </w:r>
      </w:hyperlink>
    </w:p>
    <w:p w14:paraId="1E4223D3" w14:textId="77777777" w:rsidR="00B81479" w:rsidRDefault="00B81479" w:rsidP="00B81479">
      <w:pPr>
        <w:pStyle w:val="ListParagraph"/>
        <w:spacing w:before="120" w:after="120" w:line="360" w:lineRule="auto"/>
        <w:jc w:val="both"/>
        <w:rPr>
          <w:rFonts w:ascii="Arial" w:eastAsia="Times New Roman" w:hAnsi="Arial" w:cs="Arial"/>
          <w:color w:val="000000" w:themeColor="text1"/>
          <w:sz w:val="22"/>
        </w:rPr>
      </w:pPr>
    </w:p>
    <w:p w14:paraId="6A651C15" w14:textId="77777777" w:rsidR="00B81479" w:rsidRPr="0047192E" w:rsidRDefault="00B81479" w:rsidP="00B81479">
      <w:pPr>
        <w:pStyle w:val="ListParagraph"/>
        <w:spacing w:before="120" w:after="120" w:line="360" w:lineRule="auto"/>
        <w:jc w:val="both"/>
        <w:rPr>
          <w:rFonts w:ascii="Arial" w:eastAsia="Times New Roman" w:hAnsi="Arial" w:cs="Arial"/>
          <w:color w:val="000000" w:themeColor="text1"/>
          <w:sz w:val="22"/>
        </w:rPr>
      </w:pPr>
    </w:p>
    <w:sectPr w:rsidR="00B81479" w:rsidRPr="0047192E" w:rsidSect="00214C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433FED"/>
    <w:multiLevelType w:val="hybridMultilevel"/>
    <w:tmpl w:val="5A025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7764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D4B"/>
    <w:rsid w:val="00214C3A"/>
    <w:rsid w:val="00456C28"/>
    <w:rsid w:val="009D728F"/>
    <w:rsid w:val="00B81479"/>
    <w:rsid w:val="00D20C28"/>
    <w:rsid w:val="00DE0235"/>
    <w:rsid w:val="00E91114"/>
    <w:rsid w:val="00F17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1E1FE"/>
  <w15:chartTrackingRefBased/>
  <w15:docId w15:val="{ADABE572-3913-42E7-A96D-D6BEDE58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479"/>
  </w:style>
  <w:style w:type="paragraph" w:styleId="Heading1">
    <w:name w:val="heading 1"/>
    <w:basedOn w:val="Normal"/>
    <w:next w:val="Normal"/>
    <w:link w:val="Heading1Char"/>
    <w:autoRedefine/>
    <w:uiPriority w:val="9"/>
    <w:qFormat/>
    <w:rsid w:val="00D20C28"/>
    <w:pPr>
      <w:keepNext/>
      <w:keepLines/>
      <w:spacing w:before="120" w:after="120" w:line="360" w:lineRule="auto"/>
      <w:jc w:val="both"/>
      <w:outlineLvl w:val="0"/>
    </w:pPr>
    <w:rPr>
      <w:rFonts w:ascii="Arial" w:eastAsia="Times New Roman" w:hAnsi="Arial" w:cs="Arial"/>
      <w:b/>
      <w:color w:val="000000" w:themeColor="text1"/>
      <w:sz w:val="32"/>
    </w:rPr>
  </w:style>
  <w:style w:type="paragraph" w:styleId="Heading2">
    <w:name w:val="heading 2"/>
    <w:basedOn w:val="Normal"/>
    <w:next w:val="Normal"/>
    <w:link w:val="Heading2Char"/>
    <w:uiPriority w:val="9"/>
    <w:unhideWhenUsed/>
    <w:qFormat/>
    <w:rsid w:val="00B81479"/>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B814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C28"/>
    <w:rPr>
      <w:rFonts w:ascii="Arial" w:eastAsia="Times New Roman" w:hAnsi="Arial" w:cs="Arial"/>
      <w:b/>
      <w:color w:val="000000" w:themeColor="text1"/>
      <w:sz w:val="32"/>
    </w:rPr>
  </w:style>
  <w:style w:type="character" w:customStyle="1" w:styleId="Heading2Char">
    <w:name w:val="Heading 2 Char"/>
    <w:basedOn w:val="DefaultParagraphFont"/>
    <w:link w:val="Heading2"/>
    <w:uiPriority w:val="9"/>
    <w:rsid w:val="00B81479"/>
    <w:rPr>
      <w:rFonts w:asciiTheme="majorHAnsi" w:eastAsiaTheme="majorEastAsia" w:hAnsiTheme="majorHAnsi" w:cstheme="majorBidi"/>
      <w:color w:val="2E74B5" w:themeColor="accent1" w:themeShade="BF"/>
      <w:sz w:val="28"/>
      <w:szCs w:val="26"/>
    </w:rPr>
  </w:style>
  <w:style w:type="paragraph" w:styleId="NormalWeb">
    <w:name w:val="Normal (Web)"/>
    <w:basedOn w:val="Normal"/>
    <w:uiPriority w:val="99"/>
    <w:unhideWhenUsed/>
    <w:rsid w:val="00B8147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1479"/>
    <w:rPr>
      <w:b/>
      <w:bCs/>
    </w:rPr>
  </w:style>
  <w:style w:type="character" w:customStyle="1" w:styleId="Heading3Char">
    <w:name w:val="Heading 3 Char"/>
    <w:basedOn w:val="DefaultParagraphFont"/>
    <w:link w:val="Heading3"/>
    <w:uiPriority w:val="9"/>
    <w:rsid w:val="00B81479"/>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B81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1479"/>
    <w:pPr>
      <w:ind w:left="720"/>
      <w:contextualSpacing/>
    </w:pPr>
    <w:rPr>
      <w:rFonts w:ascii="Times New Roman" w:hAnsi="Times New Roman"/>
      <w:sz w:val="24"/>
      <w:lang w:val="en-GB"/>
    </w:rPr>
  </w:style>
  <w:style w:type="paragraph" w:styleId="Caption">
    <w:name w:val="caption"/>
    <w:basedOn w:val="Normal"/>
    <w:next w:val="Normal"/>
    <w:uiPriority w:val="35"/>
    <w:unhideWhenUsed/>
    <w:qFormat/>
    <w:rsid w:val="00B81479"/>
    <w:pPr>
      <w:spacing w:after="200" w:line="240" w:lineRule="auto"/>
    </w:pPr>
    <w:rPr>
      <w:i/>
      <w:iCs/>
      <w:color w:val="44546A" w:themeColor="text2"/>
      <w:sz w:val="18"/>
      <w:szCs w:val="18"/>
    </w:rPr>
  </w:style>
  <w:style w:type="character" w:styleId="Emphasis">
    <w:name w:val="Emphasis"/>
    <w:basedOn w:val="DefaultParagraphFont"/>
    <w:uiPriority w:val="20"/>
    <w:qFormat/>
    <w:rsid w:val="00B81479"/>
    <w:rPr>
      <w:i/>
      <w:iCs/>
    </w:rPr>
  </w:style>
  <w:style w:type="character" w:styleId="Hyperlink">
    <w:name w:val="Hyperlink"/>
    <w:basedOn w:val="DefaultParagraphFont"/>
    <w:uiPriority w:val="99"/>
    <w:unhideWhenUsed/>
    <w:rsid w:val="00B814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542/peds.2019-34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ional-strategy-for-autistic-children-young-people-and-adults-2021-to-2026?utm_source=chatgpt.com" TargetMode="External"/><Relationship Id="rId5" Type="http://schemas.openxmlformats.org/officeDocument/2006/relationships/hyperlink" Target="https://www.cdc.gov/autism/data/index.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7522</Words>
  <Characters>42876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Moorche;2226157@student.uwtsd.ac.uk</dc:creator>
  <cp:keywords/>
  <dc:description/>
  <cp:lastModifiedBy>Shabana Sharif (2026633)</cp:lastModifiedBy>
  <cp:revision>2</cp:revision>
  <dcterms:created xsi:type="dcterms:W3CDTF">2025-11-16T13:05:00Z</dcterms:created>
  <dcterms:modified xsi:type="dcterms:W3CDTF">2025-11-16T13:05:00Z</dcterms:modified>
</cp:coreProperties>
</file>