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718" w:rsidRPr="00877718" w:rsidRDefault="00877718" w:rsidP="00877718">
      <w:pPr>
        <w:spacing w:line="360" w:lineRule="auto"/>
        <w:jc w:val="both"/>
        <w:rPr>
          <w:rFonts w:ascii="Times New Roman" w:hAnsi="Times New Roman" w:cs="Times New Roman"/>
          <w:sz w:val="24"/>
          <w:szCs w:val="24"/>
        </w:rPr>
      </w:pPr>
    </w:p>
    <w:p w:rsidR="00877718" w:rsidRPr="00877718" w:rsidRDefault="00877718" w:rsidP="00877718">
      <w:pPr>
        <w:spacing w:line="360" w:lineRule="auto"/>
        <w:jc w:val="both"/>
        <w:rPr>
          <w:rFonts w:ascii="Times New Roman" w:hAnsi="Times New Roman" w:cs="Times New Roman"/>
          <w:sz w:val="24"/>
          <w:szCs w:val="24"/>
        </w:rPr>
      </w:pPr>
    </w:p>
    <w:p w:rsidR="008F563E" w:rsidRDefault="008F563E" w:rsidP="00877718">
      <w:pPr>
        <w:spacing w:line="360" w:lineRule="auto"/>
        <w:jc w:val="both"/>
        <w:rPr>
          <w:rFonts w:ascii="Times New Roman" w:hAnsi="Times New Roman" w:cs="Times New Roman"/>
          <w:sz w:val="24"/>
          <w:szCs w:val="24"/>
        </w:rPr>
      </w:pPr>
      <w:r>
        <w:rPr>
          <w:rFonts w:ascii="Times New Roman" w:hAnsi="Times New Roman" w:cs="Times New Roman"/>
          <w:sz w:val="24"/>
          <w:szCs w:val="24"/>
        </w:rPr>
        <w:t>Nicola Dunne</w:t>
      </w:r>
    </w:p>
    <w:p w:rsidR="008F563E" w:rsidRDefault="008F563E" w:rsidP="00877718">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No: 1502647</w:t>
      </w:r>
    </w:p>
    <w:p w:rsidR="008F563E" w:rsidRDefault="008F563E" w:rsidP="00877718">
      <w:pPr>
        <w:spacing w:line="360" w:lineRule="auto"/>
        <w:jc w:val="both"/>
        <w:rPr>
          <w:rFonts w:ascii="Times New Roman" w:hAnsi="Times New Roman" w:cs="Times New Roman"/>
          <w:sz w:val="24"/>
          <w:szCs w:val="24"/>
        </w:rPr>
      </w:pPr>
    </w:p>
    <w:p w:rsid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A new Additional Learning Needs (ALN) Code of Practice is currently under consultation with the intention of being implemented by 2020 (Welsh Government, 2018), for the purpose not of replacing the Special Educational Needs (SEN) Code of Practice</w:t>
      </w:r>
      <w:r w:rsidR="002F1618">
        <w:rPr>
          <w:rFonts w:ascii="Times New Roman" w:hAnsi="Times New Roman" w:cs="Times New Roman"/>
          <w:sz w:val="24"/>
          <w:szCs w:val="24"/>
        </w:rPr>
        <w:t xml:space="preserve"> (2002)</w:t>
      </w:r>
      <w:r w:rsidRPr="00877718">
        <w:rPr>
          <w:rFonts w:ascii="Times New Roman" w:hAnsi="Times New Roman" w:cs="Times New Roman"/>
          <w:sz w:val="24"/>
          <w:szCs w:val="24"/>
        </w:rPr>
        <w:t>, but rather to enhance its positive attributes, address the negative ones and become a more diverse Code which supports a wider scope not just of needs but also the age range which it supports. Not only will the new bill cover a wider range of additional needs, it will also be applicable to children and young people up to age 25, providing more substantial support through sometimes difficult transition stages. The new Code of Practice and the Government Guidelines on Inclusion and Support (WG, 2016) are just two of the policies and frameworks working towards full inclusion for all children and young people, and will be used to help schools, Local Education Authorities and Welsh Government to shape their Inclusion Policies. One of the areas which is important to consider is that of working with parents to overcome barriers to inclusion, so they may have realistic opportunities to be engaged in their child’s learning, therefore it is also important for those to use effective policies and strategies in order to strive to achieve this for effective parental engagement.</w:t>
      </w:r>
    </w:p>
    <w:p w:rsidR="00877718" w:rsidRPr="00877718" w:rsidRDefault="00877718" w:rsidP="00877718">
      <w:pPr>
        <w:spacing w:line="360" w:lineRule="auto"/>
        <w:jc w:val="both"/>
        <w:rPr>
          <w:rFonts w:ascii="Times New Roman" w:hAnsi="Times New Roman" w:cs="Times New Roman"/>
          <w:sz w:val="24"/>
          <w:szCs w:val="24"/>
        </w:rPr>
      </w:pPr>
    </w:p>
    <w:p w:rsid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In the case of Primary schools it is important to ensure full inclusion for all children, regardless of whether it is mainstream or catering for children with complex needs. Schools have a duty to deliver a service to all children which provides continuous progression in their learning journey, to as high a standard as is possible, following the national curriculum and the latest government guidelines, legislation and initiatives. Though they need not be alone in educating learners. As much study and research has shown, involving parents as part of the process can have the outcome that their child’s learning will be even more fruitful, regardless of whether or not the child is considered to have an additional learning need, and with parental engagement and good community links schools have a higher chance of achieving full inclusion for all. It is important however to consider the difficulties which may arise in engaging parents in their </w:t>
      </w:r>
      <w:r w:rsidRPr="00877718">
        <w:rPr>
          <w:rFonts w:ascii="Times New Roman" w:hAnsi="Times New Roman" w:cs="Times New Roman"/>
          <w:sz w:val="24"/>
          <w:szCs w:val="24"/>
        </w:rPr>
        <w:lastRenderedPageBreak/>
        <w:t xml:space="preserve">child’s learning, and to reflect that a child’s additional need may also be a parent’s, for example if the family is living in poverty. Using Maslow’s Hierarchy of Needs as an example (Maslow, 1943), it would be fair to reflect that in the case of a family living in poverty their priority would not be their child’s education but striving to keep them fed a warm with as adequate living conditions as possible. Also to consider, as WG (2016) notes, are the possibilities that both parents are in full time employment or full time carers, leaving little time for school engagement, or that they hold differing perceptions of a school environment, leading to lack of desire to engage. </w:t>
      </w:r>
    </w:p>
    <w:p w:rsidR="00877718" w:rsidRPr="00877718" w:rsidRDefault="00877718" w:rsidP="00877718">
      <w:pPr>
        <w:spacing w:line="360" w:lineRule="auto"/>
        <w:jc w:val="both"/>
        <w:rPr>
          <w:rFonts w:ascii="Times New Roman" w:hAnsi="Times New Roman" w:cs="Times New Roman"/>
          <w:sz w:val="24"/>
          <w:szCs w:val="24"/>
        </w:rPr>
      </w:pP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The Warnock Report of 1978 showed through noting the beginnings of recognising</w:t>
      </w:r>
      <w:r w:rsidR="002F1618">
        <w:rPr>
          <w:rFonts w:ascii="Times New Roman" w:hAnsi="Times New Roman" w:cs="Times New Roman"/>
          <w:sz w:val="24"/>
          <w:szCs w:val="24"/>
        </w:rPr>
        <w:t xml:space="preserve"> special educational needs</w:t>
      </w:r>
      <w:r w:rsidRPr="00877718">
        <w:rPr>
          <w:rFonts w:ascii="Times New Roman" w:hAnsi="Times New Roman" w:cs="Times New Roman"/>
          <w:sz w:val="24"/>
          <w:szCs w:val="24"/>
        </w:rPr>
        <w:t xml:space="preserve"> how far the Government had come in reshaping the way policy and legislation provided for and supported SEN children. The practices in the 18-1900s of placing children and adults who were deaf or blind in institutions, and those with other disabilities in workhouses or mental institutions are a world away from the full inclusion that governments and local authorities are striving for in today’s world. It is only by continuous review, and policy and legislation change that this has been possible, perhaps one of those which helped the beginning of that change being the Education Act (1944). Recognising that every child had the right to an education and creating special needs schools for those unable to access mainstream school would not only mean that children could live at home and attend school daily would be the first steps, albeit small, towards respecting their human rights and moving towards inclusion. However, it was still a long way off from inclusion with parental engagement, the only requirements of parents then was to ensure their child attended school. Warnock recognised and understood that disability and special educational needs did not necessarily go together, nor would either automatically mean inability to learn or attain, and within her report is the suggestion that, while she recognised the danger of giving everyone a label, the recommendation would be to use the phrase “children with learning difficulties” (Warnock, 1978, p43).</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Today’s term, Additional Learning Needs (ALN) may not be so far removed from that of the Warnock report, but the way in which it is perceived and handled is. The Salamanca Statement (1994) could be considered to play a big part in the shift of thinking. Having ninety two countries coming together to discuss and agree that inclusive schooling with good parental and community involvement would be more beneficial for children’s learning could be considered </w:t>
      </w:r>
      <w:r w:rsidRPr="00877718">
        <w:rPr>
          <w:rFonts w:ascii="Times New Roman" w:hAnsi="Times New Roman" w:cs="Times New Roman"/>
          <w:sz w:val="24"/>
          <w:szCs w:val="24"/>
        </w:rPr>
        <w:lastRenderedPageBreak/>
        <w:t>monumental for change. Also recognising the benefits of sharing good practice, restricting or abolishing customs tax to allow educational resources to be shared as a more financially viable option for schools budgets, albeit between those countries who were in agreement of this (UNESCO, 1950), would allow for better global collaboration for inclusive schooling. Though while the Salamanca Statement agrees that parental engagement in schools would be greatly beneficial, it does not appear to consider that not only may a child’s ALN make them vulnerable within a school setting, the need itself may cause a vulnerability from, or with the parents.</w:t>
      </w:r>
    </w:p>
    <w:p w:rsidR="00877718" w:rsidRPr="00877718" w:rsidRDefault="00877718" w:rsidP="00877718">
      <w:pPr>
        <w:spacing w:line="360" w:lineRule="auto"/>
        <w:jc w:val="both"/>
        <w:rPr>
          <w:rFonts w:ascii="Times New Roman" w:hAnsi="Times New Roman" w:cs="Times New Roman"/>
          <w:color w:val="000000" w:themeColor="text1"/>
          <w:sz w:val="24"/>
          <w:szCs w:val="24"/>
        </w:rPr>
      </w:pPr>
      <w:r w:rsidRPr="00877718">
        <w:rPr>
          <w:rFonts w:ascii="Times New Roman" w:hAnsi="Times New Roman" w:cs="Times New Roman"/>
          <w:sz w:val="24"/>
          <w:szCs w:val="24"/>
        </w:rPr>
        <w:t>The Disability Discrimination Act (1995) gave weighty support to children and adults in upholding their rights, and bolstered much of what was laid out in the Salamanca Statement. By 2010, for England, Scotland, and Wales this would be replaced by the Equality Act (RNIB, 2019), though, while it may protect people’s rights against discrimination regardless of age, race, sex, or disability, it cannot remove potential vulnerabilities or barriers to engagement with their child’s education that parents may have. Nor could the soon-to-be ALN Code of Practice or the current SEN Code of Practice which it is due to replace. This is because parental engagement is not always directly related to a child having an additional learning need, although it can be largely the ca</w:t>
      </w:r>
      <w:r w:rsidR="002F1618">
        <w:rPr>
          <w:rFonts w:ascii="Times New Roman" w:hAnsi="Times New Roman" w:cs="Times New Roman"/>
          <w:sz w:val="24"/>
          <w:szCs w:val="24"/>
        </w:rPr>
        <w:t xml:space="preserve">se. As Hornby and </w:t>
      </w:r>
      <w:proofErr w:type="spellStart"/>
      <w:r w:rsidR="002F1618">
        <w:rPr>
          <w:rFonts w:ascii="Times New Roman" w:hAnsi="Times New Roman" w:cs="Times New Roman"/>
          <w:sz w:val="24"/>
          <w:szCs w:val="24"/>
        </w:rPr>
        <w:t>Lafaele</w:t>
      </w:r>
      <w:proofErr w:type="spellEnd"/>
      <w:r w:rsidR="002F1618">
        <w:rPr>
          <w:rFonts w:ascii="Times New Roman" w:hAnsi="Times New Roman" w:cs="Times New Roman"/>
          <w:sz w:val="24"/>
          <w:szCs w:val="24"/>
        </w:rPr>
        <w:t xml:space="preserve"> </w:t>
      </w:r>
      <w:r w:rsidR="002F1618" w:rsidRPr="00877718">
        <w:rPr>
          <w:rFonts w:ascii="Times New Roman" w:hAnsi="Times New Roman" w:cs="Times New Roman"/>
          <w:sz w:val="24"/>
          <w:szCs w:val="24"/>
        </w:rPr>
        <w:t>observed</w:t>
      </w:r>
      <w:r w:rsidRPr="00877718">
        <w:rPr>
          <w:rFonts w:ascii="Times New Roman" w:hAnsi="Times New Roman" w:cs="Times New Roman"/>
          <w:sz w:val="24"/>
          <w:szCs w:val="24"/>
        </w:rPr>
        <w:t xml:space="preserve"> there are many differing kinds of barriers to engagement for parents or carers, and many scenarios which can cause those barriers. They put together a model which looks at four areas where a barrier to parental engagement may be considered, those being “</w:t>
      </w:r>
      <w:r w:rsidRPr="00877718">
        <w:rPr>
          <w:rFonts w:ascii="Times New Roman" w:hAnsi="Times New Roman" w:cs="Times New Roman"/>
          <w:color w:val="000000" w:themeColor="text1"/>
          <w:sz w:val="24"/>
          <w:szCs w:val="24"/>
        </w:rPr>
        <w:t>parent and family, child, parent–teacher and societal” (</w:t>
      </w:r>
      <w:r w:rsidR="002F1618">
        <w:rPr>
          <w:rFonts w:ascii="Times New Roman" w:hAnsi="Times New Roman" w:cs="Times New Roman"/>
          <w:color w:val="000000" w:themeColor="text1"/>
          <w:sz w:val="24"/>
          <w:szCs w:val="24"/>
        </w:rPr>
        <w:t xml:space="preserve">Hornby and </w:t>
      </w:r>
      <w:proofErr w:type="spellStart"/>
      <w:r w:rsidR="002F1618">
        <w:rPr>
          <w:rFonts w:ascii="Times New Roman" w:hAnsi="Times New Roman" w:cs="Times New Roman"/>
          <w:color w:val="000000" w:themeColor="text1"/>
          <w:sz w:val="24"/>
          <w:szCs w:val="24"/>
        </w:rPr>
        <w:t>Lafaele</w:t>
      </w:r>
      <w:proofErr w:type="spellEnd"/>
      <w:r w:rsidR="002F1618">
        <w:rPr>
          <w:rFonts w:ascii="Times New Roman" w:hAnsi="Times New Roman" w:cs="Times New Roman"/>
          <w:color w:val="000000" w:themeColor="text1"/>
          <w:sz w:val="24"/>
          <w:szCs w:val="24"/>
        </w:rPr>
        <w:t xml:space="preserve">, </w:t>
      </w:r>
      <w:r w:rsidRPr="00877718">
        <w:rPr>
          <w:rFonts w:ascii="Times New Roman" w:hAnsi="Times New Roman" w:cs="Times New Roman"/>
          <w:color w:val="000000" w:themeColor="text1"/>
          <w:sz w:val="24"/>
          <w:szCs w:val="24"/>
        </w:rPr>
        <w:t xml:space="preserve">2011, p37). They also noted that while there has been extensive research on the benefits of parental involvement, and various theoretical models designed to engage and improve it, studies and surveys carried out have shown there is still a huge gap in comparison to the reality of parental engagement in schools. </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The difficulty schools face is in taking stock of where the barriers to engagement for parents of their students are, why they are there, and what strategies could be used to overcome them. </w:t>
      </w:r>
      <w:proofErr w:type="spellStart"/>
      <w:r w:rsidRPr="00877718">
        <w:rPr>
          <w:rFonts w:ascii="Times New Roman" w:hAnsi="Times New Roman" w:cs="Times New Roman"/>
          <w:sz w:val="24"/>
          <w:szCs w:val="24"/>
        </w:rPr>
        <w:t>Tomasevski’s</w:t>
      </w:r>
      <w:proofErr w:type="spellEnd"/>
      <w:r w:rsidRPr="00877718">
        <w:rPr>
          <w:rFonts w:ascii="Times New Roman" w:hAnsi="Times New Roman" w:cs="Times New Roman"/>
          <w:sz w:val="24"/>
          <w:szCs w:val="24"/>
        </w:rPr>
        <w:t xml:space="preserve"> Right to Education Framework (2002) examines the difference between the rights of children to education and their needs within that education, as clearly, they are not the same. </w:t>
      </w:r>
      <w:proofErr w:type="spellStart"/>
      <w:r w:rsidRPr="00877718">
        <w:rPr>
          <w:rFonts w:ascii="Times New Roman" w:hAnsi="Times New Roman" w:cs="Times New Roman"/>
          <w:sz w:val="24"/>
          <w:szCs w:val="24"/>
        </w:rPr>
        <w:t>Tomasevski’s</w:t>
      </w:r>
      <w:proofErr w:type="spellEnd"/>
      <w:r w:rsidRPr="00877718">
        <w:rPr>
          <w:rFonts w:ascii="Times New Roman" w:hAnsi="Times New Roman" w:cs="Times New Roman"/>
          <w:sz w:val="24"/>
          <w:szCs w:val="24"/>
        </w:rPr>
        <w:t xml:space="preserve"> framework originated with the 4A model, that is Availability, Accessibility, Adaptability, and Acceptability, this model later to add Accountability. For example, a child in a wheelchair must have access to the school building in order to obtain her education, but without wheelchair access to the property her right to education is denied. The Welsh Government has embedded the United Nations Convention on the Rights of the Child (1989) into its legislation, which gives ALN children much needed support and inclusion for </w:t>
      </w:r>
      <w:r w:rsidRPr="00877718">
        <w:rPr>
          <w:rFonts w:ascii="Times New Roman" w:hAnsi="Times New Roman" w:cs="Times New Roman"/>
          <w:sz w:val="24"/>
          <w:szCs w:val="24"/>
        </w:rPr>
        <w:lastRenderedPageBreak/>
        <w:t xml:space="preserve">their education, and the new Curriculum for Wales (2016) and ALN Code of Practice acknowledges the transparency and accountability required of schools to ensure high quality teaching and learning, however, schools themselves could benefit from perceiving the 5A framework in more than one way. By thinking of the 5A model but under a different name it is feasible that staff may be more diverse in their thinking when considering parental barriers to inclusion and diversity, not just in terms of the parents or carers but in terms of themselves. If </w:t>
      </w:r>
      <w:proofErr w:type="spellStart"/>
      <w:r w:rsidRPr="00877718">
        <w:rPr>
          <w:rFonts w:ascii="Times New Roman" w:hAnsi="Times New Roman" w:cs="Times New Roman"/>
          <w:sz w:val="24"/>
          <w:szCs w:val="24"/>
        </w:rPr>
        <w:t>Tomasevski’s</w:t>
      </w:r>
      <w:proofErr w:type="spellEnd"/>
      <w:r w:rsidRPr="00877718">
        <w:rPr>
          <w:rFonts w:ascii="Times New Roman" w:hAnsi="Times New Roman" w:cs="Times New Roman"/>
          <w:sz w:val="24"/>
          <w:szCs w:val="24"/>
        </w:rPr>
        <w:t xml:space="preserve"> model were to be reconsidered ‘Rights of Parents to </w:t>
      </w:r>
      <w:proofErr w:type="gramStart"/>
      <w:r w:rsidRPr="00877718">
        <w:rPr>
          <w:rFonts w:ascii="Times New Roman" w:hAnsi="Times New Roman" w:cs="Times New Roman"/>
          <w:sz w:val="24"/>
          <w:szCs w:val="24"/>
        </w:rPr>
        <w:t>Engage</w:t>
      </w:r>
      <w:proofErr w:type="gramEnd"/>
      <w:r w:rsidRPr="00877718">
        <w:rPr>
          <w:rFonts w:ascii="Times New Roman" w:hAnsi="Times New Roman" w:cs="Times New Roman"/>
          <w:sz w:val="24"/>
          <w:szCs w:val="24"/>
        </w:rPr>
        <w:t xml:space="preserve"> in the Child’s Education’ there may be some enlightenment for staff on different approaches to overcome barriers to engagement. </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There are of course strategies available for schools to utilise with regard to full inclusion. The Index for Inclusion (Booth and </w:t>
      </w:r>
      <w:proofErr w:type="spellStart"/>
      <w:r w:rsidRPr="00877718">
        <w:rPr>
          <w:rFonts w:ascii="Times New Roman" w:hAnsi="Times New Roman" w:cs="Times New Roman"/>
          <w:sz w:val="24"/>
          <w:szCs w:val="24"/>
        </w:rPr>
        <w:t>Ainscow</w:t>
      </w:r>
      <w:proofErr w:type="spellEnd"/>
      <w:r w:rsidRPr="00877718">
        <w:rPr>
          <w:rFonts w:ascii="Times New Roman" w:hAnsi="Times New Roman" w:cs="Times New Roman"/>
          <w:sz w:val="24"/>
          <w:szCs w:val="24"/>
        </w:rPr>
        <w:t>, 2011) challenges schools to review inclusion within their setting so that they may evaluate not only their strengths and weaknesses but also their policies and any gaps between policy and practice. This allows for reflection on what strategies work and which areas need further development, furthermore by integrating their development strategies and targets into the School Development Plan they are showing their commitment to full inclusion. With regard to parental engagement, a more targeted strategy would be the 2016 WG Family and Community Engagement (</w:t>
      </w:r>
      <w:proofErr w:type="spellStart"/>
      <w:r w:rsidRPr="00877718">
        <w:rPr>
          <w:rFonts w:ascii="Times New Roman" w:hAnsi="Times New Roman" w:cs="Times New Roman"/>
          <w:sz w:val="24"/>
          <w:szCs w:val="24"/>
        </w:rPr>
        <w:t>FaCE</w:t>
      </w:r>
      <w:proofErr w:type="spellEnd"/>
      <w:r w:rsidRPr="00877718">
        <w:rPr>
          <w:rFonts w:ascii="Times New Roman" w:hAnsi="Times New Roman" w:cs="Times New Roman"/>
          <w:sz w:val="24"/>
          <w:szCs w:val="24"/>
        </w:rPr>
        <w:t xml:space="preserve">) toolkit, especially Theme 3. Resource 3 of this toolkit gives focus specifically to the parents, offering insight into understanding some of the barriers and providing ideas for engaging parents to become part of their child’s learning environment. </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Communication plays a key role throughout, being able to communicate with parents about their child is a necessity for the child’s learning, more so through transition periods, which children can find difficult. Schools tend to have tried and tested strategies for transitions such as Nursery to Primary School or when children are moving on to Higher Education, however, it can be more difficult for children who have to cope with other, sometimes unexpected transitions. For instance, for families who have moved to the area, the child may speak a different first language, with non-English speakers in the home. EAL (English as an additional language) children would be viewed as needing support for ALN, as not only would they be learning the curriculum but also learning the language at the same time. To ensure the child maintained progress in their learning while retaining their self-esteem, and to keep the parents up to date with progress and school newsletters and events communication would be vital. One strategy for this would be to communicate through the medium of ICT, perhaps, for example, by sending information by email which could then be translated into the family’s first language. </w:t>
      </w:r>
      <w:r w:rsidRPr="00877718">
        <w:rPr>
          <w:rFonts w:ascii="Times New Roman" w:hAnsi="Times New Roman" w:cs="Times New Roman"/>
          <w:sz w:val="24"/>
          <w:szCs w:val="24"/>
        </w:rPr>
        <w:lastRenderedPageBreak/>
        <w:t xml:space="preserve">There are of course other uses for ICT which schools can use for EAL and ALN children, for example apps or to support learning. </w:t>
      </w:r>
      <w:proofErr w:type="spellStart"/>
      <w:r w:rsidRPr="00877718">
        <w:rPr>
          <w:rFonts w:ascii="Times New Roman" w:hAnsi="Times New Roman" w:cs="Times New Roman"/>
          <w:sz w:val="24"/>
          <w:szCs w:val="24"/>
        </w:rPr>
        <w:t>Nessy</w:t>
      </w:r>
      <w:proofErr w:type="spellEnd"/>
      <w:r w:rsidRPr="00877718">
        <w:rPr>
          <w:rFonts w:ascii="Times New Roman" w:hAnsi="Times New Roman" w:cs="Times New Roman"/>
          <w:sz w:val="24"/>
          <w:szCs w:val="24"/>
        </w:rPr>
        <w:t xml:space="preserve">, a program originally designed to support dyslexic children has received testimonies from schools who claim it has helped EAL children to learn English far quicker than their usual methods. The </w:t>
      </w:r>
      <w:proofErr w:type="spellStart"/>
      <w:r w:rsidRPr="00877718">
        <w:rPr>
          <w:rFonts w:ascii="Times New Roman" w:hAnsi="Times New Roman" w:cs="Times New Roman"/>
          <w:sz w:val="24"/>
          <w:szCs w:val="24"/>
        </w:rPr>
        <w:t>Nessy</w:t>
      </w:r>
      <w:proofErr w:type="spellEnd"/>
      <w:r w:rsidRPr="00877718">
        <w:rPr>
          <w:rFonts w:ascii="Times New Roman" w:hAnsi="Times New Roman" w:cs="Times New Roman"/>
          <w:sz w:val="24"/>
          <w:szCs w:val="24"/>
        </w:rPr>
        <w:t xml:space="preserve"> program provides achievement certificates which are printable, and progress reports which could then be conveyed back to the parents to discuss with their children.</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Other transition difficulties to consider would be if a child was given a specific learning difficulty diagnosis such as dyslexia or Autistic Spectrum Disorder (ASD), as these learning needs require considerably more support, both at school and at home. Again, communication is vital, for updating progress, maintaining routines, and ensuring both are using the same strategies for support to retain consistency for the child. This could be achieved by way of a home to school communication book which can keep both parents and school updated, help to maintain self-worth, but also to alert of any specific issues or potentially problematic behaviour.</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It must be noted that caution is advised though, for as much as schools wish to have engagement from parents to sustain inclusion the concept of ALN is both broad and ever-changing, the nature of each ALN is different, as is each school,  family, and child. Parents may have stereotypical views about schools, possibly from past experiences themselves, historical views about past failures of schools from Estyn reports, likewise, schools and staff may have stereotypical views on families because of their culture, religion or ethnicity, from previous family members who attended, or from the nature of the ALN such as poverty or travelling families. Fiske’s Mixed Stereotype Content Model emerged from complex studies (Fiske et al, 2001) and revealed that historical perceptions of groups have changed very little, people are still being categorised in the same groups, and the feelings about those groups still fall under the same prejudices. The model would suggest that regardless of policy and legislation, not just on a national level but global also, society is not yet ready to view every individual as an individual. Perhaps this is because on a subconscious level people are scared to lose their sense of belonging, to their culture or ethnicity in case it diminishes their self-worth, this may explain why not many people reach the top of Maslow’s pyramid. It is worth noting that even the Theme 3 Resource toolkit is aimed at targeting parental engagement ‘to raise the attainment of learners living in poverty’ (WG, 2016</w:t>
      </w:r>
      <w:r>
        <w:rPr>
          <w:rFonts w:ascii="Times New Roman" w:hAnsi="Times New Roman" w:cs="Times New Roman"/>
          <w:sz w:val="24"/>
          <w:szCs w:val="24"/>
        </w:rPr>
        <w:t>, p2</w:t>
      </w:r>
      <w:r w:rsidRPr="00877718">
        <w:rPr>
          <w:rFonts w:ascii="Times New Roman" w:hAnsi="Times New Roman" w:cs="Times New Roman"/>
          <w:sz w:val="24"/>
          <w:szCs w:val="24"/>
        </w:rPr>
        <w:t>) which inadvertently suggests that only families living in poverty have poor parental engagement.</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lastRenderedPageBreak/>
        <w:t>So what does this mean for schools trying to prevent or eradicate barriers to engagement for parents? Looking back at Theme 3, Resource 3 it is important for schools to question whether they, in fact are the barrier. Schools have to protect the vulnerability of both the child and their family by being able to reach out to them without prejudice and see them as individuals while at the same time respecting their beliefs, also they should question why they wish to engage the family. For example, do they need to work with the family to support an ALN, are they concerned about a safeguarding issue, or are they simply trying to create a sense of belonging for the child or parents within the school community.</w:t>
      </w:r>
    </w:p>
    <w:p w:rsidR="00877718" w:rsidRPr="00877718" w:rsidRDefault="00877718" w:rsidP="00877718">
      <w:pPr>
        <w:spacing w:line="360" w:lineRule="auto"/>
        <w:jc w:val="both"/>
        <w:rPr>
          <w:rFonts w:ascii="Times New Roman" w:hAnsi="Times New Roman" w:cs="Times New Roman"/>
          <w:sz w:val="24"/>
          <w:szCs w:val="24"/>
        </w:rPr>
      </w:pPr>
      <w:r w:rsidRPr="00877718">
        <w:rPr>
          <w:rFonts w:ascii="Times New Roman" w:hAnsi="Times New Roman" w:cs="Times New Roman"/>
          <w:sz w:val="24"/>
          <w:szCs w:val="24"/>
        </w:rPr>
        <w:t xml:space="preserve">There is not a single definitive solution for engaging parents to support their child’s school or learning, </w:t>
      </w:r>
      <w:r w:rsidR="008F563E">
        <w:rPr>
          <w:rFonts w:ascii="Times New Roman" w:hAnsi="Times New Roman" w:cs="Times New Roman"/>
          <w:sz w:val="24"/>
          <w:szCs w:val="24"/>
        </w:rPr>
        <w:t xml:space="preserve">and not every family will want or be able to fully engage with their school, </w:t>
      </w:r>
      <w:r w:rsidRPr="00877718">
        <w:rPr>
          <w:rFonts w:ascii="Times New Roman" w:hAnsi="Times New Roman" w:cs="Times New Roman"/>
          <w:sz w:val="24"/>
          <w:szCs w:val="24"/>
        </w:rPr>
        <w:t>however, if schools are able to approach open-mindedly, empathically and respectably while remaining approachable themselves there is a better chance for effective communication</w:t>
      </w:r>
      <w:r w:rsidR="008F563E">
        <w:rPr>
          <w:rFonts w:ascii="Times New Roman" w:hAnsi="Times New Roman" w:cs="Times New Roman"/>
          <w:sz w:val="24"/>
          <w:szCs w:val="24"/>
        </w:rPr>
        <w:t xml:space="preserve"> to ensure at least some parental engagement for their child’s inclusion</w:t>
      </w:r>
      <w:r w:rsidRPr="00877718">
        <w:rPr>
          <w:rFonts w:ascii="Times New Roman" w:hAnsi="Times New Roman" w:cs="Times New Roman"/>
          <w:sz w:val="24"/>
          <w:szCs w:val="24"/>
        </w:rPr>
        <w:t xml:space="preserve">. </w:t>
      </w:r>
      <w:r w:rsidR="008F563E">
        <w:rPr>
          <w:rFonts w:ascii="Times New Roman" w:hAnsi="Times New Roman" w:cs="Times New Roman"/>
          <w:sz w:val="24"/>
          <w:szCs w:val="24"/>
        </w:rPr>
        <w:t>As a resource for inclusion, t</w:t>
      </w:r>
      <w:r w:rsidRPr="00877718">
        <w:rPr>
          <w:rFonts w:ascii="Times New Roman" w:hAnsi="Times New Roman" w:cs="Times New Roman"/>
          <w:sz w:val="24"/>
          <w:szCs w:val="24"/>
        </w:rPr>
        <w:t>he Theme 3 Resource Toolkit should not be viewed as a singular means to an end but rather a resource which is malleable and can be bui</w:t>
      </w:r>
      <w:r>
        <w:rPr>
          <w:rFonts w:ascii="Times New Roman" w:hAnsi="Times New Roman" w:cs="Times New Roman"/>
          <w:sz w:val="24"/>
          <w:szCs w:val="24"/>
        </w:rPr>
        <w:t xml:space="preserve">lt on and expanded. For schools, </w:t>
      </w:r>
      <w:r w:rsidRPr="00877718">
        <w:rPr>
          <w:rFonts w:ascii="Times New Roman" w:hAnsi="Times New Roman" w:cs="Times New Roman"/>
          <w:sz w:val="24"/>
          <w:szCs w:val="24"/>
        </w:rPr>
        <w:t xml:space="preserve">every child matters, therefore every family must also matter. </w:t>
      </w:r>
    </w:p>
    <w:p w:rsidR="00877718" w:rsidRDefault="00877718"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p>
    <w:p w:rsidR="00AE278B" w:rsidRDefault="00AE278B" w:rsidP="00877718">
      <w:pPr>
        <w:spacing w:line="360" w:lineRule="auto"/>
        <w:jc w:val="both"/>
        <w:rPr>
          <w:rFonts w:ascii="Times New Roman" w:hAnsi="Times New Roman" w:cs="Times New Roman"/>
          <w:sz w:val="24"/>
          <w:szCs w:val="24"/>
        </w:rPr>
      </w:pPr>
      <w:bookmarkStart w:id="0" w:name="_GoBack"/>
      <w:bookmarkEnd w:id="0"/>
    </w:p>
    <w:p w:rsidR="00AE278B" w:rsidRPr="00AE278B" w:rsidRDefault="00AE278B" w:rsidP="00AE278B"/>
    <w:p w:rsidR="00AE278B" w:rsidRPr="00AE278B" w:rsidRDefault="00AE278B" w:rsidP="00AE278B"/>
    <w:p w:rsidR="00AE278B" w:rsidRPr="00AE278B" w:rsidRDefault="00AE278B" w:rsidP="00AE278B">
      <w:pPr>
        <w:spacing w:line="360" w:lineRule="auto"/>
        <w:rPr>
          <w:rFonts w:ascii="Times New Roman" w:hAnsi="Times New Roman" w:cs="Times New Roman"/>
          <w:b/>
          <w:sz w:val="24"/>
          <w:szCs w:val="24"/>
          <w:u w:val="single"/>
        </w:rPr>
      </w:pPr>
      <w:r w:rsidRPr="00AE278B">
        <w:rPr>
          <w:rFonts w:ascii="Times New Roman" w:hAnsi="Times New Roman" w:cs="Times New Roman"/>
          <w:b/>
          <w:sz w:val="24"/>
          <w:szCs w:val="24"/>
          <w:u w:val="single"/>
        </w:rPr>
        <w:t>Reference List SJIE6003</w:t>
      </w:r>
    </w:p>
    <w:p w:rsidR="00AE278B" w:rsidRPr="00AE278B" w:rsidRDefault="00AE278B" w:rsidP="00AE278B">
      <w:pPr>
        <w:spacing w:line="360" w:lineRule="auto"/>
        <w:rPr>
          <w:rFonts w:ascii="Times New Roman" w:hAnsi="Times New Roman" w:cs="Times New Roman"/>
          <w:b/>
          <w:sz w:val="24"/>
          <w:szCs w:val="24"/>
          <w:u w:val="single"/>
        </w:rPr>
      </w:pPr>
    </w:p>
    <w:p w:rsidR="00AE278B" w:rsidRPr="00AE278B" w:rsidRDefault="00AE278B" w:rsidP="00AE278B">
      <w:pPr>
        <w:spacing w:line="360" w:lineRule="auto"/>
        <w:rPr>
          <w:rFonts w:ascii="Times New Roman" w:hAnsi="Times New Roman" w:cs="Times New Roman"/>
          <w:sz w:val="24"/>
          <w:szCs w:val="24"/>
        </w:rPr>
      </w:pPr>
      <w:proofErr w:type="spellStart"/>
      <w:r w:rsidRPr="00AE278B">
        <w:rPr>
          <w:rFonts w:ascii="Times New Roman" w:hAnsi="Times New Roman" w:cs="Times New Roman"/>
          <w:sz w:val="24"/>
          <w:szCs w:val="24"/>
        </w:rPr>
        <w:t>Beco</w:t>
      </w:r>
      <w:proofErr w:type="spellEnd"/>
      <w:r w:rsidRPr="00AE278B">
        <w:rPr>
          <w:rFonts w:ascii="Times New Roman" w:hAnsi="Times New Roman" w:cs="Times New Roman"/>
          <w:sz w:val="24"/>
          <w:szCs w:val="24"/>
        </w:rPr>
        <w:t xml:space="preserve">, G. (2009) </w:t>
      </w:r>
      <w:r w:rsidRPr="00AE278B">
        <w:rPr>
          <w:rFonts w:ascii="Times New Roman" w:hAnsi="Times New Roman" w:cs="Times New Roman"/>
          <w:i/>
          <w:sz w:val="24"/>
          <w:szCs w:val="24"/>
        </w:rPr>
        <w:t xml:space="preserve">Right to Education Indicator based on the 4A Framework: Concept Paper. </w:t>
      </w:r>
      <w:r w:rsidRPr="00AE278B">
        <w:rPr>
          <w:rFonts w:ascii="Times New Roman" w:hAnsi="Times New Roman" w:cs="Times New Roman"/>
          <w:sz w:val="24"/>
          <w:szCs w:val="24"/>
        </w:rPr>
        <w:t xml:space="preserve">Available at: </w:t>
      </w:r>
      <w:hyperlink r:id="rId4" w:history="1">
        <w:r w:rsidRPr="00AE278B">
          <w:rPr>
            <w:rFonts w:ascii="Times New Roman" w:hAnsi="Times New Roman" w:cs="Times New Roman"/>
            <w:color w:val="0563C1" w:themeColor="hyperlink"/>
            <w:sz w:val="24"/>
            <w:szCs w:val="24"/>
            <w:u w:val="single"/>
          </w:rPr>
          <w:t>https://www.right-to-education.org/sites/right-to-education.org/files/resource-attachments/RTE_RTE_indicators_Concept_Paper_De%20Beco_2010.pdf</w:t>
        </w:r>
      </w:hyperlink>
      <w:r w:rsidRPr="00AE278B">
        <w:rPr>
          <w:rFonts w:ascii="Times New Roman" w:hAnsi="Times New Roman" w:cs="Times New Roman"/>
          <w:sz w:val="24"/>
          <w:szCs w:val="24"/>
        </w:rPr>
        <w:t xml:space="preserve"> (Accessed: 27 January 2019). </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Booth, T. and </w:t>
      </w:r>
      <w:proofErr w:type="spellStart"/>
      <w:r w:rsidRPr="00AE278B">
        <w:rPr>
          <w:rFonts w:ascii="Times New Roman" w:hAnsi="Times New Roman" w:cs="Times New Roman"/>
          <w:sz w:val="24"/>
          <w:szCs w:val="24"/>
        </w:rPr>
        <w:t>Ainscow</w:t>
      </w:r>
      <w:proofErr w:type="spellEnd"/>
      <w:r w:rsidRPr="00AE278B">
        <w:rPr>
          <w:rFonts w:ascii="Times New Roman" w:hAnsi="Times New Roman" w:cs="Times New Roman"/>
          <w:sz w:val="24"/>
          <w:szCs w:val="24"/>
        </w:rPr>
        <w:t xml:space="preserve">, M. (2011) </w:t>
      </w:r>
      <w:r w:rsidRPr="00AE278B">
        <w:rPr>
          <w:rFonts w:ascii="Times New Roman" w:hAnsi="Times New Roman" w:cs="Times New Roman"/>
          <w:i/>
          <w:sz w:val="24"/>
          <w:szCs w:val="24"/>
        </w:rPr>
        <w:t xml:space="preserve">Index for Inclusion: Developing learning and participation in schools. </w:t>
      </w:r>
      <w:r w:rsidRPr="00AE278B">
        <w:rPr>
          <w:rFonts w:ascii="Times New Roman" w:hAnsi="Times New Roman" w:cs="Times New Roman"/>
          <w:sz w:val="24"/>
          <w:szCs w:val="24"/>
        </w:rPr>
        <w:t>3</w:t>
      </w:r>
      <w:r w:rsidRPr="00AE278B">
        <w:rPr>
          <w:rFonts w:ascii="Times New Roman" w:hAnsi="Times New Roman" w:cs="Times New Roman"/>
          <w:sz w:val="24"/>
          <w:szCs w:val="24"/>
          <w:vertAlign w:val="superscript"/>
        </w:rPr>
        <w:t>rd</w:t>
      </w:r>
      <w:r w:rsidRPr="00AE278B">
        <w:rPr>
          <w:rFonts w:ascii="Times New Roman" w:hAnsi="Times New Roman" w:cs="Times New Roman"/>
          <w:sz w:val="24"/>
          <w:szCs w:val="24"/>
        </w:rPr>
        <w:t xml:space="preserve"> </w:t>
      </w:r>
      <w:proofErr w:type="spellStart"/>
      <w:r w:rsidRPr="00AE278B">
        <w:rPr>
          <w:rFonts w:ascii="Times New Roman" w:hAnsi="Times New Roman" w:cs="Times New Roman"/>
          <w:sz w:val="24"/>
          <w:szCs w:val="24"/>
        </w:rPr>
        <w:t>edn</w:t>
      </w:r>
      <w:proofErr w:type="spellEnd"/>
      <w:r w:rsidRPr="00AE278B">
        <w:rPr>
          <w:rFonts w:ascii="Times New Roman" w:hAnsi="Times New Roman" w:cs="Times New Roman"/>
          <w:sz w:val="24"/>
          <w:szCs w:val="24"/>
        </w:rPr>
        <w:t>.</w:t>
      </w:r>
      <w:r w:rsidRPr="00AE278B">
        <w:rPr>
          <w:rFonts w:ascii="Times New Roman" w:hAnsi="Times New Roman" w:cs="Times New Roman"/>
          <w:i/>
          <w:sz w:val="24"/>
          <w:szCs w:val="24"/>
        </w:rPr>
        <w:t xml:space="preserve"> </w:t>
      </w:r>
      <w:r w:rsidRPr="00AE278B">
        <w:rPr>
          <w:rFonts w:ascii="Times New Roman" w:hAnsi="Times New Roman" w:cs="Times New Roman"/>
          <w:sz w:val="24"/>
          <w:szCs w:val="24"/>
        </w:rPr>
        <w:t>Bristol: Centre for Studies on Inclusive Education.</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Education Act (1944) Available at: </w:t>
      </w:r>
      <w:hyperlink r:id="rId5" w:history="1">
        <w:r w:rsidRPr="00AE278B">
          <w:rPr>
            <w:rFonts w:ascii="Times New Roman" w:hAnsi="Times New Roman" w:cs="Times New Roman"/>
            <w:color w:val="0563C1" w:themeColor="hyperlink"/>
            <w:sz w:val="24"/>
            <w:szCs w:val="24"/>
            <w:u w:val="single"/>
          </w:rPr>
          <w:t>http://www.legislation.gov.uk/ukpga/Geo6/7-8/31/contents/enacted</w:t>
        </w:r>
      </w:hyperlink>
      <w:r w:rsidRPr="00AE278B">
        <w:rPr>
          <w:rFonts w:ascii="Times New Roman" w:hAnsi="Times New Roman" w:cs="Times New Roman"/>
          <w:sz w:val="24"/>
          <w:szCs w:val="24"/>
        </w:rPr>
        <w:t xml:space="preserve"> (Accessed: 27 February 2019).</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Education and Public Services Group (2016) </w:t>
      </w:r>
      <w:proofErr w:type="spellStart"/>
      <w:proofErr w:type="gramStart"/>
      <w:r w:rsidRPr="00AE278B">
        <w:rPr>
          <w:rFonts w:ascii="Times New Roman" w:hAnsi="Times New Roman" w:cs="Times New Roman"/>
          <w:i/>
          <w:sz w:val="24"/>
          <w:szCs w:val="24"/>
        </w:rPr>
        <w:t>FaCE</w:t>
      </w:r>
      <w:proofErr w:type="spellEnd"/>
      <w:proofErr w:type="gramEnd"/>
      <w:r w:rsidRPr="00AE278B">
        <w:rPr>
          <w:rFonts w:ascii="Times New Roman" w:hAnsi="Times New Roman" w:cs="Times New Roman"/>
          <w:i/>
          <w:sz w:val="24"/>
          <w:szCs w:val="24"/>
        </w:rPr>
        <w:t xml:space="preserve"> the challenge together: Family and community engagement toolkit for schools in Wales- Main Guidance. </w:t>
      </w:r>
      <w:r w:rsidRPr="00AE278B">
        <w:rPr>
          <w:rFonts w:ascii="Times New Roman" w:hAnsi="Times New Roman" w:cs="Times New Roman"/>
          <w:sz w:val="24"/>
          <w:szCs w:val="24"/>
        </w:rPr>
        <w:t>Cardiff: Welsh Government.</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Equality Act (2010) Available at: </w:t>
      </w:r>
      <w:hyperlink r:id="rId6" w:history="1">
        <w:r w:rsidRPr="00AE278B">
          <w:rPr>
            <w:rFonts w:ascii="Times New Roman" w:hAnsi="Times New Roman" w:cs="Times New Roman"/>
            <w:color w:val="0563C1" w:themeColor="hyperlink"/>
            <w:sz w:val="24"/>
            <w:szCs w:val="24"/>
            <w:u w:val="single"/>
          </w:rPr>
          <w:t>http://www.legislation.gov.uk/ukpga/2010/15/contents/enacted</w:t>
        </w:r>
      </w:hyperlink>
      <w:r w:rsidRPr="00AE278B">
        <w:rPr>
          <w:rFonts w:ascii="Times New Roman" w:hAnsi="Times New Roman" w:cs="Times New Roman"/>
          <w:sz w:val="24"/>
          <w:szCs w:val="24"/>
        </w:rPr>
        <w:t xml:space="preserve"> (Accessed: 12 February 2019).</w:t>
      </w:r>
    </w:p>
    <w:p w:rsidR="00AE278B" w:rsidRPr="00AE278B" w:rsidRDefault="00AE278B" w:rsidP="00AE278B">
      <w:pPr>
        <w:spacing w:line="360" w:lineRule="auto"/>
        <w:rPr>
          <w:rFonts w:ascii="Times New Roman" w:hAnsi="Times New Roman" w:cs="Times New Roman"/>
          <w:color w:val="000000" w:themeColor="text1"/>
          <w:sz w:val="24"/>
          <w:szCs w:val="24"/>
        </w:rPr>
      </w:pPr>
      <w:r w:rsidRPr="00AE278B">
        <w:rPr>
          <w:rFonts w:ascii="Times New Roman" w:hAnsi="Times New Roman" w:cs="Times New Roman"/>
          <w:color w:val="000000" w:themeColor="text1"/>
          <w:sz w:val="24"/>
          <w:szCs w:val="24"/>
          <w:shd w:val="clear" w:color="auto" w:fill="FFFFFF"/>
        </w:rPr>
        <w:t>Essay UK (date unknown) </w:t>
      </w:r>
      <w:r w:rsidRPr="00AE278B">
        <w:rPr>
          <w:rFonts w:ascii="Times New Roman" w:hAnsi="Times New Roman" w:cs="Times New Roman"/>
          <w:i/>
          <w:iCs/>
          <w:color w:val="000000" w:themeColor="text1"/>
          <w:sz w:val="24"/>
          <w:szCs w:val="24"/>
          <w:shd w:val="clear" w:color="auto" w:fill="FFFFFF"/>
        </w:rPr>
        <w:t xml:space="preserve">History of Special Educational Needs in the </w:t>
      </w:r>
      <w:proofErr w:type="spellStart"/>
      <w:proofErr w:type="gramStart"/>
      <w:r w:rsidRPr="00AE278B">
        <w:rPr>
          <w:rFonts w:ascii="Times New Roman" w:hAnsi="Times New Roman" w:cs="Times New Roman"/>
          <w:i/>
          <w:iCs/>
          <w:color w:val="000000" w:themeColor="text1"/>
          <w:sz w:val="24"/>
          <w:szCs w:val="24"/>
          <w:shd w:val="clear" w:color="auto" w:fill="FFFFFF"/>
        </w:rPr>
        <w:t>Uk</w:t>
      </w:r>
      <w:proofErr w:type="spellEnd"/>
      <w:proofErr w:type="gramEnd"/>
      <w:r w:rsidRPr="00AE278B">
        <w:rPr>
          <w:rFonts w:ascii="Times New Roman" w:hAnsi="Times New Roman" w:cs="Times New Roman"/>
          <w:color w:val="000000" w:themeColor="text1"/>
          <w:sz w:val="24"/>
          <w:szCs w:val="24"/>
          <w:shd w:val="clear" w:color="auto" w:fill="FFFFFF"/>
        </w:rPr>
        <w:t xml:space="preserve">. Available at: </w:t>
      </w:r>
      <w:hyperlink r:id="rId7" w:history="1">
        <w:r w:rsidRPr="00AE278B">
          <w:rPr>
            <w:rFonts w:ascii="Times New Roman" w:hAnsi="Times New Roman" w:cs="Times New Roman"/>
            <w:color w:val="0563C1" w:themeColor="hyperlink"/>
            <w:sz w:val="24"/>
            <w:szCs w:val="24"/>
            <w:u w:val="single"/>
            <w:shd w:val="clear" w:color="auto" w:fill="FFFFFF"/>
          </w:rPr>
          <w:t>http://www.essay.uk.com/free-essays/education/history-special-educational-needs-uk.php</w:t>
        </w:r>
      </w:hyperlink>
      <w:r w:rsidRPr="00AE278B">
        <w:rPr>
          <w:rFonts w:ascii="Times New Roman" w:hAnsi="Times New Roman" w:cs="Times New Roman"/>
          <w:color w:val="000000" w:themeColor="text1"/>
          <w:sz w:val="24"/>
          <w:szCs w:val="24"/>
          <w:shd w:val="clear" w:color="auto" w:fill="FFFFFF"/>
        </w:rPr>
        <w:t xml:space="preserve"> (Accessed: 17 February 2018).</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Fiske, S., Cuddy, A., Glick, P. and Xu, J (2002) ‘A Model of (Often Mixed) Stereotype Content, Competence and Warmth Respectively Follow from Perceived Status and Competition’, </w:t>
      </w:r>
      <w:r w:rsidRPr="00AE278B">
        <w:rPr>
          <w:rFonts w:ascii="Times New Roman" w:hAnsi="Times New Roman" w:cs="Times New Roman"/>
          <w:i/>
          <w:sz w:val="24"/>
          <w:szCs w:val="24"/>
        </w:rPr>
        <w:t xml:space="preserve">Journal of Personality and Social Psychology, </w:t>
      </w:r>
      <w:r w:rsidRPr="00AE278B">
        <w:rPr>
          <w:rFonts w:ascii="Times New Roman" w:hAnsi="Times New Roman" w:cs="Times New Roman"/>
          <w:sz w:val="24"/>
          <w:szCs w:val="24"/>
        </w:rPr>
        <w:t>82(6), pp.878-902. DOI:</w:t>
      </w:r>
      <w:r w:rsidRPr="00AE278B">
        <w:t xml:space="preserve"> </w:t>
      </w:r>
      <w:r w:rsidRPr="00AE278B">
        <w:rPr>
          <w:rFonts w:ascii="Times New Roman" w:hAnsi="Times New Roman" w:cs="Times New Roman"/>
          <w:sz w:val="24"/>
          <w:szCs w:val="24"/>
        </w:rPr>
        <w:t>10.1037//0022-3514.82.6.878 (Accessed: 28 January 2019).</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Fredrickson, N. and Cline, T. (2015) </w:t>
      </w:r>
      <w:r w:rsidRPr="00AE278B">
        <w:rPr>
          <w:rFonts w:ascii="Times New Roman" w:hAnsi="Times New Roman" w:cs="Times New Roman"/>
          <w:i/>
          <w:sz w:val="24"/>
          <w:szCs w:val="24"/>
        </w:rPr>
        <w:t xml:space="preserve">Special Educational Needs, Inclusion and Diversity. </w:t>
      </w:r>
      <w:r w:rsidRPr="00AE278B">
        <w:rPr>
          <w:rFonts w:ascii="Times New Roman" w:hAnsi="Times New Roman" w:cs="Times New Roman"/>
          <w:sz w:val="24"/>
          <w:szCs w:val="24"/>
        </w:rPr>
        <w:t>Berkshire: Oxford University Press.</w:t>
      </w:r>
    </w:p>
    <w:p w:rsidR="00AE278B" w:rsidRPr="00AE278B" w:rsidRDefault="00AE278B" w:rsidP="00AE278B">
      <w:pPr>
        <w:spacing w:line="360" w:lineRule="auto"/>
        <w:rPr>
          <w:rFonts w:ascii="Times New Roman" w:hAnsi="Times New Roman" w:cs="Times New Roman"/>
          <w:color w:val="000000" w:themeColor="text1"/>
          <w:sz w:val="24"/>
          <w:szCs w:val="24"/>
        </w:rPr>
      </w:pPr>
      <w:r w:rsidRPr="00AE278B">
        <w:rPr>
          <w:rFonts w:ascii="Times New Roman" w:hAnsi="Times New Roman" w:cs="Times New Roman"/>
          <w:sz w:val="24"/>
          <w:szCs w:val="24"/>
        </w:rPr>
        <w:t xml:space="preserve">Hornby, G. and </w:t>
      </w:r>
      <w:proofErr w:type="spellStart"/>
      <w:r w:rsidRPr="00AE278B">
        <w:rPr>
          <w:rFonts w:ascii="Times New Roman" w:hAnsi="Times New Roman" w:cs="Times New Roman"/>
          <w:sz w:val="24"/>
          <w:szCs w:val="24"/>
        </w:rPr>
        <w:t>Lafaele</w:t>
      </w:r>
      <w:proofErr w:type="spellEnd"/>
      <w:proofErr w:type="gramStart"/>
      <w:r w:rsidRPr="00AE278B">
        <w:rPr>
          <w:rFonts w:ascii="Times New Roman" w:hAnsi="Times New Roman" w:cs="Times New Roman"/>
          <w:sz w:val="24"/>
          <w:szCs w:val="24"/>
        </w:rPr>
        <w:t>;,</w:t>
      </w:r>
      <w:proofErr w:type="gramEnd"/>
      <w:r w:rsidRPr="00AE278B">
        <w:rPr>
          <w:rFonts w:ascii="Times New Roman" w:hAnsi="Times New Roman" w:cs="Times New Roman"/>
          <w:sz w:val="24"/>
          <w:szCs w:val="24"/>
        </w:rPr>
        <w:t xml:space="preserve"> R. (2011) ‘Barriers to parental involvement in education: an explanatory model’. </w:t>
      </w:r>
      <w:r w:rsidRPr="00AE278B">
        <w:rPr>
          <w:rFonts w:ascii="Times New Roman" w:hAnsi="Times New Roman" w:cs="Times New Roman"/>
          <w:i/>
          <w:sz w:val="24"/>
          <w:szCs w:val="24"/>
        </w:rPr>
        <w:t xml:space="preserve">Educational Review, </w:t>
      </w:r>
      <w:r w:rsidRPr="00AE278B">
        <w:rPr>
          <w:rFonts w:ascii="Times New Roman" w:hAnsi="Times New Roman" w:cs="Times New Roman"/>
          <w:sz w:val="24"/>
          <w:szCs w:val="24"/>
        </w:rPr>
        <w:t xml:space="preserve">63(1), pp.37-52. </w:t>
      </w:r>
      <w:r w:rsidRPr="00AE278B">
        <w:rPr>
          <w:rFonts w:ascii="Times New Roman" w:hAnsi="Times New Roman" w:cs="Times New Roman"/>
          <w:color w:val="000000" w:themeColor="text1"/>
          <w:sz w:val="24"/>
          <w:szCs w:val="24"/>
        </w:rPr>
        <w:t xml:space="preserve">DOI: 10.1080/00131911.2010.488049 (Accessed: 31 January 2019).   </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lastRenderedPageBreak/>
        <w:t xml:space="preserve">McLeod, S. A. (2007) </w:t>
      </w:r>
      <w:r w:rsidRPr="00AE278B">
        <w:rPr>
          <w:rFonts w:ascii="Times New Roman" w:hAnsi="Times New Roman" w:cs="Times New Roman"/>
          <w:i/>
          <w:sz w:val="24"/>
          <w:szCs w:val="24"/>
        </w:rPr>
        <w:t>Maslow's Hierarchy of Needs</w:t>
      </w:r>
      <w:r w:rsidRPr="00AE278B">
        <w:rPr>
          <w:rFonts w:ascii="Times New Roman" w:hAnsi="Times New Roman" w:cs="Times New Roman"/>
          <w:sz w:val="24"/>
          <w:szCs w:val="24"/>
        </w:rPr>
        <w:t xml:space="preserve">. Available at: </w:t>
      </w:r>
      <w:hyperlink r:id="rId8" w:history="1">
        <w:r w:rsidRPr="00AE278B">
          <w:rPr>
            <w:rFonts w:ascii="Times New Roman" w:hAnsi="Times New Roman" w:cs="Times New Roman"/>
            <w:color w:val="0563C1" w:themeColor="hyperlink"/>
            <w:sz w:val="24"/>
            <w:szCs w:val="24"/>
            <w:u w:val="single"/>
          </w:rPr>
          <w:t>http://www.simplypsychology.org/maslow.html</w:t>
        </w:r>
      </w:hyperlink>
      <w:r w:rsidRPr="00AE278B">
        <w:rPr>
          <w:rFonts w:ascii="Times New Roman" w:hAnsi="Times New Roman" w:cs="Times New Roman"/>
          <w:sz w:val="24"/>
          <w:szCs w:val="24"/>
        </w:rPr>
        <w:t xml:space="preserve"> (Accessed: 18 February 2019).</w:t>
      </w:r>
    </w:p>
    <w:p w:rsidR="00AE278B" w:rsidRPr="00AE278B" w:rsidRDefault="00AE278B" w:rsidP="00AE278B">
      <w:pPr>
        <w:spacing w:line="360" w:lineRule="auto"/>
        <w:rPr>
          <w:rFonts w:ascii="Times New Roman" w:hAnsi="Times New Roman" w:cs="Times New Roman"/>
          <w:sz w:val="24"/>
          <w:szCs w:val="24"/>
        </w:rPr>
      </w:pPr>
      <w:proofErr w:type="spellStart"/>
      <w:r w:rsidRPr="00AE278B">
        <w:rPr>
          <w:rFonts w:ascii="Times New Roman" w:hAnsi="Times New Roman" w:cs="Times New Roman"/>
          <w:sz w:val="24"/>
          <w:szCs w:val="24"/>
        </w:rPr>
        <w:t>Nessy</w:t>
      </w:r>
      <w:proofErr w:type="spellEnd"/>
      <w:r w:rsidRPr="00AE278B">
        <w:rPr>
          <w:rFonts w:ascii="Times New Roman" w:hAnsi="Times New Roman" w:cs="Times New Roman"/>
          <w:sz w:val="24"/>
          <w:szCs w:val="24"/>
        </w:rPr>
        <w:t xml:space="preserve"> Learning Ltd (2017) </w:t>
      </w:r>
      <w:r w:rsidRPr="00AE278B">
        <w:rPr>
          <w:rFonts w:ascii="Times New Roman" w:hAnsi="Times New Roman" w:cs="Times New Roman"/>
          <w:i/>
          <w:sz w:val="24"/>
          <w:szCs w:val="24"/>
        </w:rPr>
        <w:t xml:space="preserve">Research and Testimonials. </w:t>
      </w:r>
      <w:r w:rsidRPr="00AE278B">
        <w:rPr>
          <w:rFonts w:ascii="Times New Roman" w:hAnsi="Times New Roman" w:cs="Times New Roman"/>
          <w:sz w:val="24"/>
          <w:szCs w:val="24"/>
        </w:rPr>
        <w:t xml:space="preserve">Available at: </w:t>
      </w:r>
      <w:hyperlink r:id="rId9" w:history="1">
        <w:r w:rsidRPr="00AE278B">
          <w:rPr>
            <w:rFonts w:ascii="Times New Roman" w:hAnsi="Times New Roman" w:cs="Times New Roman"/>
            <w:color w:val="0563C1" w:themeColor="hyperlink"/>
            <w:sz w:val="24"/>
            <w:szCs w:val="24"/>
            <w:u w:val="single"/>
          </w:rPr>
          <w:t>https://www.nessy.com/uk/research-testimonials/</w:t>
        </w:r>
      </w:hyperlink>
      <w:r w:rsidRPr="00AE278B">
        <w:rPr>
          <w:rFonts w:ascii="Times New Roman" w:hAnsi="Times New Roman" w:cs="Times New Roman"/>
          <w:sz w:val="24"/>
          <w:szCs w:val="24"/>
        </w:rPr>
        <w:t xml:space="preserve"> (Accessed: 26 February 2019).</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RNIB (2019) </w:t>
      </w:r>
      <w:r w:rsidRPr="00AE278B">
        <w:rPr>
          <w:rFonts w:ascii="Times New Roman" w:hAnsi="Times New Roman" w:cs="Times New Roman"/>
          <w:i/>
          <w:sz w:val="24"/>
          <w:szCs w:val="24"/>
        </w:rPr>
        <w:t xml:space="preserve">Disability Discrimination Act (DDA) </w:t>
      </w:r>
      <w:r w:rsidRPr="00AE278B">
        <w:rPr>
          <w:rFonts w:ascii="Times New Roman" w:hAnsi="Times New Roman" w:cs="Times New Roman"/>
          <w:sz w:val="24"/>
          <w:szCs w:val="24"/>
        </w:rPr>
        <w:t xml:space="preserve">Available at: </w:t>
      </w:r>
      <w:hyperlink r:id="rId10" w:history="1">
        <w:r w:rsidRPr="00AE278B">
          <w:rPr>
            <w:rFonts w:ascii="Times New Roman" w:hAnsi="Times New Roman" w:cs="Times New Roman"/>
            <w:color w:val="0563C1" w:themeColor="hyperlink"/>
            <w:sz w:val="24"/>
            <w:szCs w:val="24"/>
            <w:u w:val="single"/>
          </w:rPr>
          <w:t>https://www.rnib.org.uk/information-everyday-living-your-rights/disability-discrimination-act-dda</w:t>
        </w:r>
      </w:hyperlink>
      <w:r w:rsidRPr="00AE278B">
        <w:rPr>
          <w:rFonts w:ascii="Times New Roman" w:hAnsi="Times New Roman" w:cs="Times New Roman"/>
          <w:sz w:val="24"/>
          <w:szCs w:val="24"/>
        </w:rPr>
        <w:t xml:space="preserve"> (Accessed: 12 February 2018).</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United Nations (1948) </w:t>
      </w:r>
      <w:r w:rsidRPr="00AE278B">
        <w:rPr>
          <w:rFonts w:ascii="Times New Roman" w:hAnsi="Times New Roman" w:cs="Times New Roman"/>
          <w:i/>
          <w:sz w:val="24"/>
          <w:szCs w:val="24"/>
        </w:rPr>
        <w:t xml:space="preserve">Universal Declaration of Human Rights. </w:t>
      </w:r>
      <w:r w:rsidRPr="00AE278B">
        <w:rPr>
          <w:rFonts w:ascii="Times New Roman" w:hAnsi="Times New Roman" w:cs="Times New Roman"/>
          <w:sz w:val="24"/>
          <w:szCs w:val="24"/>
        </w:rPr>
        <w:t xml:space="preserve">Available at: </w:t>
      </w:r>
      <w:hyperlink r:id="rId11" w:history="1">
        <w:r w:rsidRPr="00AE278B">
          <w:rPr>
            <w:rFonts w:ascii="Times New Roman" w:hAnsi="Times New Roman" w:cs="Times New Roman"/>
            <w:color w:val="0563C1" w:themeColor="hyperlink"/>
            <w:sz w:val="24"/>
            <w:szCs w:val="24"/>
            <w:u w:val="single"/>
          </w:rPr>
          <w:t>https://www.ohchr.org/EN/UDHR/Documents/UDHR_Translations/eng.pdf</w:t>
        </w:r>
      </w:hyperlink>
      <w:r w:rsidRPr="00AE278B">
        <w:rPr>
          <w:rFonts w:ascii="Times New Roman" w:hAnsi="Times New Roman" w:cs="Times New Roman"/>
          <w:sz w:val="24"/>
          <w:szCs w:val="24"/>
        </w:rPr>
        <w:t xml:space="preserve"> (Accessed: 6 February 2019).</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United Nations (1989) </w:t>
      </w:r>
      <w:r w:rsidRPr="00AE278B">
        <w:rPr>
          <w:rFonts w:ascii="Times New Roman" w:hAnsi="Times New Roman" w:cs="Times New Roman"/>
          <w:i/>
          <w:sz w:val="24"/>
          <w:szCs w:val="24"/>
        </w:rPr>
        <w:t xml:space="preserve">UN Convention on the Rights of the Child (UNCRC): An international agreement for child rights. </w:t>
      </w:r>
      <w:r w:rsidRPr="00AE278B">
        <w:rPr>
          <w:rFonts w:ascii="Times New Roman" w:hAnsi="Times New Roman" w:cs="Times New Roman"/>
          <w:sz w:val="24"/>
          <w:szCs w:val="24"/>
        </w:rPr>
        <w:t xml:space="preserve">Available at: </w:t>
      </w:r>
      <w:hyperlink r:id="rId12" w:history="1">
        <w:r w:rsidRPr="00AE278B">
          <w:rPr>
            <w:rFonts w:ascii="Times New Roman" w:hAnsi="Times New Roman" w:cs="Times New Roman"/>
            <w:color w:val="0563C1" w:themeColor="hyperlink"/>
            <w:sz w:val="24"/>
            <w:szCs w:val="24"/>
            <w:u w:val="single"/>
          </w:rPr>
          <w:t>https://www.savethechildren.org.uk/what-we-do/childrens-rights/united-nations-convention-of-the-rights-of-the-child</w:t>
        </w:r>
      </w:hyperlink>
      <w:r w:rsidRPr="00AE278B">
        <w:rPr>
          <w:rFonts w:ascii="Times New Roman" w:hAnsi="Times New Roman" w:cs="Times New Roman"/>
          <w:sz w:val="24"/>
          <w:szCs w:val="24"/>
        </w:rPr>
        <w:t xml:space="preserve"> (Accessed: 6 February 2019).</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UNESCO (1976) </w:t>
      </w:r>
      <w:r w:rsidRPr="00AE278B">
        <w:rPr>
          <w:rFonts w:ascii="Times New Roman" w:hAnsi="Times New Roman" w:cs="Times New Roman"/>
          <w:i/>
          <w:sz w:val="24"/>
          <w:szCs w:val="24"/>
        </w:rPr>
        <w:t xml:space="preserve">Protocol to the Agreement on the Importation of Educational, Scientific, and Cultural Materials. </w:t>
      </w:r>
      <w:r w:rsidRPr="00AE278B">
        <w:rPr>
          <w:rFonts w:ascii="Times New Roman" w:hAnsi="Times New Roman" w:cs="Times New Roman"/>
          <w:sz w:val="24"/>
          <w:szCs w:val="24"/>
        </w:rPr>
        <w:t xml:space="preserve">Available at: </w:t>
      </w:r>
      <w:hyperlink r:id="rId13" w:history="1">
        <w:r w:rsidRPr="00AE278B">
          <w:rPr>
            <w:rFonts w:ascii="Times New Roman" w:hAnsi="Times New Roman" w:cs="Times New Roman"/>
            <w:color w:val="0563C1" w:themeColor="hyperlink"/>
            <w:sz w:val="24"/>
            <w:szCs w:val="24"/>
            <w:u w:val="single"/>
          </w:rPr>
          <w:t>http://www.unesco.org/education/pdf/IMPORT_E.PDF</w:t>
        </w:r>
      </w:hyperlink>
      <w:r w:rsidRPr="00AE278B">
        <w:rPr>
          <w:rFonts w:ascii="Times New Roman" w:hAnsi="Times New Roman" w:cs="Times New Roman"/>
          <w:sz w:val="24"/>
          <w:szCs w:val="24"/>
        </w:rPr>
        <w:t xml:space="preserve">  (Accessed: 18 February 2018).</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UNESCO (1994) </w:t>
      </w:r>
      <w:r w:rsidRPr="00AE278B">
        <w:rPr>
          <w:rFonts w:ascii="Times New Roman" w:hAnsi="Times New Roman" w:cs="Times New Roman"/>
          <w:i/>
          <w:sz w:val="24"/>
          <w:szCs w:val="24"/>
        </w:rPr>
        <w:t xml:space="preserve">The Salamanca Statement and Framework for Action on Special Needs Education. </w:t>
      </w:r>
      <w:r w:rsidRPr="00AE278B">
        <w:rPr>
          <w:rFonts w:ascii="Times New Roman" w:hAnsi="Times New Roman" w:cs="Times New Roman"/>
          <w:sz w:val="24"/>
          <w:szCs w:val="24"/>
        </w:rPr>
        <w:t xml:space="preserve">Available at: </w:t>
      </w:r>
      <w:hyperlink r:id="rId14" w:history="1">
        <w:r w:rsidRPr="00AE278B">
          <w:rPr>
            <w:rFonts w:ascii="Times New Roman" w:hAnsi="Times New Roman" w:cs="Times New Roman"/>
            <w:color w:val="0563C1" w:themeColor="hyperlink"/>
            <w:sz w:val="24"/>
            <w:szCs w:val="24"/>
            <w:u w:val="single"/>
          </w:rPr>
          <w:t>http://www.unesco.org/education/pdf/SALAMA_E.PDF</w:t>
        </w:r>
      </w:hyperlink>
      <w:r w:rsidRPr="00AE278B">
        <w:rPr>
          <w:rFonts w:ascii="Times New Roman" w:hAnsi="Times New Roman" w:cs="Times New Roman"/>
          <w:sz w:val="24"/>
          <w:szCs w:val="24"/>
        </w:rPr>
        <w:t xml:space="preserve"> (Accessed: 18 February 2018).</w:t>
      </w:r>
    </w:p>
    <w:p w:rsidR="00AE278B" w:rsidRPr="00AE278B" w:rsidRDefault="00AE278B" w:rsidP="00AE278B">
      <w:pPr>
        <w:spacing w:line="360" w:lineRule="auto"/>
        <w:rPr>
          <w:rFonts w:ascii="Times New Roman" w:hAnsi="Times New Roman" w:cs="Times New Roman"/>
          <w:sz w:val="24"/>
          <w:szCs w:val="24"/>
        </w:rPr>
      </w:pPr>
      <w:r w:rsidRPr="00AE278B">
        <w:rPr>
          <w:rFonts w:ascii="Times New Roman" w:hAnsi="Times New Roman" w:cs="Times New Roman"/>
          <w:sz w:val="24"/>
          <w:szCs w:val="24"/>
        </w:rPr>
        <w:t xml:space="preserve">Welsh Government (2018) </w:t>
      </w:r>
      <w:r w:rsidRPr="00AE278B">
        <w:rPr>
          <w:rFonts w:ascii="Times New Roman" w:hAnsi="Times New Roman" w:cs="Times New Roman"/>
          <w:i/>
          <w:sz w:val="24"/>
          <w:szCs w:val="24"/>
        </w:rPr>
        <w:t xml:space="preserve">Draft Additional Learning Needs Code for Wales. </w:t>
      </w:r>
      <w:r w:rsidRPr="00AE278B">
        <w:rPr>
          <w:rFonts w:ascii="Times New Roman" w:hAnsi="Times New Roman" w:cs="Times New Roman"/>
          <w:sz w:val="24"/>
          <w:szCs w:val="24"/>
        </w:rPr>
        <w:t xml:space="preserve">Available at: </w:t>
      </w:r>
      <w:hyperlink r:id="rId15" w:history="1">
        <w:r w:rsidRPr="00AE278B">
          <w:rPr>
            <w:rFonts w:ascii="Times New Roman" w:hAnsi="Times New Roman" w:cs="Times New Roman"/>
            <w:color w:val="0563C1" w:themeColor="hyperlink"/>
            <w:sz w:val="24"/>
            <w:szCs w:val="24"/>
            <w:u w:val="single"/>
          </w:rPr>
          <w:t>https://beta.gov.wales/sites/default/files/consultations/2018-12/draft-additional-learning-needs-code-for-wales_0.pdf</w:t>
        </w:r>
      </w:hyperlink>
      <w:r w:rsidRPr="00AE278B">
        <w:rPr>
          <w:rFonts w:ascii="Times New Roman" w:hAnsi="Times New Roman" w:cs="Times New Roman"/>
          <w:sz w:val="24"/>
          <w:szCs w:val="24"/>
        </w:rPr>
        <w:t xml:space="preserve"> (Accessed: 28 January 2019).</w:t>
      </w:r>
    </w:p>
    <w:p w:rsidR="00AE278B" w:rsidRPr="00AE278B" w:rsidRDefault="00AE278B" w:rsidP="00AE278B">
      <w:pPr>
        <w:overflowPunct w:val="0"/>
        <w:autoSpaceDE w:val="0"/>
        <w:adjustRightInd w:val="0"/>
        <w:textAlignment w:val="baseline"/>
        <w:rPr>
          <w:rFonts w:ascii="Times New Roman" w:hAnsi="Times New Roman" w:cs="Times New Roman"/>
          <w:sz w:val="24"/>
          <w:szCs w:val="24"/>
        </w:rPr>
      </w:pPr>
      <w:r w:rsidRPr="00AE278B">
        <w:rPr>
          <w:rFonts w:ascii="Times New Roman" w:hAnsi="Times New Roman" w:cs="Times New Roman"/>
          <w:sz w:val="24"/>
          <w:szCs w:val="24"/>
        </w:rPr>
        <w:t xml:space="preserve">Wales: </w:t>
      </w:r>
      <w:proofErr w:type="spellStart"/>
      <w:r w:rsidRPr="00AE278B">
        <w:rPr>
          <w:rFonts w:ascii="Times New Roman" w:hAnsi="Times New Roman" w:cs="Times New Roman"/>
          <w:sz w:val="24"/>
          <w:szCs w:val="24"/>
        </w:rPr>
        <w:t>NAfW</w:t>
      </w:r>
      <w:proofErr w:type="spellEnd"/>
      <w:r w:rsidRPr="00AE278B">
        <w:rPr>
          <w:rFonts w:ascii="Times New Roman" w:hAnsi="Times New Roman" w:cs="Times New Roman"/>
          <w:sz w:val="24"/>
          <w:szCs w:val="24"/>
        </w:rPr>
        <w:t xml:space="preserve"> (2002) </w:t>
      </w:r>
      <w:proofErr w:type="gramStart"/>
      <w:r w:rsidRPr="00AE278B">
        <w:rPr>
          <w:rFonts w:ascii="Times New Roman" w:hAnsi="Times New Roman" w:cs="Times New Roman"/>
          <w:i/>
          <w:sz w:val="24"/>
          <w:szCs w:val="24"/>
        </w:rPr>
        <w:t>The</w:t>
      </w:r>
      <w:proofErr w:type="gramEnd"/>
      <w:r w:rsidRPr="00AE278B">
        <w:rPr>
          <w:rFonts w:ascii="Times New Roman" w:hAnsi="Times New Roman" w:cs="Times New Roman"/>
          <w:i/>
          <w:sz w:val="24"/>
          <w:szCs w:val="24"/>
        </w:rPr>
        <w:t xml:space="preserve"> Special Educational Needs Code of Practice for Wales</w:t>
      </w:r>
      <w:r w:rsidRPr="00AE278B">
        <w:rPr>
          <w:rFonts w:ascii="Times New Roman" w:hAnsi="Times New Roman" w:cs="Times New Roman"/>
          <w:sz w:val="24"/>
          <w:szCs w:val="24"/>
        </w:rPr>
        <w:t>. Cardiff: National Assembly for Wales.</w:t>
      </w:r>
    </w:p>
    <w:p w:rsidR="00AE278B" w:rsidRPr="00AE278B" w:rsidRDefault="00AE278B" w:rsidP="00AE278B">
      <w:pPr>
        <w:overflowPunct w:val="0"/>
        <w:autoSpaceDE w:val="0"/>
        <w:adjustRightInd w:val="0"/>
        <w:textAlignment w:val="baseline"/>
        <w:rPr>
          <w:rFonts w:ascii="Times New Roman" w:hAnsi="Times New Roman" w:cs="Times New Roman"/>
          <w:sz w:val="24"/>
          <w:szCs w:val="24"/>
        </w:rPr>
      </w:pPr>
      <w:r w:rsidRPr="00AE278B">
        <w:rPr>
          <w:rFonts w:ascii="Times New Roman" w:hAnsi="Times New Roman" w:cs="Times New Roman"/>
          <w:sz w:val="24"/>
          <w:szCs w:val="24"/>
        </w:rPr>
        <w:t xml:space="preserve">Warnock (1978). </w:t>
      </w:r>
      <w:r w:rsidRPr="00AE278B">
        <w:rPr>
          <w:rFonts w:ascii="Times New Roman" w:hAnsi="Times New Roman" w:cs="Times New Roman"/>
          <w:i/>
          <w:sz w:val="24"/>
          <w:szCs w:val="24"/>
        </w:rPr>
        <w:t xml:space="preserve">Special Educational Needs: Report of the Committee of Enquiry into the Education of Handicapped Children and Young People. </w:t>
      </w:r>
      <w:r w:rsidRPr="00AE278B">
        <w:rPr>
          <w:rFonts w:ascii="Times New Roman" w:hAnsi="Times New Roman" w:cs="Times New Roman"/>
          <w:sz w:val="24"/>
          <w:szCs w:val="24"/>
        </w:rPr>
        <w:t xml:space="preserve">Available at: </w:t>
      </w:r>
      <w:hyperlink r:id="rId16" w:history="1">
        <w:r w:rsidRPr="00AE278B">
          <w:rPr>
            <w:rFonts w:ascii="Times New Roman" w:hAnsi="Times New Roman" w:cs="Times New Roman"/>
            <w:color w:val="0563C1" w:themeColor="hyperlink"/>
            <w:sz w:val="24"/>
            <w:szCs w:val="24"/>
            <w:u w:val="single"/>
          </w:rPr>
          <w:t>http://www.educationengland.org.uk/documents/warnock/warnock1978.html</w:t>
        </w:r>
      </w:hyperlink>
      <w:r w:rsidRPr="00AE278B">
        <w:rPr>
          <w:rFonts w:ascii="Times New Roman" w:hAnsi="Times New Roman" w:cs="Times New Roman"/>
          <w:sz w:val="24"/>
          <w:szCs w:val="24"/>
        </w:rPr>
        <w:t xml:space="preserve"> (Accessed: 17 February 2019).</w:t>
      </w:r>
    </w:p>
    <w:p w:rsidR="00AE278B" w:rsidRPr="00AE278B" w:rsidRDefault="00AE278B" w:rsidP="00AE278B">
      <w:pPr>
        <w:spacing w:line="360" w:lineRule="auto"/>
        <w:rPr>
          <w:rFonts w:ascii="Times New Roman" w:hAnsi="Times New Roman" w:cs="Times New Roman"/>
          <w:sz w:val="24"/>
          <w:szCs w:val="24"/>
        </w:rPr>
      </w:pPr>
    </w:p>
    <w:p w:rsidR="00AE278B" w:rsidRPr="00877718" w:rsidRDefault="00AE278B" w:rsidP="00877718">
      <w:pPr>
        <w:spacing w:line="360" w:lineRule="auto"/>
        <w:jc w:val="both"/>
        <w:rPr>
          <w:rFonts w:ascii="Times New Roman" w:hAnsi="Times New Roman" w:cs="Times New Roman"/>
          <w:sz w:val="24"/>
          <w:szCs w:val="24"/>
        </w:rPr>
      </w:pPr>
    </w:p>
    <w:p w:rsidR="00877718" w:rsidRPr="00877718" w:rsidRDefault="00877718" w:rsidP="00877718">
      <w:pPr>
        <w:spacing w:line="360" w:lineRule="auto"/>
        <w:jc w:val="both"/>
        <w:rPr>
          <w:rFonts w:ascii="Times New Roman" w:hAnsi="Times New Roman" w:cs="Times New Roman"/>
          <w:sz w:val="24"/>
          <w:szCs w:val="24"/>
        </w:rPr>
      </w:pPr>
    </w:p>
    <w:p w:rsidR="00AC0AE5" w:rsidRPr="00877718" w:rsidRDefault="00AC0AE5" w:rsidP="00877718">
      <w:pPr>
        <w:spacing w:line="360" w:lineRule="auto"/>
        <w:jc w:val="both"/>
        <w:rPr>
          <w:rFonts w:ascii="Times New Roman" w:hAnsi="Times New Roman" w:cs="Times New Roman"/>
          <w:sz w:val="24"/>
          <w:szCs w:val="24"/>
        </w:rPr>
      </w:pPr>
    </w:p>
    <w:p w:rsidR="00877718" w:rsidRPr="00877718" w:rsidRDefault="00877718" w:rsidP="00877718">
      <w:pPr>
        <w:spacing w:line="360" w:lineRule="auto"/>
        <w:jc w:val="both"/>
        <w:rPr>
          <w:rFonts w:ascii="Times New Roman" w:hAnsi="Times New Roman" w:cs="Times New Roman"/>
          <w:sz w:val="24"/>
          <w:szCs w:val="24"/>
        </w:rPr>
      </w:pPr>
    </w:p>
    <w:sectPr w:rsidR="00877718" w:rsidRPr="00877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7DB"/>
    <w:rsid w:val="002F1618"/>
    <w:rsid w:val="003350E2"/>
    <w:rsid w:val="00877718"/>
    <w:rsid w:val="008F563E"/>
    <w:rsid w:val="009B54A6"/>
    <w:rsid w:val="00A9722D"/>
    <w:rsid w:val="00AC0AE5"/>
    <w:rsid w:val="00AE278B"/>
    <w:rsid w:val="00B427DB"/>
    <w:rsid w:val="00C52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FE78E-2364-403B-99DC-FA9C9B87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7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maslow.html" TargetMode="External"/><Relationship Id="rId13" Type="http://schemas.openxmlformats.org/officeDocument/2006/relationships/hyperlink" Target="http://www.unesco.org/education/pdf/IMPORT_E.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ssay.uk.com/free-essays/education/history-special-educational-needs-uk.php" TargetMode="External"/><Relationship Id="rId12" Type="http://schemas.openxmlformats.org/officeDocument/2006/relationships/hyperlink" Target="https://www.savethechildren.org.uk/what-we-do/childrens-rights/united-nations-convention-of-the-rights-of-the-chil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educationengland.org.uk/documents/warnock/warnock1978.html" TargetMode="External"/><Relationship Id="rId1" Type="http://schemas.openxmlformats.org/officeDocument/2006/relationships/styles" Target="styles.xml"/><Relationship Id="rId6" Type="http://schemas.openxmlformats.org/officeDocument/2006/relationships/hyperlink" Target="http://www.legislation.gov.uk/ukpga/2010/15/contents/enacted" TargetMode="External"/><Relationship Id="rId11" Type="http://schemas.openxmlformats.org/officeDocument/2006/relationships/hyperlink" Target="https://www.ohchr.org/EN/UDHR/Documents/UDHR_Translations/eng.pdf" TargetMode="External"/><Relationship Id="rId5" Type="http://schemas.openxmlformats.org/officeDocument/2006/relationships/hyperlink" Target="http://www.legislation.gov.uk/ukpga/Geo6/7-8/31/contents/enacted" TargetMode="External"/><Relationship Id="rId15" Type="http://schemas.openxmlformats.org/officeDocument/2006/relationships/hyperlink" Target="https://beta.gov.wales/sites/default/files/consultations/2018-12/draft-additional-learning-needs-code-for-wales_0.pdf" TargetMode="External"/><Relationship Id="rId10" Type="http://schemas.openxmlformats.org/officeDocument/2006/relationships/hyperlink" Target="https://www.rnib.org.uk/information-everyday-living-your-rights/disability-discrimination-act-dda" TargetMode="External"/><Relationship Id="rId4" Type="http://schemas.openxmlformats.org/officeDocument/2006/relationships/hyperlink" Target="https://www.right-to-education.org/sites/right-to-education.org/files/resource-attachments/RTE_RTE_indicators_Concept_Paper_De%20Beco_2010.pdf" TargetMode="External"/><Relationship Id="rId9" Type="http://schemas.openxmlformats.org/officeDocument/2006/relationships/hyperlink" Target="https://www.nessy.com/uk/research-testimonials/" TargetMode="External"/><Relationship Id="rId14" Type="http://schemas.openxmlformats.org/officeDocument/2006/relationships/hyperlink" Target="http://www.unesco.org/education/pdf/SALAMA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2019-02-28T15:23:00Z</dcterms:created>
  <dcterms:modified xsi:type="dcterms:W3CDTF">2019-03-02T19:06:00Z</dcterms:modified>
</cp:coreProperties>
</file>