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99C79" w14:textId="77777777" w:rsidR="005975F3" w:rsidRDefault="005975F3" w:rsidP="005975F3">
      <w:pPr>
        <w:spacing w:line="360" w:lineRule="auto"/>
        <w:jc w:val="center"/>
        <w:rPr>
          <w:b/>
          <w:bCs/>
        </w:rPr>
      </w:pPr>
    </w:p>
    <w:p w14:paraId="69580AB2" w14:textId="77777777" w:rsidR="005975F3" w:rsidRDefault="005975F3" w:rsidP="005975F3">
      <w:pPr>
        <w:spacing w:line="360" w:lineRule="auto"/>
        <w:jc w:val="center"/>
        <w:rPr>
          <w:b/>
          <w:bCs/>
        </w:rPr>
      </w:pPr>
    </w:p>
    <w:p w14:paraId="07BB4B29" w14:textId="77777777" w:rsidR="005975F3" w:rsidRDefault="005975F3" w:rsidP="005975F3">
      <w:pPr>
        <w:spacing w:line="360" w:lineRule="auto"/>
        <w:jc w:val="center"/>
        <w:rPr>
          <w:b/>
          <w:bCs/>
        </w:rPr>
      </w:pPr>
    </w:p>
    <w:p w14:paraId="0A92E7A3" w14:textId="77777777" w:rsidR="005975F3" w:rsidRDefault="005975F3" w:rsidP="005975F3">
      <w:pPr>
        <w:spacing w:line="360" w:lineRule="auto"/>
        <w:jc w:val="center"/>
        <w:rPr>
          <w:b/>
          <w:bCs/>
        </w:rPr>
      </w:pPr>
    </w:p>
    <w:p w14:paraId="138BAAE4" w14:textId="77777777" w:rsidR="005975F3" w:rsidRDefault="005975F3" w:rsidP="005975F3">
      <w:pPr>
        <w:spacing w:line="360" w:lineRule="auto"/>
        <w:jc w:val="center"/>
        <w:rPr>
          <w:b/>
          <w:bCs/>
        </w:rPr>
      </w:pPr>
    </w:p>
    <w:p w14:paraId="3E4B7ED5" w14:textId="77777777" w:rsidR="005975F3" w:rsidRDefault="005975F3" w:rsidP="005975F3">
      <w:pPr>
        <w:spacing w:line="360" w:lineRule="auto"/>
        <w:jc w:val="center"/>
        <w:rPr>
          <w:b/>
          <w:bCs/>
        </w:rPr>
      </w:pPr>
    </w:p>
    <w:p w14:paraId="45954404" w14:textId="77777777" w:rsidR="005975F3" w:rsidRDefault="005975F3" w:rsidP="005975F3">
      <w:pPr>
        <w:spacing w:line="360" w:lineRule="auto"/>
        <w:jc w:val="center"/>
        <w:rPr>
          <w:b/>
          <w:bCs/>
        </w:rPr>
      </w:pPr>
    </w:p>
    <w:p w14:paraId="020E1BEB" w14:textId="77777777" w:rsidR="005975F3" w:rsidRDefault="005975F3" w:rsidP="005975F3">
      <w:pPr>
        <w:spacing w:line="360" w:lineRule="auto"/>
        <w:jc w:val="center"/>
        <w:rPr>
          <w:b/>
          <w:bCs/>
        </w:rPr>
      </w:pPr>
    </w:p>
    <w:p w14:paraId="44B5471C" w14:textId="77777777" w:rsidR="005975F3" w:rsidRDefault="005975F3" w:rsidP="005975F3">
      <w:pPr>
        <w:spacing w:line="360" w:lineRule="auto"/>
        <w:jc w:val="center"/>
        <w:rPr>
          <w:b/>
          <w:bCs/>
        </w:rPr>
      </w:pPr>
    </w:p>
    <w:p w14:paraId="386A63E7" w14:textId="77777777" w:rsidR="005975F3" w:rsidRDefault="005975F3" w:rsidP="005975F3">
      <w:pPr>
        <w:spacing w:line="360" w:lineRule="auto"/>
        <w:jc w:val="center"/>
        <w:rPr>
          <w:b/>
          <w:bCs/>
        </w:rPr>
      </w:pPr>
    </w:p>
    <w:p w14:paraId="748B6B25" w14:textId="7975D49C" w:rsidR="005975F3" w:rsidRDefault="005975F3" w:rsidP="005975F3">
      <w:pPr>
        <w:spacing w:line="360" w:lineRule="auto"/>
        <w:jc w:val="center"/>
        <w:rPr>
          <w:b/>
          <w:bCs/>
        </w:rPr>
      </w:pPr>
      <w:r>
        <w:rPr>
          <w:b/>
          <w:bCs/>
        </w:rPr>
        <w:t>Business Report – Comparison of Mandarin Oriental Hotel Group and Premier Inn.</w:t>
      </w:r>
    </w:p>
    <w:p w14:paraId="239A622E" w14:textId="77777777" w:rsidR="005975F3" w:rsidRDefault="005975F3" w:rsidP="005975F3">
      <w:pPr>
        <w:spacing w:line="360" w:lineRule="auto"/>
        <w:jc w:val="center"/>
      </w:pPr>
      <w:r>
        <w:t>Student Name: Gianina AGHINITEI</w:t>
      </w:r>
    </w:p>
    <w:p w14:paraId="74B53C60" w14:textId="77777777" w:rsidR="005975F3" w:rsidRDefault="005975F3" w:rsidP="005975F3">
      <w:pPr>
        <w:spacing w:line="360" w:lineRule="auto"/>
        <w:jc w:val="center"/>
      </w:pPr>
      <w:r>
        <w:t>Student ID: 2126415</w:t>
      </w:r>
    </w:p>
    <w:p w14:paraId="67DA1B85" w14:textId="77777777" w:rsidR="005975F3" w:rsidRDefault="005975F3" w:rsidP="005975F3">
      <w:pPr>
        <w:spacing w:line="360" w:lineRule="auto"/>
        <w:jc w:val="center"/>
      </w:pPr>
      <w:r>
        <w:t>Date of Submission: 17/10/23</w:t>
      </w:r>
    </w:p>
    <w:p w14:paraId="355EA5D8" w14:textId="77777777" w:rsidR="005975F3" w:rsidRDefault="005975F3" w:rsidP="005975F3">
      <w:pPr>
        <w:spacing w:line="360" w:lineRule="auto"/>
        <w:jc w:val="center"/>
      </w:pPr>
      <w:r>
        <w:t>Word Count: 2175</w:t>
      </w:r>
    </w:p>
    <w:p w14:paraId="3FE13574" w14:textId="16589DDD" w:rsidR="005975F3" w:rsidRDefault="005975F3" w:rsidP="00C74048">
      <w:pPr>
        <w:spacing w:line="360" w:lineRule="auto"/>
        <w:jc w:val="center"/>
      </w:pPr>
    </w:p>
    <w:p w14:paraId="60ACD4EA" w14:textId="77777777" w:rsidR="005975F3" w:rsidRDefault="005975F3">
      <w:pPr>
        <w:jc w:val="left"/>
      </w:pPr>
      <w:r>
        <w:br w:type="page"/>
      </w:r>
    </w:p>
    <w:sdt>
      <w:sdtPr>
        <w:rPr>
          <w:rFonts w:ascii="Times New Roman" w:eastAsiaTheme="minorHAnsi" w:hAnsi="Times New Roman" w:cstheme="minorBidi"/>
          <w:color w:val="auto"/>
          <w:sz w:val="24"/>
          <w:szCs w:val="22"/>
        </w:rPr>
        <w:id w:val="532771357"/>
        <w:docPartObj>
          <w:docPartGallery w:val="Table of Contents"/>
          <w:docPartUnique/>
        </w:docPartObj>
      </w:sdtPr>
      <w:sdtEndPr>
        <w:rPr>
          <w:b/>
          <w:bCs/>
          <w:noProof/>
        </w:rPr>
      </w:sdtEndPr>
      <w:sdtContent>
        <w:p w14:paraId="4D55280A" w14:textId="0E528C65" w:rsidR="00065FA2" w:rsidRDefault="00065FA2">
          <w:pPr>
            <w:pStyle w:val="TOCHeading"/>
          </w:pPr>
          <w:r>
            <w:t>Table of Contents</w:t>
          </w:r>
        </w:p>
        <w:p w14:paraId="7EE8D14F" w14:textId="3B86CBD7" w:rsidR="00065FA2" w:rsidRDefault="00065FA2">
          <w:pPr>
            <w:pStyle w:val="TOC1"/>
            <w:tabs>
              <w:tab w:val="right" w:leader="dot" w:pos="9016"/>
            </w:tabs>
            <w:rPr>
              <w:noProof/>
            </w:rPr>
          </w:pPr>
          <w:r>
            <w:fldChar w:fldCharType="begin"/>
          </w:r>
          <w:r>
            <w:instrText xml:space="preserve"> TOC \o "1-3" \h \z \u </w:instrText>
          </w:r>
          <w:r>
            <w:fldChar w:fldCharType="separate"/>
          </w:r>
          <w:hyperlink w:anchor="_Toc147949762" w:history="1">
            <w:r w:rsidRPr="00CA5F38">
              <w:rPr>
                <w:rStyle w:val="Hyperlink"/>
                <w:noProof/>
              </w:rPr>
              <w:t>Introduction</w:t>
            </w:r>
            <w:r>
              <w:rPr>
                <w:noProof/>
                <w:webHidden/>
              </w:rPr>
              <w:tab/>
            </w:r>
            <w:r>
              <w:rPr>
                <w:noProof/>
                <w:webHidden/>
              </w:rPr>
              <w:fldChar w:fldCharType="begin"/>
            </w:r>
            <w:r>
              <w:rPr>
                <w:noProof/>
                <w:webHidden/>
              </w:rPr>
              <w:instrText xml:space="preserve"> PAGEREF _Toc147949762 \h </w:instrText>
            </w:r>
            <w:r>
              <w:rPr>
                <w:noProof/>
                <w:webHidden/>
              </w:rPr>
            </w:r>
            <w:r>
              <w:rPr>
                <w:noProof/>
                <w:webHidden/>
              </w:rPr>
              <w:fldChar w:fldCharType="separate"/>
            </w:r>
            <w:r>
              <w:rPr>
                <w:noProof/>
                <w:webHidden/>
              </w:rPr>
              <w:t>3</w:t>
            </w:r>
            <w:r>
              <w:rPr>
                <w:noProof/>
                <w:webHidden/>
              </w:rPr>
              <w:fldChar w:fldCharType="end"/>
            </w:r>
          </w:hyperlink>
        </w:p>
        <w:p w14:paraId="44B2C434" w14:textId="1C57D532" w:rsidR="00065FA2" w:rsidRDefault="00000000">
          <w:pPr>
            <w:pStyle w:val="TOC1"/>
            <w:tabs>
              <w:tab w:val="right" w:leader="dot" w:pos="9016"/>
            </w:tabs>
            <w:rPr>
              <w:noProof/>
            </w:rPr>
          </w:pPr>
          <w:hyperlink w:anchor="_Toc147949763" w:history="1">
            <w:r w:rsidR="00065FA2" w:rsidRPr="00CA5F38">
              <w:rPr>
                <w:rStyle w:val="Hyperlink"/>
                <w:noProof/>
              </w:rPr>
              <w:t>Analysis</w:t>
            </w:r>
            <w:r w:rsidR="00065FA2">
              <w:rPr>
                <w:noProof/>
                <w:webHidden/>
              </w:rPr>
              <w:tab/>
            </w:r>
            <w:r w:rsidR="00065FA2">
              <w:rPr>
                <w:noProof/>
                <w:webHidden/>
              </w:rPr>
              <w:fldChar w:fldCharType="begin"/>
            </w:r>
            <w:r w:rsidR="00065FA2">
              <w:rPr>
                <w:noProof/>
                <w:webHidden/>
              </w:rPr>
              <w:instrText xml:space="preserve"> PAGEREF _Toc147949763 \h </w:instrText>
            </w:r>
            <w:r w:rsidR="00065FA2">
              <w:rPr>
                <w:noProof/>
                <w:webHidden/>
              </w:rPr>
            </w:r>
            <w:r w:rsidR="00065FA2">
              <w:rPr>
                <w:noProof/>
                <w:webHidden/>
              </w:rPr>
              <w:fldChar w:fldCharType="separate"/>
            </w:r>
            <w:r w:rsidR="00065FA2">
              <w:rPr>
                <w:noProof/>
                <w:webHidden/>
              </w:rPr>
              <w:t>3</w:t>
            </w:r>
            <w:r w:rsidR="00065FA2">
              <w:rPr>
                <w:noProof/>
                <w:webHidden/>
              </w:rPr>
              <w:fldChar w:fldCharType="end"/>
            </w:r>
          </w:hyperlink>
        </w:p>
        <w:p w14:paraId="191DC626" w14:textId="117D403B" w:rsidR="00065FA2" w:rsidRDefault="00000000">
          <w:pPr>
            <w:pStyle w:val="TOC2"/>
            <w:tabs>
              <w:tab w:val="right" w:leader="dot" w:pos="9016"/>
            </w:tabs>
            <w:rPr>
              <w:noProof/>
            </w:rPr>
          </w:pPr>
          <w:hyperlink w:anchor="_Toc147949764" w:history="1">
            <w:r w:rsidR="00065FA2" w:rsidRPr="00CA5F38">
              <w:rPr>
                <w:rStyle w:val="Hyperlink"/>
                <w:noProof/>
              </w:rPr>
              <w:t>Comparison of Total Revenue</w:t>
            </w:r>
            <w:r w:rsidR="00065FA2">
              <w:rPr>
                <w:noProof/>
                <w:webHidden/>
              </w:rPr>
              <w:tab/>
            </w:r>
            <w:r w:rsidR="00065FA2">
              <w:rPr>
                <w:noProof/>
                <w:webHidden/>
              </w:rPr>
              <w:fldChar w:fldCharType="begin"/>
            </w:r>
            <w:r w:rsidR="00065FA2">
              <w:rPr>
                <w:noProof/>
                <w:webHidden/>
              </w:rPr>
              <w:instrText xml:space="preserve"> PAGEREF _Toc147949764 \h </w:instrText>
            </w:r>
            <w:r w:rsidR="00065FA2">
              <w:rPr>
                <w:noProof/>
                <w:webHidden/>
              </w:rPr>
            </w:r>
            <w:r w:rsidR="00065FA2">
              <w:rPr>
                <w:noProof/>
                <w:webHidden/>
              </w:rPr>
              <w:fldChar w:fldCharType="separate"/>
            </w:r>
            <w:r w:rsidR="00065FA2">
              <w:rPr>
                <w:noProof/>
                <w:webHidden/>
              </w:rPr>
              <w:t>3</w:t>
            </w:r>
            <w:r w:rsidR="00065FA2">
              <w:rPr>
                <w:noProof/>
                <w:webHidden/>
              </w:rPr>
              <w:fldChar w:fldCharType="end"/>
            </w:r>
          </w:hyperlink>
        </w:p>
        <w:p w14:paraId="26476FAE" w14:textId="6000DE14" w:rsidR="00065FA2" w:rsidRDefault="00000000">
          <w:pPr>
            <w:pStyle w:val="TOC2"/>
            <w:tabs>
              <w:tab w:val="right" w:leader="dot" w:pos="9016"/>
            </w:tabs>
            <w:rPr>
              <w:noProof/>
            </w:rPr>
          </w:pPr>
          <w:hyperlink w:anchor="_Toc147949765" w:history="1">
            <w:r w:rsidR="00065FA2" w:rsidRPr="00CA5F38">
              <w:rPr>
                <w:rStyle w:val="Hyperlink"/>
                <w:noProof/>
              </w:rPr>
              <w:t>Comparison of Market Position</w:t>
            </w:r>
            <w:r w:rsidR="00065FA2">
              <w:rPr>
                <w:noProof/>
                <w:webHidden/>
              </w:rPr>
              <w:tab/>
            </w:r>
            <w:r w:rsidR="00065FA2">
              <w:rPr>
                <w:noProof/>
                <w:webHidden/>
              </w:rPr>
              <w:fldChar w:fldCharType="begin"/>
            </w:r>
            <w:r w:rsidR="00065FA2">
              <w:rPr>
                <w:noProof/>
                <w:webHidden/>
              </w:rPr>
              <w:instrText xml:space="preserve"> PAGEREF _Toc147949765 \h </w:instrText>
            </w:r>
            <w:r w:rsidR="00065FA2">
              <w:rPr>
                <w:noProof/>
                <w:webHidden/>
              </w:rPr>
            </w:r>
            <w:r w:rsidR="00065FA2">
              <w:rPr>
                <w:noProof/>
                <w:webHidden/>
              </w:rPr>
              <w:fldChar w:fldCharType="separate"/>
            </w:r>
            <w:r w:rsidR="00065FA2">
              <w:rPr>
                <w:noProof/>
                <w:webHidden/>
              </w:rPr>
              <w:t>5</w:t>
            </w:r>
            <w:r w:rsidR="00065FA2">
              <w:rPr>
                <w:noProof/>
                <w:webHidden/>
              </w:rPr>
              <w:fldChar w:fldCharType="end"/>
            </w:r>
          </w:hyperlink>
        </w:p>
        <w:p w14:paraId="1D9431D1" w14:textId="1521BB47" w:rsidR="00065FA2" w:rsidRDefault="00000000">
          <w:pPr>
            <w:pStyle w:val="TOC2"/>
            <w:tabs>
              <w:tab w:val="right" w:leader="dot" w:pos="9016"/>
            </w:tabs>
            <w:rPr>
              <w:noProof/>
            </w:rPr>
          </w:pPr>
          <w:hyperlink w:anchor="_Toc147949766" w:history="1">
            <w:r w:rsidR="00065FA2" w:rsidRPr="00CA5F38">
              <w:rPr>
                <w:rStyle w:val="Hyperlink"/>
                <w:noProof/>
              </w:rPr>
              <w:t>Comparison of Growth Potential</w:t>
            </w:r>
            <w:r w:rsidR="00065FA2">
              <w:rPr>
                <w:noProof/>
                <w:webHidden/>
              </w:rPr>
              <w:tab/>
            </w:r>
            <w:r w:rsidR="00065FA2">
              <w:rPr>
                <w:noProof/>
                <w:webHidden/>
              </w:rPr>
              <w:fldChar w:fldCharType="begin"/>
            </w:r>
            <w:r w:rsidR="00065FA2">
              <w:rPr>
                <w:noProof/>
                <w:webHidden/>
              </w:rPr>
              <w:instrText xml:space="preserve"> PAGEREF _Toc147949766 \h </w:instrText>
            </w:r>
            <w:r w:rsidR="00065FA2">
              <w:rPr>
                <w:noProof/>
                <w:webHidden/>
              </w:rPr>
            </w:r>
            <w:r w:rsidR="00065FA2">
              <w:rPr>
                <w:noProof/>
                <w:webHidden/>
              </w:rPr>
              <w:fldChar w:fldCharType="separate"/>
            </w:r>
            <w:r w:rsidR="00065FA2">
              <w:rPr>
                <w:noProof/>
                <w:webHidden/>
              </w:rPr>
              <w:t>5</w:t>
            </w:r>
            <w:r w:rsidR="00065FA2">
              <w:rPr>
                <w:noProof/>
                <w:webHidden/>
              </w:rPr>
              <w:fldChar w:fldCharType="end"/>
            </w:r>
          </w:hyperlink>
        </w:p>
        <w:p w14:paraId="5947DCF7" w14:textId="246F68D0" w:rsidR="00065FA2" w:rsidRDefault="00000000">
          <w:pPr>
            <w:pStyle w:val="TOC2"/>
            <w:tabs>
              <w:tab w:val="right" w:leader="dot" w:pos="9016"/>
            </w:tabs>
            <w:rPr>
              <w:noProof/>
            </w:rPr>
          </w:pPr>
          <w:hyperlink w:anchor="_Toc147949767" w:history="1">
            <w:r w:rsidR="00065FA2" w:rsidRPr="00CA5F38">
              <w:rPr>
                <w:rStyle w:val="Hyperlink"/>
                <w:noProof/>
              </w:rPr>
              <w:t>Comparison of Financial Commitment to CSR (Corporate Social Responsibility)</w:t>
            </w:r>
            <w:r w:rsidR="00065FA2">
              <w:rPr>
                <w:noProof/>
                <w:webHidden/>
              </w:rPr>
              <w:tab/>
            </w:r>
            <w:r w:rsidR="00065FA2">
              <w:rPr>
                <w:noProof/>
                <w:webHidden/>
              </w:rPr>
              <w:fldChar w:fldCharType="begin"/>
            </w:r>
            <w:r w:rsidR="00065FA2">
              <w:rPr>
                <w:noProof/>
                <w:webHidden/>
              </w:rPr>
              <w:instrText xml:space="preserve"> PAGEREF _Toc147949767 \h </w:instrText>
            </w:r>
            <w:r w:rsidR="00065FA2">
              <w:rPr>
                <w:noProof/>
                <w:webHidden/>
              </w:rPr>
            </w:r>
            <w:r w:rsidR="00065FA2">
              <w:rPr>
                <w:noProof/>
                <w:webHidden/>
              </w:rPr>
              <w:fldChar w:fldCharType="separate"/>
            </w:r>
            <w:r w:rsidR="00065FA2">
              <w:rPr>
                <w:noProof/>
                <w:webHidden/>
              </w:rPr>
              <w:t>7</w:t>
            </w:r>
            <w:r w:rsidR="00065FA2">
              <w:rPr>
                <w:noProof/>
                <w:webHidden/>
              </w:rPr>
              <w:fldChar w:fldCharType="end"/>
            </w:r>
          </w:hyperlink>
        </w:p>
        <w:p w14:paraId="34F4D8DB" w14:textId="72E58C54" w:rsidR="00065FA2" w:rsidRDefault="00000000">
          <w:pPr>
            <w:pStyle w:val="TOC1"/>
            <w:tabs>
              <w:tab w:val="right" w:leader="dot" w:pos="9016"/>
            </w:tabs>
            <w:rPr>
              <w:noProof/>
            </w:rPr>
          </w:pPr>
          <w:hyperlink w:anchor="_Toc147949768" w:history="1">
            <w:r w:rsidR="00065FA2" w:rsidRPr="00CA5F38">
              <w:rPr>
                <w:rStyle w:val="Hyperlink"/>
                <w:noProof/>
              </w:rPr>
              <w:t>Recommendations</w:t>
            </w:r>
            <w:r w:rsidR="00065FA2">
              <w:rPr>
                <w:noProof/>
                <w:webHidden/>
              </w:rPr>
              <w:tab/>
            </w:r>
            <w:r w:rsidR="00065FA2">
              <w:rPr>
                <w:noProof/>
                <w:webHidden/>
              </w:rPr>
              <w:fldChar w:fldCharType="begin"/>
            </w:r>
            <w:r w:rsidR="00065FA2">
              <w:rPr>
                <w:noProof/>
                <w:webHidden/>
              </w:rPr>
              <w:instrText xml:space="preserve"> PAGEREF _Toc147949768 \h </w:instrText>
            </w:r>
            <w:r w:rsidR="00065FA2">
              <w:rPr>
                <w:noProof/>
                <w:webHidden/>
              </w:rPr>
            </w:r>
            <w:r w:rsidR="00065FA2">
              <w:rPr>
                <w:noProof/>
                <w:webHidden/>
              </w:rPr>
              <w:fldChar w:fldCharType="separate"/>
            </w:r>
            <w:r w:rsidR="00065FA2">
              <w:rPr>
                <w:noProof/>
                <w:webHidden/>
              </w:rPr>
              <w:t>8</w:t>
            </w:r>
            <w:r w:rsidR="00065FA2">
              <w:rPr>
                <w:noProof/>
                <w:webHidden/>
              </w:rPr>
              <w:fldChar w:fldCharType="end"/>
            </w:r>
          </w:hyperlink>
        </w:p>
        <w:p w14:paraId="30301D54" w14:textId="21D89D1B" w:rsidR="00065FA2" w:rsidRDefault="00000000">
          <w:pPr>
            <w:pStyle w:val="TOC1"/>
            <w:tabs>
              <w:tab w:val="right" w:leader="dot" w:pos="9016"/>
            </w:tabs>
            <w:rPr>
              <w:noProof/>
            </w:rPr>
          </w:pPr>
          <w:hyperlink w:anchor="_Toc147949769" w:history="1">
            <w:r w:rsidR="00065FA2" w:rsidRPr="00CA5F38">
              <w:rPr>
                <w:rStyle w:val="Hyperlink"/>
                <w:noProof/>
              </w:rPr>
              <w:t>References</w:t>
            </w:r>
            <w:r w:rsidR="00065FA2">
              <w:rPr>
                <w:noProof/>
                <w:webHidden/>
              </w:rPr>
              <w:tab/>
            </w:r>
            <w:r w:rsidR="00065FA2">
              <w:rPr>
                <w:noProof/>
                <w:webHidden/>
              </w:rPr>
              <w:fldChar w:fldCharType="begin"/>
            </w:r>
            <w:r w:rsidR="00065FA2">
              <w:rPr>
                <w:noProof/>
                <w:webHidden/>
              </w:rPr>
              <w:instrText xml:space="preserve"> PAGEREF _Toc147949769 \h </w:instrText>
            </w:r>
            <w:r w:rsidR="00065FA2">
              <w:rPr>
                <w:noProof/>
                <w:webHidden/>
              </w:rPr>
            </w:r>
            <w:r w:rsidR="00065FA2">
              <w:rPr>
                <w:noProof/>
                <w:webHidden/>
              </w:rPr>
              <w:fldChar w:fldCharType="separate"/>
            </w:r>
            <w:r w:rsidR="00065FA2">
              <w:rPr>
                <w:noProof/>
                <w:webHidden/>
              </w:rPr>
              <w:t>9</w:t>
            </w:r>
            <w:r w:rsidR="00065FA2">
              <w:rPr>
                <w:noProof/>
                <w:webHidden/>
              </w:rPr>
              <w:fldChar w:fldCharType="end"/>
            </w:r>
          </w:hyperlink>
        </w:p>
        <w:p w14:paraId="56EDEE82" w14:textId="0E0FC704" w:rsidR="00065FA2" w:rsidRDefault="00065FA2">
          <w:r>
            <w:rPr>
              <w:b/>
              <w:bCs/>
              <w:noProof/>
            </w:rPr>
            <w:fldChar w:fldCharType="end"/>
          </w:r>
        </w:p>
      </w:sdtContent>
    </w:sdt>
    <w:p w14:paraId="0EE50567" w14:textId="77777777" w:rsidR="00D47597" w:rsidRDefault="00D47597" w:rsidP="00065FA2">
      <w:pPr>
        <w:spacing w:line="360" w:lineRule="auto"/>
      </w:pPr>
    </w:p>
    <w:p w14:paraId="2653C311" w14:textId="77777777" w:rsidR="00D47597" w:rsidRDefault="00D47597" w:rsidP="00C74048">
      <w:pPr>
        <w:spacing w:line="360" w:lineRule="auto"/>
        <w:jc w:val="center"/>
      </w:pPr>
    </w:p>
    <w:p w14:paraId="2325FAE8" w14:textId="77777777" w:rsidR="00D47597" w:rsidRDefault="00D47597" w:rsidP="00C74048">
      <w:pPr>
        <w:spacing w:line="360" w:lineRule="auto"/>
        <w:jc w:val="center"/>
      </w:pPr>
    </w:p>
    <w:p w14:paraId="3466303F" w14:textId="77777777" w:rsidR="00D47597" w:rsidRDefault="00D47597" w:rsidP="00C74048">
      <w:pPr>
        <w:spacing w:line="360" w:lineRule="auto"/>
        <w:jc w:val="center"/>
      </w:pPr>
    </w:p>
    <w:p w14:paraId="25512C9D" w14:textId="77777777" w:rsidR="00D47597" w:rsidRDefault="00D47597" w:rsidP="00C74048">
      <w:pPr>
        <w:spacing w:line="360" w:lineRule="auto"/>
        <w:jc w:val="center"/>
        <w:rPr>
          <w:b/>
          <w:bCs/>
        </w:rPr>
      </w:pPr>
    </w:p>
    <w:p w14:paraId="52F8DF85" w14:textId="77777777" w:rsidR="00110C15" w:rsidRDefault="00110C15" w:rsidP="00B23D02">
      <w:pPr>
        <w:spacing w:line="360" w:lineRule="auto"/>
        <w:rPr>
          <w:b/>
          <w:bCs/>
        </w:rPr>
      </w:pPr>
    </w:p>
    <w:p w14:paraId="1A8F82D9" w14:textId="77777777" w:rsidR="00110C15" w:rsidRDefault="00110C15" w:rsidP="00B23D02">
      <w:pPr>
        <w:spacing w:line="360" w:lineRule="auto"/>
        <w:rPr>
          <w:b/>
          <w:bCs/>
        </w:rPr>
      </w:pPr>
    </w:p>
    <w:p w14:paraId="7D4EE8ED" w14:textId="77777777" w:rsidR="00110C15" w:rsidRDefault="00110C15" w:rsidP="00B23D02">
      <w:pPr>
        <w:spacing w:line="360" w:lineRule="auto"/>
        <w:rPr>
          <w:b/>
          <w:bCs/>
        </w:rPr>
      </w:pPr>
    </w:p>
    <w:p w14:paraId="6C640E18" w14:textId="77777777" w:rsidR="00110C15" w:rsidRDefault="00110C15" w:rsidP="00B23D02">
      <w:pPr>
        <w:spacing w:line="360" w:lineRule="auto"/>
        <w:rPr>
          <w:b/>
          <w:bCs/>
        </w:rPr>
      </w:pPr>
    </w:p>
    <w:p w14:paraId="4D9EB43E" w14:textId="77777777" w:rsidR="00110C15" w:rsidRDefault="00110C15" w:rsidP="00B23D02">
      <w:pPr>
        <w:spacing w:line="360" w:lineRule="auto"/>
        <w:rPr>
          <w:b/>
          <w:bCs/>
        </w:rPr>
      </w:pPr>
    </w:p>
    <w:p w14:paraId="24BDC0CB" w14:textId="77777777" w:rsidR="00110C15" w:rsidRDefault="00110C15" w:rsidP="00B23D02">
      <w:pPr>
        <w:spacing w:line="360" w:lineRule="auto"/>
        <w:rPr>
          <w:b/>
          <w:bCs/>
        </w:rPr>
      </w:pPr>
    </w:p>
    <w:p w14:paraId="14A18B01" w14:textId="77777777" w:rsidR="00110C15" w:rsidRDefault="00110C15" w:rsidP="00B23D02">
      <w:pPr>
        <w:spacing w:line="360" w:lineRule="auto"/>
        <w:rPr>
          <w:b/>
          <w:bCs/>
        </w:rPr>
      </w:pPr>
    </w:p>
    <w:p w14:paraId="054901D6" w14:textId="77777777" w:rsidR="00110C15" w:rsidRDefault="00110C15" w:rsidP="00B23D02">
      <w:pPr>
        <w:spacing w:line="360" w:lineRule="auto"/>
        <w:rPr>
          <w:b/>
          <w:bCs/>
        </w:rPr>
      </w:pPr>
    </w:p>
    <w:p w14:paraId="6D4351E1" w14:textId="77777777" w:rsidR="00110C15" w:rsidRDefault="00110C15" w:rsidP="00B23D02">
      <w:pPr>
        <w:spacing w:line="360" w:lineRule="auto"/>
        <w:rPr>
          <w:b/>
          <w:bCs/>
        </w:rPr>
      </w:pPr>
    </w:p>
    <w:p w14:paraId="7CB202C2" w14:textId="77777777" w:rsidR="00110C15" w:rsidRDefault="00110C15" w:rsidP="00B23D02">
      <w:pPr>
        <w:spacing w:line="360" w:lineRule="auto"/>
        <w:rPr>
          <w:b/>
          <w:bCs/>
        </w:rPr>
      </w:pPr>
    </w:p>
    <w:p w14:paraId="614640EA" w14:textId="77777777" w:rsidR="00110C15" w:rsidRDefault="00110C15" w:rsidP="00B23D02">
      <w:pPr>
        <w:spacing w:line="360" w:lineRule="auto"/>
        <w:rPr>
          <w:b/>
          <w:bCs/>
        </w:rPr>
      </w:pPr>
    </w:p>
    <w:p w14:paraId="439E67E6" w14:textId="7A301E12" w:rsidR="0036039B" w:rsidRPr="00270EB8" w:rsidRDefault="00000000" w:rsidP="002036AD">
      <w:pPr>
        <w:pStyle w:val="Heading1"/>
      </w:pPr>
      <w:bookmarkStart w:id="0" w:name="_Toc147949762"/>
      <w:r w:rsidRPr="00270EB8">
        <w:lastRenderedPageBreak/>
        <w:t>Introduction</w:t>
      </w:r>
      <w:bookmarkEnd w:id="0"/>
    </w:p>
    <w:p w14:paraId="705C65E4" w14:textId="533E49EC" w:rsidR="00D73D14" w:rsidRDefault="00000000" w:rsidP="00D73D14">
      <w:pPr>
        <w:spacing w:line="360" w:lineRule="auto"/>
      </w:pPr>
      <w:r>
        <w:t xml:space="preserve">This report compares the Mandarin Oriental Hotel Group and Premier Inn in terms of revenue, market positioning, growth potential, and commitment to CSR. Finally, recommendations will be made on how these hotels might be utilized to gain an edge over competing luxury hotels and boost demand for some of the services they provide in the future. MOHG, or the Mandarin Oriental Hotel Group International Limited, is a global hotel and resort management company with 20 properties that are either entirely or partly owned by MOHG across the globe (Mandarin, 2019). </w:t>
      </w:r>
      <w:r w:rsidR="009834F1" w:rsidRPr="009834F1">
        <w:t>The Mandarin Oriental hotel chain was formed when Mandarin International Hotels Limited amalgamated with the holding company of The Oriental hotel, in which it had purchased a 49% stake in 1974, in 1985. In 1963, the first Mandarin Hotel opened in Hong Kong; it is now called the Mandarin Oriental, Hong Kong</w:t>
      </w:r>
      <w:r>
        <w:t xml:space="preserve">. In contrast, the original Mandarin Hotel opened in Bangkok in 1876 (now known as the Mandarin Oriental, Bangkok) and was the first five-star hotel in the Kingdom of Siam (History, 2022). Mandarin Oriental International Limited, a </w:t>
      </w:r>
      <w:r w:rsidR="00065FA2">
        <w:t>wholly owned</w:t>
      </w:r>
      <w:r>
        <w:t xml:space="preserve"> subsidiary of Jardine Matheson, is publicly listed and the parent company of MOHG. </w:t>
      </w:r>
    </w:p>
    <w:p w14:paraId="40BA555D" w14:textId="20ECEF81" w:rsidR="00381D86" w:rsidRDefault="008E35EC" w:rsidP="00D73D14">
      <w:pPr>
        <w:spacing w:line="360" w:lineRule="auto"/>
      </w:pPr>
      <w:r w:rsidRPr="008E35EC">
        <w:t>Premier Inn Limited operates approximately 72,000 hotel rooms over 800 hotels in the United Kingdom, making it the largest hotel chain in the country. It competes with other hotel companies like Travelodge and Ibis by running hotels in a variety of locations. In 1987, Whitbread released a product called "Travel Inn" to compete with Travelodge. The company, which had been known as "Premier Travel Inn" (Osborne, 2004), was bought by Whitbread, who had earlier purchased "Premier Lodge" in July 2004, and changed its name to "Premier Inn" in October 2007</w:t>
      </w:r>
      <w:r>
        <w:t>. Seventy percent of Whitbread's profits come from Premier Inn (Premier, 2009)</w:t>
      </w:r>
      <w:r w:rsidR="00D517CA">
        <w:t>.</w:t>
      </w:r>
    </w:p>
    <w:p w14:paraId="69C2C013" w14:textId="27FA7648" w:rsidR="00820E92" w:rsidRDefault="00000000" w:rsidP="002036AD">
      <w:pPr>
        <w:pStyle w:val="Heading1"/>
      </w:pPr>
      <w:bookmarkStart w:id="1" w:name="_Toc147949763"/>
      <w:r>
        <w:t>Analysis</w:t>
      </w:r>
      <w:bookmarkEnd w:id="1"/>
    </w:p>
    <w:p w14:paraId="48B2087C" w14:textId="31531B2C" w:rsidR="00820E92" w:rsidRPr="008A7BAC" w:rsidRDefault="00000000" w:rsidP="002036AD">
      <w:pPr>
        <w:pStyle w:val="Heading2"/>
      </w:pPr>
      <w:bookmarkStart w:id="2" w:name="_Toc147949764"/>
      <w:r>
        <w:t xml:space="preserve">Comparison of </w:t>
      </w:r>
      <w:r w:rsidRPr="008A7BAC">
        <w:t>Total Revenue</w:t>
      </w:r>
      <w:bookmarkEnd w:id="2"/>
    </w:p>
    <w:p w14:paraId="658ECD4C" w14:textId="77777777" w:rsidR="002E4789" w:rsidRDefault="00000000" w:rsidP="002E4789">
      <w:pPr>
        <w:spacing w:line="360" w:lineRule="auto"/>
      </w:pPr>
      <w:r>
        <w:t xml:space="preserve">The latest financial reports reveal that TTM revenues for Mandarin Oriental are $0.45 B. The company's sales in 2022 were $0.45 billion, representing an increase from 2021's $0.31 billion. A company's revenue is its overall earnings from selling products and services (Mandarin, 2023). Due to rising occupancy rates, company development, and a 54% rise in average income per room from £38.69 to £59.45, Premier Inn UK forecasted a 50% increase in total revenues to £2.5bn in 2022. Whitbread said in January that it would boost hotel rates to help offset £60 million in cost rises brought on by rising inflation in the company's most recent fiscal year. The </w:t>
      </w:r>
      <w:r>
        <w:lastRenderedPageBreak/>
        <w:t xml:space="preserve">firm reported a 40% year-over-year gain in food and beverage revenues due to increased occupancy. However, total expenditure is still 4% below pre-pandemic levels (Sweney, 2023) due to the economy. </w:t>
      </w:r>
    </w:p>
    <w:p w14:paraId="13A877F3" w14:textId="2EAACF50" w:rsidR="00674EA1" w:rsidRDefault="00000000" w:rsidP="002E4789">
      <w:pPr>
        <w:spacing w:line="360" w:lineRule="auto"/>
      </w:pPr>
      <w:r>
        <w:t>Turnover from the Group's subsidiary hotels and one hundred percent of revenue from associate, joint venture, and managed hotels contribute to the total revenue of the Mandarin Oriental Hotel Group. In contrast, revenue at Premier Inn hotels comes from the accommodation and food and beverage segment</w:t>
      </w:r>
      <w:r w:rsidR="00147CFA">
        <w:t xml:space="preserve">s. </w:t>
      </w:r>
    </w:p>
    <w:p w14:paraId="6A89939A" w14:textId="625528E8" w:rsidR="00674EA1" w:rsidRPr="0064179F" w:rsidRDefault="00000000" w:rsidP="00B23D02">
      <w:pPr>
        <w:spacing w:line="360" w:lineRule="auto"/>
        <w:rPr>
          <w:b/>
          <w:bCs/>
        </w:rPr>
      </w:pPr>
      <w:r w:rsidRPr="0064179F">
        <w:rPr>
          <w:b/>
          <w:bCs/>
        </w:rPr>
        <w:t>Factors Driving Revenue Growth for Mandarin Oriental Hotel Group</w:t>
      </w:r>
    </w:p>
    <w:p w14:paraId="34C88877" w14:textId="58F9FADA" w:rsidR="00674EA1" w:rsidRDefault="00000000" w:rsidP="00B41E23">
      <w:pPr>
        <w:pStyle w:val="ListParagraph"/>
        <w:numPr>
          <w:ilvl w:val="0"/>
          <w:numId w:val="2"/>
        </w:numPr>
        <w:spacing w:line="360" w:lineRule="auto"/>
      </w:pPr>
      <w:r w:rsidRPr="009D2B58">
        <w:t>The Mandarin Oriental has a well-deserved reputation as a luxurious establishment. Its ability to attract high-spending visitors depends on maintaining and improving its reputation for grandeur and excellent service</w:t>
      </w:r>
      <w:r>
        <w:t>.</w:t>
      </w:r>
    </w:p>
    <w:p w14:paraId="101126D5" w14:textId="77777777" w:rsidR="002F313C" w:rsidRDefault="00000000" w:rsidP="00B41E23">
      <w:pPr>
        <w:pStyle w:val="ListParagraph"/>
        <w:numPr>
          <w:ilvl w:val="0"/>
          <w:numId w:val="2"/>
        </w:numPr>
        <w:spacing w:line="360" w:lineRule="auto"/>
      </w:pPr>
      <w:r>
        <w:t>Global Expansion: Adding new markets, particularly those with affluent tourists, may increase profits. Adding a hotel in a well-known tourist area or a new market may attract various customers (Factors, 2023).</w:t>
      </w:r>
    </w:p>
    <w:p w14:paraId="7D0B776B" w14:textId="77777777" w:rsidR="002F313C" w:rsidRDefault="00000000" w:rsidP="00B41E23">
      <w:pPr>
        <w:pStyle w:val="ListParagraph"/>
        <w:numPr>
          <w:ilvl w:val="0"/>
          <w:numId w:val="2"/>
        </w:numPr>
        <w:spacing w:line="360" w:lineRule="auto"/>
      </w:pPr>
      <w:r>
        <w:t>Strong Marketing and Branding: Advertising campaigns targeting wealthy tourists and business customers have been shown to increase sales. The increased brand value may bring in more clients prepared to spend a higher price for a stay at Mandarin Oriental.</w:t>
      </w:r>
    </w:p>
    <w:p w14:paraId="3BF12CFF" w14:textId="77777777" w:rsidR="002F313C" w:rsidRDefault="00000000" w:rsidP="00B41E23">
      <w:pPr>
        <w:pStyle w:val="ListParagraph"/>
        <w:numPr>
          <w:ilvl w:val="0"/>
          <w:numId w:val="2"/>
        </w:numPr>
        <w:spacing w:line="360" w:lineRule="auto"/>
      </w:pPr>
      <w:r>
        <w:t>Loyalty Programs for Customers: Creating and sustaining a loyalty program may increase income from repeat customers by rewarding them for returning.</w:t>
      </w:r>
    </w:p>
    <w:p w14:paraId="3C124AEB" w14:textId="48D1A5A7" w:rsidR="00674EA1" w:rsidRPr="00E43AD2" w:rsidRDefault="00000000" w:rsidP="00B23D02">
      <w:pPr>
        <w:spacing w:line="360" w:lineRule="auto"/>
        <w:rPr>
          <w:b/>
          <w:bCs/>
        </w:rPr>
      </w:pPr>
      <w:r w:rsidRPr="00E43AD2">
        <w:rPr>
          <w:b/>
          <w:bCs/>
        </w:rPr>
        <w:t>Factors Driving Revenue Growth for Premier Inn</w:t>
      </w:r>
    </w:p>
    <w:p w14:paraId="63395D9A" w14:textId="37C73EA1" w:rsidR="002F313C" w:rsidRDefault="00000000" w:rsidP="00B41E23">
      <w:pPr>
        <w:pStyle w:val="ListParagraph"/>
        <w:numPr>
          <w:ilvl w:val="0"/>
          <w:numId w:val="1"/>
        </w:numPr>
        <w:spacing w:line="360" w:lineRule="auto"/>
      </w:pPr>
      <w:r>
        <w:t xml:space="preserve">Value for Money: Premier Inn is </w:t>
      </w:r>
      <w:r w:rsidR="00B2473B">
        <w:t>well known</w:t>
      </w:r>
      <w:r>
        <w:t xml:space="preserve"> for its low rates and comfortable rooms. That's why it's essential to business success to entice frugal vacationers. Maintaining high standards of quality while charging affordable prices might be crucial.</w:t>
      </w:r>
    </w:p>
    <w:p w14:paraId="2AC8C6AC" w14:textId="77777777" w:rsidR="002F313C" w:rsidRDefault="00000000" w:rsidP="00B41E23">
      <w:pPr>
        <w:pStyle w:val="ListParagraph"/>
        <w:numPr>
          <w:ilvl w:val="0"/>
          <w:numId w:val="1"/>
        </w:numPr>
        <w:spacing w:line="360" w:lineRule="auto"/>
      </w:pPr>
      <w:r>
        <w:t>Target Market Expansion: Strategically placing new Premier Inn hotels in high-traffic locations where low- and mid-range hotels are in high demand may help the company achieve its expansion goals.</w:t>
      </w:r>
    </w:p>
    <w:p w14:paraId="737A7345" w14:textId="77777777" w:rsidR="002F313C" w:rsidRDefault="00000000" w:rsidP="00B41E23">
      <w:pPr>
        <w:pStyle w:val="ListParagraph"/>
        <w:numPr>
          <w:ilvl w:val="0"/>
          <w:numId w:val="1"/>
        </w:numPr>
        <w:spacing w:line="360" w:lineRule="auto"/>
      </w:pPr>
      <w:r>
        <w:t>Consistency and high quality: It is essential for brand development and guest retention that all hotels provide the same high level of service and facilities.</w:t>
      </w:r>
    </w:p>
    <w:p w14:paraId="3BA52683" w14:textId="77777777" w:rsidR="002F313C" w:rsidRDefault="00000000" w:rsidP="00B41E23">
      <w:pPr>
        <w:pStyle w:val="ListParagraph"/>
        <w:numPr>
          <w:ilvl w:val="0"/>
          <w:numId w:val="1"/>
        </w:numPr>
        <w:spacing w:line="360" w:lineRule="auto"/>
      </w:pPr>
      <w:r>
        <w:t>Business Travel and Corporate Contracts: Contracts with corporations to accommodate their personnel on business trips may be a reliable source of income. Being close to major corporations and providing services catering to business travelers is crucial.</w:t>
      </w:r>
    </w:p>
    <w:p w14:paraId="5422B52C" w14:textId="2A71F2A1" w:rsidR="003621A8" w:rsidRPr="005C3719" w:rsidRDefault="00000000" w:rsidP="00B2473B">
      <w:pPr>
        <w:pStyle w:val="Heading2"/>
      </w:pPr>
      <w:bookmarkStart w:id="3" w:name="_Toc147949765"/>
      <w:r>
        <w:lastRenderedPageBreak/>
        <w:t xml:space="preserve">Comparison of </w:t>
      </w:r>
      <w:r w:rsidRPr="005C3719">
        <w:t>Market Position</w:t>
      </w:r>
      <w:bookmarkEnd w:id="3"/>
      <w:r w:rsidRPr="005C3719">
        <w:t xml:space="preserve"> </w:t>
      </w:r>
    </w:p>
    <w:p w14:paraId="715CF141" w14:textId="77777777" w:rsidR="00B2473B" w:rsidRDefault="00000000" w:rsidP="00B2473B">
      <w:pPr>
        <w:spacing w:line="360" w:lineRule="auto"/>
      </w:pPr>
      <w:r>
        <w:t>Mandarin Oriental Hotel Group and Premier Inn both use quite different approaches to establishing themselves in the hotel industry's competitive marketplace. The Mandarin Oriental is a prestigious hotel chain serving wealthy and privileged guests. High-net-worth people, corporate leaders, and those looking to splurge stay at its hotels because of its commitment to premium service (Hinson, Abdul-Hamid, &amp; Osabutey, 2017). Compared to other international hotel chains, Mandarin Oriental's market share is less since the company operates fewer but higher-quality hotels. The Mandarin Oriental name is synonymous with high standards of service and elegance. When people think of luxury, they think of Mandarin Oriental because of its reputation for seclusion, sophistication, and impeccable service (Juliana et al., 2021). Hotels in the Mandarin Oriental chain charge an enormous surcharge because customers know they will get the five-star treatment they expect from the company. The brand stands apart from competitors by providing an abundance of luxurious extras, such as gourmet dining options, spas that surpass the best in the world, and individualized concierge services.</w:t>
      </w:r>
    </w:p>
    <w:p w14:paraId="2DE5435E" w14:textId="3D49D4F4" w:rsidR="0037460A" w:rsidRDefault="00000000" w:rsidP="00B2473B">
      <w:pPr>
        <w:spacing w:line="360" w:lineRule="auto"/>
      </w:pPr>
      <w:r>
        <w:t>Premier Inn, on the other hand, has built its brand on low prices and excellent service. Premier Inn attracts a wider range of customers because of its focus on affordability and convenience. This includes families, vacationers on a tighter budget, and business travelers. The company has carved out a niche in the economy and midrange hotel industries. Premier Inn is a big hotel company based in the United Kingdom, with branches worldwide. Premier Inn is a hotel chain known for its consistent quality, spotless facilities, and attractive rates. Premier Inn has earned a reputation as a reliable and affordable option among travelers (</w:t>
      </w:r>
      <w:proofErr w:type="spellStart"/>
      <w:r>
        <w:t>Nuseir</w:t>
      </w:r>
      <w:proofErr w:type="spellEnd"/>
      <w:r>
        <w:t>, 2020). Premier Inn's competitive and reasonable pricing approach makes it an attractive alternative for budget-conscious customers (Mohammed and Tham, 2020). Compared to Mandarin Oriental, the brand provides the bare minimum in services and upscale amenities. Premier Inn, on the other hand, is positioned as a low-cost and trustworthy hotel alternative. Therefore, it focuses on providing the essential services that make for a pleasant stay</w:t>
      </w:r>
      <w:r w:rsidR="00567CD1">
        <w:t>.</w:t>
      </w:r>
    </w:p>
    <w:p w14:paraId="169B0DFC" w14:textId="5AB58F20" w:rsidR="004E4406" w:rsidRPr="002E78FD" w:rsidRDefault="00000000" w:rsidP="004D56E0">
      <w:pPr>
        <w:pStyle w:val="Heading2"/>
      </w:pPr>
      <w:bookmarkStart w:id="4" w:name="_Toc147949766"/>
      <w:r>
        <w:t xml:space="preserve">Comparison of </w:t>
      </w:r>
      <w:r w:rsidRPr="002E78FD">
        <w:t>Growth Potential</w:t>
      </w:r>
      <w:bookmarkEnd w:id="4"/>
    </w:p>
    <w:p w14:paraId="4F212B77" w14:textId="77777777" w:rsidR="004D56E0" w:rsidRDefault="00000000" w:rsidP="004D56E0">
      <w:pPr>
        <w:spacing w:line="360" w:lineRule="auto"/>
      </w:pPr>
      <w:r>
        <w:t xml:space="preserve">The future success of the Mandarin Oriental Hotel Group depends on the company's premium status in the hotel business. The corporation has several options for growing its market share, including the launch of brand-new, high-end hotels in prime locations worldwide. With this growth strategy, they can meet the needs of affluent tourists looking for luxurious, one-of-a-kind adventures (Sampaio and </w:t>
      </w:r>
      <w:proofErr w:type="spellStart"/>
      <w:r>
        <w:t>Régio</w:t>
      </w:r>
      <w:proofErr w:type="spellEnd"/>
      <w:r>
        <w:t xml:space="preserve">, 2022). The company may </w:t>
      </w:r>
      <w:proofErr w:type="gramStart"/>
      <w:r>
        <w:t>look into</w:t>
      </w:r>
      <w:proofErr w:type="gramEnd"/>
      <w:r>
        <w:t xml:space="preserve"> management contracts with property owners to grow without spending too much money. Branded houses, </w:t>
      </w:r>
      <w:r>
        <w:lastRenderedPageBreak/>
        <w:t>where visitors may buy or rent high-end apartments complete with hotel amenities, are another promising avenue for expansion.</w:t>
      </w:r>
    </w:p>
    <w:p w14:paraId="468D50FE" w14:textId="77777777" w:rsidR="004D56E0" w:rsidRDefault="00000000" w:rsidP="004D56E0">
      <w:pPr>
        <w:spacing w:line="360" w:lineRule="auto"/>
      </w:pPr>
      <w:r>
        <w:t>There is room for expansion for Mandarin Oriental in the luxury travel industry, which affluent people fuel in search of unique adventures. With the premium market and luxury vacation spots rising, opportunities abound for Mandarin Oriental (</w:t>
      </w:r>
      <w:proofErr w:type="spellStart"/>
      <w:r>
        <w:t>Aladag</w:t>
      </w:r>
      <w:proofErr w:type="spellEnd"/>
      <w:r>
        <w:t xml:space="preserve"> et al., 2020). As the company expands internationally, chances arise to tap into new income sources in growing areas like Asia and the Middle East. The United States and Europe, already well-established markets, have room to expand because of the need for unique experiences among affluent tourists.</w:t>
      </w:r>
    </w:p>
    <w:p w14:paraId="3668F52B" w14:textId="77777777" w:rsidR="004D56E0" w:rsidRDefault="00000000" w:rsidP="004D56E0">
      <w:pPr>
        <w:spacing w:line="360" w:lineRule="auto"/>
      </w:pPr>
      <w:r>
        <w:t>However, the high cost of purchasing and developing high-end real estate is only one of several obstacles to Mandarin Oriental's growth. The cost to acquire, maintain, and improve such assets is high. It can be challenging for luxury hotels to keep their prices increased in the face of stiff competition from other hotels in the same category (Deiana and Fabbri, 2020), and economic uncertainty can make it difficult for high-net-worth individuals to spend money on luxury lodgings during recessions. Finally, Mandarin Oriental may have difficulties adapting to cultural norms, local legislation, and political instability while entering new international markets (Liu et al., 2022).</w:t>
      </w:r>
    </w:p>
    <w:p w14:paraId="739244BD" w14:textId="77777777" w:rsidR="004D56E0" w:rsidRDefault="00000000" w:rsidP="004D56E0">
      <w:pPr>
        <w:spacing w:line="360" w:lineRule="auto"/>
      </w:pPr>
      <w:r>
        <w:t>Comparatively, Premier Inn's growth potential stems from the fact that it is a low-cost option in the hotel market. Among the methods the corporation uses is a push into new domestic markets inside the United Kingdom. Growth opportunities may be found by focusing on underserved areas and hot tourist spots in the United Kingdom. Premier Inn has also succeeded in its international development, particularly in the Middle East and Asia, where the company has found both expanding prospects and untapped markets (Alon, Ni, &amp; Wang, 2012). Without resorting to massive infusions of cash, the corporation may speed up its growth via partnerships with developers and franchise agreements.</w:t>
      </w:r>
    </w:p>
    <w:p w14:paraId="4D6409DC" w14:textId="77777777" w:rsidR="004D56E0" w:rsidRDefault="00000000" w:rsidP="004D56E0">
      <w:pPr>
        <w:spacing w:line="360" w:lineRule="auto"/>
      </w:pPr>
      <w:r>
        <w:t xml:space="preserve">Premier Inn's growth potential is tied to the ever-present need for cheap, dependable hotels, making it a popular pick among thrifty vacationers. Urban regions, central commercial districts, and places close to major transit hubs are all seeing increased demand. In addition, with increased international tourism, especially in developing economies, the business may reach a wider variety of customers on a budget (Sampaio and </w:t>
      </w:r>
      <w:proofErr w:type="spellStart"/>
      <w:r>
        <w:t>Régio</w:t>
      </w:r>
      <w:proofErr w:type="spellEnd"/>
      <w:r>
        <w:t>, 2022).</w:t>
      </w:r>
    </w:p>
    <w:p w14:paraId="2E91C4CC" w14:textId="1D5584E5" w:rsidR="00B73529" w:rsidRDefault="00000000" w:rsidP="004D56E0">
      <w:pPr>
        <w:spacing w:line="360" w:lineRule="auto"/>
      </w:pPr>
      <w:r>
        <w:t xml:space="preserve">Intense rivalry in the low- and middle-priced hotel markets is another possible challenge for Premier Inn's expansion. Premier Inn faces intense competition from international hotel chains and smaller, more regionally focused companies that provide comparable services and </w:t>
      </w:r>
      <w:r>
        <w:lastRenderedPageBreak/>
        <w:t>amenities (</w:t>
      </w:r>
      <w:proofErr w:type="spellStart"/>
      <w:r>
        <w:t>Okumus</w:t>
      </w:r>
      <w:proofErr w:type="spellEnd"/>
      <w:r>
        <w:t xml:space="preserve"> and Hemmington, 1998). area for improvement faculty arises from the fact that economic downturns may reduce the amount of money frugal tourists are ready to spend on lodging. As Kim, Lockwood, and Williams (2019) point out, expanding into new overseas markets may be complicated by factors including regulatory compliance, local traditions, and different consumer preferences. Finally, rising environmental consciousness may require adjusting operations and investments to conform to sustainability norms, which might have a negative effect on profits</w:t>
      </w:r>
      <w:r w:rsidR="004E4406">
        <w:t>.</w:t>
      </w:r>
    </w:p>
    <w:p w14:paraId="428AB48B" w14:textId="72590C68" w:rsidR="00E24830" w:rsidRPr="002A4974" w:rsidRDefault="00000000" w:rsidP="00FC5F46">
      <w:pPr>
        <w:pStyle w:val="Heading2"/>
      </w:pPr>
      <w:bookmarkStart w:id="5" w:name="_Toc147949767"/>
      <w:r>
        <w:t xml:space="preserve">Comparison of </w:t>
      </w:r>
      <w:r w:rsidR="002A4974" w:rsidRPr="002A4974">
        <w:t>Financial Commitment to CSR (Corporate Social Responsibility)</w:t>
      </w:r>
      <w:bookmarkEnd w:id="5"/>
    </w:p>
    <w:p w14:paraId="5478961D" w14:textId="77777777" w:rsidR="009B6756" w:rsidRDefault="00000000" w:rsidP="009B6756">
      <w:pPr>
        <w:spacing w:line="360" w:lineRule="auto"/>
      </w:pPr>
      <w:r>
        <w:t xml:space="preserve">The Mandarin Oriental Hotel Group has greatly committed to CSR programs, such as environmental stewardship, community service, and ethical company behavior. Energy efficiency, water conservation, and trash reduction are only some of the sustainability efforts that have received substantial funding from the company (Davies and Egas, 2022). They have invested much in sustainable practices, as seen by their efforts to lower their carbon footprint and get sustainability certifications for some of their properties. In addition, Mandarin Oriental invests in the neighborhoods where it does business by giving back to nonprofits (Arun </w:t>
      </w:r>
      <w:proofErr w:type="spellStart"/>
      <w:r>
        <w:t>Thirumalesh</w:t>
      </w:r>
      <w:proofErr w:type="spellEnd"/>
      <w:r>
        <w:t xml:space="preserve"> </w:t>
      </w:r>
      <w:proofErr w:type="spellStart"/>
      <w:r>
        <w:t>Madanaguli</w:t>
      </w:r>
      <w:proofErr w:type="spellEnd"/>
      <w:r>
        <w:t xml:space="preserve"> et al., 2023) and hosting community events. Donations to support community initiatives in education, healthcare, and other necessities are included. Mandarin Oriental is committed to upholding the highest standards of ethics in </w:t>
      </w:r>
      <w:proofErr w:type="gramStart"/>
      <w:r>
        <w:t>all of</w:t>
      </w:r>
      <w:proofErr w:type="gramEnd"/>
      <w:r>
        <w:t xml:space="preserve"> its business dealings. Their investment in staff training and development initiatives shows their financial commitment to ethical business practices. Mandarin Oriental's proactive sustainability and community participation suggest a significant financial commitment to CSR programs. However, exact amounts are only sometimes released (de </w:t>
      </w:r>
      <w:proofErr w:type="spellStart"/>
      <w:r>
        <w:t>Grosbois</w:t>
      </w:r>
      <w:proofErr w:type="spellEnd"/>
      <w:r>
        <w:t>, 2012).</w:t>
      </w:r>
    </w:p>
    <w:p w14:paraId="7D273A32" w14:textId="4132248C" w:rsidR="002A4974" w:rsidRDefault="00000000" w:rsidP="009B6756">
      <w:pPr>
        <w:spacing w:line="360" w:lineRule="auto"/>
      </w:pPr>
      <w:r>
        <w:t xml:space="preserve">In contrast, Premier Inn has a more established reputation for being the most cost-effective option and has made a definite financial commitment to CSR efforts. The organization has taken several steps to promote environmental friendliness, community involvement, and moral conduct in the workplace. Financial resources have been committed to cutting energy and water usage and limit waste creation across all Premier Inn facilities in the name of sustainability (Kaur et al., 2022). The "Force for Good" sustainability program is emblematic of the company's commitment to supporting such initiatives financially. The "Good Together" initiative is one way the corporation interacts with the local community and focuses on helping people acquire the education and jobs they need. To show their dedication to the communities around their hotels, the company donates money to various causes (Akbari et al., 2020). </w:t>
      </w:r>
      <w:r>
        <w:lastRenderedPageBreak/>
        <w:t>Premier Inn also supports its employees' health, growth, and professional development as part of its commitment to ethical business practices. They have invested substantially in ensuring ethical practices are followed across their supply chain, as shown in their emphasis on responsible sourcing. While Premier Inn and Mandarin Oriental may not always provide exact financial data linked to CSR in their annual reports, their continued engagement in these areas demonstrates their dedication to ethical and sustainable operations (Guzzo, Abbott, &amp; Madera, 2019).</w:t>
      </w:r>
    </w:p>
    <w:p w14:paraId="4EBE41F1" w14:textId="1C7CB095" w:rsidR="00C760C0" w:rsidRPr="00347F13" w:rsidRDefault="00000000" w:rsidP="000B21AA">
      <w:pPr>
        <w:pStyle w:val="Heading1"/>
      </w:pPr>
      <w:bookmarkStart w:id="6" w:name="_Toc147949768"/>
      <w:r w:rsidRPr="00347F13">
        <w:t>Recommendations</w:t>
      </w:r>
      <w:bookmarkEnd w:id="6"/>
    </w:p>
    <w:p w14:paraId="359A1709" w14:textId="5811BBAA" w:rsidR="00AC1964" w:rsidRDefault="00000000" w:rsidP="00AC1964">
      <w:pPr>
        <w:spacing w:line="360" w:lineRule="auto"/>
      </w:pPr>
      <w:r>
        <w:t xml:space="preserve">It is suggested that the Mandarin Oriental Hotel Group stick to its tried-and-true method of providing opulent stays </w:t>
      </w:r>
      <w:r w:rsidR="00681009">
        <w:t>for</w:t>
      </w:r>
      <w:r>
        <w:t xml:space="preserve"> a select clientele. The business could increase its footprint in Asia's and other developing countries' booming luxury tourism industry. It should also look at management contracts and developer joint ventures to launch new hotels in high-demand tourist areas.</w:t>
      </w:r>
    </w:p>
    <w:p w14:paraId="7AA6B2A5" w14:textId="22CE8FF7" w:rsidR="00C760C0" w:rsidRDefault="00000000" w:rsidP="00AC1964">
      <w:pPr>
        <w:spacing w:line="360" w:lineRule="auto"/>
      </w:pPr>
      <w:r>
        <w:t xml:space="preserve">Premier Inn should expand into untapped areas of the United Kingdom and developing economies where savvy tourists seek affordable lodging. Furthermore, the organization should continue to invest in community service and sustainable business practices. Premier Inn should further demonstrate its commitment to responsible and ethical business practices by including more specific financial details </w:t>
      </w:r>
      <w:r w:rsidR="005337BE">
        <w:t>in</w:t>
      </w:r>
      <w:r>
        <w:t xml:space="preserve"> its initiatives in future annual reports</w:t>
      </w:r>
      <w:r w:rsidR="004D1903" w:rsidRPr="004D1903">
        <w:t>.</w:t>
      </w:r>
    </w:p>
    <w:p w14:paraId="69DE3EF1" w14:textId="77777777" w:rsidR="00681009" w:rsidRDefault="00681009" w:rsidP="00AC1964">
      <w:pPr>
        <w:spacing w:line="360" w:lineRule="auto"/>
      </w:pPr>
    </w:p>
    <w:p w14:paraId="39F047AB" w14:textId="77777777" w:rsidR="00681009" w:rsidRDefault="00681009" w:rsidP="00AC1964">
      <w:pPr>
        <w:spacing w:line="360" w:lineRule="auto"/>
      </w:pPr>
    </w:p>
    <w:p w14:paraId="075178C5" w14:textId="77777777" w:rsidR="00681009" w:rsidRDefault="00681009" w:rsidP="00AC1964">
      <w:pPr>
        <w:spacing w:line="360" w:lineRule="auto"/>
      </w:pPr>
    </w:p>
    <w:p w14:paraId="2A9E2257" w14:textId="77777777" w:rsidR="00681009" w:rsidRDefault="00681009" w:rsidP="00AC1964">
      <w:pPr>
        <w:spacing w:line="360" w:lineRule="auto"/>
      </w:pPr>
    </w:p>
    <w:p w14:paraId="5ECA8C77" w14:textId="77777777" w:rsidR="00681009" w:rsidRDefault="00681009" w:rsidP="00AC1964">
      <w:pPr>
        <w:spacing w:line="360" w:lineRule="auto"/>
      </w:pPr>
    </w:p>
    <w:p w14:paraId="6D764480" w14:textId="77777777" w:rsidR="00681009" w:rsidRDefault="00681009" w:rsidP="00AC1964">
      <w:pPr>
        <w:spacing w:line="360" w:lineRule="auto"/>
      </w:pPr>
    </w:p>
    <w:p w14:paraId="3B17E100" w14:textId="77777777" w:rsidR="00681009" w:rsidRDefault="00681009" w:rsidP="00AC1964">
      <w:pPr>
        <w:spacing w:line="360" w:lineRule="auto"/>
      </w:pPr>
    </w:p>
    <w:p w14:paraId="13D30301" w14:textId="77777777" w:rsidR="00681009" w:rsidRDefault="00681009" w:rsidP="00AC1964">
      <w:pPr>
        <w:spacing w:line="360" w:lineRule="auto"/>
      </w:pPr>
    </w:p>
    <w:p w14:paraId="35007830" w14:textId="643D9823" w:rsidR="00D47597" w:rsidRPr="00D47597" w:rsidRDefault="00D47597" w:rsidP="00D47597">
      <w:pPr>
        <w:pStyle w:val="Heading1"/>
      </w:pPr>
      <w:bookmarkStart w:id="7" w:name="_Toc147949769"/>
      <w:r>
        <w:lastRenderedPageBreak/>
        <w:t>References</w:t>
      </w:r>
      <w:bookmarkEnd w:id="7"/>
    </w:p>
    <w:p w14:paraId="6E0FAB97" w14:textId="77777777" w:rsidR="00D47597" w:rsidRDefault="00D47597" w:rsidP="00D47597">
      <w:pPr>
        <w:pStyle w:val="NormalWeb"/>
        <w:spacing w:before="0" w:beforeAutospacing="0" w:after="240" w:afterAutospacing="0" w:line="360" w:lineRule="auto"/>
      </w:pPr>
      <w:r>
        <w:t xml:space="preserve">Akbari, M., Nazarian, A., </w:t>
      </w:r>
      <w:proofErr w:type="spellStart"/>
      <w:r>
        <w:t>Foroudi</w:t>
      </w:r>
      <w:proofErr w:type="spellEnd"/>
      <w:r>
        <w:t xml:space="preserve">, P., Seyyed Amiri, N. and </w:t>
      </w:r>
      <w:proofErr w:type="spellStart"/>
      <w:r>
        <w:t>Ezatabadipoor</w:t>
      </w:r>
      <w:proofErr w:type="spellEnd"/>
      <w:r>
        <w:t xml:space="preserve">, E. (2020). How corporate social responsibility contributes to strengthening brand loyalty, hotel positioning and intention to revisit? </w:t>
      </w:r>
      <w:r>
        <w:rPr>
          <w:i/>
          <w:iCs/>
        </w:rPr>
        <w:t>Current Issues in Tourism</w:t>
      </w:r>
      <w:r>
        <w:t xml:space="preserve">, 24(5), pp.1–21. </w:t>
      </w:r>
      <w:proofErr w:type="spellStart"/>
      <w:proofErr w:type="gramStart"/>
      <w:r>
        <w:t>doi:https</w:t>
      </w:r>
      <w:proofErr w:type="spellEnd"/>
      <w:r>
        <w:t>://doi.org/10.1080/13683500.2020.1800601</w:t>
      </w:r>
      <w:proofErr w:type="gramEnd"/>
      <w:r>
        <w:t>.</w:t>
      </w:r>
    </w:p>
    <w:p w14:paraId="6A36BE1B" w14:textId="77777777" w:rsidR="00D47597" w:rsidRDefault="00D47597" w:rsidP="00D47597">
      <w:pPr>
        <w:pStyle w:val="NormalWeb"/>
        <w:spacing w:before="0" w:beforeAutospacing="0" w:after="240" w:afterAutospacing="0" w:line="360" w:lineRule="auto"/>
      </w:pPr>
      <w:proofErr w:type="spellStart"/>
      <w:r>
        <w:t>Aladag</w:t>
      </w:r>
      <w:proofErr w:type="spellEnd"/>
      <w:r>
        <w:t xml:space="preserve">, O.F., </w:t>
      </w:r>
      <w:proofErr w:type="spellStart"/>
      <w:r>
        <w:t>Köseoglu</w:t>
      </w:r>
      <w:proofErr w:type="spellEnd"/>
      <w:r>
        <w:t xml:space="preserve">, M.A., King, B. and Mehraliyev, F. (2020). Strategy implementation research in hospitality and tourism: </w:t>
      </w:r>
      <w:proofErr w:type="gramStart"/>
      <w:r>
        <w:t>Current status</w:t>
      </w:r>
      <w:proofErr w:type="gramEnd"/>
      <w:r>
        <w:t xml:space="preserve"> and future potential. </w:t>
      </w:r>
      <w:r>
        <w:rPr>
          <w:i/>
          <w:iCs/>
        </w:rPr>
        <w:t>International Journal of Hospitality Management</w:t>
      </w:r>
      <w:r>
        <w:t xml:space="preserve">, 88, p.102556. </w:t>
      </w:r>
      <w:proofErr w:type="spellStart"/>
      <w:proofErr w:type="gramStart"/>
      <w:r>
        <w:t>doi:https</w:t>
      </w:r>
      <w:proofErr w:type="spellEnd"/>
      <w:r>
        <w:t>://doi.org/10.1016/j.ijhm.2020.102556</w:t>
      </w:r>
      <w:proofErr w:type="gramEnd"/>
      <w:r>
        <w:t>.</w:t>
      </w:r>
    </w:p>
    <w:p w14:paraId="5128148F" w14:textId="77777777" w:rsidR="00D47597" w:rsidRDefault="00D47597" w:rsidP="00D47597">
      <w:pPr>
        <w:pStyle w:val="NormalWeb"/>
        <w:spacing w:before="0" w:beforeAutospacing="0" w:after="240" w:afterAutospacing="0" w:line="360" w:lineRule="auto"/>
      </w:pPr>
      <w:r>
        <w:t xml:space="preserve">Alon, I., Ni, L. and Wang, Y. (2012). Examining the determinants of hotel chain expansion through international franchising. </w:t>
      </w:r>
      <w:r>
        <w:rPr>
          <w:i/>
          <w:iCs/>
        </w:rPr>
        <w:t>International Journal of Hospitality Management</w:t>
      </w:r>
      <w:r>
        <w:t xml:space="preserve">, 31(2), pp.379–386. </w:t>
      </w:r>
      <w:proofErr w:type="spellStart"/>
      <w:proofErr w:type="gramStart"/>
      <w:r>
        <w:t>doi:https</w:t>
      </w:r>
      <w:proofErr w:type="spellEnd"/>
      <w:r>
        <w:t>://doi.org/10.1016/j.ijhm.2011.06.009</w:t>
      </w:r>
      <w:proofErr w:type="gramEnd"/>
      <w:r>
        <w:t>.</w:t>
      </w:r>
    </w:p>
    <w:p w14:paraId="09A98A5E" w14:textId="77777777" w:rsidR="00D47597" w:rsidRDefault="00D47597" w:rsidP="00D47597">
      <w:pPr>
        <w:pStyle w:val="NormalWeb"/>
        <w:spacing w:before="0" w:beforeAutospacing="0" w:after="240" w:afterAutospacing="0" w:line="360" w:lineRule="auto"/>
      </w:pPr>
      <w:r>
        <w:t xml:space="preserve">Arun </w:t>
      </w:r>
      <w:proofErr w:type="spellStart"/>
      <w:r>
        <w:t>Thirumalesh</w:t>
      </w:r>
      <w:proofErr w:type="spellEnd"/>
      <w:r>
        <w:t xml:space="preserve"> </w:t>
      </w:r>
      <w:proofErr w:type="spellStart"/>
      <w:r>
        <w:t>Madanaguli</w:t>
      </w:r>
      <w:proofErr w:type="spellEnd"/>
      <w:r>
        <w:t xml:space="preserve">, Dhir, A., Kaur, P., Mishra, S. and Srivastava, S. (2023). A systematic literature review on corporate social responsibility (CSR) and hotels: past achievements and future promises in the hospitality sector. pp.1–35. </w:t>
      </w:r>
      <w:proofErr w:type="spellStart"/>
      <w:proofErr w:type="gramStart"/>
      <w:r>
        <w:t>doi:https</w:t>
      </w:r>
      <w:proofErr w:type="spellEnd"/>
      <w:r>
        <w:t>://doi.org/10.1080/15022250.2023.2221214</w:t>
      </w:r>
      <w:proofErr w:type="gramEnd"/>
      <w:r>
        <w:t>.</w:t>
      </w:r>
    </w:p>
    <w:p w14:paraId="482DF883" w14:textId="77777777" w:rsidR="00D47597" w:rsidRDefault="00D47597" w:rsidP="00D47597">
      <w:pPr>
        <w:pStyle w:val="NormalWeb"/>
        <w:spacing w:before="0" w:beforeAutospacing="0" w:after="240" w:afterAutospacing="0" w:line="360" w:lineRule="auto"/>
      </w:pPr>
      <w:r>
        <w:t xml:space="preserve">Davies, S.J. and Egas, J.L. (2022). Do social corporate responsibility initiatives help to promote circular economic activity and quality of work life for employees? </w:t>
      </w:r>
      <w:r>
        <w:rPr>
          <w:i/>
          <w:iCs/>
        </w:rPr>
        <w:t>Worldwide Hospitality and Tourism Themes</w:t>
      </w:r>
      <w:r>
        <w:t xml:space="preserve">, 14(3), pp.221–235. </w:t>
      </w:r>
      <w:proofErr w:type="spellStart"/>
      <w:proofErr w:type="gramStart"/>
      <w:r>
        <w:t>doi:https</w:t>
      </w:r>
      <w:proofErr w:type="spellEnd"/>
      <w:r>
        <w:t>://doi.org/10.1108/whatt-02-2022-0018</w:t>
      </w:r>
      <w:proofErr w:type="gramEnd"/>
      <w:r>
        <w:t>.</w:t>
      </w:r>
    </w:p>
    <w:p w14:paraId="26A3948E" w14:textId="77777777" w:rsidR="00D47597" w:rsidRDefault="00D47597" w:rsidP="00D47597">
      <w:pPr>
        <w:pStyle w:val="NormalWeb"/>
        <w:spacing w:before="0" w:beforeAutospacing="0" w:after="240" w:afterAutospacing="0" w:line="360" w:lineRule="auto"/>
      </w:pPr>
      <w:r>
        <w:t xml:space="preserve">de </w:t>
      </w:r>
      <w:proofErr w:type="spellStart"/>
      <w:r>
        <w:t>Grosbois</w:t>
      </w:r>
      <w:proofErr w:type="spellEnd"/>
      <w:r>
        <w:t xml:space="preserve">, D. (2012). Corporate social responsibility reporting by the global hotel industry: Commitment, </w:t>
      </w:r>
      <w:proofErr w:type="gramStart"/>
      <w:r>
        <w:t>initiatives</w:t>
      </w:r>
      <w:proofErr w:type="gramEnd"/>
      <w:r>
        <w:t xml:space="preserve"> and performance. </w:t>
      </w:r>
      <w:r>
        <w:rPr>
          <w:i/>
          <w:iCs/>
        </w:rPr>
        <w:t>International Journal of Hospitality Management</w:t>
      </w:r>
      <w:r>
        <w:t xml:space="preserve">, 31(3), pp.896–905. </w:t>
      </w:r>
      <w:proofErr w:type="spellStart"/>
      <w:proofErr w:type="gramStart"/>
      <w:r>
        <w:t>doi:https</w:t>
      </w:r>
      <w:proofErr w:type="spellEnd"/>
      <w:r>
        <w:t>://doi.org/10.1016/j.ijhm.2011.10.008</w:t>
      </w:r>
      <w:proofErr w:type="gramEnd"/>
      <w:r>
        <w:t>.</w:t>
      </w:r>
    </w:p>
    <w:p w14:paraId="6C86D2B1" w14:textId="77777777" w:rsidR="00D47597" w:rsidRDefault="00D47597" w:rsidP="00D47597">
      <w:pPr>
        <w:pStyle w:val="NormalWeb"/>
        <w:spacing w:before="0" w:beforeAutospacing="0" w:after="240" w:afterAutospacing="0" w:line="360" w:lineRule="auto"/>
      </w:pPr>
      <w:r>
        <w:t xml:space="preserve">Deiana, M. and Fabbri, C. (2020). Barriers to the success of female leaders in the hospitality industry. </w:t>
      </w:r>
      <w:r>
        <w:rPr>
          <w:i/>
          <w:iCs/>
        </w:rPr>
        <w:t>Research in Hospitality Management</w:t>
      </w:r>
      <w:r>
        <w:t xml:space="preserve">, 10(2), pp.85–89. </w:t>
      </w:r>
      <w:proofErr w:type="spellStart"/>
      <w:proofErr w:type="gramStart"/>
      <w:r>
        <w:t>doi:https</w:t>
      </w:r>
      <w:proofErr w:type="spellEnd"/>
      <w:r>
        <w:t>://doi.org/10.1080/22243534.2020.1869461</w:t>
      </w:r>
      <w:proofErr w:type="gramEnd"/>
      <w:r>
        <w:t>.</w:t>
      </w:r>
    </w:p>
    <w:p w14:paraId="0B4DB89B" w14:textId="77777777" w:rsidR="00D47597" w:rsidRDefault="00D47597" w:rsidP="00D47597">
      <w:pPr>
        <w:pStyle w:val="NormalWeb"/>
        <w:spacing w:before="0" w:beforeAutospacing="0" w:after="240" w:afterAutospacing="0" w:line="360" w:lineRule="auto"/>
      </w:pPr>
      <w:r>
        <w:t xml:space="preserve">Factors (2023). </w:t>
      </w:r>
      <w:r>
        <w:rPr>
          <w:i/>
          <w:iCs/>
        </w:rPr>
        <w:t>Exploring Opportunities in the Luxurious Hospitality Market: Latest Trends, Technological Advancement, Driving Factors, and Forecast until 2030</w:t>
      </w:r>
      <w:r>
        <w:t>. [online] www.digitaljournal.com. Available at: https://www.digitaljournal.com/pr/news/coherent-</w:t>
      </w:r>
      <w:r>
        <w:lastRenderedPageBreak/>
        <w:t>market-insights/exploring-opportunities-in-the-luxurious-hospitality-market-latest-trends-technological-advancement-driving-factors-and-forecast-until-2030 [Accessed 11 Oct. 2023].</w:t>
      </w:r>
    </w:p>
    <w:p w14:paraId="3FAFBFCA" w14:textId="77777777" w:rsidR="00D47597" w:rsidRDefault="00D47597" w:rsidP="00D47597">
      <w:pPr>
        <w:pStyle w:val="NormalWeb"/>
        <w:spacing w:before="0" w:beforeAutospacing="0" w:after="240" w:afterAutospacing="0" w:line="360" w:lineRule="auto"/>
      </w:pPr>
      <w:r>
        <w:t xml:space="preserve">Guzzo, R.F., Abbott, </w:t>
      </w:r>
      <w:proofErr w:type="gramStart"/>
      <w:r>
        <w:t>J.</w:t>
      </w:r>
      <w:proofErr w:type="gramEnd"/>
      <w:r>
        <w:t xml:space="preserve"> and Madera, J.M. (2019). A Micro-Level View of CSR: A Hospitality Management Systematic Literature Review. </w:t>
      </w:r>
      <w:r>
        <w:rPr>
          <w:i/>
          <w:iCs/>
        </w:rPr>
        <w:t>Cornell Hospitality Quarterly</w:t>
      </w:r>
      <w:r>
        <w:t xml:space="preserve">, p.193896551989290. </w:t>
      </w:r>
      <w:proofErr w:type="spellStart"/>
      <w:proofErr w:type="gramStart"/>
      <w:r>
        <w:t>doi:https</w:t>
      </w:r>
      <w:proofErr w:type="spellEnd"/>
      <w:r>
        <w:t>://doi.org/10.1177/1938965519892907</w:t>
      </w:r>
      <w:proofErr w:type="gramEnd"/>
      <w:r>
        <w:t>.</w:t>
      </w:r>
    </w:p>
    <w:p w14:paraId="545D8C09" w14:textId="77777777" w:rsidR="00D47597" w:rsidRDefault="00D47597" w:rsidP="00D47597">
      <w:pPr>
        <w:pStyle w:val="NormalWeb"/>
        <w:spacing w:before="0" w:beforeAutospacing="0" w:after="240" w:afterAutospacing="0" w:line="360" w:lineRule="auto"/>
      </w:pPr>
      <w:r>
        <w:t xml:space="preserve">Hinson, R.E., Abdul-Hamid, I.K. and Osabutey, E.L.C. (2017). Investigating market orientation and positioning in star-rated hotels in Ghana. </w:t>
      </w:r>
      <w:r>
        <w:rPr>
          <w:i/>
          <w:iCs/>
        </w:rPr>
        <w:t>International Journal of Contemporary Hospitality Management</w:t>
      </w:r>
      <w:r>
        <w:t xml:space="preserve">, 29(10), pp.2629–2646. </w:t>
      </w:r>
      <w:proofErr w:type="spellStart"/>
      <w:proofErr w:type="gramStart"/>
      <w:r>
        <w:t>doi:https</w:t>
      </w:r>
      <w:proofErr w:type="spellEnd"/>
      <w:r>
        <w:t>://doi.org/10.1108/ijchm-02-2016-0075</w:t>
      </w:r>
      <w:proofErr w:type="gramEnd"/>
      <w:r>
        <w:t>.</w:t>
      </w:r>
    </w:p>
    <w:p w14:paraId="23D22570" w14:textId="77777777" w:rsidR="00D47597" w:rsidRDefault="00D47597" w:rsidP="00D47597">
      <w:pPr>
        <w:pStyle w:val="NormalWeb"/>
        <w:spacing w:before="0" w:beforeAutospacing="0" w:after="240" w:afterAutospacing="0" w:line="360" w:lineRule="auto"/>
      </w:pPr>
      <w:r>
        <w:t xml:space="preserve">History (2022). </w:t>
      </w:r>
      <w:r>
        <w:rPr>
          <w:i/>
          <w:iCs/>
        </w:rPr>
        <w:t>Our-History</w:t>
      </w:r>
      <w:r>
        <w:t>. [online] Corporate Site. Available at: https://www.mandarinoriental.com/en/our-company/our-history.</w:t>
      </w:r>
    </w:p>
    <w:p w14:paraId="4FF3104E" w14:textId="77777777" w:rsidR="00D47597" w:rsidRDefault="00D47597" w:rsidP="00D47597">
      <w:pPr>
        <w:pStyle w:val="NormalWeb"/>
        <w:spacing w:before="0" w:beforeAutospacing="0" w:after="240" w:afterAutospacing="0" w:line="360" w:lineRule="auto"/>
      </w:pPr>
      <w:r>
        <w:t xml:space="preserve">Juliana, Hubner, I., </w:t>
      </w:r>
      <w:proofErr w:type="spellStart"/>
      <w:r>
        <w:t>Sitorus</w:t>
      </w:r>
      <w:proofErr w:type="spellEnd"/>
      <w:r>
        <w:t xml:space="preserve">, N., </w:t>
      </w:r>
      <w:proofErr w:type="spellStart"/>
      <w:r>
        <w:t>Pramono</w:t>
      </w:r>
      <w:proofErr w:type="spellEnd"/>
      <w:r>
        <w:t xml:space="preserve">, R. and </w:t>
      </w:r>
      <w:proofErr w:type="spellStart"/>
      <w:r>
        <w:t>Pramezwary</w:t>
      </w:r>
      <w:proofErr w:type="spellEnd"/>
      <w:r>
        <w:t xml:space="preserve">, A. (2021). The Influence of Hotel Customer Demographics Differences on Customer Perceptions. </w:t>
      </w:r>
      <w:r>
        <w:rPr>
          <w:i/>
          <w:iCs/>
        </w:rPr>
        <w:t>African Journal of Hospitality, Tourism and Leisure</w:t>
      </w:r>
      <w:r>
        <w:t xml:space="preserve">, (10(3)), pp.863–880. </w:t>
      </w:r>
      <w:proofErr w:type="spellStart"/>
      <w:proofErr w:type="gramStart"/>
      <w:r>
        <w:t>doi:https</w:t>
      </w:r>
      <w:proofErr w:type="spellEnd"/>
      <w:r>
        <w:t>://doi.org/10.46222/ajhtl.19770720-137</w:t>
      </w:r>
      <w:proofErr w:type="gramEnd"/>
      <w:r>
        <w:t>.</w:t>
      </w:r>
    </w:p>
    <w:p w14:paraId="3AC55947" w14:textId="77777777" w:rsidR="00D47597" w:rsidRDefault="00D47597" w:rsidP="00D47597">
      <w:pPr>
        <w:pStyle w:val="NormalWeb"/>
        <w:spacing w:before="0" w:beforeAutospacing="0" w:after="240" w:afterAutospacing="0" w:line="360" w:lineRule="auto"/>
      </w:pPr>
      <w:r>
        <w:t xml:space="preserve">Kaur, P., Talwar, S., </w:t>
      </w:r>
      <w:proofErr w:type="spellStart"/>
      <w:r>
        <w:t>Madanaguli</w:t>
      </w:r>
      <w:proofErr w:type="spellEnd"/>
      <w:r>
        <w:t xml:space="preserve">, A., Srivastava, S. and Dhir, A. (2022). Corporate social responsibility (CSR) and hospitality sector: Charting new frontiers for restaurant businesses. </w:t>
      </w:r>
      <w:r>
        <w:rPr>
          <w:i/>
          <w:iCs/>
        </w:rPr>
        <w:t>Journal of Business Research</w:t>
      </w:r>
      <w:r>
        <w:t xml:space="preserve">, 144, pp.1234–1248. </w:t>
      </w:r>
      <w:proofErr w:type="spellStart"/>
      <w:proofErr w:type="gramStart"/>
      <w:r>
        <w:t>doi:https</w:t>
      </w:r>
      <w:proofErr w:type="spellEnd"/>
      <w:r>
        <w:t>://doi.org/10.1016/j.jbusres.2022.01.067</w:t>
      </w:r>
      <w:proofErr w:type="gramEnd"/>
      <w:r>
        <w:t>.</w:t>
      </w:r>
    </w:p>
    <w:p w14:paraId="3FFEC392" w14:textId="77777777" w:rsidR="00D47597" w:rsidRDefault="00D47597" w:rsidP="00D47597">
      <w:pPr>
        <w:pStyle w:val="NormalWeb"/>
        <w:spacing w:before="0" w:beforeAutospacing="0" w:after="240" w:afterAutospacing="0" w:line="360" w:lineRule="auto"/>
      </w:pPr>
      <w:r>
        <w:t xml:space="preserve">Kim, Y., Lockwood, A. and Williams, A. (2019). </w:t>
      </w:r>
      <w:r>
        <w:rPr>
          <w:i/>
          <w:iCs/>
        </w:rPr>
        <w:t>The UK tourism productivity gap Challenges and potential for tourism productivity</w:t>
      </w:r>
      <w:r>
        <w:t>. [online] Available at: https://www.visitbritain.org/sites/default/files/vb-corporate/Documents-Library/documents/tourism_productivity_gap_october_2019.pdf.</w:t>
      </w:r>
    </w:p>
    <w:p w14:paraId="2BA19C85" w14:textId="77777777" w:rsidR="00D47597" w:rsidRDefault="00D47597" w:rsidP="00D47597">
      <w:pPr>
        <w:pStyle w:val="NormalWeb"/>
        <w:spacing w:before="0" w:beforeAutospacing="0" w:after="240" w:afterAutospacing="0" w:line="360" w:lineRule="auto"/>
      </w:pPr>
      <w:r>
        <w:t xml:space="preserve">Liu, F., Zhang, F., Wu, </w:t>
      </w:r>
      <w:proofErr w:type="gramStart"/>
      <w:r>
        <w:t>N.</w:t>
      </w:r>
      <w:proofErr w:type="gramEnd"/>
      <w:r>
        <w:t xml:space="preserve"> and James, N.K. (2022). Career barriers of hospitality and tourism management students and the impacts on their career intention. </w:t>
      </w:r>
      <w:r>
        <w:rPr>
          <w:i/>
          <w:iCs/>
        </w:rPr>
        <w:t>Economic Research-</w:t>
      </w:r>
      <w:proofErr w:type="spellStart"/>
      <w:r>
        <w:rPr>
          <w:i/>
          <w:iCs/>
        </w:rPr>
        <w:t>Ekonomska</w:t>
      </w:r>
      <w:proofErr w:type="spellEnd"/>
      <w:r>
        <w:rPr>
          <w:i/>
          <w:iCs/>
        </w:rPr>
        <w:t xml:space="preserve"> </w:t>
      </w:r>
      <w:proofErr w:type="spellStart"/>
      <w:r>
        <w:rPr>
          <w:i/>
          <w:iCs/>
        </w:rPr>
        <w:t>Istraživanja</w:t>
      </w:r>
      <w:proofErr w:type="spellEnd"/>
      <w:r>
        <w:t xml:space="preserve">, 36(2), pp.1–20. </w:t>
      </w:r>
      <w:proofErr w:type="spellStart"/>
      <w:proofErr w:type="gramStart"/>
      <w:r>
        <w:t>doi:https</w:t>
      </w:r>
      <w:proofErr w:type="spellEnd"/>
      <w:r>
        <w:t>://doi.org/10.1080/1331677x.2022.2129410</w:t>
      </w:r>
      <w:proofErr w:type="gramEnd"/>
      <w:r>
        <w:t>.</w:t>
      </w:r>
    </w:p>
    <w:p w14:paraId="71FE640B" w14:textId="77777777" w:rsidR="00D47597" w:rsidRDefault="00D47597" w:rsidP="00D47597">
      <w:pPr>
        <w:pStyle w:val="NormalWeb"/>
        <w:spacing w:before="0" w:beforeAutospacing="0" w:after="240" w:afterAutospacing="0" w:line="360" w:lineRule="auto"/>
      </w:pPr>
      <w:r>
        <w:lastRenderedPageBreak/>
        <w:t xml:space="preserve">Mandarin (2019). </w:t>
      </w:r>
      <w:r>
        <w:rPr>
          <w:i/>
          <w:iCs/>
        </w:rPr>
        <w:t>Mandarin Oriental International Limited Annual Report</w:t>
      </w:r>
      <w:r>
        <w:t>. [online] Available at: https://photos.mandarinoriental.com/is/content/MandarinOriental/corporate-19arMOIL.</w:t>
      </w:r>
    </w:p>
    <w:p w14:paraId="4750F002" w14:textId="77777777" w:rsidR="00D47597" w:rsidRDefault="00D47597" w:rsidP="00D47597">
      <w:pPr>
        <w:pStyle w:val="NormalWeb"/>
        <w:spacing w:before="0" w:beforeAutospacing="0" w:after="240" w:afterAutospacing="0" w:line="360" w:lineRule="auto"/>
      </w:pPr>
      <w:r>
        <w:t xml:space="preserve">Mandarin (2023). </w:t>
      </w:r>
      <w:r>
        <w:rPr>
          <w:i/>
          <w:iCs/>
        </w:rPr>
        <w:t>Mandarin Oriental (M04.SI) - Revenue</w:t>
      </w:r>
      <w:r>
        <w:t>. [online] companiesmarketcap.com. Available at: https://companiesmarketcap.com/mandarin-oriental/revenue/#:~:text=According%20to%20Mandarin%20Oriental [Accessed 11 Oct. 2023].</w:t>
      </w:r>
    </w:p>
    <w:p w14:paraId="071459DE" w14:textId="77777777" w:rsidR="00D47597" w:rsidRDefault="00D47597" w:rsidP="00D47597">
      <w:pPr>
        <w:pStyle w:val="NormalWeb"/>
        <w:spacing w:before="0" w:beforeAutospacing="0" w:after="240" w:afterAutospacing="0" w:line="360" w:lineRule="auto"/>
      </w:pPr>
      <w:r>
        <w:t xml:space="preserve">Mohammed, T.A. and Tham, J. (2020). The Moderating Impact of Customer Demographics on the Customer attitude and the Intention to Stay at Luxury Hotels. </w:t>
      </w:r>
      <w:proofErr w:type="spellStart"/>
      <w:r>
        <w:rPr>
          <w:i/>
          <w:iCs/>
        </w:rPr>
        <w:t>PalArch’s</w:t>
      </w:r>
      <w:proofErr w:type="spellEnd"/>
      <w:r>
        <w:rPr>
          <w:i/>
          <w:iCs/>
        </w:rPr>
        <w:t xml:space="preserve"> Journal of Archaeology of Egypt / Egyptology</w:t>
      </w:r>
      <w:r>
        <w:t>, 17(9), pp.2164–2177.</w:t>
      </w:r>
    </w:p>
    <w:p w14:paraId="32C844A9" w14:textId="77777777" w:rsidR="00D47597" w:rsidRDefault="00D47597" w:rsidP="00D47597">
      <w:pPr>
        <w:pStyle w:val="NormalWeb"/>
        <w:spacing w:before="0" w:beforeAutospacing="0" w:after="240" w:afterAutospacing="0" w:line="360" w:lineRule="auto"/>
      </w:pPr>
      <w:proofErr w:type="spellStart"/>
      <w:r>
        <w:t>Nuseir</w:t>
      </w:r>
      <w:proofErr w:type="spellEnd"/>
      <w:r>
        <w:t xml:space="preserve">, M.T. (2020). Assessing the Impact of Brand Equity and Demographic Characteristics on Brand Loyalty: The Mediating Role Played </w:t>
      </w:r>
      <w:proofErr w:type="gramStart"/>
      <w:r>
        <w:t>By</w:t>
      </w:r>
      <w:proofErr w:type="gramEnd"/>
      <w:r>
        <w:t xml:space="preserve"> Customer Experience in United Arab Emirates’ Hotel Industry. </w:t>
      </w:r>
      <w:r>
        <w:rPr>
          <w:i/>
          <w:iCs/>
        </w:rPr>
        <w:t>Journal of Hospitality &amp; Tourism Research</w:t>
      </w:r>
      <w:r>
        <w:t xml:space="preserve">, 46(5), p.109634802094778. </w:t>
      </w:r>
      <w:proofErr w:type="spellStart"/>
      <w:proofErr w:type="gramStart"/>
      <w:r>
        <w:t>doi:https</w:t>
      </w:r>
      <w:proofErr w:type="spellEnd"/>
      <w:r>
        <w:t>://doi.org/10.1177/1096348020947786</w:t>
      </w:r>
      <w:proofErr w:type="gramEnd"/>
      <w:r>
        <w:t>.</w:t>
      </w:r>
    </w:p>
    <w:p w14:paraId="47FEC4E9" w14:textId="77777777" w:rsidR="00D47597" w:rsidRDefault="00D47597" w:rsidP="00D47597">
      <w:pPr>
        <w:pStyle w:val="NormalWeb"/>
        <w:spacing w:before="0" w:beforeAutospacing="0" w:after="240" w:afterAutospacing="0" w:line="360" w:lineRule="auto"/>
      </w:pPr>
      <w:proofErr w:type="spellStart"/>
      <w:r>
        <w:t>Okumus</w:t>
      </w:r>
      <w:proofErr w:type="spellEnd"/>
      <w:r>
        <w:t xml:space="preserve">, F. and Hemmington, N. (1998). Barriers and resistance to change in hotel firms: an investigation at unit level. </w:t>
      </w:r>
      <w:r>
        <w:rPr>
          <w:i/>
          <w:iCs/>
        </w:rPr>
        <w:t>International Journal of Contemporary Hospitality Management</w:t>
      </w:r>
      <w:r>
        <w:t xml:space="preserve">, 10(7), pp.283–288. </w:t>
      </w:r>
      <w:proofErr w:type="spellStart"/>
      <w:proofErr w:type="gramStart"/>
      <w:r>
        <w:t>doi:https</w:t>
      </w:r>
      <w:proofErr w:type="spellEnd"/>
      <w:r>
        <w:t>://doi.org/10.1108/09596119810240906</w:t>
      </w:r>
      <w:proofErr w:type="gramEnd"/>
      <w:r>
        <w:t>.</w:t>
      </w:r>
    </w:p>
    <w:p w14:paraId="13D4FD5B" w14:textId="77777777" w:rsidR="00D47597" w:rsidRDefault="00D47597" w:rsidP="00D47597">
      <w:pPr>
        <w:pStyle w:val="NormalWeb"/>
        <w:spacing w:before="0" w:beforeAutospacing="0" w:after="240" w:afterAutospacing="0" w:line="360" w:lineRule="auto"/>
      </w:pPr>
      <w:r>
        <w:t xml:space="preserve">Osborne, A. (2004). </w:t>
      </w:r>
      <w:r>
        <w:rPr>
          <w:i/>
          <w:iCs/>
        </w:rPr>
        <w:t>Whitbread wins Premier title</w:t>
      </w:r>
      <w:r>
        <w:t>. [online] www.telegraph.co.uk. Available at: https://www.telegraph.co.uk/finance/2890905/Whitbread-wins-Premier-title.html.</w:t>
      </w:r>
    </w:p>
    <w:p w14:paraId="6D08564F" w14:textId="77777777" w:rsidR="00D47597" w:rsidRDefault="00D47597" w:rsidP="00D47597">
      <w:pPr>
        <w:pStyle w:val="NormalWeb"/>
        <w:spacing w:before="0" w:beforeAutospacing="0" w:after="240" w:afterAutospacing="0" w:line="360" w:lineRule="auto"/>
      </w:pPr>
      <w:r>
        <w:t xml:space="preserve">Premier (2009). Downturn hits Premier Inn sales. </w:t>
      </w:r>
      <w:r>
        <w:rPr>
          <w:i/>
          <w:iCs/>
        </w:rPr>
        <w:t>news.bbc.co.uk</w:t>
      </w:r>
      <w:r>
        <w:t>. [online] 16 Jun. Available at: http://news.bbc.co.uk/2/hi/business/8102287.stm [Accessed 8 Mar. 2023].</w:t>
      </w:r>
    </w:p>
    <w:p w14:paraId="73E41520" w14:textId="77777777" w:rsidR="00D47597" w:rsidRDefault="00D47597" w:rsidP="00D47597">
      <w:pPr>
        <w:pStyle w:val="NormalWeb"/>
        <w:spacing w:before="0" w:beforeAutospacing="0" w:after="240" w:afterAutospacing="0" w:line="360" w:lineRule="auto"/>
      </w:pPr>
      <w:r>
        <w:t xml:space="preserve">Sampaio, C. and </w:t>
      </w:r>
      <w:proofErr w:type="spellStart"/>
      <w:r>
        <w:t>Régio</w:t>
      </w:r>
      <w:proofErr w:type="spellEnd"/>
      <w:r>
        <w:t xml:space="preserve">, M. (2022). Market Orientation and Hotel Industry: Literature Review and Implications for Periods of Market Turmoil. </w:t>
      </w:r>
      <w:r>
        <w:rPr>
          <w:i/>
          <w:iCs/>
        </w:rPr>
        <w:t>Journal of Risk and Financial Management</w:t>
      </w:r>
      <w:r>
        <w:t xml:space="preserve">, 15(11), p.497. </w:t>
      </w:r>
      <w:proofErr w:type="spellStart"/>
      <w:proofErr w:type="gramStart"/>
      <w:r>
        <w:t>doi:https</w:t>
      </w:r>
      <w:proofErr w:type="spellEnd"/>
      <w:r>
        <w:t>://doi.org/10.3390/jrfm15110497</w:t>
      </w:r>
      <w:proofErr w:type="gramEnd"/>
      <w:r>
        <w:t>.</w:t>
      </w:r>
    </w:p>
    <w:p w14:paraId="6E98F246" w14:textId="1D6997B4" w:rsidR="00681009" w:rsidRDefault="00D47597" w:rsidP="00D47597">
      <w:pPr>
        <w:pStyle w:val="NormalWeb"/>
        <w:spacing w:before="0" w:beforeAutospacing="0" w:after="240" w:afterAutospacing="0" w:line="360" w:lineRule="auto"/>
      </w:pPr>
      <w:r>
        <w:t xml:space="preserve">Sweney, M. (2023). Premier Inn owner surpasses pre-Covid profits as </w:t>
      </w:r>
      <w:proofErr w:type="spellStart"/>
      <w:r>
        <w:t>travellers</w:t>
      </w:r>
      <w:proofErr w:type="spellEnd"/>
      <w:r>
        <w:t xml:space="preserve"> seek deals. </w:t>
      </w:r>
      <w:r>
        <w:rPr>
          <w:i/>
          <w:iCs/>
        </w:rPr>
        <w:t>The Guardian</w:t>
      </w:r>
      <w:r>
        <w:t>. [online] 25 Apr. Available at: https://www.theguardian.com/business/2023/apr/25/premier-inn-whitbread-pre-covid-profits-deals.</w:t>
      </w:r>
    </w:p>
    <w:sectPr w:rsidR="0068100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3FBD8" w14:textId="77777777" w:rsidR="004124A3" w:rsidRDefault="004124A3" w:rsidP="00065FA2">
      <w:pPr>
        <w:spacing w:after="0" w:line="240" w:lineRule="auto"/>
      </w:pPr>
      <w:r>
        <w:separator/>
      </w:r>
    </w:p>
  </w:endnote>
  <w:endnote w:type="continuationSeparator" w:id="0">
    <w:p w14:paraId="78EC8EB6" w14:textId="77777777" w:rsidR="004124A3" w:rsidRDefault="004124A3" w:rsidP="00065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7C7A1" w14:textId="77777777" w:rsidR="004124A3" w:rsidRDefault="004124A3" w:rsidP="00065FA2">
      <w:pPr>
        <w:spacing w:after="0" w:line="240" w:lineRule="auto"/>
      </w:pPr>
      <w:r>
        <w:separator/>
      </w:r>
    </w:p>
  </w:footnote>
  <w:footnote w:type="continuationSeparator" w:id="0">
    <w:p w14:paraId="156E9E70" w14:textId="77777777" w:rsidR="004124A3" w:rsidRDefault="004124A3" w:rsidP="00065F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652949"/>
      <w:docPartObj>
        <w:docPartGallery w:val="Page Numbers (Top of Page)"/>
        <w:docPartUnique/>
      </w:docPartObj>
    </w:sdtPr>
    <w:sdtEndPr>
      <w:rPr>
        <w:noProof/>
      </w:rPr>
    </w:sdtEndPr>
    <w:sdtContent>
      <w:p w14:paraId="47257FB7" w14:textId="15C66AB3" w:rsidR="00065FA2" w:rsidRDefault="00065FA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180BAA" w14:textId="77777777" w:rsidR="00065FA2" w:rsidRDefault="00065F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E1F87"/>
    <w:multiLevelType w:val="hybridMultilevel"/>
    <w:tmpl w:val="4EBE5736"/>
    <w:lvl w:ilvl="0" w:tplc="8426410C">
      <w:start w:val="1"/>
      <w:numFmt w:val="bullet"/>
      <w:lvlText w:val=""/>
      <w:lvlJc w:val="left"/>
      <w:pPr>
        <w:ind w:left="720" w:hanging="360"/>
      </w:pPr>
      <w:rPr>
        <w:rFonts w:ascii="Symbol" w:hAnsi="Symbol" w:hint="default"/>
      </w:rPr>
    </w:lvl>
    <w:lvl w:ilvl="1" w:tplc="D0666780" w:tentative="1">
      <w:start w:val="1"/>
      <w:numFmt w:val="bullet"/>
      <w:lvlText w:val="o"/>
      <w:lvlJc w:val="left"/>
      <w:pPr>
        <w:ind w:left="1440" w:hanging="360"/>
      </w:pPr>
      <w:rPr>
        <w:rFonts w:ascii="Courier New" w:hAnsi="Courier New" w:cs="Courier New" w:hint="default"/>
      </w:rPr>
    </w:lvl>
    <w:lvl w:ilvl="2" w:tplc="F54034D4" w:tentative="1">
      <w:start w:val="1"/>
      <w:numFmt w:val="bullet"/>
      <w:lvlText w:val=""/>
      <w:lvlJc w:val="left"/>
      <w:pPr>
        <w:ind w:left="2160" w:hanging="360"/>
      </w:pPr>
      <w:rPr>
        <w:rFonts w:ascii="Wingdings" w:hAnsi="Wingdings" w:hint="default"/>
      </w:rPr>
    </w:lvl>
    <w:lvl w:ilvl="3" w:tplc="2AC41CC6" w:tentative="1">
      <w:start w:val="1"/>
      <w:numFmt w:val="bullet"/>
      <w:lvlText w:val=""/>
      <w:lvlJc w:val="left"/>
      <w:pPr>
        <w:ind w:left="2880" w:hanging="360"/>
      </w:pPr>
      <w:rPr>
        <w:rFonts w:ascii="Symbol" w:hAnsi="Symbol" w:hint="default"/>
      </w:rPr>
    </w:lvl>
    <w:lvl w:ilvl="4" w:tplc="204082A6" w:tentative="1">
      <w:start w:val="1"/>
      <w:numFmt w:val="bullet"/>
      <w:lvlText w:val="o"/>
      <w:lvlJc w:val="left"/>
      <w:pPr>
        <w:ind w:left="3600" w:hanging="360"/>
      </w:pPr>
      <w:rPr>
        <w:rFonts w:ascii="Courier New" w:hAnsi="Courier New" w:cs="Courier New" w:hint="default"/>
      </w:rPr>
    </w:lvl>
    <w:lvl w:ilvl="5" w:tplc="9294DC06" w:tentative="1">
      <w:start w:val="1"/>
      <w:numFmt w:val="bullet"/>
      <w:lvlText w:val=""/>
      <w:lvlJc w:val="left"/>
      <w:pPr>
        <w:ind w:left="4320" w:hanging="360"/>
      </w:pPr>
      <w:rPr>
        <w:rFonts w:ascii="Wingdings" w:hAnsi="Wingdings" w:hint="default"/>
      </w:rPr>
    </w:lvl>
    <w:lvl w:ilvl="6" w:tplc="77DC9E40" w:tentative="1">
      <w:start w:val="1"/>
      <w:numFmt w:val="bullet"/>
      <w:lvlText w:val=""/>
      <w:lvlJc w:val="left"/>
      <w:pPr>
        <w:ind w:left="5040" w:hanging="360"/>
      </w:pPr>
      <w:rPr>
        <w:rFonts w:ascii="Symbol" w:hAnsi="Symbol" w:hint="default"/>
      </w:rPr>
    </w:lvl>
    <w:lvl w:ilvl="7" w:tplc="801C55FA" w:tentative="1">
      <w:start w:val="1"/>
      <w:numFmt w:val="bullet"/>
      <w:lvlText w:val="o"/>
      <w:lvlJc w:val="left"/>
      <w:pPr>
        <w:ind w:left="5760" w:hanging="360"/>
      </w:pPr>
      <w:rPr>
        <w:rFonts w:ascii="Courier New" w:hAnsi="Courier New" w:cs="Courier New" w:hint="default"/>
      </w:rPr>
    </w:lvl>
    <w:lvl w:ilvl="8" w:tplc="BD2CF3A4" w:tentative="1">
      <w:start w:val="1"/>
      <w:numFmt w:val="bullet"/>
      <w:lvlText w:val=""/>
      <w:lvlJc w:val="left"/>
      <w:pPr>
        <w:ind w:left="6480" w:hanging="360"/>
      </w:pPr>
      <w:rPr>
        <w:rFonts w:ascii="Wingdings" w:hAnsi="Wingdings" w:hint="default"/>
      </w:rPr>
    </w:lvl>
  </w:abstractNum>
  <w:abstractNum w:abstractNumId="1" w15:restartNumberingAfterBreak="0">
    <w:nsid w:val="78AE7708"/>
    <w:multiLevelType w:val="hybridMultilevel"/>
    <w:tmpl w:val="67C45704"/>
    <w:lvl w:ilvl="0" w:tplc="8B54AAA2">
      <w:start w:val="1"/>
      <w:numFmt w:val="bullet"/>
      <w:lvlText w:val=""/>
      <w:lvlJc w:val="left"/>
      <w:pPr>
        <w:ind w:left="720" w:hanging="360"/>
      </w:pPr>
      <w:rPr>
        <w:rFonts w:ascii="Symbol" w:hAnsi="Symbol" w:hint="default"/>
      </w:rPr>
    </w:lvl>
    <w:lvl w:ilvl="1" w:tplc="8A9CFA6C" w:tentative="1">
      <w:start w:val="1"/>
      <w:numFmt w:val="bullet"/>
      <w:lvlText w:val="o"/>
      <w:lvlJc w:val="left"/>
      <w:pPr>
        <w:ind w:left="1440" w:hanging="360"/>
      </w:pPr>
      <w:rPr>
        <w:rFonts w:ascii="Courier New" w:hAnsi="Courier New" w:cs="Courier New" w:hint="default"/>
      </w:rPr>
    </w:lvl>
    <w:lvl w:ilvl="2" w:tplc="BB763BAE" w:tentative="1">
      <w:start w:val="1"/>
      <w:numFmt w:val="bullet"/>
      <w:lvlText w:val=""/>
      <w:lvlJc w:val="left"/>
      <w:pPr>
        <w:ind w:left="2160" w:hanging="360"/>
      </w:pPr>
      <w:rPr>
        <w:rFonts w:ascii="Wingdings" w:hAnsi="Wingdings" w:hint="default"/>
      </w:rPr>
    </w:lvl>
    <w:lvl w:ilvl="3" w:tplc="0E644F3A" w:tentative="1">
      <w:start w:val="1"/>
      <w:numFmt w:val="bullet"/>
      <w:lvlText w:val=""/>
      <w:lvlJc w:val="left"/>
      <w:pPr>
        <w:ind w:left="2880" w:hanging="360"/>
      </w:pPr>
      <w:rPr>
        <w:rFonts w:ascii="Symbol" w:hAnsi="Symbol" w:hint="default"/>
      </w:rPr>
    </w:lvl>
    <w:lvl w:ilvl="4" w:tplc="EC229C72" w:tentative="1">
      <w:start w:val="1"/>
      <w:numFmt w:val="bullet"/>
      <w:lvlText w:val="o"/>
      <w:lvlJc w:val="left"/>
      <w:pPr>
        <w:ind w:left="3600" w:hanging="360"/>
      </w:pPr>
      <w:rPr>
        <w:rFonts w:ascii="Courier New" w:hAnsi="Courier New" w:cs="Courier New" w:hint="default"/>
      </w:rPr>
    </w:lvl>
    <w:lvl w:ilvl="5" w:tplc="5A3AF69C" w:tentative="1">
      <w:start w:val="1"/>
      <w:numFmt w:val="bullet"/>
      <w:lvlText w:val=""/>
      <w:lvlJc w:val="left"/>
      <w:pPr>
        <w:ind w:left="4320" w:hanging="360"/>
      </w:pPr>
      <w:rPr>
        <w:rFonts w:ascii="Wingdings" w:hAnsi="Wingdings" w:hint="default"/>
      </w:rPr>
    </w:lvl>
    <w:lvl w:ilvl="6" w:tplc="6C740576" w:tentative="1">
      <w:start w:val="1"/>
      <w:numFmt w:val="bullet"/>
      <w:lvlText w:val=""/>
      <w:lvlJc w:val="left"/>
      <w:pPr>
        <w:ind w:left="5040" w:hanging="360"/>
      </w:pPr>
      <w:rPr>
        <w:rFonts w:ascii="Symbol" w:hAnsi="Symbol" w:hint="default"/>
      </w:rPr>
    </w:lvl>
    <w:lvl w:ilvl="7" w:tplc="EE3E82BC" w:tentative="1">
      <w:start w:val="1"/>
      <w:numFmt w:val="bullet"/>
      <w:lvlText w:val="o"/>
      <w:lvlJc w:val="left"/>
      <w:pPr>
        <w:ind w:left="5760" w:hanging="360"/>
      </w:pPr>
      <w:rPr>
        <w:rFonts w:ascii="Courier New" w:hAnsi="Courier New" w:cs="Courier New" w:hint="default"/>
      </w:rPr>
    </w:lvl>
    <w:lvl w:ilvl="8" w:tplc="E87A1278" w:tentative="1">
      <w:start w:val="1"/>
      <w:numFmt w:val="bullet"/>
      <w:lvlText w:val=""/>
      <w:lvlJc w:val="left"/>
      <w:pPr>
        <w:ind w:left="6480" w:hanging="360"/>
      </w:pPr>
      <w:rPr>
        <w:rFonts w:ascii="Wingdings" w:hAnsi="Wingdings" w:hint="default"/>
      </w:rPr>
    </w:lvl>
  </w:abstractNum>
  <w:num w:numId="1" w16cid:durableId="1746687348">
    <w:abstractNumId w:val="0"/>
  </w:num>
  <w:num w:numId="2" w16cid:durableId="1702190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54C"/>
    <w:rsid w:val="00060C02"/>
    <w:rsid w:val="000653C8"/>
    <w:rsid w:val="00065FA2"/>
    <w:rsid w:val="000B21AA"/>
    <w:rsid w:val="000C0DFB"/>
    <w:rsid w:val="00110C15"/>
    <w:rsid w:val="00147CFA"/>
    <w:rsid w:val="002036AD"/>
    <w:rsid w:val="00270EB8"/>
    <w:rsid w:val="002A1684"/>
    <w:rsid w:val="002A4974"/>
    <w:rsid w:val="002E4789"/>
    <w:rsid w:val="002E78FD"/>
    <w:rsid w:val="002F022F"/>
    <w:rsid w:val="002F313C"/>
    <w:rsid w:val="00347F13"/>
    <w:rsid w:val="0036039B"/>
    <w:rsid w:val="003621A8"/>
    <w:rsid w:val="00367BDA"/>
    <w:rsid w:val="0037460A"/>
    <w:rsid w:val="00381D86"/>
    <w:rsid w:val="00394B8B"/>
    <w:rsid w:val="004124A3"/>
    <w:rsid w:val="0044024D"/>
    <w:rsid w:val="004972EB"/>
    <w:rsid w:val="004D1903"/>
    <w:rsid w:val="004D56E0"/>
    <w:rsid w:val="004E4406"/>
    <w:rsid w:val="0050256A"/>
    <w:rsid w:val="00505654"/>
    <w:rsid w:val="005337BE"/>
    <w:rsid w:val="00567CD1"/>
    <w:rsid w:val="005975F3"/>
    <w:rsid w:val="005C3719"/>
    <w:rsid w:val="005D6459"/>
    <w:rsid w:val="00600214"/>
    <w:rsid w:val="0064179F"/>
    <w:rsid w:val="00671525"/>
    <w:rsid w:val="00674EA1"/>
    <w:rsid w:val="00681009"/>
    <w:rsid w:val="006A0B54"/>
    <w:rsid w:val="00716534"/>
    <w:rsid w:val="00780435"/>
    <w:rsid w:val="007A68FE"/>
    <w:rsid w:val="007B254C"/>
    <w:rsid w:val="007C50EA"/>
    <w:rsid w:val="007D25D0"/>
    <w:rsid w:val="007F49BA"/>
    <w:rsid w:val="00820E92"/>
    <w:rsid w:val="00852E99"/>
    <w:rsid w:val="008572C4"/>
    <w:rsid w:val="008A7BAC"/>
    <w:rsid w:val="008E35EC"/>
    <w:rsid w:val="0096511C"/>
    <w:rsid w:val="009834F1"/>
    <w:rsid w:val="009B6756"/>
    <w:rsid w:val="009D2B58"/>
    <w:rsid w:val="009D38DB"/>
    <w:rsid w:val="009E3195"/>
    <w:rsid w:val="00A84B95"/>
    <w:rsid w:val="00AC1964"/>
    <w:rsid w:val="00B23D02"/>
    <w:rsid w:val="00B2473B"/>
    <w:rsid w:val="00B2760F"/>
    <w:rsid w:val="00B41E23"/>
    <w:rsid w:val="00B73529"/>
    <w:rsid w:val="00BD5F7E"/>
    <w:rsid w:val="00C74048"/>
    <w:rsid w:val="00C760C0"/>
    <w:rsid w:val="00CF1CD9"/>
    <w:rsid w:val="00D47597"/>
    <w:rsid w:val="00D517CA"/>
    <w:rsid w:val="00D73D14"/>
    <w:rsid w:val="00DA17D9"/>
    <w:rsid w:val="00E24830"/>
    <w:rsid w:val="00E43AD2"/>
    <w:rsid w:val="00E4515C"/>
    <w:rsid w:val="00ED61F8"/>
    <w:rsid w:val="00F06A17"/>
    <w:rsid w:val="00F925FD"/>
    <w:rsid w:val="00FC5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183C3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3C8"/>
    <w:pPr>
      <w:jc w:val="both"/>
    </w:pPr>
    <w:rPr>
      <w:rFonts w:ascii="Times New Roman" w:hAnsi="Times New Roman"/>
      <w:sz w:val="24"/>
    </w:rPr>
  </w:style>
  <w:style w:type="paragraph" w:styleId="Heading1">
    <w:name w:val="heading 1"/>
    <w:basedOn w:val="Normal"/>
    <w:next w:val="Normal"/>
    <w:link w:val="Heading1Char"/>
    <w:uiPriority w:val="9"/>
    <w:qFormat/>
    <w:rsid w:val="000653C8"/>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653C8"/>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3C8"/>
    <w:rPr>
      <w:rFonts w:ascii="Times New Roman" w:eastAsiaTheme="majorEastAsia" w:hAnsi="Times New Roman" w:cstheme="majorBidi"/>
      <w:b/>
      <w:sz w:val="32"/>
      <w:szCs w:val="32"/>
      <w:lang w:val="en-US"/>
    </w:rPr>
  </w:style>
  <w:style w:type="character" w:customStyle="1" w:styleId="Heading2Char">
    <w:name w:val="Heading 2 Char"/>
    <w:basedOn w:val="DefaultParagraphFont"/>
    <w:link w:val="Heading2"/>
    <w:uiPriority w:val="9"/>
    <w:rsid w:val="000653C8"/>
    <w:rPr>
      <w:rFonts w:ascii="Times New Roman" w:eastAsiaTheme="majorEastAsia" w:hAnsi="Times New Roman" w:cstheme="majorBidi"/>
      <w:b/>
      <w:color w:val="000000" w:themeColor="text1"/>
      <w:sz w:val="28"/>
      <w:szCs w:val="26"/>
      <w:lang w:val="en-US"/>
    </w:rPr>
  </w:style>
  <w:style w:type="paragraph" w:styleId="ListParagraph">
    <w:name w:val="List Paragraph"/>
    <w:basedOn w:val="Normal"/>
    <w:uiPriority w:val="34"/>
    <w:qFormat/>
    <w:rsid w:val="00B41E23"/>
    <w:pPr>
      <w:ind w:left="720"/>
      <w:contextualSpacing/>
    </w:pPr>
  </w:style>
  <w:style w:type="paragraph" w:styleId="NormalWeb">
    <w:name w:val="Normal (Web)"/>
    <w:basedOn w:val="Normal"/>
    <w:uiPriority w:val="99"/>
    <w:unhideWhenUsed/>
    <w:rsid w:val="00D47597"/>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065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FA2"/>
    <w:rPr>
      <w:rFonts w:ascii="Times New Roman" w:hAnsi="Times New Roman"/>
      <w:sz w:val="24"/>
    </w:rPr>
  </w:style>
  <w:style w:type="paragraph" w:styleId="Footer">
    <w:name w:val="footer"/>
    <w:basedOn w:val="Normal"/>
    <w:link w:val="FooterChar"/>
    <w:uiPriority w:val="99"/>
    <w:unhideWhenUsed/>
    <w:rsid w:val="00065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FA2"/>
    <w:rPr>
      <w:rFonts w:ascii="Times New Roman" w:hAnsi="Times New Roman"/>
      <w:sz w:val="24"/>
    </w:rPr>
  </w:style>
  <w:style w:type="paragraph" w:styleId="TOCHeading">
    <w:name w:val="TOC Heading"/>
    <w:basedOn w:val="Heading1"/>
    <w:next w:val="Normal"/>
    <w:uiPriority w:val="39"/>
    <w:unhideWhenUsed/>
    <w:qFormat/>
    <w:rsid w:val="00065FA2"/>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65FA2"/>
    <w:pPr>
      <w:spacing w:after="100"/>
    </w:pPr>
  </w:style>
  <w:style w:type="paragraph" w:styleId="TOC2">
    <w:name w:val="toc 2"/>
    <w:basedOn w:val="Normal"/>
    <w:next w:val="Normal"/>
    <w:autoRedefine/>
    <w:uiPriority w:val="39"/>
    <w:unhideWhenUsed/>
    <w:rsid w:val="00065FA2"/>
    <w:pPr>
      <w:spacing w:after="100"/>
      <w:ind w:left="240"/>
    </w:pPr>
  </w:style>
  <w:style w:type="character" w:styleId="Hyperlink">
    <w:name w:val="Hyperlink"/>
    <w:basedOn w:val="DefaultParagraphFont"/>
    <w:uiPriority w:val="99"/>
    <w:unhideWhenUsed/>
    <w:rsid w:val="00065F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118920">
      <w:bodyDiv w:val="1"/>
      <w:marLeft w:val="0"/>
      <w:marRight w:val="0"/>
      <w:marTop w:val="0"/>
      <w:marBottom w:val="0"/>
      <w:divBdr>
        <w:top w:val="none" w:sz="0" w:space="0" w:color="auto"/>
        <w:left w:val="none" w:sz="0" w:space="0" w:color="auto"/>
        <w:bottom w:val="none" w:sz="0" w:space="0" w:color="auto"/>
        <w:right w:val="none" w:sz="0" w:space="0" w:color="auto"/>
      </w:divBdr>
      <w:divsChild>
        <w:div w:id="1325282160">
          <w:marLeft w:val="0"/>
          <w:marRight w:val="0"/>
          <w:marTop w:val="0"/>
          <w:marBottom w:val="0"/>
          <w:divBdr>
            <w:top w:val="none" w:sz="0" w:space="0" w:color="auto"/>
            <w:left w:val="none" w:sz="0" w:space="0" w:color="auto"/>
            <w:bottom w:val="none" w:sz="0" w:space="0" w:color="auto"/>
            <w:right w:val="none" w:sz="0" w:space="0" w:color="auto"/>
          </w:divBdr>
        </w:div>
      </w:divsChild>
    </w:div>
    <w:div w:id="1755735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2875</Words>
  <Characters>18303</Characters>
  <Application>Microsoft Office Word</Application>
  <DocSecurity>0</DocSecurity>
  <Lines>313</Lines>
  <Paragraphs>72</Paragraphs>
  <ScaleCrop>false</ScaleCrop>
  <Company/>
  <LinksUpToDate>false</LinksUpToDate>
  <CharactersWithSpaces>21107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2023-10-18T13:46:00Z</dcterms:created>
  <dcterms:modified xsi:type="dcterms:W3CDTF">2023-10-18T13:46:00Z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4d0bcf118d9b08d7b3ef5eb92d2b59483521684b3ad36f5a677e2ff0d71c81bd</vt:lpwstr>
  </property>
</Properties>
</file>