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91BE4" w14:textId="77777777" w:rsidR="009C75BA" w:rsidRDefault="009C75BA"/>
    <w:p w14:paraId="1E8FCFC6" w14:textId="77777777" w:rsidR="009C75BA" w:rsidRDefault="009C75BA"/>
    <w:p w14:paraId="0E229F85" w14:textId="77777777" w:rsidR="009C75BA" w:rsidRDefault="009C75BA"/>
    <w:p w14:paraId="614E7AD2" w14:textId="77777777" w:rsidR="009C75BA" w:rsidRDefault="009C75BA"/>
    <w:p w14:paraId="1ACAAB66" w14:textId="77777777" w:rsidR="009C75BA" w:rsidRDefault="009C75BA"/>
    <w:p w14:paraId="6C1E2B1D" w14:textId="77777777" w:rsidR="009C75BA" w:rsidRDefault="009C75BA"/>
    <w:p w14:paraId="5C68E72D" w14:textId="77777777" w:rsidR="009C75BA" w:rsidRDefault="009C75BA"/>
    <w:p w14:paraId="3F799C10" w14:textId="77777777" w:rsidR="009C75BA" w:rsidRDefault="009C75BA"/>
    <w:p w14:paraId="3764EF2D" w14:textId="77777777" w:rsidR="009C75BA" w:rsidRDefault="009C75BA"/>
    <w:p w14:paraId="36385143" w14:textId="77777777" w:rsidR="009C75BA" w:rsidRDefault="009C75BA"/>
    <w:p w14:paraId="29924EDC" w14:textId="77777777" w:rsidR="009C75BA" w:rsidRDefault="009C75BA"/>
    <w:p w14:paraId="6CE80764" w14:textId="77777777" w:rsidR="009C75BA" w:rsidRPr="00812026" w:rsidRDefault="006D3F42" w:rsidP="006D3F42">
      <w:pPr>
        <w:ind w:firstLine="0"/>
        <w:jc w:val="center"/>
        <w:rPr>
          <w:b/>
        </w:rPr>
      </w:pPr>
      <w:r>
        <w:rPr>
          <w:b/>
        </w:rPr>
        <w:t xml:space="preserve">Individual </w:t>
      </w:r>
      <w:r w:rsidR="00812026" w:rsidRPr="00812026">
        <w:rPr>
          <w:b/>
        </w:rPr>
        <w:t>Assignment</w:t>
      </w:r>
    </w:p>
    <w:p w14:paraId="1C706D62" w14:textId="77777777" w:rsidR="00812026" w:rsidRPr="00812026" w:rsidRDefault="00812026" w:rsidP="006D3F42">
      <w:pPr>
        <w:ind w:firstLine="0"/>
        <w:jc w:val="center"/>
        <w:rPr>
          <w:b/>
          <w:bCs/>
          <w:lang w:val="en-US"/>
        </w:rPr>
      </w:pPr>
      <w:r w:rsidRPr="00812026">
        <w:rPr>
          <w:b/>
          <w:bCs/>
          <w:lang w:val="en-US"/>
        </w:rPr>
        <w:t xml:space="preserve">Accounting Fundamentals </w:t>
      </w:r>
    </w:p>
    <w:p w14:paraId="20210B5D" w14:textId="77777777" w:rsidR="006D3F42" w:rsidRDefault="00812026" w:rsidP="006D3F42">
      <w:pPr>
        <w:ind w:firstLine="0"/>
        <w:jc w:val="center"/>
        <w:rPr>
          <w:b/>
          <w:bCs/>
          <w:lang w:val="en-US"/>
        </w:rPr>
      </w:pPr>
      <w:r w:rsidRPr="00812026">
        <w:rPr>
          <w:b/>
          <w:bCs/>
          <w:lang w:val="en-US"/>
        </w:rPr>
        <w:t>Module code: LCBB4001</w:t>
      </w:r>
    </w:p>
    <w:p w14:paraId="2EBDC28E" w14:textId="07085A5D" w:rsidR="009C75BA" w:rsidRDefault="00812026" w:rsidP="006D3F42">
      <w:pPr>
        <w:ind w:firstLine="0"/>
        <w:jc w:val="center"/>
        <w:rPr>
          <w:szCs w:val="24"/>
        </w:rPr>
      </w:pPr>
      <w:r w:rsidRPr="00812026">
        <w:rPr>
          <w:bCs/>
          <w:lang w:val="en-US"/>
        </w:rPr>
        <w:br/>
      </w:r>
      <w:r w:rsidR="00820B35">
        <w:rPr>
          <w:szCs w:val="24"/>
        </w:rPr>
        <w:t>[Student ID</w:t>
      </w:r>
      <w:r w:rsidR="002F5CE8">
        <w:rPr>
          <w:szCs w:val="24"/>
        </w:rPr>
        <w:t xml:space="preserve"> 2133455</w:t>
      </w:r>
      <w:r w:rsidR="00820B35">
        <w:rPr>
          <w:szCs w:val="24"/>
        </w:rPr>
        <w:t>]</w:t>
      </w:r>
    </w:p>
    <w:p w14:paraId="40DD9E46" w14:textId="20E2B6AA" w:rsidR="009C75BA" w:rsidRDefault="00820B35" w:rsidP="006D3F42">
      <w:pPr>
        <w:ind w:firstLine="0"/>
        <w:jc w:val="center"/>
        <w:rPr>
          <w:szCs w:val="24"/>
        </w:rPr>
      </w:pPr>
      <w:r>
        <w:rPr>
          <w:szCs w:val="24"/>
        </w:rPr>
        <w:t xml:space="preserve">[Name of the </w:t>
      </w:r>
      <w:r w:rsidR="002F5CE8">
        <w:rPr>
          <w:szCs w:val="24"/>
        </w:rPr>
        <w:t xml:space="preserve">student </w:t>
      </w:r>
      <w:proofErr w:type="spellStart"/>
      <w:r w:rsidR="002F5CE8">
        <w:rPr>
          <w:szCs w:val="24"/>
        </w:rPr>
        <w:t>Catalin</w:t>
      </w:r>
      <w:proofErr w:type="spellEnd"/>
      <w:r w:rsidR="002F5CE8">
        <w:rPr>
          <w:szCs w:val="24"/>
        </w:rPr>
        <w:t xml:space="preserve"> </w:t>
      </w:r>
      <w:proofErr w:type="spellStart"/>
      <w:r w:rsidR="002F5CE8">
        <w:rPr>
          <w:szCs w:val="24"/>
        </w:rPr>
        <w:t>Irinel</w:t>
      </w:r>
      <w:proofErr w:type="spellEnd"/>
      <w:r w:rsidR="002F5CE8">
        <w:rPr>
          <w:szCs w:val="24"/>
        </w:rPr>
        <w:t xml:space="preserve"> Marin</w:t>
      </w:r>
      <w:r>
        <w:rPr>
          <w:szCs w:val="24"/>
        </w:rPr>
        <w:t>]</w:t>
      </w:r>
    </w:p>
    <w:p w14:paraId="110DB15C" w14:textId="403F1359" w:rsidR="009C75BA" w:rsidRDefault="00820B35" w:rsidP="006D3F42">
      <w:pPr>
        <w:ind w:firstLine="0"/>
        <w:jc w:val="center"/>
        <w:rPr>
          <w:szCs w:val="24"/>
        </w:rPr>
      </w:pPr>
      <w:r>
        <w:rPr>
          <w:szCs w:val="24"/>
        </w:rPr>
        <w:t>[Date of Submission</w:t>
      </w:r>
      <w:r w:rsidR="002F5CE8">
        <w:rPr>
          <w:szCs w:val="24"/>
        </w:rPr>
        <w:t xml:space="preserve"> 13.01.2023</w:t>
      </w:r>
      <w:r>
        <w:rPr>
          <w:szCs w:val="24"/>
        </w:rPr>
        <w:t>]</w:t>
      </w:r>
    </w:p>
    <w:p w14:paraId="5559C64D" w14:textId="77777777" w:rsidR="009C75BA" w:rsidRDefault="009C75BA"/>
    <w:p w14:paraId="7019546E" w14:textId="77777777" w:rsidR="009C75BA" w:rsidRDefault="009C75BA"/>
    <w:p w14:paraId="16C905B6" w14:textId="77777777" w:rsidR="009C75BA" w:rsidRDefault="009C75BA"/>
    <w:p w14:paraId="38ECD36F" w14:textId="77777777" w:rsidR="009C75BA" w:rsidRDefault="009C75BA"/>
    <w:p w14:paraId="70782BA1" w14:textId="77777777" w:rsidR="009C75BA" w:rsidRDefault="009C75BA"/>
    <w:p w14:paraId="4D2EA551" w14:textId="77777777" w:rsidR="009C75BA" w:rsidRDefault="009C75BA"/>
    <w:p w14:paraId="1188E893" w14:textId="77777777" w:rsidR="009C75BA" w:rsidRDefault="009C75BA"/>
    <w:p w14:paraId="4C4F0234" w14:textId="77777777" w:rsidR="009C75BA" w:rsidRDefault="009C75BA"/>
    <w:p w14:paraId="0E146494" w14:textId="77777777" w:rsidR="009C75BA" w:rsidRDefault="009C75BA"/>
    <w:p w14:paraId="3F633385" w14:textId="77777777" w:rsidR="009C75BA" w:rsidRDefault="009C75BA"/>
    <w:p w14:paraId="5BBC402B" w14:textId="77777777" w:rsidR="009C75BA" w:rsidRDefault="009C75BA"/>
    <w:p w14:paraId="5FF69D11" w14:textId="77777777" w:rsidR="009C75BA" w:rsidRDefault="009C75BA"/>
    <w:p w14:paraId="12F48127" w14:textId="77777777" w:rsidR="009C75BA" w:rsidRDefault="009C75BA"/>
    <w:p w14:paraId="490B5ED4" w14:textId="77777777" w:rsidR="009C75BA" w:rsidRDefault="009C75BA">
      <w:pPr>
        <w:ind w:firstLine="0"/>
      </w:pPr>
    </w:p>
    <w:p w14:paraId="5441C48E" w14:textId="77777777" w:rsidR="009C75BA" w:rsidRDefault="009C75BA"/>
    <w:p w14:paraId="7A1E57BF" w14:textId="77777777" w:rsidR="009C75BA" w:rsidRDefault="00820B35">
      <w:pPr>
        <w:jc w:val="center"/>
        <w:rPr>
          <w:b/>
        </w:rPr>
      </w:pPr>
      <w:r>
        <w:rPr>
          <w:b/>
        </w:rPr>
        <w:t>Table of Content</w:t>
      </w:r>
    </w:p>
    <w:sdt>
      <w:sdtPr>
        <w:rPr>
          <w:rFonts w:ascii="Times New Roman" w:eastAsia="Calibri" w:hAnsi="Times New Roman"/>
          <w:color w:val="auto"/>
          <w:sz w:val="24"/>
          <w:szCs w:val="22"/>
          <w:lang w:val="en-GB"/>
        </w:rPr>
        <w:id w:val="-1462875236"/>
        <w:docPartObj>
          <w:docPartGallery w:val="Table of Contents"/>
          <w:docPartUnique/>
        </w:docPartObj>
      </w:sdtPr>
      <w:sdtEndPr>
        <w:rPr>
          <w:b/>
          <w:bCs/>
        </w:rPr>
      </w:sdtEndPr>
      <w:sdtContent>
        <w:p w14:paraId="79192442" w14:textId="77777777" w:rsidR="009C75BA" w:rsidRDefault="009C75BA">
          <w:pPr>
            <w:pStyle w:val="TOCHeading1"/>
          </w:pPr>
        </w:p>
        <w:p w14:paraId="5490EB24" w14:textId="77777777" w:rsidR="00812026" w:rsidRDefault="00820B35">
          <w:pPr>
            <w:pStyle w:val="TOC1"/>
            <w:tabs>
              <w:tab w:val="right" w:leader="dot" w:pos="9323"/>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22975229" w:history="1">
            <w:r w:rsidR="00812026" w:rsidRPr="00D567FD">
              <w:rPr>
                <w:rStyle w:val="Hyperlink"/>
                <w:noProof/>
              </w:rPr>
              <w:t>QUESTION NUMBER 1</w:t>
            </w:r>
            <w:r w:rsidR="00812026">
              <w:rPr>
                <w:noProof/>
                <w:webHidden/>
              </w:rPr>
              <w:tab/>
            </w:r>
            <w:r w:rsidR="00812026">
              <w:rPr>
                <w:noProof/>
                <w:webHidden/>
              </w:rPr>
              <w:fldChar w:fldCharType="begin"/>
            </w:r>
            <w:r w:rsidR="00812026">
              <w:rPr>
                <w:noProof/>
                <w:webHidden/>
              </w:rPr>
              <w:instrText xml:space="preserve"> PAGEREF _Toc122975229 \h </w:instrText>
            </w:r>
            <w:r w:rsidR="00812026">
              <w:rPr>
                <w:noProof/>
                <w:webHidden/>
              </w:rPr>
            </w:r>
            <w:r w:rsidR="00812026">
              <w:rPr>
                <w:noProof/>
                <w:webHidden/>
              </w:rPr>
              <w:fldChar w:fldCharType="separate"/>
            </w:r>
            <w:r w:rsidR="00812026">
              <w:rPr>
                <w:noProof/>
                <w:webHidden/>
              </w:rPr>
              <w:t>3</w:t>
            </w:r>
            <w:r w:rsidR="00812026">
              <w:rPr>
                <w:noProof/>
                <w:webHidden/>
              </w:rPr>
              <w:fldChar w:fldCharType="end"/>
            </w:r>
          </w:hyperlink>
        </w:p>
        <w:p w14:paraId="5699A4F6" w14:textId="77777777" w:rsidR="00812026" w:rsidRDefault="00000000">
          <w:pPr>
            <w:pStyle w:val="TOC1"/>
            <w:tabs>
              <w:tab w:val="left" w:pos="1320"/>
              <w:tab w:val="right" w:leader="dot" w:pos="9323"/>
            </w:tabs>
            <w:rPr>
              <w:rFonts w:asciiTheme="minorHAnsi" w:eastAsiaTheme="minorEastAsia" w:hAnsiTheme="minorHAnsi" w:cstheme="minorBidi"/>
              <w:noProof/>
              <w:sz w:val="22"/>
              <w:lang w:val="en-US"/>
            </w:rPr>
          </w:pPr>
          <w:hyperlink w:anchor="_Toc122975230" w:history="1">
            <w:r w:rsidR="00812026" w:rsidRPr="00D567FD">
              <w:rPr>
                <w:rStyle w:val="Hyperlink"/>
                <w:noProof/>
                <w:lang w:val="en-US"/>
              </w:rPr>
              <w:t>A.</w:t>
            </w:r>
            <w:r w:rsidR="00812026">
              <w:rPr>
                <w:rFonts w:asciiTheme="minorHAnsi" w:eastAsiaTheme="minorEastAsia" w:hAnsiTheme="minorHAnsi" w:cstheme="minorBidi"/>
                <w:noProof/>
                <w:sz w:val="22"/>
                <w:lang w:val="en-US"/>
              </w:rPr>
              <w:tab/>
            </w:r>
            <w:r w:rsidR="00812026" w:rsidRPr="00D567FD">
              <w:rPr>
                <w:rStyle w:val="Hyperlink"/>
                <w:noProof/>
                <w:lang w:val="en-US"/>
              </w:rPr>
              <w:t>Financial statement for Wales Plc</w:t>
            </w:r>
            <w:r w:rsidR="00812026">
              <w:rPr>
                <w:noProof/>
                <w:webHidden/>
              </w:rPr>
              <w:tab/>
            </w:r>
            <w:r w:rsidR="00812026">
              <w:rPr>
                <w:noProof/>
                <w:webHidden/>
              </w:rPr>
              <w:fldChar w:fldCharType="begin"/>
            </w:r>
            <w:r w:rsidR="00812026">
              <w:rPr>
                <w:noProof/>
                <w:webHidden/>
              </w:rPr>
              <w:instrText xml:space="preserve"> PAGEREF _Toc122975230 \h </w:instrText>
            </w:r>
            <w:r w:rsidR="00812026">
              <w:rPr>
                <w:noProof/>
                <w:webHidden/>
              </w:rPr>
            </w:r>
            <w:r w:rsidR="00812026">
              <w:rPr>
                <w:noProof/>
                <w:webHidden/>
              </w:rPr>
              <w:fldChar w:fldCharType="separate"/>
            </w:r>
            <w:r w:rsidR="00812026">
              <w:rPr>
                <w:noProof/>
                <w:webHidden/>
              </w:rPr>
              <w:t>3</w:t>
            </w:r>
            <w:r w:rsidR="00812026">
              <w:rPr>
                <w:noProof/>
                <w:webHidden/>
              </w:rPr>
              <w:fldChar w:fldCharType="end"/>
            </w:r>
          </w:hyperlink>
        </w:p>
        <w:p w14:paraId="5F5A45E2" w14:textId="77777777" w:rsidR="00812026" w:rsidRDefault="00000000">
          <w:pPr>
            <w:pStyle w:val="TOC1"/>
            <w:tabs>
              <w:tab w:val="left" w:pos="1320"/>
              <w:tab w:val="right" w:leader="dot" w:pos="9323"/>
            </w:tabs>
            <w:rPr>
              <w:rFonts w:asciiTheme="minorHAnsi" w:eastAsiaTheme="minorEastAsia" w:hAnsiTheme="minorHAnsi" w:cstheme="minorBidi"/>
              <w:noProof/>
              <w:sz w:val="22"/>
              <w:lang w:val="en-US"/>
            </w:rPr>
          </w:pPr>
          <w:hyperlink w:anchor="_Toc122975231" w:history="1">
            <w:r w:rsidR="00812026" w:rsidRPr="00D567FD">
              <w:rPr>
                <w:rStyle w:val="Hyperlink"/>
                <w:noProof/>
                <w:lang w:val="en-US"/>
              </w:rPr>
              <w:t>B.</w:t>
            </w:r>
            <w:r w:rsidR="00812026">
              <w:rPr>
                <w:rFonts w:asciiTheme="minorHAnsi" w:eastAsiaTheme="minorEastAsia" w:hAnsiTheme="minorHAnsi" w:cstheme="minorBidi"/>
                <w:noProof/>
                <w:sz w:val="22"/>
                <w:lang w:val="en-US"/>
              </w:rPr>
              <w:tab/>
            </w:r>
            <w:r w:rsidR="00812026" w:rsidRPr="00D567FD">
              <w:rPr>
                <w:rStyle w:val="Hyperlink"/>
                <w:noProof/>
                <w:lang w:val="en-US"/>
              </w:rPr>
              <w:t>Why does a Statement of Financial Position Balance?</w:t>
            </w:r>
            <w:r w:rsidR="00812026">
              <w:rPr>
                <w:noProof/>
                <w:webHidden/>
              </w:rPr>
              <w:tab/>
            </w:r>
            <w:r w:rsidR="00812026">
              <w:rPr>
                <w:noProof/>
                <w:webHidden/>
              </w:rPr>
              <w:fldChar w:fldCharType="begin"/>
            </w:r>
            <w:r w:rsidR="00812026">
              <w:rPr>
                <w:noProof/>
                <w:webHidden/>
              </w:rPr>
              <w:instrText xml:space="preserve"> PAGEREF _Toc122975231 \h </w:instrText>
            </w:r>
            <w:r w:rsidR="00812026">
              <w:rPr>
                <w:noProof/>
                <w:webHidden/>
              </w:rPr>
            </w:r>
            <w:r w:rsidR="00812026">
              <w:rPr>
                <w:noProof/>
                <w:webHidden/>
              </w:rPr>
              <w:fldChar w:fldCharType="separate"/>
            </w:r>
            <w:r w:rsidR="00812026">
              <w:rPr>
                <w:noProof/>
                <w:webHidden/>
              </w:rPr>
              <w:t>4</w:t>
            </w:r>
            <w:r w:rsidR="00812026">
              <w:rPr>
                <w:noProof/>
                <w:webHidden/>
              </w:rPr>
              <w:fldChar w:fldCharType="end"/>
            </w:r>
          </w:hyperlink>
        </w:p>
        <w:p w14:paraId="2537EB1C" w14:textId="77777777" w:rsidR="00812026" w:rsidRDefault="00000000">
          <w:pPr>
            <w:pStyle w:val="TOC1"/>
            <w:tabs>
              <w:tab w:val="right" w:leader="dot" w:pos="9323"/>
            </w:tabs>
            <w:rPr>
              <w:rFonts w:asciiTheme="minorHAnsi" w:eastAsiaTheme="minorEastAsia" w:hAnsiTheme="minorHAnsi" w:cstheme="minorBidi"/>
              <w:noProof/>
              <w:sz w:val="22"/>
              <w:lang w:val="en-US"/>
            </w:rPr>
          </w:pPr>
          <w:hyperlink w:anchor="_Toc122975232" w:history="1">
            <w:r w:rsidR="00812026" w:rsidRPr="00D567FD">
              <w:rPr>
                <w:rStyle w:val="Hyperlink"/>
                <w:noProof/>
                <w:lang w:val="en-US"/>
              </w:rPr>
              <w:t>Reference for Q1</w:t>
            </w:r>
            <w:r w:rsidR="00812026">
              <w:rPr>
                <w:noProof/>
                <w:webHidden/>
              </w:rPr>
              <w:tab/>
            </w:r>
            <w:r w:rsidR="00812026">
              <w:rPr>
                <w:noProof/>
                <w:webHidden/>
              </w:rPr>
              <w:fldChar w:fldCharType="begin"/>
            </w:r>
            <w:r w:rsidR="00812026">
              <w:rPr>
                <w:noProof/>
                <w:webHidden/>
              </w:rPr>
              <w:instrText xml:space="preserve"> PAGEREF _Toc122975232 \h </w:instrText>
            </w:r>
            <w:r w:rsidR="00812026">
              <w:rPr>
                <w:noProof/>
                <w:webHidden/>
              </w:rPr>
            </w:r>
            <w:r w:rsidR="00812026">
              <w:rPr>
                <w:noProof/>
                <w:webHidden/>
              </w:rPr>
              <w:fldChar w:fldCharType="separate"/>
            </w:r>
            <w:r w:rsidR="00812026">
              <w:rPr>
                <w:noProof/>
                <w:webHidden/>
              </w:rPr>
              <w:t>6</w:t>
            </w:r>
            <w:r w:rsidR="00812026">
              <w:rPr>
                <w:noProof/>
                <w:webHidden/>
              </w:rPr>
              <w:fldChar w:fldCharType="end"/>
            </w:r>
          </w:hyperlink>
        </w:p>
        <w:p w14:paraId="6D435C3F" w14:textId="77777777" w:rsidR="00812026" w:rsidRDefault="00000000">
          <w:pPr>
            <w:pStyle w:val="TOC1"/>
            <w:tabs>
              <w:tab w:val="right" w:leader="dot" w:pos="9323"/>
            </w:tabs>
            <w:rPr>
              <w:rFonts w:asciiTheme="minorHAnsi" w:eastAsiaTheme="minorEastAsia" w:hAnsiTheme="minorHAnsi" w:cstheme="minorBidi"/>
              <w:noProof/>
              <w:sz w:val="22"/>
              <w:lang w:val="en-US"/>
            </w:rPr>
          </w:pPr>
          <w:hyperlink w:anchor="_Toc122975233" w:history="1">
            <w:r w:rsidR="00812026" w:rsidRPr="00D567FD">
              <w:rPr>
                <w:rStyle w:val="Hyperlink"/>
                <w:noProof/>
                <w:lang w:val="en-US"/>
              </w:rPr>
              <w:t xml:space="preserve">QUESTION NUMBER </w:t>
            </w:r>
            <w:r w:rsidR="00812026" w:rsidRPr="00D567FD">
              <w:rPr>
                <w:rStyle w:val="Hyperlink"/>
                <w:rFonts w:eastAsia="SimSun"/>
                <w:noProof/>
                <w:shd w:val="clear" w:color="auto" w:fill="FFFFFF"/>
                <w:lang w:val="en-US"/>
              </w:rPr>
              <w:t>2</w:t>
            </w:r>
            <w:r w:rsidR="00812026">
              <w:rPr>
                <w:noProof/>
                <w:webHidden/>
              </w:rPr>
              <w:tab/>
            </w:r>
            <w:r w:rsidR="00812026">
              <w:rPr>
                <w:noProof/>
                <w:webHidden/>
              </w:rPr>
              <w:fldChar w:fldCharType="begin"/>
            </w:r>
            <w:r w:rsidR="00812026">
              <w:rPr>
                <w:noProof/>
                <w:webHidden/>
              </w:rPr>
              <w:instrText xml:space="preserve"> PAGEREF _Toc122975233 \h </w:instrText>
            </w:r>
            <w:r w:rsidR="00812026">
              <w:rPr>
                <w:noProof/>
                <w:webHidden/>
              </w:rPr>
            </w:r>
            <w:r w:rsidR="00812026">
              <w:rPr>
                <w:noProof/>
                <w:webHidden/>
              </w:rPr>
              <w:fldChar w:fldCharType="separate"/>
            </w:r>
            <w:r w:rsidR="00812026">
              <w:rPr>
                <w:noProof/>
                <w:webHidden/>
              </w:rPr>
              <w:t>7</w:t>
            </w:r>
            <w:r w:rsidR="00812026">
              <w:rPr>
                <w:noProof/>
                <w:webHidden/>
              </w:rPr>
              <w:fldChar w:fldCharType="end"/>
            </w:r>
          </w:hyperlink>
        </w:p>
        <w:p w14:paraId="4C36DD3D" w14:textId="77777777" w:rsidR="00812026" w:rsidRDefault="00000000">
          <w:pPr>
            <w:pStyle w:val="TOC1"/>
            <w:tabs>
              <w:tab w:val="left" w:pos="1320"/>
              <w:tab w:val="right" w:leader="dot" w:pos="9323"/>
            </w:tabs>
            <w:rPr>
              <w:rFonts w:asciiTheme="minorHAnsi" w:eastAsiaTheme="minorEastAsia" w:hAnsiTheme="minorHAnsi" w:cstheme="minorBidi"/>
              <w:noProof/>
              <w:sz w:val="22"/>
              <w:lang w:val="en-US"/>
            </w:rPr>
          </w:pPr>
          <w:hyperlink w:anchor="_Toc122975234" w:history="1">
            <w:r w:rsidR="00812026" w:rsidRPr="00D567FD">
              <w:rPr>
                <w:rStyle w:val="Hyperlink"/>
                <w:noProof/>
                <w:lang w:val="en-US"/>
              </w:rPr>
              <w:t>A.</w:t>
            </w:r>
            <w:r w:rsidR="00812026">
              <w:rPr>
                <w:rFonts w:asciiTheme="minorHAnsi" w:eastAsiaTheme="minorEastAsia" w:hAnsiTheme="minorHAnsi" w:cstheme="minorBidi"/>
                <w:noProof/>
                <w:sz w:val="22"/>
                <w:lang w:val="en-US"/>
              </w:rPr>
              <w:tab/>
            </w:r>
            <w:r w:rsidR="00812026" w:rsidRPr="00D567FD">
              <w:rPr>
                <w:rStyle w:val="Hyperlink"/>
                <w:noProof/>
                <w:lang w:val="en-US"/>
              </w:rPr>
              <w:t>Analysis of Financial Ratio</w:t>
            </w:r>
            <w:r w:rsidR="00812026">
              <w:rPr>
                <w:noProof/>
                <w:webHidden/>
              </w:rPr>
              <w:tab/>
            </w:r>
            <w:r w:rsidR="00812026">
              <w:rPr>
                <w:noProof/>
                <w:webHidden/>
              </w:rPr>
              <w:fldChar w:fldCharType="begin"/>
            </w:r>
            <w:r w:rsidR="00812026">
              <w:rPr>
                <w:noProof/>
                <w:webHidden/>
              </w:rPr>
              <w:instrText xml:space="preserve"> PAGEREF _Toc122975234 \h </w:instrText>
            </w:r>
            <w:r w:rsidR="00812026">
              <w:rPr>
                <w:noProof/>
                <w:webHidden/>
              </w:rPr>
            </w:r>
            <w:r w:rsidR="00812026">
              <w:rPr>
                <w:noProof/>
                <w:webHidden/>
              </w:rPr>
              <w:fldChar w:fldCharType="separate"/>
            </w:r>
            <w:r w:rsidR="00812026">
              <w:rPr>
                <w:noProof/>
                <w:webHidden/>
              </w:rPr>
              <w:t>7</w:t>
            </w:r>
            <w:r w:rsidR="00812026">
              <w:rPr>
                <w:noProof/>
                <w:webHidden/>
              </w:rPr>
              <w:fldChar w:fldCharType="end"/>
            </w:r>
          </w:hyperlink>
        </w:p>
        <w:p w14:paraId="6FD24CD7" w14:textId="77777777" w:rsidR="00812026" w:rsidRDefault="00000000">
          <w:pPr>
            <w:pStyle w:val="TOC1"/>
            <w:tabs>
              <w:tab w:val="left" w:pos="1320"/>
              <w:tab w:val="right" w:leader="dot" w:pos="9323"/>
            </w:tabs>
            <w:rPr>
              <w:rFonts w:asciiTheme="minorHAnsi" w:eastAsiaTheme="minorEastAsia" w:hAnsiTheme="minorHAnsi" w:cstheme="minorBidi"/>
              <w:noProof/>
              <w:sz w:val="22"/>
              <w:lang w:val="en-US"/>
            </w:rPr>
          </w:pPr>
          <w:hyperlink w:anchor="_Toc122975235" w:history="1">
            <w:r w:rsidR="00812026" w:rsidRPr="00D567FD">
              <w:rPr>
                <w:rStyle w:val="Hyperlink"/>
                <w:noProof/>
                <w:lang w:val="en-US"/>
              </w:rPr>
              <w:t>B.</w:t>
            </w:r>
            <w:r w:rsidR="00812026">
              <w:rPr>
                <w:rFonts w:asciiTheme="minorHAnsi" w:eastAsiaTheme="minorEastAsia" w:hAnsiTheme="minorHAnsi" w:cstheme="minorBidi"/>
                <w:noProof/>
                <w:sz w:val="22"/>
                <w:lang w:val="en-US"/>
              </w:rPr>
              <w:tab/>
            </w:r>
            <w:r w:rsidR="00812026" w:rsidRPr="00D567FD">
              <w:rPr>
                <w:rStyle w:val="Hyperlink"/>
                <w:noProof/>
                <w:lang w:val="en-US"/>
              </w:rPr>
              <w:t>Analyse the Financial Ratios of the Sweets Plc</w:t>
            </w:r>
            <w:r w:rsidR="00812026">
              <w:rPr>
                <w:noProof/>
                <w:webHidden/>
              </w:rPr>
              <w:tab/>
            </w:r>
            <w:r w:rsidR="00812026">
              <w:rPr>
                <w:noProof/>
                <w:webHidden/>
              </w:rPr>
              <w:fldChar w:fldCharType="begin"/>
            </w:r>
            <w:r w:rsidR="00812026">
              <w:rPr>
                <w:noProof/>
                <w:webHidden/>
              </w:rPr>
              <w:instrText xml:space="preserve"> PAGEREF _Toc122975235 \h </w:instrText>
            </w:r>
            <w:r w:rsidR="00812026">
              <w:rPr>
                <w:noProof/>
                <w:webHidden/>
              </w:rPr>
            </w:r>
            <w:r w:rsidR="00812026">
              <w:rPr>
                <w:noProof/>
                <w:webHidden/>
              </w:rPr>
              <w:fldChar w:fldCharType="separate"/>
            </w:r>
            <w:r w:rsidR="00812026">
              <w:rPr>
                <w:noProof/>
                <w:webHidden/>
              </w:rPr>
              <w:t>8</w:t>
            </w:r>
            <w:r w:rsidR="00812026">
              <w:rPr>
                <w:noProof/>
                <w:webHidden/>
              </w:rPr>
              <w:fldChar w:fldCharType="end"/>
            </w:r>
          </w:hyperlink>
        </w:p>
        <w:p w14:paraId="71DAD295" w14:textId="77777777" w:rsidR="00812026" w:rsidRDefault="00000000">
          <w:pPr>
            <w:pStyle w:val="TOC1"/>
            <w:tabs>
              <w:tab w:val="right" w:leader="dot" w:pos="9323"/>
            </w:tabs>
            <w:rPr>
              <w:rFonts w:asciiTheme="minorHAnsi" w:eastAsiaTheme="minorEastAsia" w:hAnsiTheme="minorHAnsi" w:cstheme="minorBidi"/>
              <w:noProof/>
              <w:sz w:val="22"/>
              <w:lang w:val="en-US"/>
            </w:rPr>
          </w:pPr>
          <w:hyperlink w:anchor="_Toc122975236" w:history="1">
            <w:r w:rsidR="00812026" w:rsidRPr="00D567FD">
              <w:rPr>
                <w:rStyle w:val="Hyperlink"/>
                <w:noProof/>
                <w:lang w:val="en-US"/>
              </w:rPr>
              <w:t>References for Q2</w:t>
            </w:r>
            <w:r w:rsidR="00812026">
              <w:rPr>
                <w:noProof/>
                <w:webHidden/>
              </w:rPr>
              <w:tab/>
            </w:r>
            <w:r w:rsidR="00812026">
              <w:rPr>
                <w:noProof/>
                <w:webHidden/>
              </w:rPr>
              <w:fldChar w:fldCharType="begin"/>
            </w:r>
            <w:r w:rsidR="00812026">
              <w:rPr>
                <w:noProof/>
                <w:webHidden/>
              </w:rPr>
              <w:instrText xml:space="preserve"> PAGEREF _Toc122975236 \h </w:instrText>
            </w:r>
            <w:r w:rsidR="00812026">
              <w:rPr>
                <w:noProof/>
                <w:webHidden/>
              </w:rPr>
            </w:r>
            <w:r w:rsidR="00812026">
              <w:rPr>
                <w:noProof/>
                <w:webHidden/>
              </w:rPr>
              <w:fldChar w:fldCharType="separate"/>
            </w:r>
            <w:r w:rsidR="00812026">
              <w:rPr>
                <w:noProof/>
                <w:webHidden/>
              </w:rPr>
              <w:t>11</w:t>
            </w:r>
            <w:r w:rsidR="00812026">
              <w:rPr>
                <w:noProof/>
                <w:webHidden/>
              </w:rPr>
              <w:fldChar w:fldCharType="end"/>
            </w:r>
          </w:hyperlink>
        </w:p>
        <w:p w14:paraId="72CD8F58" w14:textId="77777777" w:rsidR="009C75BA" w:rsidRDefault="00820B35" w:rsidP="003A3E4F">
          <w:r>
            <w:rPr>
              <w:bCs/>
            </w:rPr>
            <w:fldChar w:fldCharType="end"/>
          </w:r>
        </w:p>
      </w:sdtContent>
    </w:sdt>
    <w:p w14:paraId="53010E7D" w14:textId="77777777" w:rsidR="009C75BA" w:rsidRDefault="009C75BA">
      <w:pPr>
        <w:jc w:val="left"/>
      </w:pPr>
    </w:p>
    <w:p w14:paraId="6A95C46C" w14:textId="77777777" w:rsidR="009C75BA" w:rsidRDefault="009C75BA">
      <w:pPr>
        <w:jc w:val="center"/>
      </w:pPr>
    </w:p>
    <w:p w14:paraId="0E9D5C79" w14:textId="77777777" w:rsidR="009C75BA" w:rsidRDefault="009C75BA">
      <w:pPr>
        <w:jc w:val="center"/>
      </w:pPr>
    </w:p>
    <w:p w14:paraId="45F13D63" w14:textId="77777777" w:rsidR="009C75BA" w:rsidRDefault="009C75BA">
      <w:pPr>
        <w:jc w:val="center"/>
      </w:pPr>
    </w:p>
    <w:p w14:paraId="52CCD7FB" w14:textId="77777777" w:rsidR="009C75BA" w:rsidRDefault="009C75BA">
      <w:pPr>
        <w:jc w:val="center"/>
      </w:pPr>
    </w:p>
    <w:p w14:paraId="178689EF" w14:textId="77777777" w:rsidR="009C75BA" w:rsidRDefault="009C75BA">
      <w:pPr>
        <w:jc w:val="center"/>
      </w:pPr>
    </w:p>
    <w:p w14:paraId="1F664FD2" w14:textId="77777777" w:rsidR="009C75BA" w:rsidRDefault="009C75BA">
      <w:pPr>
        <w:jc w:val="center"/>
      </w:pPr>
    </w:p>
    <w:p w14:paraId="3310F565" w14:textId="77777777" w:rsidR="009C75BA" w:rsidRDefault="009C75BA">
      <w:pPr>
        <w:jc w:val="center"/>
      </w:pPr>
    </w:p>
    <w:p w14:paraId="2CA2EFD2" w14:textId="77777777" w:rsidR="009C75BA" w:rsidRDefault="00820B35">
      <w:pPr>
        <w:spacing w:line="240" w:lineRule="auto"/>
        <w:ind w:firstLine="0"/>
        <w:jc w:val="left"/>
        <w:rPr>
          <w:rFonts w:eastAsia="Times New Roman"/>
          <w:b/>
          <w:szCs w:val="24"/>
        </w:rPr>
      </w:pPr>
      <w:bookmarkStart w:id="0" w:name="_Toc121498054"/>
      <w:r>
        <w:br w:type="page"/>
      </w:r>
    </w:p>
    <w:p w14:paraId="01D713C0" w14:textId="77777777" w:rsidR="009C75BA" w:rsidRDefault="00820B35">
      <w:pPr>
        <w:pStyle w:val="Heading1"/>
      </w:pPr>
      <w:bookmarkStart w:id="1" w:name="_Toc122975229"/>
      <w:r>
        <w:lastRenderedPageBreak/>
        <w:t xml:space="preserve">QUESTION </w:t>
      </w:r>
      <w:r w:rsidR="00812026">
        <w:t xml:space="preserve">NUMBER </w:t>
      </w:r>
      <w:r>
        <w:t>1</w:t>
      </w:r>
      <w:bookmarkEnd w:id="0"/>
      <w:bookmarkEnd w:id="1"/>
    </w:p>
    <w:p w14:paraId="331D52AA" w14:textId="77777777" w:rsidR="009C75BA" w:rsidRDefault="009C75BA"/>
    <w:p w14:paraId="06F91A28" w14:textId="77777777" w:rsidR="009C75BA" w:rsidRPr="00F82C38" w:rsidRDefault="00F82C38" w:rsidP="00F82C38">
      <w:pPr>
        <w:pStyle w:val="Heading1"/>
        <w:numPr>
          <w:ilvl w:val="0"/>
          <w:numId w:val="1"/>
        </w:numPr>
        <w:tabs>
          <w:tab w:val="clear" w:pos="840"/>
          <w:tab w:val="left" w:pos="0"/>
        </w:tabs>
        <w:ind w:left="0"/>
        <w:jc w:val="left"/>
        <w:rPr>
          <w:lang w:val="en-US"/>
        </w:rPr>
      </w:pPr>
      <w:bookmarkStart w:id="2" w:name="_Toc122975230"/>
      <w:r w:rsidRPr="00F82C38">
        <w:rPr>
          <w:lang w:val="en-US"/>
        </w:rPr>
        <w:t>Financial statement for Wales Plc</w:t>
      </w:r>
      <w:bookmarkEnd w:id="2"/>
    </w:p>
    <w:p w14:paraId="1D6D2535" w14:textId="77777777" w:rsidR="009C75BA" w:rsidRDefault="00820B35">
      <w:pPr>
        <w:pStyle w:val="Caption"/>
        <w:ind w:leftChars="100" w:left="240" w:firstLineChars="250" w:firstLine="602"/>
        <w:jc w:val="center"/>
        <w:rPr>
          <w:b/>
          <w:bCs/>
          <w:i/>
          <w:lang w:val="en-US"/>
        </w:rPr>
      </w:pPr>
      <w:r>
        <w:rPr>
          <w:b/>
          <w:bCs/>
          <w:i/>
        </w:rPr>
        <w:t xml:space="preserve">Table </w:t>
      </w:r>
      <w:r>
        <w:rPr>
          <w:b/>
          <w:bCs/>
          <w:i/>
        </w:rPr>
        <w:fldChar w:fldCharType="begin"/>
      </w:r>
      <w:r>
        <w:rPr>
          <w:b/>
          <w:bCs/>
          <w:i/>
        </w:rPr>
        <w:instrText xml:space="preserve"> SEQ Table \* ARABIC </w:instrText>
      </w:r>
      <w:r>
        <w:rPr>
          <w:b/>
          <w:bCs/>
          <w:i/>
        </w:rPr>
        <w:fldChar w:fldCharType="separate"/>
      </w:r>
      <w:r w:rsidR="007D166F">
        <w:rPr>
          <w:b/>
          <w:bCs/>
          <w:i/>
          <w:noProof/>
        </w:rPr>
        <w:t>1</w:t>
      </w:r>
      <w:r>
        <w:rPr>
          <w:b/>
          <w:bCs/>
          <w:i/>
        </w:rPr>
        <w:fldChar w:fldCharType="end"/>
      </w:r>
      <w:r>
        <w:rPr>
          <w:b/>
          <w:bCs/>
          <w:i/>
          <w:lang w:val="en-US"/>
        </w:rPr>
        <w:t xml:space="preserve">: </w:t>
      </w:r>
      <w:r w:rsidR="00D13619">
        <w:rPr>
          <w:b/>
          <w:bCs/>
          <w:i/>
          <w:lang w:val="en-US"/>
        </w:rPr>
        <w:t xml:space="preserve"> Statement</w:t>
      </w:r>
      <w:r w:rsidR="00FE77BC">
        <w:rPr>
          <w:b/>
          <w:bCs/>
          <w:i/>
          <w:lang w:val="en-US"/>
        </w:rPr>
        <w:t xml:space="preserve"> of </w:t>
      </w:r>
      <w:r w:rsidR="00D13619">
        <w:rPr>
          <w:b/>
          <w:bCs/>
          <w:i/>
          <w:lang w:val="en-US"/>
        </w:rPr>
        <w:t xml:space="preserve">Financial Performance </w:t>
      </w:r>
    </w:p>
    <w:tbl>
      <w:tblPr>
        <w:tblW w:w="6836" w:type="dxa"/>
        <w:jc w:val="center"/>
        <w:tblLook w:val="04A0" w:firstRow="1" w:lastRow="0" w:firstColumn="1" w:lastColumn="0" w:noHBand="0" w:noVBand="1"/>
      </w:tblPr>
      <w:tblGrid>
        <w:gridCol w:w="399"/>
        <w:gridCol w:w="3864"/>
        <w:gridCol w:w="2573"/>
      </w:tblGrid>
      <w:tr w:rsidR="00D13619" w:rsidRPr="00D13619" w14:paraId="4FFFEAB2" w14:textId="77777777" w:rsidTr="003B6514">
        <w:trPr>
          <w:trHeight w:val="289"/>
          <w:jc w:val="center"/>
        </w:trPr>
        <w:tc>
          <w:tcPr>
            <w:tcW w:w="6836" w:type="dxa"/>
            <w:gridSpan w:val="3"/>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7F393053" w14:textId="77777777" w:rsidR="00D13619" w:rsidRPr="00D13619" w:rsidRDefault="00D13619" w:rsidP="003B6514">
            <w:pPr>
              <w:ind w:firstLine="0"/>
              <w:jc w:val="left"/>
              <w:rPr>
                <w:rFonts w:eastAsia="Times New Roman"/>
                <w:color w:val="000000"/>
                <w:szCs w:val="24"/>
                <w:lang w:val="en-US"/>
              </w:rPr>
            </w:pPr>
            <w:r w:rsidRPr="007E2A64">
              <w:rPr>
                <w:rFonts w:eastAsia="Times New Roman"/>
                <w:color w:val="000000"/>
                <w:szCs w:val="24"/>
                <w:lang w:val="en-US"/>
              </w:rPr>
              <w:t xml:space="preserve">                           </w:t>
            </w:r>
            <w:r w:rsidRPr="00D13619">
              <w:rPr>
                <w:rFonts w:eastAsia="Times New Roman"/>
                <w:color w:val="000000"/>
                <w:szCs w:val="24"/>
                <w:lang w:val="en-US"/>
              </w:rPr>
              <w:t xml:space="preserve">Statement of  Financial  Performance </w:t>
            </w:r>
          </w:p>
        </w:tc>
      </w:tr>
      <w:tr w:rsidR="00D13619" w:rsidRPr="00D13619" w14:paraId="3A5F7F1E" w14:textId="77777777" w:rsidTr="003B6514">
        <w:trPr>
          <w:trHeight w:val="289"/>
          <w:jc w:val="center"/>
        </w:trPr>
        <w:tc>
          <w:tcPr>
            <w:tcW w:w="399" w:type="dxa"/>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27DB82F6" w14:textId="77777777" w:rsidR="00D13619" w:rsidRPr="00D13619" w:rsidRDefault="00D13619" w:rsidP="003B6514">
            <w:pPr>
              <w:ind w:firstLine="0"/>
              <w:jc w:val="left"/>
              <w:rPr>
                <w:rFonts w:ascii="Calibri" w:eastAsia="Times New Roman" w:hAnsi="Calibri" w:cs="Calibri"/>
                <w:color w:val="000000"/>
                <w:szCs w:val="24"/>
                <w:lang w:val="en-US"/>
              </w:rPr>
            </w:pPr>
            <w:r w:rsidRPr="00D13619">
              <w:rPr>
                <w:rFonts w:ascii="Calibri" w:eastAsia="Times New Roman" w:hAnsi="Calibri" w:cs="Calibri"/>
                <w:color w:val="000000"/>
                <w:szCs w:val="24"/>
                <w:lang w:val="en-US"/>
              </w:rPr>
              <w:t> </w:t>
            </w:r>
          </w:p>
        </w:tc>
        <w:tc>
          <w:tcPr>
            <w:tcW w:w="3864" w:type="dxa"/>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2B3BD81B" w14:textId="77777777" w:rsidR="00D13619" w:rsidRPr="00D13619" w:rsidRDefault="00D13619" w:rsidP="003B6514">
            <w:pPr>
              <w:ind w:firstLine="0"/>
              <w:jc w:val="left"/>
              <w:rPr>
                <w:rFonts w:eastAsia="Times New Roman"/>
                <w:b/>
                <w:bCs/>
                <w:color w:val="000000"/>
                <w:szCs w:val="24"/>
                <w:lang w:val="en-US"/>
              </w:rPr>
            </w:pPr>
            <w:r w:rsidRPr="007E2A64">
              <w:rPr>
                <w:rFonts w:eastAsia="Times New Roman"/>
                <w:b/>
                <w:bCs/>
                <w:color w:val="000000"/>
                <w:szCs w:val="24"/>
                <w:lang w:val="en-US"/>
              </w:rPr>
              <w:t xml:space="preserve">         </w:t>
            </w:r>
            <w:r w:rsidR="007E2A64">
              <w:rPr>
                <w:rFonts w:eastAsia="Times New Roman"/>
                <w:b/>
                <w:bCs/>
                <w:color w:val="000000"/>
                <w:szCs w:val="24"/>
                <w:lang w:val="en-US"/>
              </w:rPr>
              <w:t xml:space="preserve">                            </w:t>
            </w:r>
            <w:r w:rsidRPr="00D13619">
              <w:rPr>
                <w:rFonts w:eastAsia="Times New Roman"/>
                <w:b/>
                <w:bCs/>
                <w:color w:val="000000"/>
                <w:szCs w:val="24"/>
                <w:lang w:val="en-US"/>
              </w:rPr>
              <w:t xml:space="preserve">WALES PLC </w:t>
            </w:r>
          </w:p>
        </w:tc>
        <w:tc>
          <w:tcPr>
            <w:tcW w:w="2573" w:type="dxa"/>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31DE5B40" w14:textId="77777777" w:rsidR="00D13619" w:rsidRPr="00D13619" w:rsidRDefault="00D13619" w:rsidP="003B6514">
            <w:pPr>
              <w:ind w:firstLine="0"/>
              <w:jc w:val="left"/>
              <w:rPr>
                <w:rFonts w:eastAsia="Times New Roman"/>
                <w:color w:val="000000"/>
                <w:szCs w:val="24"/>
                <w:lang w:val="en-US"/>
              </w:rPr>
            </w:pPr>
            <w:r w:rsidRPr="00D13619">
              <w:rPr>
                <w:rFonts w:eastAsia="Times New Roman"/>
                <w:color w:val="000000"/>
                <w:szCs w:val="24"/>
                <w:lang w:val="en-US"/>
              </w:rPr>
              <w:t> </w:t>
            </w:r>
          </w:p>
        </w:tc>
      </w:tr>
      <w:tr w:rsidR="00D13619" w:rsidRPr="00D13619" w14:paraId="16F6B95B" w14:textId="77777777" w:rsidTr="003B6514">
        <w:trPr>
          <w:trHeight w:val="344"/>
          <w:jc w:val="center"/>
        </w:trPr>
        <w:tc>
          <w:tcPr>
            <w:tcW w:w="6836"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9C65B5" w14:textId="77777777" w:rsidR="00D13619" w:rsidRPr="00D13619" w:rsidRDefault="00D13619" w:rsidP="003B6514">
            <w:pPr>
              <w:ind w:firstLine="0"/>
              <w:jc w:val="left"/>
              <w:rPr>
                <w:rFonts w:eastAsia="Times New Roman"/>
                <w:i/>
                <w:iCs/>
                <w:color w:val="000000"/>
                <w:sz w:val="28"/>
                <w:szCs w:val="28"/>
                <w:lang w:val="en-US"/>
              </w:rPr>
            </w:pPr>
            <w:r w:rsidRPr="007E2A64">
              <w:rPr>
                <w:rFonts w:eastAsia="Times New Roman"/>
                <w:i/>
                <w:iCs/>
                <w:color w:val="000000"/>
                <w:sz w:val="28"/>
                <w:szCs w:val="28"/>
                <w:lang w:val="en-US"/>
              </w:rPr>
              <w:t xml:space="preserve">                </w:t>
            </w:r>
            <w:r w:rsidRPr="00D13619">
              <w:rPr>
                <w:rFonts w:eastAsia="Times New Roman"/>
                <w:i/>
                <w:iCs/>
                <w:color w:val="000000"/>
                <w:sz w:val="28"/>
                <w:szCs w:val="28"/>
                <w:lang w:val="en-US"/>
              </w:rPr>
              <w:t>For the year ended 31st December 2021</w:t>
            </w:r>
          </w:p>
        </w:tc>
      </w:tr>
      <w:tr w:rsidR="00D13619" w:rsidRPr="00D13619" w14:paraId="171E787D" w14:textId="77777777" w:rsidTr="003B6514">
        <w:trPr>
          <w:trHeight w:val="344"/>
          <w:jc w:val="center"/>
        </w:trPr>
        <w:tc>
          <w:tcPr>
            <w:tcW w:w="3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31A16B" w14:textId="77777777" w:rsidR="00D13619" w:rsidRPr="00D13619" w:rsidRDefault="00D13619" w:rsidP="003B6514">
            <w:pPr>
              <w:ind w:firstLine="0"/>
              <w:jc w:val="left"/>
              <w:rPr>
                <w:rFonts w:ascii="Calibri" w:eastAsia="Times New Roman" w:hAnsi="Calibri" w:cs="Calibri"/>
                <w:i/>
                <w:iCs/>
                <w:color w:val="000000"/>
                <w:sz w:val="28"/>
                <w:szCs w:val="28"/>
                <w:lang w:val="en-US"/>
              </w:rPr>
            </w:pPr>
          </w:p>
        </w:tc>
        <w:tc>
          <w:tcPr>
            <w:tcW w:w="386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50A32AE" w14:textId="77777777" w:rsidR="00D13619" w:rsidRPr="00D13619" w:rsidRDefault="00D13619" w:rsidP="003B6514">
            <w:pPr>
              <w:ind w:firstLine="0"/>
              <w:jc w:val="left"/>
              <w:rPr>
                <w:rFonts w:eastAsia="Times New Roman"/>
                <w:sz w:val="20"/>
                <w:szCs w:val="20"/>
                <w:lang w:val="en-US"/>
              </w:rPr>
            </w:pP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3470884" w14:textId="77777777" w:rsidR="00D13619" w:rsidRPr="00D13619" w:rsidRDefault="00D13619" w:rsidP="003B6514">
            <w:pPr>
              <w:ind w:firstLine="0"/>
              <w:jc w:val="right"/>
              <w:rPr>
                <w:rFonts w:eastAsia="Times New Roman"/>
                <w:b/>
                <w:bCs/>
                <w:color w:val="000000"/>
                <w:szCs w:val="24"/>
                <w:lang w:val="en-US"/>
              </w:rPr>
            </w:pPr>
            <w:r w:rsidRPr="00D13619">
              <w:rPr>
                <w:rFonts w:eastAsia="Times New Roman"/>
                <w:b/>
                <w:bCs/>
                <w:color w:val="000000"/>
                <w:szCs w:val="24"/>
                <w:lang w:val="en-US"/>
              </w:rPr>
              <w:t>(£)</w:t>
            </w:r>
          </w:p>
        </w:tc>
      </w:tr>
      <w:tr w:rsidR="00D13619" w:rsidRPr="00D13619" w14:paraId="41E125BA"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01004C"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 xml:space="preserve">Revenue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C750F84"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800,000</w:t>
            </w:r>
          </w:p>
        </w:tc>
      </w:tr>
      <w:tr w:rsidR="00D13619" w:rsidRPr="00D13619" w14:paraId="08810978"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5712430"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 xml:space="preserve">Cost of sales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863A8E"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578,650</w:t>
            </w:r>
          </w:p>
        </w:tc>
      </w:tr>
      <w:tr w:rsidR="00D13619" w:rsidRPr="00D13619" w14:paraId="38C7F32E"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54F6B1" w14:textId="77777777" w:rsidR="00D13619" w:rsidRPr="00D13619" w:rsidRDefault="00D13619" w:rsidP="003B6514">
            <w:pPr>
              <w:ind w:firstLine="0"/>
              <w:jc w:val="left"/>
              <w:rPr>
                <w:rFonts w:eastAsia="Times New Roman"/>
                <w:b/>
                <w:color w:val="000000"/>
                <w:sz w:val="22"/>
                <w:lang w:val="en-US"/>
              </w:rPr>
            </w:pPr>
            <w:r w:rsidRPr="00D13619">
              <w:rPr>
                <w:rFonts w:eastAsia="Times New Roman"/>
                <w:b/>
                <w:color w:val="000000"/>
                <w:sz w:val="22"/>
                <w:lang w:val="en-US"/>
              </w:rPr>
              <w:t xml:space="preserve">Gross Profit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B88C3B0" w14:textId="77777777" w:rsidR="00D13619" w:rsidRPr="00D13619" w:rsidRDefault="00D13619" w:rsidP="003B6514">
            <w:pPr>
              <w:ind w:firstLine="0"/>
              <w:jc w:val="right"/>
              <w:rPr>
                <w:rFonts w:eastAsia="Times New Roman"/>
                <w:b/>
                <w:color w:val="000000"/>
                <w:sz w:val="22"/>
                <w:lang w:val="en-US"/>
              </w:rPr>
            </w:pPr>
            <w:r w:rsidRPr="00D13619">
              <w:rPr>
                <w:rFonts w:eastAsia="Times New Roman"/>
                <w:b/>
                <w:color w:val="000000"/>
                <w:sz w:val="22"/>
                <w:lang w:val="en-US"/>
              </w:rPr>
              <w:t>221,350</w:t>
            </w:r>
          </w:p>
        </w:tc>
      </w:tr>
      <w:tr w:rsidR="00D13619" w:rsidRPr="00D13619" w14:paraId="50764765"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9C9070C" w14:textId="77777777" w:rsidR="00D13619" w:rsidRPr="00D13619" w:rsidRDefault="00140376" w:rsidP="003B6514">
            <w:pPr>
              <w:ind w:firstLine="0"/>
              <w:jc w:val="left"/>
              <w:rPr>
                <w:rFonts w:eastAsia="Times New Roman"/>
                <w:b/>
                <w:bCs/>
                <w:color w:val="000000"/>
                <w:sz w:val="22"/>
                <w:lang w:val="en-US"/>
              </w:rPr>
            </w:pPr>
            <w:r>
              <w:rPr>
                <w:rFonts w:eastAsia="Times New Roman"/>
                <w:b/>
                <w:bCs/>
                <w:color w:val="000000"/>
                <w:sz w:val="22"/>
                <w:lang w:val="en-US"/>
              </w:rPr>
              <w:t xml:space="preserve">Operating </w:t>
            </w:r>
            <w:r w:rsidR="00D13619" w:rsidRPr="00D13619">
              <w:rPr>
                <w:rFonts w:eastAsia="Times New Roman"/>
                <w:b/>
                <w:bCs/>
                <w:color w:val="000000"/>
                <w:sz w:val="22"/>
                <w:lang w:val="en-US"/>
              </w:rPr>
              <w:t xml:space="preserve">Expenses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20414E" w14:textId="77777777" w:rsidR="00D13619" w:rsidRPr="00D13619" w:rsidRDefault="00D13619" w:rsidP="003B6514">
            <w:pPr>
              <w:ind w:firstLine="0"/>
              <w:jc w:val="left"/>
              <w:rPr>
                <w:rFonts w:eastAsia="Times New Roman"/>
                <w:b/>
                <w:bCs/>
                <w:color w:val="000000"/>
                <w:sz w:val="22"/>
                <w:lang w:val="en-US"/>
              </w:rPr>
            </w:pPr>
          </w:p>
        </w:tc>
      </w:tr>
      <w:tr w:rsidR="00D13619" w:rsidRPr="00D13619" w14:paraId="275CDEAC"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49DC368"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Administrative expenses</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35E6532"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30,000</w:t>
            </w:r>
          </w:p>
        </w:tc>
      </w:tr>
      <w:tr w:rsidR="00D13619" w:rsidRPr="00D13619" w14:paraId="7A6D2E0E"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D7261B"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Distribution costs</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DDA76F"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28,000</w:t>
            </w:r>
          </w:p>
        </w:tc>
      </w:tr>
      <w:tr w:rsidR="00D13619" w:rsidRPr="00D13619" w14:paraId="6FF861D0"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98CBC08"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Directors remuneration</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165CF1"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5,000</w:t>
            </w:r>
          </w:p>
        </w:tc>
      </w:tr>
      <w:tr w:rsidR="00D13619" w:rsidRPr="00D13619" w14:paraId="69D9982A"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CD67B8"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 xml:space="preserve">Total operating expense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10BAC3"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63,000</w:t>
            </w:r>
          </w:p>
        </w:tc>
      </w:tr>
      <w:tr w:rsidR="00D13619" w:rsidRPr="00D13619" w14:paraId="2CB71123"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BAF6E7B" w14:textId="77777777" w:rsidR="00D13619" w:rsidRPr="00D13619" w:rsidRDefault="00D13619" w:rsidP="003B6514">
            <w:pPr>
              <w:ind w:firstLine="0"/>
              <w:jc w:val="left"/>
              <w:rPr>
                <w:rFonts w:eastAsia="Times New Roman"/>
                <w:b/>
                <w:bCs/>
                <w:color w:val="000000"/>
                <w:sz w:val="22"/>
                <w:lang w:val="en-US"/>
              </w:rPr>
            </w:pPr>
            <w:r w:rsidRPr="00D13619">
              <w:rPr>
                <w:rFonts w:eastAsia="Times New Roman"/>
                <w:b/>
                <w:bCs/>
                <w:color w:val="000000"/>
                <w:sz w:val="22"/>
                <w:lang w:val="en-US"/>
              </w:rPr>
              <w:t>Operating  Income (EBIT)</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2E3BBF" w14:textId="77777777" w:rsidR="00D13619" w:rsidRPr="00D13619" w:rsidRDefault="00D13619" w:rsidP="003B6514">
            <w:pPr>
              <w:ind w:firstLine="0"/>
              <w:jc w:val="right"/>
              <w:rPr>
                <w:rFonts w:eastAsia="Times New Roman"/>
                <w:b/>
                <w:bCs/>
                <w:color w:val="000000"/>
                <w:sz w:val="22"/>
                <w:lang w:val="en-US"/>
              </w:rPr>
            </w:pPr>
            <w:r w:rsidRPr="00D13619">
              <w:rPr>
                <w:rFonts w:eastAsia="Times New Roman"/>
                <w:b/>
                <w:bCs/>
                <w:color w:val="000000"/>
                <w:sz w:val="22"/>
                <w:lang w:val="en-US"/>
              </w:rPr>
              <w:t>158,350</w:t>
            </w:r>
          </w:p>
        </w:tc>
      </w:tr>
      <w:tr w:rsidR="00D13619" w:rsidRPr="00D13619" w14:paraId="32048D56"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194436"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 xml:space="preserve">Interest Expense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5A6C97"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2000</w:t>
            </w:r>
          </w:p>
        </w:tc>
      </w:tr>
      <w:tr w:rsidR="00D13619" w:rsidRPr="00D13619" w14:paraId="4F28ED39"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AEE3B9"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 xml:space="preserve">Profit before Tax </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6314FD"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156,350</w:t>
            </w:r>
          </w:p>
        </w:tc>
      </w:tr>
      <w:tr w:rsidR="00D13619" w:rsidRPr="00D13619" w14:paraId="43C17AA5"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219033" w14:textId="77777777" w:rsidR="00D13619" w:rsidRPr="00D13619" w:rsidRDefault="00D13619" w:rsidP="003B6514">
            <w:pPr>
              <w:ind w:firstLine="0"/>
              <w:jc w:val="left"/>
              <w:rPr>
                <w:rFonts w:eastAsia="Times New Roman"/>
                <w:color w:val="000000"/>
                <w:sz w:val="22"/>
                <w:lang w:val="en-US"/>
              </w:rPr>
            </w:pPr>
            <w:r w:rsidRPr="00D13619">
              <w:rPr>
                <w:rFonts w:eastAsia="Times New Roman"/>
                <w:color w:val="000000"/>
                <w:sz w:val="22"/>
                <w:lang w:val="en-US"/>
              </w:rPr>
              <w:t>Corporation Tax Expenses</w:t>
            </w:r>
          </w:p>
        </w:tc>
        <w:tc>
          <w:tcPr>
            <w:tcW w:w="25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2A5F554" w14:textId="77777777" w:rsidR="00D13619" w:rsidRPr="00D13619" w:rsidRDefault="00D13619" w:rsidP="003B6514">
            <w:pPr>
              <w:ind w:firstLine="0"/>
              <w:jc w:val="right"/>
              <w:rPr>
                <w:rFonts w:eastAsia="Times New Roman"/>
                <w:color w:val="000000"/>
                <w:sz w:val="22"/>
                <w:lang w:val="en-US"/>
              </w:rPr>
            </w:pPr>
            <w:r w:rsidRPr="00D13619">
              <w:rPr>
                <w:rFonts w:eastAsia="Times New Roman"/>
                <w:color w:val="000000"/>
                <w:sz w:val="22"/>
                <w:lang w:val="en-US"/>
              </w:rPr>
              <w:t>100,000</w:t>
            </w:r>
          </w:p>
        </w:tc>
      </w:tr>
      <w:tr w:rsidR="00D13619" w:rsidRPr="00D13619" w14:paraId="147B6399" w14:textId="77777777" w:rsidTr="003B6514">
        <w:trPr>
          <w:trHeight w:val="275"/>
          <w:jc w:val="center"/>
        </w:trPr>
        <w:tc>
          <w:tcPr>
            <w:tcW w:w="4263" w:type="dxa"/>
            <w:gridSpan w:val="2"/>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708AF1B1" w14:textId="77777777" w:rsidR="00D13619" w:rsidRPr="00D13619" w:rsidRDefault="00D13619" w:rsidP="003B6514">
            <w:pPr>
              <w:ind w:firstLine="0"/>
              <w:jc w:val="left"/>
              <w:rPr>
                <w:rFonts w:ascii="Calibri" w:eastAsia="Times New Roman" w:hAnsi="Calibri" w:cs="Calibri"/>
                <w:b/>
                <w:bCs/>
                <w:color w:val="000000"/>
                <w:sz w:val="22"/>
                <w:lang w:val="en-US"/>
              </w:rPr>
            </w:pPr>
            <w:r w:rsidRPr="00D13619">
              <w:rPr>
                <w:rFonts w:ascii="Calibri" w:eastAsia="Times New Roman" w:hAnsi="Calibri" w:cs="Calibri"/>
                <w:b/>
                <w:bCs/>
                <w:color w:val="000000"/>
                <w:sz w:val="22"/>
                <w:lang w:val="en-US"/>
              </w:rPr>
              <w:t xml:space="preserve">Net Income </w:t>
            </w:r>
          </w:p>
        </w:tc>
        <w:tc>
          <w:tcPr>
            <w:tcW w:w="2573" w:type="dxa"/>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1D6706C5" w14:textId="77777777" w:rsidR="00D13619" w:rsidRPr="00D13619" w:rsidRDefault="00D13619" w:rsidP="003B6514">
            <w:pPr>
              <w:ind w:firstLine="0"/>
              <w:jc w:val="right"/>
              <w:rPr>
                <w:rFonts w:ascii="Calibri" w:eastAsia="Times New Roman" w:hAnsi="Calibri" w:cs="Calibri"/>
                <w:b/>
                <w:bCs/>
                <w:color w:val="000000"/>
                <w:sz w:val="22"/>
                <w:lang w:val="en-US"/>
              </w:rPr>
            </w:pPr>
            <w:r w:rsidRPr="00D13619">
              <w:rPr>
                <w:rFonts w:ascii="Calibri" w:eastAsia="Times New Roman" w:hAnsi="Calibri" w:cs="Calibri"/>
                <w:b/>
                <w:bCs/>
                <w:color w:val="000000"/>
                <w:sz w:val="22"/>
                <w:lang w:val="en-US"/>
              </w:rPr>
              <w:t>56,350</w:t>
            </w:r>
          </w:p>
        </w:tc>
      </w:tr>
    </w:tbl>
    <w:p w14:paraId="5CA8A89E" w14:textId="77777777" w:rsidR="00D24C42" w:rsidRDefault="00D24C42" w:rsidP="00D24C42">
      <w:pPr>
        <w:ind w:firstLine="0"/>
        <w:rPr>
          <w:lang w:val="en-US"/>
        </w:rPr>
      </w:pPr>
    </w:p>
    <w:p w14:paraId="4D598C8A" w14:textId="77777777" w:rsidR="003B6514" w:rsidRDefault="003B6514" w:rsidP="00FE77BC">
      <w:pPr>
        <w:pStyle w:val="Caption"/>
        <w:jc w:val="center"/>
        <w:rPr>
          <w:b/>
          <w:bCs/>
          <w:i/>
          <w:iCs w:val="0"/>
        </w:rPr>
      </w:pPr>
    </w:p>
    <w:p w14:paraId="7F716D7C" w14:textId="77777777" w:rsidR="003B6514" w:rsidRDefault="003B6514" w:rsidP="00FE77BC">
      <w:pPr>
        <w:pStyle w:val="Caption"/>
        <w:jc w:val="center"/>
        <w:rPr>
          <w:b/>
          <w:bCs/>
          <w:i/>
          <w:iCs w:val="0"/>
        </w:rPr>
      </w:pPr>
    </w:p>
    <w:p w14:paraId="3D8228B4" w14:textId="77777777" w:rsidR="003B6514" w:rsidRDefault="003B6514" w:rsidP="00FE77BC">
      <w:pPr>
        <w:pStyle w:val="Caption"/>
        <w:jc w:val="center"/>
        <w:rPr>
          <w:b/>
          <w:bCs/>
          <w:i/>
          <w:iCs w:val="0"/>
        </w:rPr>
      </w:pPr>
    </w:p>
    <w:p w14:paraId="45606891" w14:textId="77777777" w:rsidR="003B6514" w:rsidRDefault="003B6514" w:rsidP="00FE77BC">
      <w:pPr>
        <w:pStyle w:val="Caption"/>
        <w:jc w:val="center"/>
        <w:rPr>
          <w:b/>
          <w:bCs/>
          <w:i/>
          <w:iCs w:val="0"/>
        </w:rPr>
      </w:pPr>
    </w:p>
    <w:p w14:paraId="1E986116" w14:textId="77777777" w:rsidR="003B6514" w:rsidRDefault="003B6514" w:rsidP="00FE77BC">
      <w:pPr>
        <w:pStyle w:val="Caption"/>
        <w:jc w:val="center"/>
        <w:rPr>
          <w:b/>
          <w:bCs/>
          <w:i/>
          <w:iCs w:val="0"/>
        </w:rPr>
      </w:pPr>
    </w:p>
    <w:p w14:paraId="56D15DBC" w14:textId="77777777" w:rsidR="003B6514" w:rsidRDefault="003B6514" w:rsidP="00FE77BC">
      <w:pPr>
        <w:pStyle w:val="Caption"/>
        <w:jc w:val="center"/>
        <w:rPr>
          <w:b/>
          <w:bCs/>
          <w:i/>
          <w:iCs w:val="0"/>
        </w:rPr>
      </w:pPr>
    </w:p>
    <w:p w14:paraId="3905DFD8" w14:textId="77777777" w:rsidR="003B6514" w:rsidRDefault="003B6514" w:rsidP="00FE77BC">
      <w:pPr>
        <w:pStyle w:val="Caption"/>
        <w:jc w:val="center"/>
        <w:rPr>
          <w:b/>
          <w:bCs/>
          <w:i/>
          <w:iCs w:val="0"/>
        </w:rPr>
      </w:pPr>
    </w:p>
    <w:p w14:paraId="3169468C" w14:textId="77777777" w:rsidR="003B6514" w:rsidRDefault="003B6514" w:rsidP="00FE77BC">
      <w:pPr>
        <w:pStyle w:val="Caption"/>
        <w:jc w:val="center"/>
        <w:rPr>
          <w:b/>
          <w:bCs/>
          <w:i/>
          <w:iCs w:val="0"/>
        </w:rPr>
      </w:pPr>
    </w:p>
    <w:p w14:paraId="2EC443F9" w14:textId="77777777" w:rsidR="003B6514" w:rsidRDefault="003B6514" w:rsidP="00FE77BC">
      <w:pPr>
        <w:pStyle w:val="Caption"/>
        <w:jc w:val="center"/>
        <w:rPr>
          <w:b/>
          <w:bCs/>
          <w:i/>
          <w:iCs w:val="0"/>
        </w:rPr>
      </w:pPr>
    </w:p>
    <w:p w14:paraId="3A707C80" w14:textId="77777777" w:rsidR="00FE77BC" w:rsidRPr="00FE77BC" w:rsidRDefault="00820B35" w:rsidP="003B6514">
      <w:pPr>
        <w:pStyle w:val="Caption"/>
        <w:jc w:val="center"/>
        <w:rPr>
          <w:b/>
          <w:bCs/>
          <w:i/>
          <w:iCs w:val="0"/>
          <w:lang w:val="en-US"/>
        </w:rPr>
      </w:pPr>
      <w:r>
        <w:rPr>
          <w:b/>
          <w:bCs/>
          <w:i/>
          <w:iCs w:val="0"/>
        </w:rPr>
        <w:t xml:space="preserve">Table </w:t>
      </w:r>
      <w:r>
        <w:rPr>
          <w:b/>
          <w:bCs/>
          <w:i/>
          <w:iCs w:val="0"/>
        </w:rPr>
        <w:fldChar w:fldCharType="begin"/>
      </w:r>
      <w:r>
        <w:rPr>
          <w:b/>
          <w:bCs/>
          <w:i/>
          <w:iCs w:val="0"/>
        </w:rPr>
        <w:instrText xml:space="preserve"> SEQ Table \* ARABIC </w:instrText>
      </w:r>
      <w:r>
        <w:rPr>
          <w:b/>
          <w:bCs/>
          <w:i/>
          <w:iCs w:val="0"/>
        </w:rPr>
        <w:fldChar w:fldCharType="separate"/>
      </w:r>
      <w:r w:rsidR="007D166F">
        <w:rPr>
          <w:b/>
          <w:bCs/>
          <w:i/>
          <w:iCs w:val="0"/>
          <w:noProof/>
        </w:rPr>
        <w:t>2</w:t>
      </w:r>
      <w:r>
        <w:rPr>
          <w:b/>
          <w:bCs/>
          <w:i/>
          <w:iCs w:val="0"/>
        </w:rPr>
        <w:fldChar w:fldCharType="end"/>
      </w:r>
      <w:r w:rsidR="00D24C42">
        <w:rPr>
          <w:b/>
          <w:bCs/>
          <w:i/>
          <w:iCs w:val="0"/>
          <w:lang w:val="en-US"/>
        </w:rPr>
        <w:t>:</w:t>
      </w:r>
      <w:r w:rsidR="00FE77BC">
        <w:rPr>
          <w:b/>
          <w:bCs/>
          <w:i/>
          <w:lang w:val="en-US"/>
        </w:rPr>
        <w:t xml:space="preserve">  Statement of Financial Position</w:t>
      </w:r>
    </w:p>
    <w:tbl>
      <w:tblPr>
        <w:tblW w:w="93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1"/>
        <w:gridCol w:w="1500"/>
        <w:gridCol w:w="4117"/>
        <w:gridCol w:w="1238"/>
      </w:tblGrid>
      <w:tr w:rsidR="00930059" w:rsidRPr="009B4009" w14:paraId="617D9A21" w14:textId="77777777" w:rsidTr="003B6514">
        <w:trPr>
          <w:trHeight w:val="968"/>
          <w:jc w:val="center"/>
        </w:trPr>
        <w:tc>
          <w:tcPr>
            <w:tcW w:w="9376" w:type="dxa"/>
            <w:gridSpan w:val="4"/>
            <w:shd w:val="clear" w:color="auto" w:fill="F4B083" w:themeFill="accent2" w:themeFillTint="99"/>
            <w:noWrap/>
            <w:vAlign w:val="center"/>
            <w:hideMark/>
          </w:tcPr>
          <w:p w14:paraId="08651A90" w14:textId="77777777" w:rsidR="00930059" w:rsidRPr="003B6514" w:rsidRDefault="00930059" w:rsidP="003B6514">
            <w:pPr>
              <w:ind w:firstLine="0"/>
              <w:jc w:val="left"/>
              <w:rPr>
                <w:rFonts w:ascii="Calibri" w:eastAsia="Times New Roman" w:hAnsi="Calibri" w:cs="Calibri"/>
                <w:color w:val="000000"/>
                <w:szCs w:val="24"/>
                <w:lang w:val="en-US"/>
              </w:rPr>
            </w:pPr>
            <w:r w:rsidRPr="009B4009">
              <w:rPr>
                <w:rFonts w:ascii="Calibri" w:eastAsia="Times New Roman" w:hAnsi="Calibri" w:cs="Calibri"/>
                <w:b/>
                <w:color w:val="000000"/>
                <w:szCs w:val="24"/>
                <w:lang w:val="en-US"/>
              </w:rPr>
              <w:lastRenderedPageBreak/>
              <w:t xml:space="preserve">            </w:t>
            </w:r>
            <w:r w:rsidR="003B6514" w:rsidRPr="003B6514">
              <w:rPr>
                <w:rFonts w:ascii="Calibri" w:eastAsia="Times New Roman" w:hAnsi="Calibri" w:cs="Calibri"/>
                <w:b/>
                <w:color w:val="000000"/>
                <w:szCs w:val="24"/>
                <w:lang w:val="en-US"/>
              </w:rPr>
              <w:t xml:space="preserve">                                            </w:t>
            </w:r>
            <w:r w:rsidRPr="009B4009">
              <w:rPr>
                <w:rFonts w:ascii="Calibri" w:eastAsia="Times New Roman" w:hAnsi="Calibri" w:cs="Calibri"/>
                <w:b/>
                <w:color w:val="000000"/>
                <w:szCs w:val="24"/>
                <w:lang w:val="en-US"/>
              </w:rPr>
              <w:t xml:space="preserve"> </w:t>
            </w:r>
            <w:r w:rsidRPr="003B6514">
              <w:rPr>
                <w:rFonts w:ascii="Calibri" w:eastAsia="Times New Roman" w:hAnsi="Calibri" w:cs="Calibri"/>
                <w:color w:val="000000"/>
                <w:szCs w:val="24"/>
                <w:lang w:val="en-US"/>
              </w:rPr>
              <w:t>Statement</w:t>
            </w:r>
            <w:r w:rsidRPr="009B4009">
              <w:rPr>
                <w:rFonts w:ascii="Calibri" w:eastAsia="Times New Roman" w:hAnsi="Calibri" w:cs="Calibri"/>
                <w:color w:val="000000"/>
                <w:szCs w:val="24"/>
                <w:lang w:val="en-US"/>
              </w:rPr>
              <w:t xml:space="preserve"> of </w:t>
            </w:r>
            <w:r w:rsidR="003B6514" w:rsidRPr="003B6514">
              <w:rPr>
                <w:rFonts w:ascii="Calibri" w:eastAsia="Times New Roman" w:hAnsi="Calibri" w:cs="Calibri"/>
                <w:color w:val="000000"/>
                <w:szCs w:val="24"/>
                <w:lang w:val="en-US"/>
              </w:rPr>
              <w:t>Financial Position</w:t>
            </w:r>
            <w:r w:rsidRPr="009B4009">
              <w:rPr>
                <w:rFonts w:ascii="Calibri" w:eastAsia="Times New Roman" w:hAnsi="Calibri" w:cs="Calibri"/>
                <w:color w:val="000000"/>
                <w:szCs w:val="24"/>
                <w:lang w:val="en-US"/>
              </w:rPr>
              <w:t xml:space="preserve"> </w:t>
            </w:r>
          </w:p>
          <w:p w14:paraId="29B8B48C" w14:textId="77777777" w:rsidR="00930059" w:rsidRPr="003B6514" w:rsidRDefault="00930059" w:rsidP="003B6514">
            <w:pPr>
              <w:ind w:firstLine="0"/>
              <w:jc w:val="left"/>
              <w:rPr>
                <w:rFonts w:ascii="Calibri" w:eastAsia="Times New Roman" w:hAnsi="Calibri" w:cs="Calibri"/>
                <w:b/>
                <w:color w:val="000000"/>
                <w:szCs w:val="24"/>
                <w:lang w:val="en-US"/>
              </w:rPr>
            </w:pPr>
            <w:r w:rsidRPr="009B4009">
              <w:rPr>
                <w:rFonts w:ascii="Calibri" w:eastAsia="Times New Roman" w:hAnsi="Calibri" w:cs="Calibri"/>
                <w:b/>
                <w:color w:val="000000"/>
                <w:szCs w:val="24"/>
                <w:lang w:val="en-US"/>
              </w:rPr>
              <w:t xml:space="preserve">       </w:t>
            </w:r>
            <w:r w:rsidR="003B6514" w:rsidRPr="003B6514">
              <w:rPr>
                <w:rFonts w:ascii="Calibri" w:eastAsia="Times New Roman" w:hAnsi="Calibri" w:cs="Calibri"/>
                <w:b/>
                <w:color w:val="000000"/>
                <w:szCs w:val="24"/>
                <w:lang w:val="en-US"/>
              </w:rPr>
              <w:t xml:space="preserve">                                                            </w:t>
            </w:r>
            <w:r w:rsidRPr="009B4009">
              <w:rPr>
                <w:rFonts w:ascii="Calibri" w:eastAsia="Times New Roman" w:hAnsi="Calibri" w:cs="Calibri"/>
                <w:b/>
                <w:color w:val="000000"/>
                <w:szCs w:val="24"/>
                <w:lang w:val="en-US"/>
              </w:rPr>
              <w:t xml:space="preserve">    </w:t>
            </w:r>
            <w:r w:rsidR="003B6514" w:rsidRPr="003B6514">
              <w:rPr>
                <w:rFonts w:ascii="Calibri" w:eastAsia="Times New Roman" w:hAnsi="Calibri" w:cs="Calibri"/>
                <w:b/>
                <w:color w:val="000000"/>
                <w:szCs w:val="24"/>
                <w:lang w:val="en-US"/>
              </w:rPr>
              <w:t>WALES PLC</w:t>
            </w:r>
            <w:r w:rsidRPr="009B4009">
              <w:rPr>
                <w:rFonts w:ascii="Calibri" w:eastAsia="Times New Roman" w:hAnsi="Calibri" w:cs="Calibri"/>
                <w:b/>
                <w:color w:val="000000"/>
                <w:szCs w:val="24"/>
                <w:lang w:val="en-US"/>
              </w:rPr>
              <w:t xml:space="preserve"> </w:t>
            </w:r>
          </w:p>
          <w:p w14:paraId="2DF3151C" w14:textId="77777777" w:rsidR="00930059" w:rsidRPr="009B4009" w:rsidRDefault="003B6514" w:rsidP="003B6514">
            <w:pPr>
              <w:jc w:val="left"/>
              <w:rPr>
                <w:rFonts w:ascii="Calibri" w:eastAsia="Times New Roman" w:hAnsi="Calibri" w:cs="Calibri"/>
                <w:color w:val="000000"/>
                <w:szCs w:val="24"/>
                <w:lang w:val="en-US"/>
              </w:rPr>
            </w:pPr>
            <w:r w:rsidRPr="003B6514">
              <w:rPr>
                <w:rFonts w:ascii="Calibri" w:eastAsia="Times New Roman" w:hAnsi="Calibri" w:cs="Calibri"/>
                <w:i/>
                <w:iCs/>
                <w:color w:val="000000"/>
                <w:sz w:val="28"/>
                <w:szCs w:val="28"/>
                <w:lang w:val="en-US"/>
              </w:rPr>
              <w:t xml:space="preserve">                           </w:t>
            </w:r>
            <w:r w:rsidR="00930059" w:rsidRPr="009B4009">
              <w:rPr>
                <w:rFonts w:ascii="Calibri" w:eastAsia="Times New Roman" w:hAnsi="Calibri" w:cs="Calibri"/>
                <w:i/>
                <w:iCs/>
                <w:color w:val="000000"/>
                <w:sz w:val="28"/>
                <w:szCs w:val="28"/>
                <w:lang w:val="en-US"/>
              </w:rPr>
              <w:t>For the year ended 31st December 2021</w:t>
            </w:r>
          </w:p>
        </w:tc>
      </w:tr>
      <w:tr w:rsidR="00BB4CF6" w:rsidRPr="009B4009" w14:paraId="00237870" w14:textId="77777777" w:rsidTr="00BB4CF6">
        <w:trPr>
          <w:trHeight w:val="297"/>
          <w:jc w:val="center"/>
        </w:trPr>
        <w:tc>
          <w:tcPr>
            <w:tcW w:w="2521" w:type="dxa"/>
            <w:shd w:val="clear" w:color="auto" w:fill="auto"/>
            <w:noWrap/>
            <w:vAlign w:val="center"/>
            <w:hideMark/>
          </w:tcPr>
          <w:p w14:paraId="2A8EBE5A" w14:textId="77777777" w:rsidR="00BB4CF6" w:rsidRPr="009B4009" w:rsidRDefault="00BB4CF6" w:rsidP="003B6514">
            <w:pPr>
              <w:ind w:firstLine="0"/>
              <w:jc w:val="left"/>
              <w:rPr>
                <w:rFonts w:eastAsia="Times New Roman"/>
                <w:sz w:val="20"/>
                <w:szCs w:val="20"/>
                <w:lang w:val="en-US"/>
              </w:rPr>
            </w:pPr>
          </w:p>
        </w:tc>
        <w:tc>
          <w:tcPr>
            <w:tcW w:w="1500" w:type="dxa"/>
            <w:shd w:val="clear" w:color="auto" w:fill="auto"/>
            <w:noWrap/>
            <w:vAlign w:val="center"/>
            <w:hideMark/>
          </w:tcPr>
          <w:p w14:paraId="41295EC8" w14:textId="77777777" w:rsidR="00BB4CF6" w:rsidRPr="009B4009" w:rsidRDefault="00BB4CF6" w:rsidP="003B6514">
            <w:pPr>
              <w:ind w:firstLine="0"/>
              <w:jc w:val="right"/>
              <w:rPr>
                <w:rFonts w:ascii="Calibri" w:eastAsia="Times New Roman" w:hAnsi="Calibri" w:cs="Calibri"/>
                <w:b/>
                <w:bCs/>
                <w:color w:val="000000"/>
                <w:szCs w:val="24"/>
                <w:lang w:val="en-US"/>
              </w:rPr>
            </w:pPr>
            <w:r w:rsidRPr="009B4009">
              <w:rPr>
                <w:rFonts w:ascii="Calibri" w:eastAsia="Times New Roman" w:hAnsi="Calibri" w:cs="Calibri"/>
                <w:b/>
                <w:bCs/>
                <w:color w:val="000000"/>
                <w:szCs w:val="24"/>
                <w:lang w:val="en-US"/>
              </w:rPr>
              <w:t>(£)</w:t>
            </w:r>
          </w:p>
        </w:tc>
        <w:tc>
          <w:tcPr>
            <w:tcW w:w="4117" w:type="dxa"/>
            <w:shd w:val="clear" w:color="auto" w:fill="auto"/>
            <w:noWrap/>
            <w:vAlign w:val="center"/>
            <w:hideMark/>
          </w:tcPr>
          <w:p w14:paraId="6B26018F" w14:textId="77777777" w:rsidR="00BB4CF6" w:rsidRPr="009B4009" w:rsidRDefault="00BB4CF6" w:rsidP="003B6514">
            <w:pPr>
              <w:ind w:firstLine="0"/>
              <w:jc w:val="left"/>
              <w:rPr>
                <w:rFonts w:eastAsia="Times New Roman"/>
                <w:sz w:val="20"/>
                <w:szCs w:val="20"/>
                <w:lang w:val="en-US"/>
              </w:rPr>
            </w:pPr>
          </w:p>
        </w:tc>
        <w:tc>
          <w:tcPr>
            <w:tcW w:w="1238" w:type="dxa"/>
            <w:shd w:val="clear" w:color="auto" w:fill="auto"/>
            <w:noWrap/>
            <w:vAlign w:val="center"/>
            <w:hideMark/>
          </w:tcPr>
          <w:p w14:paraId="2C16C229" w14:textId="77777777" w:rsidR="00BB4CF6" w:rsidRPr="009B4009" w:rsidRDefault="00BB4CF6" w:rsidP="003B6514">
            <w:pPr>
              <w:ind w:firstLine="0"/>
              <w:jc w:val="right"/>
              <w:rPr>
                <w:rFonts w:ascii="Calibri" w:eastAsia="Times New Roman" w:hAnsi="Calibri" w:cs="Calibri"/>
                <w:b/>
                <w:bCs/>
                <w:color w:val="000000"/>
                <w:szCs w:val="24"/>
                <w:lang w:val="en-US"/>
              </w:rPr>
            </w:pPr>
            <w:r w:rsidRPr="009B4009">
              <w:rPr>
                <w:rFonts w:ascii="Calibri" w:eastAsia="Times New Roman" w:hAnsi="Calibri" w:cs="Calibri"/>
                <w:b/>
                <w:bCs/>
                <w:color w:val="000000"/>
                <w:szCs w:val="24"/>
                <w:lang w:val="en-US"/>
              </w:rPr>
              <w:t>(£)</w:t>
            </w:r>
          </w:p>
        </w:tc>
      </w:tr>
      <w:tr w:rsidR="00930059" w:rsidRPr="009B4009" w14:paraId="58219453" w14:textId="77777777" w:rsidTr="00BB4CF6">
        <w:trPr>
          <w:trHeight w:val="283"/>
          <w:jc w:val="center"/>
        </w:trPr>
        <w:tc>
          <w:tcPr>
            <w:tcW w:w="2521" w:type="dxa"/>
            <w:shd w:val="clear" w:color="auto" w:fill="auto"/>
            <w:noWrap/>
            <w:vAlign w:val="center"/>
            <w:hideMark/>
          </w:tcPr>
          <w:p w14:paraId="6BD0167C" w14:textId="77777777" w:rsidR="00930059" w:rsidRPr="009B4009" w:rsidRDefault="00930059" w:rsidP="003B6514">
            <w:pPr>
              <w:ind w:firstLine="0"/>
              <w:jc w:val="lef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 xml:space="preserve">Current Assets </w:t>
            </w:r>
          </w:p>
        </w:tc>
        <w:tc>
          <w:tcPr>
            <w:tcW w:w="1500" w:type="dxa"/>
            <w:shd w:val="clear" w:color="auto" w:fill="auto"/>
            <w:noWrap/>
            <w:vAlign w:val="center"/>
            <w:hideMark/>
          </w:tcPr>
          <w:p w14:paraId="28FB7CEC" w14:textId="77777777" w:rsidR="00930059" w:rsidRPr="009B4009" w:rsidRDefault="00930059" w:rsidP="003B6514">
            <w:pPr>
              <w:ind w:firstLine="0"/>
              <w:jc w:val="left"/>
              <w:rPr>
                <w:rFonts w:ascii="Calibri" w:eastAsia="Times New Roman" w:hAnsi="Calibri" w:cs="Calibri"/>
                <w:b/>
                <w:bCs/>
                <w:color w:val="000000"/>
                <w:sz w:val="22"/>
                <w:lang w:val="en-US"/>
              </w:rPr>
            </w:pPr>
          </w:p>
        </w:tc>
        <w:tc>
          <w:tcPr>
            <w:tcW w:w="4117" w:type="dxa"/>
            <w:shd w:val="clear" w:color="auto" w:fill="auto"/>
            <w:noWrap/>
            <w:vAlign w:val="center"/>
            <w:hideMark/>
          </w:tcPr>
          <w:p w14:paraId="52F444EC" w14:textId="77777777" w:rsidR="00930059" w:rsidRPr="009B4009" w:rsidRDefault="00930059" w:rsidP="003B6514">
            <w:pPr>
              <w:ind w:firstLine="0"/>
              <w:jc w:val="lef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 xml:space="preserve"> Liabilities </w:t>
            </w:r>
          </w:p>
        </w:tc>
        <w:tc>
          <w:tcPr>
            <w:tcW w:w="1238" w:type="dxa"/>
            <w:shd w:val="clear" w:color="auto" w:fill="auto"/>
            <w:noWrap/>
            <w:vAlign w:val="center"/>
            <w:hideMark/>
          </w:tcPr>
          <w:p w14:paraId="0004EDC0" w14:textId="77777777" w:rsidR="00930059" w:rsidRPr="009B4009" w:rsidRDefault="00930059" w:rsidP="003B6514">
            <w:pPr>
              <w:ind w:firstLine="0"/>
              <w:jc w:val="left"/>
              <w:rPr>
                <w:rFonts w:ascii="Calibri" w:eastAsia="Times New Roman" w:hAnsi="Calibri" w:cs="Calibri"/>
                <w:b/>
                <w:bCs/>
                <w:color w:val="000000"/>
                <w:sz w:val="22"/>
                <w:lang w:val="en-US"/>
              </w:rPr>
            </w:pPr>
          </w:p>
        </w:tc>
      </w:tr>
      <w:tr w:rsidR="00930059" w:rsidRPr="009B4009" w14:paraId="06943399" w14:textId="77777777" w:rsidTr="00BB4CF6">
        <w:trPr>
          <w:trHeight w:val="283"/>
          <w:jc w:val="center"/>
        </w:trPr>
        <w:tc>
          <w:tcPr>
            <w:tcW w:w="2521" w:type="dxa"/>
            <w:shd w:val="clear" w:color="auto" w:fill="auto"/>
            <w:noWrap/>
            <w:vAlign w:val="center"/>
            <w:hideMark/>
          </w:tcPr>
          <w:p w14:paraId="1B440920"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Cash and Bank  </w:t>
            </w:r>
          </w:p>
        </w:tc>
        <w:tc>
          <w:tcPr>
            <w:tcW w:w="1500" w:type="dxa"/>
            <w:shd w:val="clear" w:color="auto" w:fill="auto"/>
            <w:noWrap/>
            <w:vAlign w:val="center"/>
            <w:hideMark/>
          </w:tcPr>
          <w:p w14:paraId="1C1ED137"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126,270</w:t>
            </w:r>
          </w:p>
        </w:tc>
        <w:tc>
          <w:tcPr>
            <w:tcW w:w="4117" w:type="dxa"/>
            <w:shd w:val="clear" w:color="auto" w:fill="auto"/>
            <w:noWrap/>
            <w:vAlign w:val="center"/>
            <w:hideMark/>
          </w:tcPr>
          <w:p w14:paraId="654CF47C"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Trade Payable </w:t>
            </w:r>
          </w:p>
        </w:tc>
        <w:tc>
          <w:tcPr>
            <w:tcW w:w="1238" w:type="dxa"/>
            <w:shd w:val="clear" w:color="auto" w:fill="auto"/>
            <w:noWrap/>
            <w:vAlign w:val="center"/>
            <w:hideMark/>
          </w:tcPr>
          <w:p w14:paraId="544C1A27"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188,625</w:t>
            </w:r>
          </w:p>
        </w:tc>
      </w:tr>
      <w:tr w:rsidR="00930059" w:rsidRPr="009B4009" w14:paraId="7BAB8949" w14:textId="77777777" w:rsidTr="00BB4CF6">
        <w:trPr>
          <w:trHeight w:val="283"/>
          <w:jc w:val="center"/>
        </w:trPr>
        <w:tc>
          <w:tcPr>
            <w:tcW w:w="2521" w:type="dxa"/>
            <w:shd w:val="clear" w:color="auto" w:fill="auto"/>
            <w:noWrap/>
            <w:vAlign w:val="center"/>
            <w:hideMark/>
          </w:tcPr>
          <w:p w14:paraId="7E8C177F"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Prepaid Interest  Expense</w:t>
            </w:r>
          </w:p>
        </w:tc>
        <w:tc>
          <w:tcPr>
            <w:tcW w:w="1500" w:type="dxa"/>
            <w:shd w:val="clear" w:color="auto" w:fill="auto"/>
            <w:noWrap/>
            <w:vAlign w:val="center"/>
            <w:hideMark/>
          </w:tcPr>
          <w:p w14:paraId="5F6E55B3"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2,000</w:t>
            </w:r>
          </w:p>
        </w:tc>
        <w:tc>
          <w:tcPr>
            <w:tcW w:w="4117" w:type="dxa"/>
            <w:shd w:val="clear" w:color="auto" w:fill="auto"/>
            <w:noWrap/>
            <w:vAlign w:val="center"/>
            <w:hideMark/>
          </w:tcPr>
          <w:p w14:paraId="26DAA9E4"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Sales commissions payable</w:t>
            </w:r>
          </w:p>
        </w:tc>
        <w:tc>
          <w:tcPr>
            <w:tcW w:w="1238" w:type="dxa"/>
            <w:shd w:val="clear" w:color="auto" w:fill="auto"/>
            <w:noWrap/>
            <w:vAlign w:val="center"/>
            <w:hideMark/>
          </w:tcPr>
          <w:p w14:paraId="2DB45EF4"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3000</w:t>
            </w:r>
          </w:p>
        </w:tc>
      </w:tr>
      <w:tr w:rsidR="00930059" w:rsidRPr="009B4009" w14:paraId="166DDE07" w14:textId="77777777" w:rsidTr="00BB4CF6">
        <w:trPr>
          <w:trHeight w:val="297"/>
          <w:jc w:val="center"/>
        </w:trPr>
        <w:tc>
          <w:tcPr>
            <w:tcW w:w="2521" w:type="dxa"/>
            <w:shd w:val="clear" w:color="auto" w:fill="auto"/>
            <w:noWrap/>
            <w:vAlign w:val="center"/>
            <w:hideMark/>
          </w:tcPr>
          <w:p w14:paraId="7EBE9CC4"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Account Receivables </w:t>
            </w:r>
          </w:p>
        </w:tc>
        <w:tc>
          <w:tcPr>
            <w:tcW w:w="1500" w:type="dxa"/>
            <w:shd w:val="clear" w:color="auto" w:fill="auto"/>
            <w:noWrap/>
            <w:vAlign w:val="center"/>
            <w:hideMark/>
          </w:tcPr>
          <w:p w14:paraId="71911717"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980</w:t>
            </w:r>
          </w:p>
        </w:tc>
        <w:tc>
          <w:tcPr>
            <w:tcW w:w="4117" w:type="dxa"/>
            <w:shd w:val="clear" w:color="auto" w:fill="auto"/>
            <w:noWrap/>
            <w:vAlign w:val="center"/>
            <w:hideMark/>
          </w:tcPr>
          <w:p w14:paraId="662FD25A"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4% Debentures</w:t>
            </w:r>
          </w:p>
        </w:tc>
        <w:tc>
          <w:tcPr>
            <w:tcW w:w="1238" w:type="dxa"/>
            <w:shd w:val="clear" w:color="auto" w:fill="auto"/>
            <w:noWrap/>
            <w:vAlign w:val="center"/>
            <w:hideMark/>
          </w:tcPr>
          <w:p w14:paraId="53A5B06B"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200,000</w:t>
            </w:r>
          </w:p>
        </w:tc>
      </w:tr>
      <w:tr w:rsidR="00930059" w:rsidRPr="009B4009" w14:paraId="69CB265E" w14:textId="77777777" w:rsidTr="00BB4CF6">
        <w:trPr>
          <w:trHeight w:val="283"/>
          <w:jc w:val="center"/>
        </w:trPr>
        <w:tc>
          <w:tcPr>
            <w:tcW w:w="2521" w:type="dxa"/>
            <w:shd w:val="clear" w:color="auto" w:fill="auto"/>
            <w:noWrap/>
            <w:vAlign w:val="center"/>
            <w:hideMark/>
          </w:tcPr>
          <w:p w14:paraId="0FEB6E44"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Trade Receivable </w:t>
            </w:r>
          </w:p>
        </w:tc>
        <w:tc>
          <w:tcPr>
            <w:tcW w:w="1500" w:type="dxa"/>
            <w:shd w:val="clear" w:color="auto" w:fill="auto"/>
            <w:noWrap/>
            <w:vAlign w:val="center"/>
            <w:hideMark/>
          </w:tcPr>
          <w:p w14:paraId="55F1D143"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170,125</w:t>
            </w:r>
          </w:p>
        </w:tc>
        <w:tc>
          <w:tcPr>
            <w:tcW w:w="4117" w:type="dxa"/>
            <w:shd w:val="clear" w:color="auto" w:fill="auto"/>
            <w:noWrap/>
            <w:vAlign w:val="center"/>
            <w:hideMark/>
          </w:tcPr>
          <w:p w14:paraId="38F5D7C6"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Total Short and Long term liabilities </w:t>
            </w:r>
          </w:p>
        </w:tc>
        <w:tc>
          <w:tcPr>
            <w:tcW w:w="1238" w:type="dxa"/>
            <w:shd w:val="clear" w:color="auto" w:fill="auto"/>
            <w:noWrap/>
            <w:vAlign w:val="center"/>
            <w:hideMark/>
          </w:tcPr>
          <w:p w14:paraId="4A639800"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391,625</w:t>
            </w:r>
          </w:p>
        </w:tc>
      </w:tr>
      <w:tr w:rsidR="00930059" w:rsidRPr="009B4009" w14:paraId="240AF96A" w14:textId="77777777" w:rsidTr="00BB4CF6">
        <w:trPr>
          <w:trHeight w:val="297"/>
          <w:jc w:val="center"/>
        </w:trPr>
        <w:tc>
          <w:tcPr>
            <w:tcW w:w="2521" w:type="dxa"/>
            <w:shd w:val="clear" w:color="auto" w:fill="auto"/>
            <w:noWrap/>
            <w:vAlign w:val="center"/>
            <w:hideMark/>
          </w:tcPr>
          <w:p w14:paraId="318BD358"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Inventory Stock </w:t>
            </w:r>
          </w:p>
        </w:tc>
        <w:tc>
          <w:tcPr>
            <w:tcW w:w="1500" w:type="dxa"/>
            <w:shd w:val="clear" w:color="auto" w:fill="auto"/>
            <w:noWrap/>
            <w:vAlign w:val="center"/>
            <w:hideMark/>
          </w:tcPr>
          <w:p w14:paraId="5C379FB9"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430,600</w:t>
            </w:r>
          </w:p>
        </w:tc>
        <w:tc>
          <w:tcPr>
            <w:tcW w:w="4117" w:type="dxa"/>
            <w:shd w:val="clear" w:color="auto" w:fill="auto"/>
            <w:noWrap/>
            <w:vAlign w:val="center"/>
            <w:hideMark/>
          </w:tcPr>
          <w:p w14:paraId="5CF7645B" w14:textId="77777777" w:rsidR="00930059" w:rsidRPr="009B4009" w:rsidRDefault="003B6514" w:rsidP="003B6514">
            <w:pPr>
              <w:ind w:firstLine="0"/>
              <w:jc w:val="left"/>
              <w:rPr>
                <w:rFonts w:ascii="Calibri" w:eastAsia="Times New Roman" w:hAnsi="Calibri" w:cs="Calibri"/>
                <w:b/>
                <w:bCs/>
                <w:color w:val="000000"/>
                <w:sz w:val="22"/>
                <w:lang w:val="en-US"/>
              </w:rPr>
            </w:pPr>
            <w:r>
              <w:rPr>
                <w:rFonts w:ascii="Calibri" w:eastAsia="Times New Roman" w:hAnsi="Calibri" w:cs="Calibri"/>
                <w:b/>
                <w:bCs/>
                <w:color w:val="000000"/>
                <w:sz w:val="22"/>
                <w:lang w:val="en-US"/>
              </w:rPr>
              <w:t xml:space="preserve">Shareholder </w:t>
            </w:r>
            <w:r w:rsidR="00930059" w:rsidRPr="009B4009">
              <w:rPr>
                <w:rFonts w:ascii="Calibri" w:eastAsia="Times New Roman" w:hAnsi="Calibri" w:cs="Calibri"/>
                <w:b/>
                <w:bCs/>
                <w:color w:val="000000"/>
                <w:sz w:val="22"/>
                <w:lang w:val="en-US"/>
              </w:rPr>
              <w:t xml:space="preserve">Equity </w:t>
            </w:r>
          </w:p>
        </w:tc>
        <w:tc>
          <w:tcPr>
            <w:tcW w:w="1238" w:type="dxa"/>
            <w:shd w:val="clear" w:color="auto" w:fill="auto"/>
            <w:noWrap/>
            <w:vAlign w:val="center"/>
            <w:hideMark/>
          </w:tcPr>
          <w:p w14:paraId="19D1E355" w14:textId="77777777" w:rsidR="00930059" w:rsidRPr="009B4009" w:rsidRDefault="00930059" w:rsidP="003B6514">
            <w:pPr>
              <w:ind w:firstLine="0"/>
              <w:jc w:val="left"/>
              <w:rPr>
                <w:rFonts w:ascii="Calibri" w:eastAsia="Times New Roman" w:hAnsi="Calibri" w:cs="Calibri"/>
                <w:b/>
                <w:bCs/>
                <w:color w:val="000000"/>
                <w:sz w:val="22"/>
                <w:lang w:val="en-US"/>
              </w:rPr>
            </w:pPr>
          </w:p>
        </w:tc>
      </w:tr>
      <w:tr w:rsidR="00930059" w:rsidRPr="009B4009" w14:paraId="4079F4B4" w14:textId="77777777" w:rsidTr="00BB4CF6">
        <w:trPr>
          <w:trHeight w:val="283"/>
          <w:jc w:val="center"/>
        </w:trPr>
        <w:tc>
          <w:tcPr>
            <w:tcW w:w="2521" w:type="dxa"/>
            <w:shd w:val="clear" w:color="auto" w:fill="auto"/>
            <w:noWrap/>
            <w:vAlign w:val="center"/>
            <w:hideMark/>
          </w:tcPr>
          <w:p w14:paraId="540F2090" w14:textId="77777777" w:rsidR="00930059" w:rsidRPr="009B4009" w:rsidRDefault="00930059" w:rsidP="003B6514">
            <w:pPr>
              <w:ind w:firstLine="0"/>
              <w:jc w:val="left"/>
              <w:rPr>
                <w:rFonts w:ascii="Calibri" w:eastAsia="Times New Roman" w:hAnsi="Calibri" w:cs="Calibri"/>
                <w:b/>
                <w:color w:val="000000"/>
                <w:sz w:val="22"/>
                <w:lang w:val="en-US"/>
              </w:rPr>
            </w:pPr>
            <w:r w:rsidRPr="009B4009">
              <w:rPr>
                <w:rFonts w:ascii="Calibri" w:eastAsia="Times New Roman" w:hAnsi="Calibri" w:cs="Calibri"/>
                <w:b/>
                <w:color w:val="000000"/>
                <w:sz w:val="22"/>
                <w:lang w:val="en-US"/>
              </w:rPr>
              <w:t xml:space="preserve">Total Current  Assets </w:t>
            </w:r>
          </w:p>
        </w:tc>
        <w:tc>
          <w:tcPr>
            <w:tcW w:w="1500" w:type="dxa"/>
            <w:shd w:val="clear" w:color="auto" w:fill="auto"/>
            <w:noWrap/>
            <w:vAlign w:val="center"/>
            <w:hideMark/>
          </w:tcPr>
          <w:p w14:paraId="636111F9" w14:textId="77777777" w:rsidR="00930059" w:rsidRPr="009B4009" w:rsidRDefault="00930059" w:rsidP="003B6514">
            <w:pPr>
              <w:ind w:firstLine="0"/>
              <w:jc w:val="right"/>
              <w:rPr>
                <w:rFonts w:ascii="Calibri" w:eastAsia="Times New Roman" w:hAnsi="Calibri" w:cs="Calibri"/>
                <w:b/>
                <w:color w:val="000000"/>
                <w:sz w:val="22"/>
                <w:lang w:val="en-US"/>
              </w:rPr>
            </w:pPr>
            <w:r w:rsidRPr="009B4009">
              <w:rPr>
                <w:rFonts w:ascii="Calibri" w:eastAsia="Times New Roman" w:hAnsi="Calibri" w:cs="Calibri"/>
                <w:b/>
                <w:color w:val="000000"/>
                <w:sz w:val="22"/>
                <w:lang w:val="en-US"/>
              </w:rPr>
              <w:t>729,975</w:t>
            </w:r>
          </w:p>
        </w:tc>
        <w:tc>
          <w:tcPr>
            <w:tcW w:w="4117" w:type="dxa"/>
            <w:shd w:val="clear" w:color="auto" w:fill="auto"/>
            <w:noWrap/>
            <w:vAlign w:val="center"/>
            <w:hideMark/>
          </w:tcPr>
          <w:p w14:paraId="1DFB593F"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Common share equity </w:t>
            </w:r>
          </w:p>
        </w:tc>
        <w:tc>
          <w:tcPr>
            <w:tcW w:w="1238" w:type="dxa"/>
            <w:shd w:val="clear" w:color="auto" w:fill="auto"/>
            <w:noWrap/>
            <w:vAlign w:val="center"/>
            <w:hideMark/>
          </w:tcPr>
          <w:p w14:paraId="4E9B8CEB"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1,000,000</w:t>
            </w:r>
          </w:p>
        </w:tc>
      </w:tr>
      <w:tr w:rsidR="00BB4CF6" w:rsidRPr="009B4009" w14:paraId="51165AA4" w14:textId="77777777" w:rsidTr="004016F9">
        <w:trPr>
          <w:trHeight w:val="283"/>
          <w:jc w:val="center"/>
        </w:trPr>
        <w:tc>
          <w:tcPr>
            <w:tcW w:w="2521" w:type="dxa"/>
            <w:shd w:val="clear" w:color="auto" w:fill="auto"/>
            <w:noWrap/>
            <w:vAlign w:val="center"/>
            <w:hideMark/>
          </w:tcPr>
          <w:p w14:paraId="21AD755C" w14:textId="77777777" w:rsidR="00BB4CF6" w:rsidRPr="009B4009" w:rsidRDefault="00BB4CF6" w:rsidP="003B6514">
            <w:pPr>
              <w:ind w:firstLine="0"/>
              <w:jc w:val="left"/>
              <w:rPr>
                <w:rFonts w:eastAsia="Times New Roman"/>
                <w:sz w:val="20"/>
                <w:szCs w:val="20"/>
                <w:lang w:val="en-US"/>
              </w:rPr>
            </w:pPr>
          </w:p>
        </w:tc>
        <w:tc>
          <w:tcPr>
            <w:tcW w:w="1500" w:type="dxa"/>
            <w:shd w:val="clear" w:color="auto" w:fill="auto"/>
            <w:noWrap/>
            <w:vAlign w:val="center"/>
            <w:hideMark/>
          </w:tcPr>
          <w:p w14:paraId="167C0757" w14:textId="77777777" w:rsidR="00BB4CF6" w:rsidRPr="009B4009" w:rsidRDefault="00BB4CF6" w:rsidP="003B6514">
            <w:pPr>
              <w:ind w:firstLine="0"/>
              <w:jc w:val="left"/>
              <w:rPr>
                <w:rFonts w:eastAsia="Times New Roman"/>
                <w:sz w:val="20"/>
                <w:szCs w:val="20"/>
                <w:lang w:val="en-US"/>
              </w:rPr>
            </w:pPr>
          </w:p>
        </w:tc>
        <w:tc>
          <w:tcPr>
            <w:tcW w:w="4117" w:type="dxa"/>
            <w:shd w:val="clear" w:color="auto" w:fill="auto"/>
            <w:noWrap/>
            <w:vAlign w:val="center"/>
            <w:hideMark/>
          </w:tcPr>
          <w:p w14:paraId="2F3261EF" w14:textId="77777777" w:rsidR="00BB4CF6" w:rsidRPr="009B4009" w:rsidRDefault="00BB4CF6"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Preference share </w:t>
            </w:r>
          </w:p>
        </w:tc>
        <w:tc>
          <w:tcPr>
            <w:tcW w:w="1238" w:type="dxa"/>
            <w:shd w:val="clear" w:color="auto" w:fill="auto"/>
            <w:noWrap/>
            <w:vAlign w:val="center"/>
            <w:hideMark/>
          </w:tcPr>
          <w:p w14:paraId="3AE3D2AF" w14:textId="77777777" w:rsidR="00BB4CF6" w:rsidRPr="009B4009" w:rsidRDefault="00BB4CF6"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400,000</w:t>
            </w:r>
          </w:p>
        </w:tc>
      </w:tr>
      <w:tr w:rsidR="00930059" w:rsidRPr="009B4009" w14:paraId="4CEE9C99" w14:textId="77777777" w:rsidTr="00BB4CF6">
        <w:trPr>
          <w:trHeight w:val="297"/>
          <w:jc w:val="center"/>
        </w:trPr>
        <w:tc>
          <w:tcPr>
            <w:tcW w:w="2521" w:type="dxa"/>
            <w:shd w:val="clear" w:color="auto" w:fill="auto"/>
            <w:noWrap/>
            <w:vAlign w:val="center"/>
            <w:hideMark/>
          </w:tcPr>
          <w:p w14:paraId="61A021F7" w14:textId="77777777" w:rsidR="00930059" w:rsidRPr="009B4009" w:rsidRDefault="00930059" w:rsidP="003B6514">
            <w:pPr>
              <w:ind w:firstLine="0"/>
              <w:jc w:val="lef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Non-Current  Assets</w:t>
            </w:r>
          </w:p>
        </w:tc>
        <w:tc>
          <w:tcPr>
            <w:tcW w:w="1500" w:type="dxa"/>
            <w:shd w:val="clear" w:color="auto" w:fill="auto"/>
            <w:noWrap/>
            <w:vAlign w:val="center"/>
            <w:hideMark/>
          </w:tcPr>
          <w:p w14:paraId="5743D925" w14:textId="77777777" w:rsidR="00930059" w:rsidRPr="009B4009" w:rsidRDefault="00930059" w:rsidP="003B6514">
            <w:pPr>
              <w:ind w:firstLine="0"/>
              <w:jc w:val="left"/>
              <w:rPr>
                <w:rFonts w:ascii="Calibri" w:eastAsia="Times New Roman" w:hAnsi="Calibri" w:cs="Calibri"/>
                <w:b/>
                <w:bCs/>
                <w:color w:val="000000"/>
                <w:sz w:val="22"/>
                <w:lang w:val="en-US"/>
              </w:rPr>
            </w:pPr>
          </w:p>
        </w:tc>
        <w:tc>
          <w:tcPr>
            <w:tcW w:w="4117" w:type="dxa"/>
            <w:shd w:val="clear" w:color="auto" w:fill="auto"/>
            <w:noWrap/>
            <w:vAlign w:val="center"/>
            <w:hideMark/>
          </w:tcPr>
          <w:p w14:paraId="60EE472B"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Retained profits </w:t>
            </w:r>
          </w:p>
        </w:tc>
        <w:tc>
          <w:tcPr>
            <w:tcW w:w="1238" w:type="dxa"/>
            <w:shd w:val="clear" w:color="auto" w:fill="auto"/>
            <w:noWrap/>
            <w:vAlign w:val="center"/>
            <w:hideMark/>
          </w:tcPr>
          <w:p w14:paraId="302D1796"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132,000</w:t>
            </w:r>
          </w:p>
        </w:tc>
      </w:tr>
      <w:tr w:rsidR="00930059" w:rsidRPr="009B4009" w14:paraId="5A45C5FA" w14:textId="77777777" w:rsidTr="00BB4CF6">
        <w:trPr>
          <w:trHeight w:val="283"/>
          <w:jc w:val="center"/>
        </w:trPr>
        <w:tc>
          <w:tcPr>
            <w:tcW w:w="2521" w:type="dxa"/>
            <w:shd w:val="clear" w:color="auto" w:fill="auto"/>
            <w:noWrap/>
            <w:vAlign w:val="center"/>
            <w:hideMark/>
          </w:tcPr>
          <w:p w14:paraId="78FA81E1"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Plant and Equipment </w:t>
            </w:r>
          </w:p>
        </w:tc>
        <w:tc>
          <w:tcPr>
            <w:tcW w:w="1500" w:type="dxa"/>
            <w:shd w:val="clear" w:color="auto" w:fill="auto"/>
            <w:noWrap/>
            <w:vAlign w:val="center"/>
            <w:hideMark/>
          </w:tcPr>
          <w:p w14:paraId="3D558EF2"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1,250,000</w:t>
            </w:r>
          </w:p>
        </w:tc>
        <w:tc>
          <w:tcPr>
            <w:tcW w:w="4117" w:type="dxa"/>
            <w:shd w:val="clear" w:color="auto" w:fill="auto"/>
            <w:noWrap/>
            <w:vAlign w:val="center"/>
            <w:hideMark/>
          </w:tcPr>
          <w:p w14:paraId="1659BDA6" w14:textId="77777777" w:rsidR="00930059" w:rsidRPr="009B4009" w:rsidRDefault="00930059" w:rsidP="003B6514">
            <w:pPr>
              <w:ind w:firstLine="0"/>
              <w:jc w:val="lef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 xml:space="preserve">Total Equity </w:t>
            </w:r>
          </w:p>
        </w:tc>
        <w:tc>
          <w:tcPr>
            <w:tcW w:w="1238" w:type="dxa"/>
            <w:shd w:val="clear" w:color="auto" w:fill="auto"/>
            <w:noWrap/>
            <w:vAlign w:val="center"/>
            <w:hideMark/>
          </w:tcPr>
          <w:p w14:paraId="0BCD33B8" w14:textId="77777777" w:rsidR="00930059" w:rsidRPr="009B4009" w:rsidRDefault="00930059" w:rsidP="003B6514">
            <w:pPr>
              <w:ind w:firstLine="0"/>
              <w:jc w:val="right"/>
              <w:rPr>
                <w:rFonts w:ascii="Calibri" w:eastAsia="Times New Roman" w:hAnsi="Calibri" w:cs="Calibri"/>
                <w:color w:val="000000"/>
                <w:sz w:val="22"/>
                <w:lang w:val="en-US"/>
              </w:rPr>
            </w:pPr>
            <w:r w:rsidRPr="009B4009">
              <w:rPr>
                <w:rFonts w:ascii="Calibri" w:eastAsia="Times New Roman" w:hAnsi="Calibri" w:cs="Calibri"/>
                <w:color w:val="000000"/>
                <w:sz w:val="22"/>
                <w:lang w:val="en-US"/>
              </w:rPr>
              <w:t>1,532,000</w:t>
            </w:r>
          </w:p>
        </w:tc>
      </w:tr>
      <w:tr w:rsidR="00930059" w:rsidRPr="009B4009" w14:paraId="5B59A529" w14:textId="77777777" w:rsidTr="00BB4CF6">
        <w:trPr>
          <w:trHeight w:val="297"/>
          <w:jc w:val="center"/>
        </w:trPr>
        <w:tc>
          <w:tcPr>
            <w:tcW w:w="2521" w:type="dxa"/>
            <w:shd w:val="clear" w:color="000000" w:fill="F4B084"/>
            <w:noWrap/>
            <w:vAlign w:val="center"/>
            <w:hideMark/>
          </w:tcPr>
          <w:p w14:paraId="41C8E123" w14:textId="77777777" w:rsidR="00930059" w:rsidRPr="009B4009" w:rsidRDefault="00930059" w:rsidP="003B6514">
            <w:pPr>
              <w:ind w:firstLine="0"/>
              <w:jc w:val="lef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 xml:space="preserve">Total Assets </w:t>
            </w:r>
          </w:p>
        </w:tc>
        <w:tc>
          <w:tcPr>
            <w:tcW w:w="1500" w:type="dxa"/>
            <w:shd w:val="clear" w:color="000000" w:fill="F4B084"/>
            <w:noWrap/>
            <w:vAlign w:val="center"/>
            <w:hideMark/>
          </w:tcPr>
          <w:p w14:paraId="5271C2F9" w14:textId="77777777" w:rsidR="00930059" w:rsidRPr="009B4009" w:rsidRDefault="00930059" w:rsidP="003B6514">
            <w:pPr>
              <w:ind w:firstLine="0"/>
              <w:jc w:val="righ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1,979,975</w:t>
            </w:r>
          </w:p>
        </w:tc>
        <w:tc>
          <w:tcPr>
            <w:tcW w:w="4117" w:type="dxa"/>
            <w:shd w:val="clear" w:color="000000" w:fill="F4B084"/>
            <w:noWrap/>
            <w:vAlign w:val="center"/>
            <w:hideMark/>
          </w:tcPr>
          <w:p w14:paraId="71519A54" w14:textId="77777777" w:rsidR="00930059" w:rsidRPr="009B4009" w:rsidRDefault="00930059" w:rsidP="003B6514">
            <w:pPr>
              <w:ind w:firstLine="0"/>
              <w:jc w:val="lef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 xml:space="preserve">Total  liabilities and Equity </w:t>
            </w:r>
          </w:p>
        </w:tc>
        <w:tc>
          <w:tcPr>
            <w:tcW w:w="1238" w:type="dxa"/>
            <w:shd w:val="clear" w:color="000000" w:fill="F4B084"/>
            <w:noWrap/>
            <w:vAlign w:val="center"/>
            <w:hideMark/>
          </w:tcPr>
          <w:p w14:paraId="629A7A7B" w14:textId="77777777" w:rsidR="00930059" w:rsidRPr="009B4009" w:rsidRDefault="00930059" w:rsidP="003B6514">
            <w:pPr>
              <w:ind w:firstLine="0"/>
              <w:jc w:val="right"/>
              <w:rPr>
                <w:rFonts w:ascii="Calibri" w:eastAsia="Times New Roman" w:hAnsi="Calibri" w:cs="Calibri"/>
                <w:b/>
                <w:bCs/>
                <w:color w:val="000000"/>
                <w:sz w:val="22"/>
                <w:lang w:val="en-US"/>
              </w:rPr>
            </w:pPr>
            <w:r w:rsidRPr="009B4009">
              <w:rPr>
                <w:rFonts w:ascii="Calibri" w:eastAsia="Times New Roman" w:hAnsi="Calibri" w:cs="Calibri"/>
                <w:b/>
                <w:bCs/>
                <w:color w:val="000000"/>
                <w:sz w:val="22"/>
                <w:lang w:val="en-US"/>
              </w:rPr>
              <w:t>1,923,625</w:t>
            </w:r>
          </w:p>
        </w:tc>
      </w:tr>
    </w:tbl>
    <w:p w14:paraId="192205FD" w14:textId="77777777" w:rsidR="009C75BA" w:rsidRDefault="009C75BA">
      <w:pPr>
        <w:ind w:firstLine="0"/>
        <w:rPr>
          <w:lang w:val="en-US"/>
        </w:rPr>
      </w:pPr>
    </w:p>
    <w:p w14:paraId="494C8A8F" w14:textId="77777777" w:rsidR="00D24C42" w:rsidRDefault="00D24C42" w:rsidP="00CD1782">
      <w:pPr>
        <w:rPr>
          <w:lang w:val="en-US"/>
        </w:rPr>
      </w:pPr>
      <w:r>
        <w:rPr>
          <w:lang w:val="en-US"/>
        </w:rPr>
        <w:t>The presented table 1 and 2 show the financial statement of Wales Plc for the year 31</w:t>
      </w:r>
      <w:r w:rsidRPr="00D24C42">
        <w:rPr>
          <w:vertAlign w:val="superscript"/>
          <w:lang w:val="en-US"/>
        </w:rPr>
        <w:t>st</w:t>
      </w:r>
      <w:r>
        <w:rPr>
          <w:lang w:val="en-US"/>
        </w:rPr>
        <w:t xml:space="preserve">   December 2021.  Table 1 represent</w:t>
      </w:r>
      <w:r w:rsidR="003B5BE7">
        <w:rPr>
          <w:lang w:val="en-US"/>
        </w:rPr>
        <w:t>s</w:t>
      </w:r>
      <w:r>
        <w:rPr>
          <w:lang w:val="en-US"/>
        </w:rPr>
        <w:t xml:space="preserve"> the Wales income statement </w:t>
      </w:r>
      <w:r w:rsidR="00C82FF2">
        <w:rPr>
          <w:lang w:val="en-US"/>
        </w:rPr>
        <w:t>which shows</w:t>
      </w:r>
      <w:r w:rsidR="00CD1782">
        <w:rPr>
          <w:lang w:val="en-US"/>
        </w:rPr>
        <w:t xml:space="preserve"> a </w:t>
      </w:r>
      <w:r w:rsidR="00CD1782" w:rsidRPr="00CD1782">
        <w:rPr>
          <w:lang w:val="en-US"/>
        </w:rPr>
        <w:t>company's sales, costs, and profitability over time</w:t>
      </w:r>
      <w:r w:rsidR="00CD1782">
        <w:rPr>
          <w:lang w:val="en-US"/>
        </w:rPr>
        <w:t>. D</w:t>
      </w:r>
      <w:r w:rsidR="00C82FF2">
        <w:rPr>
          <w:lang w:val="en-US"/>
        </w:rPr>
        <w:t>uring the year 2021</w:t>
      </w:r>
      <w:r w:rsidR="00CD1782">
        <w:rPr>
          <w:lang w:val="en-US"/>
        </w:rPr>
        <w:t>,</w:t>
      </w:r>
      <w:r w:rsidR="00C82FF2">
        <w:rPr>
          <w:lang w:val="en-US"/>
        </w:rPr>
        <w:t xml:space="preserve"> </w:t>
      </w:r>
      <w:r w:rsidR="00CD1782">
        <w:rPr>
          <w:lang w:val="en-US"/>
        </w:rPr>
        <w:t>Wales Plc earned</w:t>
      </w:r>
      <w:r w:rsidR="00C82FF2">
        <w:rPr>
          <w:lang w:val="en-US"/>
        </w:rPr>
        <w:t xml:space="preserve"> </w:t>
      </w:r>
      <w:r w:rsidR="003B5BE7">
        <w:rPr>
          <w:lang w:val="en-US"/>
        </w:rPr>
        <w:t xml:space="preserve">a </w:t>
      </w:r>
      <w:r w:rsidR="00C82FF2">
        <w:rPr>
          <w:lang w:val="en-US"/>
        </w:rPr>
        <w:t xml:space="preserve">net profit of </w:t>
      </w:r>
      <w:r w:rsidR="00C82FF2" w:rsidRPr="00D13619">
        <w:rPr>
          <w:lang w:val="en-US"/>
        </w:rPr>
        <w:t>£56,350</w:t>
      </w:r>
      <w:r w:rsidR="00CD1782">
        <w:rPr>
          <w:lang w:val="en-US"/>
        </w:rPr>
        <w:t xml:space="preserve"> from business operations.</w:t>
      </w:r>
      <w:r w:rsidR="00140376">
        <w:rPr>
          <w:lang w:val="en-US"/>
        </w:rPr>
        <w:t xml:space="preserve"> </w:t>
      </w:r>
      <w:r w:rsidR="00CD1782">
        <w:rPr>
          <w:lang w:val="en-US"/>
        </w:rPr>
        <w:t>In addition, the statement of financial position</w:t>
      </w:r>
      <w:r w:rsidR="001935A1">
        <w:rPr>
          <w:lang w:val="en-US"/>
        </w:rPr>
        <w:t xml:space="preserve"> reports the company’s assets, liabilities, </w:t>
      </w:r>
      <w:r w:rsidR="00D26070">
        <w:rPr>
          <w:lang w:val="en-US"/>
        </w:rPr>
        <w:t>and owner’s</w:t>
      </w:r>
      <w:r w:rsidR="001935A1">
        <w:rPr>
          <w:lang w:val="en-US"/>
        </w:rPr>
        <w:t xml:space="preserve"> equity. </w:t>
      </w:r>
      <w:r w:rsidR="00D26070">
        <w:rPr>
          <w:lang w:val="en-US"/>
        </w:rPr>
        <w:t>T</w:t>
      </w:r>
      <w:r w:rsidR="001935A1">
        <w:rPr>
          <w:lang w:val="en-US"/>
        </w:rPr>
        <w:t xml:space="preserve">able 2 shows the Wales plc </w:t>
      </w:r>
      <w:r w:rsidR="00A52D51">
        <w:rPr>
          <w:lang w:val="en-US"/>
        </w:rPr>
        <w:t xml:space="preserve">statement of financial </w:t>
      </w:r>
      <w:r w:rsidR="001935A1">
        <w:rPr>
          <w:lang w:val="en-US"/>
        </w:rPr>
        <w:t xml:space="preserve">position where the company’s assets are equal to total liabilities and owner’s equity. </w:t>
      </w:r>
    </w:p>
    <w:p w14:paraId="186C6D03" w14:textId="77777777" w:rsidR="00CD1782" w:rsidRDefault="00CD1782">
      <w:pPr>
        <w:rPr>
          <w:lang w:val="en-US"/>
        </w:rPr>
      </w:pPr>
    </w:p>
    <w:p w14:paraId="129ED67F" w14:textId="77777777" w:rsidR="009C75BA" w:rsidRDefault="00820B35" w:rsidP="001935A1">
      <w:pPr>
        <w:pStyle w:val="Heading1"/>
        <w:numPr>
          <w:ilvl w:val="0"/>
          <w:numId w:val="1"/>
        </w:numPr>
        <w:tabs>
          <w:tab w:val="clear" w:pos="840"/>
          <w:tab w:val="left" w:pos="0"/>
          <w:tab w:val="left" w:pos="142"/>
        </w:tabs>
        <w:ind w:left="0"/>
        <w:jc w:val="left"/>
        <w:rPr>
          <w:lang w:val="en-US"/>
        </w:rPr>
      </w:pPr>
      <w:bookmarkStart w:id="3" w:name="_Toc122975231"/>
      <w:r>
        <w:rPr>
          <w:lang w:val="en-US"/>
        </w:rPr>
        <w:t xml:space="preserve">Why does a Statement of Financial Position </w:t>
      </w:r>
      <w:r w:rsidR="00910E88">
        <w:rPr>
          <w:lang w:val="en-US"/>
        </w:rPr>
        <w:t>Balance?</w:t>
      </w:r>
      <w:bookmarkEnd w:id="3"/>
      <w:r>
        <w:rPr>
          <w:lang w:val="en-US"/>
        </w:rPr>
        <w:t xml:space="preserve"> </w:t>
      </w:r>
    </w:p>
    <w:p w14:paraId="729787C5" w14:textId="77777777" w:rsidR="00B9245D" w:rsidRDefault="005224CD" w:rsidP="00B9245D">
      <w:pPr>
        <w:rPr>
          <w:lang w:val="en-US"/>
        </w:rPr>
      </w:pPr>
      <w:r w:rsidRPr="005224CD">
        <w:rPr>
          <w:lang w:val="en-US"/>
        </w:rPr>
        <w:t>The decisions made in a company's financial accounts are what determine its financial situation. In a financial statement, the value of a company is shown as of a particular date. On a bala</w:t>
      </w:r>
      <w:r w:rsidR="00F040F6">
        <w:rPr>
          <w:lang w:val="en-US"/>
        </w:rPr>
        <w:t>nce sheet, the company's asset demonstrates what it owns</w:t>
      </w:r>
      <w:r w:rsidRPr="005224CD">
        <w:rPr>
          <w:lang w:val="en-US"/>
        </w:rPr>
        <w:t xml:space="preserve">, whereas its </w:t>
      </w:r>
      <w:r w:rsidR="00B56235" w:rsidRPr="005224CD">
        <w:rPr>
          <w:lang w:val="en-US"/>
        </w:rPr>
        <w:t xml:space="preserve">liabilities </w:t>
      </w:r>
      <w:r w:rsidR="00D26070">
        <w:rPr>
          <w:lang w:val="en-US"/>
        </w:rPr>
        <w:t>show</w:t>
      </w:r>
      <w:r w:rsidR="00B56235">
        <w:rPr>
          <w:lang w:val="en-US"/>
        </w:rPr>
        <w:t xml:space="preserve"> the total company </w:t>
      </w:r>
      <w:r w:rsidR="00F040F6">
        <w:rPr>
          <w:lang w:val="en-US"/>
        </w:rPr>
        <w:t>obligations and shows what the company owes</w:t>
      </w:r>
      <w:r w:rsidR="00E36BC0">
        <w:rPr>
          <w:lang w:val="en-US"/>
        </w:rPr>
        <w:t xml:space="preserve">. </w:t>
      </w:r>
      <w:proofErr w:type="spellStart"/>
      <w:r w:rsidR="001E0DDD" w:rsidRPr="00C42C68">
        <w:rPr>
          <w:lang w:val="en-US"/>
        </w:rPr>
        <w:t>Haralayya</w:t>
      </w:r>
      <w:proofErr w:type="spellEnd"/>
      <w:r w:rsidR="001E0DDD">
        <w:rPr>
          <w:lang w:val="en-US"/>
        </w:rPr>
        <w:t xml:space="preserve"> </w:t>
      </w:r>
      <w:r w:rsidR="00E36BC0">
        <w:rPr>
          <w:lang w:val="en-US"/>
        </w:rPr>
        <w:t>(</w:t>
      </w:r>
      <w:r w:rsidR="001E0DDD">
        <w:rPr>
          <w:lang w:val="en-US"/>
        </w:rPr>
        <w:t>2021</w:t>
      </w:r>
      <w:r w:rsidR="00E36BC0">
        <w:rPr>
          <w:lang w:val="en-US"/>
        </w:rPr>
        <w:t xml:space="preserve">) </w:t>
      </w:r>
      <w:r w:rsidR="00E36BC0" w:rsidRPr="00C42C68">
        <w:rPr>
          <w:lang w:val="en-US"/>
        </w:rPr>
        <w:t>describes</w:t>
      </w:r>
      <w:r w:rsidR="00287ED3">
        <w:rPr>
          <w:lang w:val="en-US"/>
        </w:rPr>
        <w:t xml:space="preserve"> that </w:t>
      </w:r>
      <w:r w:rsidR="00E36BC0">
        <w:rPr>
          <w:lang w:val="en-US"/>
        </w:rPr>
        <w:t>a balance sheet is one type of</w:t>
      </w:r>
      <w:r w:rsidR="00E36BC0" w:rsidRPr="00E36BC0">
        <w:rPr>
          <w:lang w:val="en-US"/>
        </w:rPr>
        <w:t xml:space="preserve"> financial statement that shows the assets, liabilities, and shareholders' equity of a company at a specific point in time.</w:t>
      </w:r>
      <w:r w:rsidR="00E36BC0">
        <w:rPr>
          <w:lang w:val="en-US"/>
        </w:rPr>
        <w:t xml:space="preserve"> furthermore, a </w:t>
      </w:r>
      <w:r w:rsidR="00E36BC0" w:rsidRPr="00E36BC0">
        <w:rPr>
          <w:lang w:val="en-US"/>
        </w:rPr>
        <w:t>company's capital structure can be assessed using the balance sheet as a starting point</w:t>
      </w:r>
      <w:r w:rsidR="00386097">
        <w:rPr>
          <w:lang w:val="en-US"/>
        </w:rPr>
        <w:t xml:space="preserve">. To make it more precise, the statement of </w:t>
      </w:r>
      <w:r w:rsidR="00386097">
        <w:rPr>
          <w:lang w:val="en-US"/>
        </w:rPr>
        <w:lastRenderedPageBreak/>
        <w:t xml:space="preserve">balance sheet evaluation what a company owes </w:t>
      </w:r>
      <w:r w:rsidR="00B9245D">
        <w:rPr>
          <w:lang w:val="en-US"/>
        </w:rPr>
        <w:t xml:space="preserve">and </w:t>
      </w:r>
      <w:r w:rsidR="00386097">
        <w:rPr>
          <w:lang w:val="en-US"/>
        </w:rPr>
        <w:t>owns, and the money invested by shareholders.</w:t>
      </w:r>
      <w:r w:rsidR="00CD6798">
        <w:rPr>
          <w:lang w:val="en-US"/>
        </w:rPr>
        <w:t xml:space="preserve"> </w:t>
      </w:r>
      <w:r w:rsidR="0069463D" w:rsidRPr="00C42C68">
        <w:rPr>
          <w:lang w:val="en-US"/>
        </w:rPr>
        <w:t>According</w:t>
      </w:r>
      <w:r w:rsidR="00C42C68">
        <w:rPr>
          <w:lang w:val="en-US"/>
        </w:rPr>
        <w:t xml:space="preserve"> to </w:t>
      </w:r>
      <w:proofErr w:type="spellStart"/>
      <w:r w:rsidR="00C42C68" w:rsidRPr="00C42C68">
        <w:rPr>
          <w:lang w:val="en-US"/>
        </w:rPr>
        <w:t>Günay</w:t>
      </w:r>
      <w:proofErr w:type="spellEnd"/>
      <w:r w:rsidR="00C42C68" w:rsidRPr="00C42C68">
        <w:rPr>
          <w:lang w:val="en-US"/>
        </w:rPr>
        <w:t xml:space="preserve">, and </w:t>
      </w:r>
      <w:proofErr w:type="spellStart"/>
      <w:r w:rsidR="00C42C68" w:rsidRPr="00C42C68">
        <w:rPr>
          <w:lang w:val="en-US"/>
        </w:rPr>
        <w:t>Fatih</w:t>
      </w:r>
      <w:proofErr w:type="spellEnd"/>
      <w:r w:rsidR="00C42C68">
        <w:rPr>
          <w:lang w:val="en-US"/>
        </w:rPr>
        <w:t xml:space="preserve"> </w:t>
      </w:r>
      <w:r w:rsidR="0069463D">
        <w:rPr>
          <w:lang w:val="en-US"/>
        </w:rPr>
        <w:t>(</w:t>
      </w:r>
      <w:r w:rsidR="00C42C68">
        <w:rPr>
          <w:lang w:val="en-US"/>
        </w:rPr>
        <w:t>2020</w:t>
      </w:r>
      <w:r w:rsidR="0069463D">
        <w:rPr>
          <w:lang w:val="en-US"/>
        </w:rPr>
        <w:t xml:space="preserve">), </w:t>
      </w:r>
      <w:r w:rsidR="003B5BE7">
        <w:rPr>
          <w:lang w:val="en-US"/>
        </w:rPr>
        <w:t xml:space="preserve">a </w:t>
      </w:r>
      <w:r w:rsidR="0069463D">
        <w:rPr>
          <w:lang w:val="en-US"/>
        </w:rPr>
        <w:t>company’s</w:t>
      </w:r>
      <w:r w:rsidR="0069463D" w:rsidRPr="0069463D">
        <w:rPr>
          <w:lang w:val="en-US"/>
        </w:rPr>
        <w:t xml:space="preserve"> balance sheet, also known as a statement of financial condition, is a document that </w:t>
      </w:r>
      <w:proofErr w:type="spellStart"/>
      <w:r w:rsidR="003F0790">
        <w:rPr>
          <w:lang w:val="en-US"/>
        </w:rPr>
        <w:t>summaris</w:t>
      </w:r>
      <w:r w:rsidR="003F0790" w:rsidRPr="0069463D">
        <w:rPr>
          <w:lang w:val="en-US"/>
        </w:rPr>
        <w:t>es</w:t>
      </w:r>
      <w:proofErr w:type="spellEnd"/>
      <w:r w:rsidR="0069463D" w:rsidRPr="0069463D">
        <w:rPr>
          <w:lang w:val="en-US"/>
        </w:rPr>
        <w:t xml:space="preserve"> the financial health of a firm.</w:t>
      </w:r>
      <w:r w:rsidR="00D35515" w:rsidRPr="00D35515">
        <w:rPr>
          <w:lang w:val="en-US"/>
        </w:rPr>
        <w:t xml:space="preserve"> </w:t>
      </w:r>
      <w:proofErr w:type="spellStart"/>
      <w:r w:rsidR="00D35515" w:rsidRPr="00D35515">
        <w:rPr>
          <w:lang w:val="en-US"/>
        </w:rPr>
        <w:t>Górowski</w:t>
      </w:r>
      <w:proofErr w:type="spellEnd"/>
      <w:r w:rsidR="00D35515" w:rsidRPr="00D35515">
        <w:rPr>
          <w:lang w:val="en-US"/>
        </w:rPr>
        <w:t xml:space="preserve">, Kurek, and </w:t>
      </w:r>
      <w:proofErr w:type="spellStart"/>
      <w:r w:rsidR="00D35515" w:rsidRPr="00D35515">
        <w:rPr>
          <w:lang w:val="en-US"/>
        </w:rPr>
        <w:t>Szarucki</w:t>
      </w:r>
      <w:proofErr w:type="spellEnd"/>
      <w:r w:rsidR="0069463D" w:rsidRPr="0069463D">
        <w:rPr>
          <w:lang w:val="en-US"/>
        </w:rPr>
        <w:t xml:space="preserve"> </w:t>
      </w:r>
      <w:r w:rsidR="003F0790">
        <w:rPr>
          <w:lang w:val="en-US"/>
        </w:rPr>
        <w:t>(</w:t>
      </w:r>
      <w:r w:rsidR="00D35515">
        <w:rPr>
          <w:lang w:val="en-US"/>
        </w:rPr>
        <w:t>2022</w:t>
      </w:r>
      <w:r w:rsidR="003F0790">
        <w:rPr>
          <w:lang w:val="en-US"/>
        </w:rPr>
        <w:t xml:space="preserve">) </w:t>
      </w:r>
      <w:r w:rsidR="003F0790" w:rsidRPr="00D35515">
        <w:rPr>
          <w:lang w:val="en-US"/>
        </w:rPr>
        <w:t>suggest</w:t>
      </w:r>
      <w:r w:rsidR="003F0790">
        <w:rPr>
          <w:lang w:val="en-US"/>
        </w:rPr>
        <w:t xml:space="preserve"> that </w:t>
      </w:r>
      <w:r w:rsidR="003B5BE7">
        <w:rPr>
          <w:lang w:val="en-US"/>
        </w:rPr>
        <w:t xml:space="preserve">the </w:t>
      </w:r>
      <w:r w:rsidR="003F0790">
        <w:rPr>
          <w:lang w:val="en-US"/>
        </w:rPr>
        <w:t>company</w:t>
      </w:r>
      <w:r w:rsidR="00B9245D">
        <w:rPr>
          <w:lang w:val="en-US"/>
        </w:rPr>
        <w:t>'s</w:t>
      </w:r>
      <w:r w:rsidR="003F0790">
        <w:rPr>
          <w:lang w:val="en-US"/>
        </w:rPr>
        <w:t xml:space="preserve"> financial position</w:t>
      </w:r>
      <w:r w:rsidR="0069463D" w:rsidRPr="0069463D">
        <w:rPr>
          <w:lang w:val="en-US"/>
        </w:rPr>
        <w:t xml:space="preserve"> follows the accounting equation, </w:t>
      </w:r>
      <w:r w:rsidR="003F0790">
        <w:rPr>
          <w:lang w:val="en-US"/>
        </w:rPr>
        <w:t xml:space="preserve">where the </w:t>
      </w:r>
      <w:r w:rsidR="0069463D" w:rsidRPr="0069463D">
        <w:rPr>
          <w:lang w:val="en-US"/>
        </w:rPr>
        <w:t xml:space="preserve">assets </w:t>
      </w:r>
      <w:r w:rsidR="003B5BE7">
        <w:rPr>
          <w:lang w:val="en-US"/>
        </w:rPr>
        <w:t xml:space="preserve">are </w:t>
      </w:r>
      <w:r w:rsidR="0069463D" w:rsidRPr="0069463D">
        <w:rPr>
          <w:lang w:val="en-US"/>
        </w:rPr>
        <w:t xml:space="preserve">shown on one side and liabilities and shareholder ownership </w:t>
      </w:r>
      <w:r w:rsidR="003B5BE7">
        <w:rPr>
          <w:lang w:val="en-US"/>
        </w:rPr>
        <w:t xml:space="preserve">are </w:t>
      </w:r>
      <w:r w:rsidR="0069463D" w:rsidRPr="0069463D">
        <w:rPr>
          <w:lang w:val="en-US"/>
        </w:rPr>
        <w:t>on the other</w:t>
      </w:r>
      <w:r w:rsidR="00EE6FE3">
        <w:rPr>
          <w:lang w:val="en-US"/>
        </w:rPr>
        <w:t xml:space="preserve"> of the statement</w:t>
      </w:r>
      <w:r w:rsidR="0069463D" w:rsidRPr="0069463D">
        <w:rPr>
          <w:lang w:val="en-US"/>
        </w:rPr>
        <w:t>.</w:t>
      </w:r>
      <w:r w:rsidR="00EE6FE3">
        <w:rPr>
          <w:lang w:val="en-US"/>
        </w:rPr>
        <w:t xml:space="preserve"> The statement of financial position emphasis that</w:t>
      </w:r>
      <w:r w:rsidR="00827019">
        <w:rPr>
          <w:lang w:val="en-US"/>
        </w:rPr>
        <w:t xml:space="preserve"> both sides of the company</w:t>
      </w:r>
      <w:r w:rsidR="003B5BE7">
        <w:rPr>
          <w:lang w:val="en-US"/>
        </w:rPr>
        <w:t>'s</w:t>
      </w:r>
      <w:r w:rsidR="00EE6FE3">
        <w:rPr>
          <w:lang w:val="en-US"/>
        </w:rPr>
        <w:t xml:space="preserve"> financial position must</w:t>
      </w:r>
      <w:r w:rsidR="006F7767">
        <w:rPr>
          <w:lang w:val="en-US"/>
        </w:rPr>
        <w:t xml:space="preserve"> be equal</w:t>
      </w:r>
      <w:r w:rsidR="00827019">
        <w:rPr>
          <w:lang w:val="en-US"/>
        </w:rPr>
        <w:t xml:space="preserve">. </w:t>
      </w:r>
      <w:r w:rsidR="00D35515" w:rsidRPr="00D35515">
        <w:rPr>
          <w:lang w:val="en-US"/>
        </w:rPr>
        <w:t>Zhou and Lamberton</w:t>
      </w:r>
      <w:r w:rsidR="00D35515">
        <w:rPr>
          <w:lang w:val="en-US"/>
        </w:rPr>
        <w:t xml:space="preserve"> </w:t>
      </w:r>
      <w:r w:rsidR="006F7767">
        <w:rPr>
          <w:lang w:val="en-US"/>
        </w:rPr>
        <w:t>(</w:t>
      </w:r>
      <w:r w:rsidR="00D35515">
        <w:rPr>
          <w:lang w:val="en-US"/>
        </w:rPr>
        <w:t>2021</w:t>
      </w:r>
      <w:r w:rsidR="006F7767">
        <w:rPr>
          <w:lang w:val="en-US"/>
        </w:rPr>
        <w:t xml:space="preserve">) </w:t>
      </w:r>
      <w:r w:rsidR="006F7767" w:rsidRPr="00D35515">
        <w:rPr>
          <w:lang w:val="en-US"/>
        </w:rPr>
        <w:t>suggest</w:t>
      </w:r>
      <w:r w:rsidR="006F7767">
        <w:rPr>
          <w:lang w:val="en-US"/>
        </w:rPr>
        <w:t xml:space="preserve"> that d</w:t>
      </w:r>
      <w:r w:rsidR="006F7767" w:rsidRPr="006F7767">
        <w:rPr>
          <w:lang w:val="en-US"/>
        </w:rPr>
        <w:t>escribe the double</w:t>
      </w:r>
      <w:r w:rsidR="003B5BE7">
        <w:rPr>
          <w:lang w:val="en-US"/>
        </w:rPr>
        <w:t>-</w:t>
      </w:r>
      <w:r w:rsidR="006F7767" w:rsidRPr="006F7767">
        <w:rPr>
          <w:lang w:val="en-US"/>
        </w:rPr>
        <w:t xml:space="preserve">entry rule is the main factor in accounting that makes a balance sheet balance. </w:t>
      </w:r>
      <w:r w:rsidR="00B9245D" w:rsidRPr="00B9245D">
        <w:rPr>
          <w:lang w:val="en-US"/>
        </w:rPr>
        <w:t>The accounting system also acts as a check to make sure the entries are accurate because every transaction must be documented in at least two different accounts.</w:t>
      </w:r>
    </w:p>
    <w:p w14:paraId="3A409544" w14:textId="77777777" w:rsidR="00D9498B" w:rsidRDefault="00CD6798" w:rsidP="00B9245D">
      <w:pPr>
        <w:rPr>
          <w:lang w:val="en-US"/>
        </w:rPr>
      </w:pPr>
      <w:r>
        <w:rPr>
          <w:lang w:val="en-US"/>
        </w:rPr>
        <w:t xml:space="preserve"> The </w:t>
      </w:r>
      <w:r w:rsidR="00C15AF0">
        <w:rPr>
          <w:lang w:val="en-US"/>
        </w:rPr>
        <w:t xml:space="preserve">double entry rule makes </w:t>
      </w:r>
      <w:r w:rsidR="003B5BE7">
        <w:rPr>
          <w:lang w:val="en-US"/>
        </w:rPr>
        <w:t xml:space="preserve">the </w:t>
      </w:r>
      <w:r w:rsidR="00C15AF0">
        <w:rPr>
          <w:lang w:val="en-US"/>
        </w:rPr>
        <w:t xml:space="preserve">debit side equals to the credit </w:t>
      </w:r>
      <w:r w:rsidR="003D674C">
        <w:rPr>
          <w:lang w:val="en-US"/>
        </w:rPr>
        <w:t xml:space="preserve">side. </w:t>
      </w:r>
      <w:r w:rsidR="001920ED" w:rsidRPr="001920ED">
        <w:rPr>
          <w:lang w:val="en-US"/>
        </w:rPr>
        <w:t>F</w:t>
      </w:r>
      <w:r w:rsidR="006728F7" w:rsidRPr="001920ED">
        <w:rPr>
          <w:lang w:val="en-US"/>
        </w:rPr>
        <w:t>urthermore</w:t>
      </w:r>
      <w:r w:rsidR="006728F7">
        <w:rPr>
          <w:lang w:val="en-US"/>
        </w:rPr>
        <w:t>, it</w:t>
      </w:r>
      <w:r w:rsidR="003D674C" w:rsidRPr="003D674C">
        <w:rPr>
          <w:lang w:val="en-US"/>
        </w:rPr>
        <w:t xml:space="preserve"> has been shown that when the balance on both sides of a financial position is not equal, there may be an issue when making accounting </w:t>
      </w:r>
      <w:r w:rsidR="003D674C" w:rsidRPr="001920ED">
        <w:rPr>
          <w:lang w:val="en-US"/>
        </w:rPr>
        <w:t>entries</w:t>
      </w:r>
      <w:r w:rsidR="006728F7">
        <w:rPr>
          <w:lang w:val="en-US"/>
        </w:rPr>
        <w:t xml:space="preserve"> (</w:t>
      </w:r>
      <w:r w:rsidR="001920ED" w:rsidRPr="001920ED">
        <w:rPr>
          <w:lang w:val="en-US"/>
        </w:rPr>
        <w:t>Zheng, Khurram, and Chen, 2022</w:t>
      </w:r>
      <w:r w:rsidR="006728F7">
        <w:rPr>
          <w:lang w:val="en-US"/>
        </w:rPr>
        <w:t>)</w:t>
      </w:r>
      <w:r w:rsidR="005F75F7">
        <w:rPr>
          <w:lang w:val="en-US"/>
        </w:rPr>
        <w:t>. I</w:t>
      </w:r>
      <w:r w:rsidR="006728F7">
        <w:rPr>
          <w:lang w:val="en-US"/>
        </w:rPr>
        <w:t xml:space="preserve">n </w:t>
      </w:r>
      <w:r w:rsidR="00A20B43">
        <w:rPr>
          <w:lang w:val="en-US"/>
        </w:rPr>
        <w:t>addition, the</w:t>
      </w:r>
      <w:r w:rsidR="006728F7">
        <w:rPr>
          <w:lang w:val="en-US"/>
        </w:rPr>
        <w:t xml:space="preserve"> </w:t>
      </w:r>
      <w:r w:rsidR="00A20B43">
        <w:rPr>
          <w:lang w:val="en-US"/>
        </w:rPr>
        <w:t>balance sheet</w:t>
      </w:r>
      <w:r w:rsidR="006728F7">
        <w:rPr>
          <w:lang w:val="en-US"/>
        </w:rPr>
        <w:t xml:space="preserve"> </w:t>
      </w:r>
      <w:r w:rsidR="00A20B43">
        <w:rPr>
          <w:lang w:val="en-US"/>
        </w:rPr>
        <w:t>of both side</w:t>
      </w:r>
      <w:r w:rsidR="003B5BE7">
        <w:rPr>
          <w:lang w:val="en-US"/>
        </w:rPr>
        <w:t>s</w:t>
      </w:r>
      <w:r w:rsidR="00A20B43">
        <w:rPr>
          <w:lang w:val="en-US"/>
        </w:rPr>
        <w:t xml:space="preserve"> balances</w:t>
      </w:r>
      <w:r w:rsidR="006728F7">
        <w:rPr>
          <w:lang w:val="en-US"/>
        </w:rPr>
        <w:t xml:space="preserve"> </w:t>
      </w:r>
      <w:r w:rsidR="00A20B43" w:rsidRPr="00A20B43">
        <w:rPr>
          <w:lang w:val="en-US"/>
        </w:rPr>
        <w:t xml:space="preserve">substantially </w:t>
      </w:r>
      <w:r w:rsidR="00A20B43">
        <w:rPr>
          <w:lang w:val="en-US"/>
        </w:rPr>
        <w:t>help</w:t>
      </w:r>
      <w:r w:rsidR="00B9245D">
        <w:rPr>
          <w:lang w:val="en-US"/>
        </w:rPr>
        <w:t>s</w:t>
      </w:r>
      <w:r w:rsidR="00A20B43">
        <w:rPr>
          <w:lang w:val="en-US"/>
        </w:rPr>
        <w:t xml:space="preserve"> the financial analyst to gain the company</w:t>
      </w:r>
      <w:r w:rsidR="003B5BE7">
        <w:rPr>
          <w:lang w:val="en-US"/>
        </w:rPr>
        <w:t>'s</w:t>
      </w:r>
      <w:r w:rsidR="00A20B43">
        <w:rPr>
          <w:lang w:val="en-US"/>
        </w:rPr>
        <w:t xml:space="preserve"> financial health and position. </w:t>
      </w:r>
      <w:r w:rsidR="00036DC9">
        <w:rPr>
          <w:lang w:val="en-US"/>
        </w:rPr>
        <w:t xml:space="preserve">Furthermore, </w:t>
      </w:r>
      <w:r w:rsidR="003B5BE7">
        <w:rPr>
          <w:lang w:val="en-US"/>
        </w:rPr>
        <w:t xml:space="preserve">the </w:t>
      </w:r>
      <w:r w:rsidR="00036DC9">
        <w:rPr>
          <w:lang w:val="en-US"/>
        </w:rPr>
        <w:t>double</w:t>
      </w:r>
      <w:r w:rsidR="00036DC9" w:rsidRPr="00036DC9">
        <w:rPr>
          <w:lang w:val="en-US"/>
        </w:rPr>
        <w:t xml:space="preserve">-entry accounting system permits ongoing revisions to the company's resources, commitments, and equity accounts, </w:t>
      </w:r>
      <w:r w:rsidR="003B5BE7">
        <w:rPr>
          <w:lang w:val="en-US"/>
        </w:rPr>
        <w:t xml:space="preserve">and </w:t>
      </w:r>
      <w:proofErr w:type="spellStart"/>
      <w:r w:rsidR="00036DC9" w:rsidRPr="00036DC9">
        <w:rPr>
          <w:lang w:val="en-US"/>
        </w:rPr>
        <w:t>organisations</w:t>
      </w:r>
      <w:proofErr w:type="spellEnd"/>
      <w:r w:rsidR="00036DC9" w:rsidRPr="00036DC9">
        <w:rPr>
          <w:lang w:val="en-US"/>
        </w:rPr>
        <w:t xml:space="preserve"> that use it frequently provide the financial situation statement.</w:t>
      </w:r>
      <w:r w:rsidR="00036DC9">
        <w:rPr>
          <w:lang w:val="en-US"/>
        </w:rPr>
        <w:t xml:space="preserve">  </w:t>
      </w:r>
      <w:r w:rsidR="00574E6D">
        <w:rPr>
          <w:lang w:val="en-US"/>
        </w:rPr>
        <w:t>Moreover, the</w:t>
      </w:r>
      <w:r w:rsidR="00036DC9">
        <w:rPr>
          <w:lang w:val="en-US"/>
        </w:rPr>
        <w:t xml:space="preserve"> emphasis on </w:t>
      </w:r>
      <w:r w:rsidR="00574E6D">
        <w:rPr>
          <w:lang w:val="en-US"/>
        </w:rPr>
        <w:t>the double</w:t>
      </w:r>
      <w:r w:rsidR="00036DC9">
        <w:rPr>
          <w:lang w:val="en-US"/>
        </w:rPr>
        <w:t>-</w:t>
      </w:r>
      <w:r w:rsidR="00574E6D">
        <w:rPr>
          <w:lang w:val="en-US"/>
        </w:rPr>
        <w:t>enter</w:t>
      </w:r>
      <w:r w:rsidR="00036DC9">
        <w:rPr>
          <w:lang w:val="en-US"/>
        </w:rPr>
        <w:t xml:space="preserve"> </w:t>
      </w:r>
      <w:r w:rsidR="00574E6D">
        <w:rPr>
          <w:lang w:val="en-US"/>
        </w:rPr>
        <w:t>bookkeeping</w:t>
      </w:r>
      <w:r w:rsidR="00036DC9">
        <w:rPr>
          <w:lang w:val="en-US"/>
        </w:rPr>
        <w:t xml:space="preserve"> system </w:t>
      </w:r>
      <w:r w:rsidR="00574E6D">
        <w:rPr>
          <w:lang w:val="en-US"/>
        </w:rPr>
        <w:t>typically help</w:t>
      </w:r>
      <w:r w:rsidR="003B5BE7">
        <w:rPr>
          <w:lang w:val="en-US"/>
        </w:rPr>
        <w:t>s</w:t>
      </w:r>
      <w:r w:rsidR="00574E6D">
        <w:rPr>
          <w:lang w:val="en-US"/>
        </w:rPr>
        <w:t xml:space="preserve"> companies to check and maintain the balance for each transaction, thus i</w:t>
      </w:r>
      <w:r w:rsidR="00574E6D" w:rsidRPr="00574E6D">
        <w:rPr>
          <w:lang w:val="en-US"/>
        </w:rPr>
        <w:t xml:space="preserve">t ensures the financial stability of the </w:t>
      </w:r>
      <w:r w:rsidR="00D9498B">
        <w:rPr>
          <w:lang w:val="en-US"/>
        </w:rPr>
        <w:t xml:space="preserve">company </w:t>
      </w:r>
      <w:r w:rsidR="00574E6D" w:rsidRPr="00574E6D">
        <w:rPr>
          <w:lang w:val="en-US"/>
        </w:rPr>
        <w:t>and gives investors and analysts accurate information about the company.</w:t>
      </w:r>
      <w:r w:rsidR="00D9498B">
        <w:rPr>
          <w:lang w:val="en-US"/>
        </w:rPr>
        <w:t xml:space="preserve"> </w:t>
      </w:r>
      <w:proofErr w:type="spellStart"/>
      <w:r w:rsidR="001920ED" w:rsidRPr="001920ED">
        <w:rPr>
          <w:lang w:val="en-US"/>
        </w:rPr>
        <w:t>Roszkowska</w:t>
      </w:r>
      <w:proofErr w:type="spellEnd"/>
      <w:r w:rsidR="001920ED">
        <w:rPr>
          <w:lang w:val="en-US"/>
        </w:rPr>
        <w:t xml:space="preserve"> </w:t>
      </w:r>
      <w:r w:rsidR="00D9498B">
        <w:rPr>
          <w:lang w:val="en-US"/>
        </w:rPr>
        <w:t>(</w:t>
      </w:r>
      <w:r w:rsidR="001920ED">
        <w:rPr>
          <w:lang w:val="en-US"/>
        </w:rPr>
        <w:t>2020</w:t>
      </w:r>
      <w:r w:rsidR="00D9498B">
        <w:rPr>
          <w:lang w:val="en-US"/>
        </w:rPr>
        <w:t xml:space="preserve">) </w:t>
      </w:r>
      <w:r w:rsidR="00D9498B" w:rsidRPr="001920ED">
        <w:rPr>
          <w:lang w:val="en-US"/>
        </w:rPr>
        <w:t>highlight</w:t>
      </w:r>
      <w:r w:rsidR="00D9498B">
        <w:rPr>
          <w:lang w:val="en-US"/>
        </w:rPr>
        <w:t xml:space="preserve"> </w:t>
      </w:r>
      <w:r w:rsidR="00783C09">
        <w:rPr>
          <w:lang w:val="en-US"/>
        </w:rPr>
        <w:t>the point that equal balance in the balance sheet ensure</w:t>
      </w:r>
      <w:r w:rsidR="003B5BE7">
        <w:rPr>
          <w:lang w:val="en-US"/>
        </w:rPr>
        <w:t>s</w:t>
      </w:r>
      <w:r w:rsidR="00783C09">
        <w:rPr>
          <w:lang w:val="en-US"/>
        </w:rPr>
        <w:t xml:space="preserve"> the investors and analyst to ensure that company is not misrepresenting any information and shows that pr</w:t>
      </w:r>
      <w:r w:rsidR="00DA2FFD">
        <w:rPr>
          <w:lang w:val="en-US"/>
        </w:rPr>
        <w:t xml:space="preserve">ovided information is unbiased. </w:t>
      </w:r>
      <w:r w:rsidR="00A3074B">
        <w:rPr>
          <w:lang w:val="en-US"/>
        </w:rPr>
        <w:t>I</w:t>
      </w:r>
      <w:r w:rsidR="00E10590">
        <w:rPr>
          <w:lang w:val="en-US"/>
        </w:rPr>
        <w:t>n addition,</w:t>
      </w:r>
      <w:r w:rsidR="00A3074B">
        <w:rPr>
          <w:lang w:val="en-US"/>
        </w:rPr>
        <w:t xml:space="preserve"> w</w:t>
      </w:r>
      <w:r w:rsidR="00DA2FFD" w:rsidRPr="00DA2FFD">
        <w:rPr>
          <w:lang w:val="en-US"/>
        </w:rPr>
        <w:t xml:space="preserve">hen a </w:t>
      </w:r>
      <w:r w:rsidR="00802C31">
        <w:rPr>
          <w:lang w:val="en-US"/>
        </w:rPr>
        <w:t xml:space="preserve">company </w:t>
      </w:r>
      <w:r w:rsidR="00DA2FFD" w:rsidRPr="00DA2FFD">
        <w:rPr>
          <w:lang w:val="en-US"/>
        </w:rPr>
        <w:t xml:space="preserve">uses </w:t>
      </w:r>
      <w:r w:rsidR="003B5BE7">
        <w:rPr>
          <w:lang w:val="en-US"/>
        </w:rPr>
        <w:t xml:space="preserve">the </w:t>
      </w:r>
      <w:r w:rsidR="00DA2FFD" w:rsidRPr="00DA2FFD">
        <w:rPr>
          <w:lang w:val="en-US"/>
        </w:rPr>
        <w:t>double-entry</w:t>
      </w:r>
      <w:r w:rsidR="00E10590">
        <w:rPr>
          <w:lang w:val="en-US"/>
        </w:rPr>
        <w:t xml:space="preserve"> system</w:t>
      </w:r>
      <w:r w:rsidR="00DA2FFD" w:rsidRPr="00DA2FFD">
        <w:rPr>
          <w:lang w:val="en-US"/>
        </w:rPr>
        <w:t>, there is a higher likelihood that the accounts will balance because errors are decreased</w:t>
      </w:r>
      <w:r w:rsidR="007411A7">
        <w:rPr>
          <w:lang w:val="en-US"/>
        </w:rPr>
        <w:t xml:space="preserve"> (</w:t>
      </w:r>
      <w:r w:rsidR="007411A7" w:rsidRPr="007411A7">
        <w:rPr>
          <w:lang w:val="en-US"/>
        </w:rPr>
        <w:t>Barker et al., 2021)</w:t>
      </w:r>
      <w:r w:rsidR="00DA2FFD" w:rsidRPr="00DA2FFD">
        <w:rPr>
          <w:lang w:val="en-US"/>
        </w:rPr>
        <w:t>. The double-entry accounting system can increase corporate accuracy by reducing errors and helping with financial reporting to prevent fraud.</w:t>
      </w:r>
    </w:p>
    <w:p w14:paraId="5AAB1F8D" w14:textId="77777777" w:rsidR="009C75BA" w:rsidRDefault="009C75BA">
      <w:pPr>
        <w:pStyle w:val="Heading1"/>
        <w:jc w:val="left"/>
        <w:rPr>
          <w:lang w:val="en-US"/>
        </w:rPr>
        <w:sectPr w:rsidR="009C75BA" w:rsidSect="006D3F42">
          <w:headerReference w:type="default" r:id="rId8"/>
          <w:pgSz w:w="12240" w:h="15840"/>
          <w:pgMar w:top="1440" w:right="1467" w:bottom="1440" w:left="1440" w:header="708" w:footer="708" w:gutter="0"/>
          <w:cols w:space="708"/>
          <w:titlePg/>
          <w:docGrid w:linePitch="360"/>
        </w:sectPr>
      </w:pPr>
    </w:p>
    <w:p w14:paraId="71E659DB" w14:textId="77777777" w:rsidR="009C75BA" w:rsidRDefault="00820B35">
      <w:pPr>
        <w:pStyle w:val="Heading1"/>
        <w:jc w:val="left"/>
        <w:rPr>
          <w:lang w:val="en-US"/>
        </w:rPr>
      </w:pPr>
      <w:bookmarkStart w:id="4" w:name="_Toc122975232"/>
      <w:r>
        <w:rPr>
          <w:lang w:val="en-US"/>
        </w:rPr>
        <w:lastRenderedPageBreak/>
        <w:t>Reference</w:t>
      </w:r>
      <w:r w:rsidR="00812026">
        <w:rPr>
          <w:lang w:val="en-US"/>
        </w:rPr>
        <w:t xml:space="preserve"> for Q1</w:t>
      </w:r>
      <w:bookmarkEnd w:id="4"/>
    </w:p>
    <w:p w14:paraId="2D122D82" w14:textId="77777777" w:rsidR="007411A7" w:rsidRPr="007411A7" w:rsidRDefault="007411A7">
      <w:pPr>
        <w:ind w:left="720" w:hanging="720"/>
        <w:rPr>
          <w:rFonts w:eastAsia="SimSun"/>
          <w:color w:val="000000" w:themeColor="text1"/>
          <w:szCs w:val="24"/>
          <w:shd w:val="clear" w:color="auto" w:fill="FFFFFF"/>
        </w:rPr>
      </w:pPr>
      <w:r w:rsidRPr="007411A7">
        <w:rPr>
          <w:color w:val="000000" w:themeColor="text1"/>
          <w:szCs w:val="24"/>
          <w:shd w:val="clear" w:color="auto" w:fill="FFFFFF"/>
        </w:rPr>
        <w:t>Barker, R., Lennard, A., Penman, S. and Teixeira, A., 2021. Accounting for intangible assets: suggested solutions. </w:t>
      </w:r>
      <w:r w:rsidRPr="007411A7">
        <w:rPr>
          <w:i/>
          <w:iCs/>
          <w:color w:val="000000" w:themeColor="text1"/>
          <w:szCs w:val="24"/>
          <w:shd w:val="clear" w:color="auto" w:fill="FFFFFF"/>
        </w:rPr>
        <w:t>Accounting and Business Research</w:t>
      </w:r>
      <w:r w:rsidRPr="007411A7">
        <w:rPr>
          <w:color w:val="000000" w:themeColor="text1"/>
          <w:szCs w:val="24"/>
          <w:shd w:val="clear" w:color="auto" w:fill="FFFFFF"/>
        </w:rPr>
        <w:t>, pp.1-30.</w:t>
      </w:r>
    </w:p>
    <w:p w14:paraId="2D688CF3" w14:textId="77777777" w:rsidR="007411A7" w:rsidRPr="007411A7" w:rsidRDefault="007411A7">
      <w:pPr>
        <w:ind w:left="720" w:hanging="720"/>
        <w:rPr>
          <w:color w:val="000000" w:themeColor="text1"/>
          <w:szCs w:val="24"/>
          <w:shd w:val="clear" w:color="auto" w:fill="FFFFFF"/>
        </w:rPr>
      </w:pPr>
      <w:proofErr w:type="spellStart"/>
      <w:r w:rsidRPr="007411A7">
        <w:rPr>
          <w:color w:val="000000" w:themeColor="text1"/>
          <w:szCs w:val="24"/>
          <w:shd w:val="clear" w:color="auto" w:fill="FFFFFF"/>
        </w:rPr>
        <w:t>Górowski</w:t>
      </w:r>
      <w:proofErr w:type="spellEnd"/>
      <w:r w:rsidRPr="007411A7">
        <w:rPr>
          <w:color w:val="000000" w:themeColor="text1"/>
          <w:szCs w:val="24"/>
          <w:shd w:val="clear" w:color="auto" w:fill="FFFFFF"/>
        </w:rPr>
        <w:t xml:space="preserve">, I., Kurek, B. and </w:t>
      </w:r>
      <w:proofErr w:type="spellStart"/>
      <w:r w:rsidRPr="007411A7">
        <w:rPr>
          <w:color w:val="000000" w:themeColor="text1"/>
          <w:szCs w:val="24"/>
          <w:shd w:val="clear" w:color="auto" w:fill="FFFFFF"/>
        </w:rPr>
        <w:t>Szarucki</w:t>
      </w:r>
      <w:proofErr w:type="spellEnd"/>
      <w:r w:rsidRPr="007411A7">
        <w:rPr>
          <w:color w:val="000000" w:themeColor="text1"/>
          <w:szCs w:val="24"/>
          <w:shd w:val="clear" w:color="auto" w:fill="FFFFFF"/>
        </w:rPr>
        <w:t>, M., 2022. The Impact of a New Accounting Standard on Assets, Liabilities and Leverage of Companies: Evidence from Energy Industry. </w:t>
      </w:r>
      <w:r w:rsidRPr="007411A7">
        <w:rPr>
          <w:i/>
          <w:iCs/>
          <w:color w:val="000000" w:themeColor="text1"/>
          <w:szCs w:val="24"/>
          <w:shd w:val="clear" w:color="auto" w:fill="FFFFFF"/>
        </w:rPr>
        <w:t>Energies</w:t>
      </w:r>
      <w:r w:rsidRPr="007411A7">
        <w:rPr>
          <w:color w:val="000000" w:themeColor="text1"/>
          <w:szCs w:val="24"/>
          <w:shd w:val="clear" w:color="auto" w:fill="FFFFFF"/>
        </w:rPr>
        <w:t>, </w:t>
      </w:r>
      <w:r w:rsidRPr="007411A7">
        <w:rPr>
          <w:i/>
          <w:iCs/>
          <w:color w:val="000000" w:themeColor="text1"/>
          <w:szCs w:val="24"/>
          <w:shd w:val="clear" w:color="auto" w:fill="FFFFFF"/>
        </w:rPr>
        <w:t>15</w:t>
      </w:r>
      <w:r w:rsidRPr="007411A7">
        <w:rPr>
          <w:color w:val="000000" w:themeColor="text1"/>
          <w:szCs w:val="24"/>
          <w:shd w:val="clear" w:color="auto" w:fill="FFFFFF"/>
        </w:rPr>
        <w:t>(4), p.1293.</w:t>
      </w:r>
    </w:p>
    <w:p w14:paraId="1EF40D03" w14:textId="77777777" w:rsidR="007411A7" w:rsidRPr="007411A7" w:rsidRDefault="007411A7">
      <w:pPr>
        <w:ind w:left="720" w:hanging="720"/>
        <w:rPr>
          <w:color w:val="000000" w:themeColor="text1"/>
          <w:szCs w:val="24"/>
          <w:shd w:val="clear" w:color="auto" w:fill="FFFFFF"/>
        </w:rPr>
      </w:pPr>
      <w:proofErr w:type="spellStart"/>
      <w:r w:rsidRPr="007411A7">
        <w:rPr>
          <w:color w:val="000000" w:themeColor="text1"/>
          <w:szCs w:val="24"/>
          <w:shd w:val="clear" w:color="auto" w:fill="FFFFFF"/>
        </w:rPr>
        <w:t>Günay</w:t>
      </w:r>
      <w:proofErr w:type="spellEnd"/>
      <w:r w:rsidRPr="007411A7">
        <w:rPr>
          <w:color w:val="000000" w:themeColor="text1"/>
          <w:szCs w:val="24"/>
          <w:shd w:val="clear" w:color="auto" w:fill="FFFFFF"/>
        </w:rPr>
        <w:t xml:space="preserve">, F. and </w:t>
      </w:r>
      <w:proofErr w:type="spellStart"/>
      <w:r w:rsidRPr="007411A7">
        <w:rPr>
          <w:color w:val="000000" w:themeColor="text1"/>
          <w:szCs w:val="24"/>
          <w:shd w:val="clear" w:color="auto" w:fill="FFFFFF"/>
        </w:rPr>
        <w:t>Fatih</w:t>
      </w:r>
      <w:proofErr w:type="spellEnd"/>
      <w:r w:rsidRPr="007411A7">
        <w:rPr>
          <w:color w:val="000000" w:themeColor="text1"/>
          <w:szCs w:val="24"/>
          <w:shd w:val="clear" w:color="auto" w:fill="FFFFFF"/>
        </w:rPr>
        <w:t xml:space="preserve">, E.C.E.R., 2020. Cash flow based financial performance of </w:t>
      </w:r>
      <w:proofErr w:type="spellStart"/>
      <w:r w:rsidRPr="007411A7">
        <w:rPr>
          <w:color w:val="000000" w:themeColor="text1"/>
          <w:szCs w:val="24"/>
          <w:shd w:val="clear" w:color="auto" w:fill="FFFFFF"/>
        </w:rPr>
        <w:t>Borsa</w:t>
      </w:r>
      <w:proofErr w:type="spellEnd"/>
      <w:r w:rsidRPr="007411A7">
        <w:rPr>
          <w:color w:val="000000" w:themeColor="text1"/>
          <w:szCs w:val="24"/>
          <w:shd w:val="clear" w:color="auto" w:fill="FFFFFF"/>
        </w:rPr>
        <w:t xml:space="preserve"> İstanbul tourism companies by Entropy-MAIRCA integrated model. </w:t>
      </w:r>
      <w:r w:rsidRPr="007411A7">
        <w:rPr>
          <w:i/>
          <w:iCs/>
          <w:color w:val="000000" w:themeColor="text1"/>
          <w:szCs w:val="24"/>
          <w:shd w:val="clear" w:color="auto" w:fill="FFFFFF"/>
        </w:rPr>
        <w:t>Journal of multidisciplinary academic tourism</w:t>
      </w:r>
      <w:r w:rsidRPr="007411A7">
        <w:rPr>
          <w:color w:val="000000" w:themeColor="text1"/>
          <w:szCs w:val="24"/>
          <w:shd w:val="clear" w:color="auto" w:fill="FFFFFF"/>
        </w:rPr>
        <w:t>, </w:t>
      </w:r>
      <w:r w:rsidRPr="007411A7">
        <w:rPr>
          <w:i/>
          <w:iCs/>
          <w:color w:val="000000" w:themeColor="text1"/>
          <w:szCs w:val="24"/>
          <w:shd w:val="clear" w:color="auto" w:fill="FFFFFF"/>
        </w:rPr>
        <w:t>5</w:t>
      </w:r>
      <w:r w:rsidRPr="007411A7">
        <w:rPr>
          <w:color w:val="000000" w:themeColor="text1"/>
          <w:szCs w:val="24"/>
          <w:shd w:val="clear" w:color="auto" w:fill="FFFFFF"/>
        </w:rPr>
        <w:t>(1), pp.29-37.</w:t>
      </w:r>
    </w:p>
    <w:p w14:paraId="13A3F18D" w14:textId="77777777" w:rsidR="007411A7" w:rsidRPr="007411A7" w:rsidRDefault="007411A7">
      <w:pPr>
        <w:ind w:left="720" w:hanging="720"/>
        <w:rPr>
          <w:color w:val="000000" w:themeColor="text1"/>
          <w:szCs w:val="24"/>
          <w:shd w:val="clear" w:color="auto" w:fill="FFFFFF"/>
        </w:rPr>
      </w:pPr>
      <w:proofErr w:type="spellStart"/>
      <w:r w:rsidRPr="007411A7">
        <w:rPr>
          <w:color w:val="000000" w:themeColor="text1"/>
          <w:szCs w:val="24"/>
          <w:shd w:val="clear" w:color="auto" w:fill="FFFFFF"/>
        </w:rPr>
        <w:t>Haralayya</w:t>
      </w:r>
      <w:proofErr w:type="spellEnd"/>
      <w:r w:rsidRPr="007411A7">
        <w:rPr>
          <w:color w:val="000000" w:themeColor="text1"/>
          <w:szCs w:val="24"/>
          <w:shd w:val="clear" w:color="auto" w:fill="FFFFFF"/>
        </w:rPr>
        <w:t xml:space="preserve">, B., 2021. Financial Statement Analysis Using Common Size on Mahindra </w:t>
      </w:r>
      <w:proofErr w:type="spellStart"/>
      <w:r w:rsidRPr="007411A7">
        <w:rPr>
          <w:color w:val="000000" w:themeColor="text1"/>
          <w:szCs w:val="24"/>
          <w:shd w:val="clear" w:color="auto" w:fill="FFFFFF"/>
        </w:rPr>
        <w:t>Sindol</w:t>
      </w:r>
      <w:proofErr w:type="spellEnd"/>
      <w:r w:rsidRPr="007411A7">
        <w:rPr>
          <w:color w:val="000000" w:themeColor="text1"/>
          <w:szCs w:val="24"/>
          <w:shd w:val="clear" w:color="auto" w:fill="FFFFFF"/>
        </w:rPr>
        <w:t xml:space="preserve"> Motors. </w:t>
      </w:r>
      <w:r w:rsidRPr="007411A7">
        <w:rPr>
          <w:i/>
          <w:iCs/>
          <w:color w:val="000000" w:themeColor="text1"/>
          <w:szCs w:val="24"/>
          <w:shd w:val="clear" w:color="auto" w:fill="FFFFFF"/>
        </w:rPr>
        <w:t>Iconic Research And Engineering Journals</w:t>
      </w:r>
      <w:r w:rsidRPr="007411A7">
        <w:rPr>
          <w:color w:val="000000" w:themeColor="text1"/>
          <w:szCs w:val="24"/>
          <w:shd w:val="clear" w:color="auto" w:fill="FFFFFF"/>
        </w:rPr>
        <w:t>, </w:t>
      </w:r>
      <w:r w:rsidRPr="007411A7">
        <w:rPr>
          <w:i/>
          <w:iCs/>
          <w:color w:val="000000" w:themeColor="text1"/>
          <w:szCs w:val="24"/>
          <w:shd w:val="clear" w:color="auto" w:fill="FFFFFF"/>
        </w:rPr>
        <w:t>5</w:t>
      </w:r>
      <w:r w:rsidRPr="007411A7">
        <w:rPr>
          <w:color w:val="000000" w:themeColor="text1"/>
          <w:szCs w:val="24"/>
          <w:shd w:val="clear" w:color="auto" w:fill="FFFFFF"/>
        </w:rPr>
        <w:t>(1), pp.150-159.</w:t>
      </w:r>
    </w:p>
    <w:p w14:paraId="13767050" w14:textId="77777777" w:rsidR="007411A7" w:rsidRPr="007411A7" w:rsidRDefault="007411A7">
      <w:pPr>
        <w:ind w:left="720" w:hanging="720"/>
        <w:rPr>
          <w:color w:val="000000" w:themeColor="text1"/>
          <w:szCs w:val="24"/>
          <w:shd w:val="clear" w:color="auto" w:fill="FFFFFF"/>
        </w:rPr>
      </w:pPr>
      <w:proofErr w:type="spellStart"/>
      <w:r w:rsidRPr="007411A7">
        <w:rPr>
          <w:color w:val="000000" w:themeColor="text1"/>
          <w:szCs w:val="24"/>
          <w:shd w:val="clear" w:color="auto" w:fill="FFFFFF"/>
        </w:rPr>
        <w:t>Roszkowska</w:t>
      </w:r>
      <w:proofErr w:type="spellEnd"/>
      <w:r w:rsidRPr="007411A7">
        <w:rPr>
          <w:color w:val="000000" w:themeColor="text1"/>
          <w:szCs w:val="24"/>
          <w:shd w:val="clear" w:color="auto" w:fill="FFFFFF"/>
        </w:rPr>
        <w:t>, P., 2020. Fintech in financial reporting and audit for fraud prevention and safeguarding equity investments. </w:t>
      </w:r>
      <w:r w:rsidRPr="007411A7">
        <w:rPr>
          <w:i/>
          <w:iCs/>
          <w:color w:val="000000" w:themeColor="text1"/>
          <w:szCs w:val="24"/>
          <w:shd w:val="clear" w:color="auto" w:fill="FFFFFF"/>
        </w:rPr>
        <w:t>Journal of Accounting &amp; Organizational Change</w:t>
      </w:r>
      <w:r w:rsidRPr="007411A7">
        <w:rPr>
          <w:color w:val="000000" w:themeColor="text1"/>
          <w:szCs w:val="24"/>
          <w:shd w:val="clear" w:color="auto" w:fill="FFFFFF"/>
        </w:rPr>
        <w:t>.</w:t>
      </w:r>
    </w:p>
    <w:p w14:paraId="41BF687B" w14:textId="77777777" w:rsidR="007411A7" w:rsidRPr="007411A7" w:rsidRDefault="007411A7">
      <w:pPr>
        <w:ind w:left="720" w:hanging="720"/>
        <w:rPr>
          <w:color w:val="000000" w:themeColor="text1"/>
          <w:szCs w:val="24"/>
          <w:shd w:val="clear" w:color="auto" w:fill="FFFFFF"/>
        </w:rPr>
      </w:pPr>
      <w:r w:rsidRPr="007411A7">
        <w:rPr>
          <w:color w:val="000000" w:themeColor="text1"/>
          <w:szCs w:val="24"/>
          <w:shd w:val="clear" w:color="auto" w:fill="FFFFFF"/>
        </w:rPr>
        <w:t>Zheng, J., Khurram, M.U. and Chen, L., 2022. Can green innovation affect ESG ratings and financial performance? evidence from Chinese GEM listed companies. </w:t>
      </w:r>
      <w:r w:rsidRPr="007411A7">
        <w:rPr>
          <w:i/>
          <w:iCs/>
          <w:color w:val="000000" w:themeColor="text1"/>
          <w:szCs w:val="24"/>
          <w:shd w:val="clear" w:color="auto" w:fill="FFFFFF"/>
        </w:rPr>
        <w:t>Sustainability</w:t>
      </w:r>
      <w:r w:rsidRPr="007411A7">
        <w:rPr>
          <w:color w:val="000000" w:themeColor="text1"/>
          <w:szCs w:val="24"/>
          <w:shd w:val="clear" w:color="auto" w:fill="FFFFFF"/>
        </w:rPr>
        <w:t>, </w:t>
      </w:r>
      <w:r w:rsidRPr="007411A7">
        <w:rPr>
          <w:i/>
          <w:iCs/>
          <w:color w:val="000000" w:themeColor="text1"/>
          <w:szCs w:val="24"/>
          <w:shd w:val="clear" w:color="auto" w:fill="FFFFFF"/>
        </w:rPr>
        <w:t>14</w:t>
      </w:r>
      <w:r w:rsidRPr="007411A7">
        <w:rPr>
          <w:color w:val="000000" w:themeColor="text1"/>
          <w:szCs w:val="24"/>
          <w:shd w:val="clear" w:color="auto" w:fill="FFFFFF"/>
        </w:rPr>
        <w:t>(14), p.8677.</w:t>
      </w:r>
    </w:p>
    <w:p w14:paraId="67181218" w14:textId="77777777" w:rsidR="007411A7" w:rsidRPr="007411A7" w:rsidRDefault="007411A7">
      <w:pPr>
        <w:ind w:left="720" w:hanging="720"/>
        <w:rPr>
          <w:color w:val="000000" w:themeColor="text1"/>
          <w:szCs w:val="24"/>
          <w:shd w:val="clear" w:color="auto" w:fill="FFFFFF"/>
        </w:rPr>
      </w:pPr>
      <w:r w:rsidRPr="007411A7">
        <w:rPr>
          <w:color w:val="000000" w:themeColor="text1"/>
          <w:szCs w:val="24"/>
          <w:shd w:val="clear" w:color="auto" w:fill="FFFFFF"/>
        </w:rPr>
        <w:t>Zhou, Y. and Lamberton, G., 2021. Teaching double-entry accounting: A simplified scaffolded technique based on cognitive load theory. </w:t>
      </w:r>
      <w:r w:rsidRPr="007411A7">
        <w:rPr>
          <w:i/>
          <w:iCs/>
          <w:color w:val="000000" w:themeColor="text1"/>
          <w:szCs w:val="24"/>
          <w:shd w:val="clear" w:color="auto" w:fill="FFFFFF"/>
        </w:rPr>
        <w:t>Journal of education for business</w:t>
      </w:r>
      <w:r w:rsidRPr="007411A7">
        <w:rPr>
          <w:color w:val="000000" w:themeColor="text1"/>
          <w:szCs w:val="24"/>
          <w:shd w:val="clear" w:color="auto" w:fill="FFFFFF"/>
        </w:rPr>
        <w:t>, </w:t>
      </w:r>
      <w:r w:rsidRPr="007411A7">
        <w:rPr>
          <w:i/>
          <w:iCs/>
          <w:color w:val="000000" w:themeColor="text1"/>
          <w:szCs w:val="24"/>
          <w:shd w:val="clear" w:color="auto" w:fill="FFFFFF"/>
        </w:rPr>
        <w:t>96</w:t>
      </w:r>
      <w:r w:rsidRPr="007411A7">
        <w:rPr>
          <w:color w:val="000000" w:themeColor="text1"/>
          <w:szCs w:val="24"/>
          <w:shd w:val="clear" w:color="auto" w:fill="FFFFFF"/>
        </w:rPr>
        <w:t>(7), pp.445-453.</w:t>
      </w:r>
    </w:p>
    <w:p w14:paraId="217B13A3" w14:textId="77777777" w:rsidR="009C75BA" w:rsidRDefault="009C75BA">
      <w:pPr>
        <w:ind w:left="720" w:hanging="720"/>
        <w:rPr>
          <w:rFonts w:eastAsia="SimSun"/>
          <w:color w:val="222222"/>
          <w:szCs w:val="24"/>
          <w:shd w:val="clear" w:color="auto" w:fill="FFFFFF"/>
        </w:rPr>
      </w:pPr>
    </w:p>
    <w:p w14:paraId="09AD23CB" w14:textId="77777777" w:rsidR="009C75BA" w:rsidRDefault="009C75BA">
      <w:pPr>
        <w:ind w:left="720" w:hanging="720"/>
        <w:rPr>
          <w:rFonts w:eastAsia="SimSun"/>
          <w:color w:val="222222"/>
          <w:szCs w:val="24"/>
          <w:shd w:val="clear" w:color="auto" w:fill="FFFFFF"/>
        </w:rPr>
      </w:pPr>
    </w:p>
    <w:p w14:paraId="5242D27A" w14:textId="77777777" w:rsidR="009C75BA" w:rsidRDefault="009C75BA">
      <w:pPr>
        <w:ind w:left="720" w:hanging="720"/>
        <w:rPr>
          <w:rFonts w:eastAsia="SimSun"/>
          <w:color w:val="222222"/>
          <w:szCs w:val="24"/>
          <w:shd w:val="clear" w:color="auto" w:fill="FFFFFF"/>
        </w:rPr>
      </w:pPr>
    </w:p>
    <w:p w14:paraId="689160D8" w14:textId="77777777" w:rsidR="009C75BA" w:rsidRDefault="009C75BA">
      <w:pPr>
        <w:ind w:left="720" w:hanging="720"/>
        <w:rPr>
          <w:rFonts w:eastAsia="SimSun"/>
          <w:color w:val="222222"/>
          <w:szCs w:val="24"/>
          <w:shd w:val="clear" w:color="auto" w:fill="FFFFFF"/>
        </w:rPr>
      </w:pPr>
    </w:p>
    <w:p w14:paraId="2C3D2619" w14:textId="77777777" w:rsidR="009C75BA" w:rsidRDefault="009C75BA">
      <w:pPr>
        <w:ind w:left="720" w:hanging="720"/>
        <w:rPr>
          <w:rFonts w:eastAsia="SimSun"/>
          <w:color w:val="222222"/>
          <w:szCs w:val="24"/>
          <w:shd w:val="clear" w:color="auto" w:fill="FFFFFF"/>
        </w:rPr>
      </w:pPr>
    </w:p>
    <w:p w14:paraId="40EB4893" w14:textId="77777777" w:rsidR="009C75BA" w:rsidRDefault="009C75BA">
      <w:pPr>
        <w:ind w:left="720" w:hanging="720"/>
        <w:rPr>
          <w:rFonts w:eastAsia="SimSun"/>
          <w:color w:val="222222"/>
          <w:szCs w:val="24"/>
          <w:shd w:val="clear" w:color="auto" w:fill="FFFFFF"/>
        </w:rPr>
      </w:pPr>
    </w:p>
    <w:p w14:paraId="1D4C11C9" w14:textId="77777777" w:rsidR="009C75BA" w:rsidRDefault="009C75BA">
      <w:pPr>
        <w:ind w:left="720" w:hanging="720"/>
        <w:rPr>
          <w:rFonts w:eastAsia="SimSun"/>
          <w:color w:val="222222"/>
          <w:szCs w:val="24"/>
          <w:shd w:val="clear" w:color="auto" w:fill="FFFFFF"/>
        </w:rPr>
      </w:pPr>
    </w:p>
    <w:p w14:paraId="0A531275" w14:textId="77777777" w:rsidR="009C75BA" w:rsidRDefault="009C75BA">
      <w:pPr>
        <w:ind w:left="720" w:hanging="720"/>
        <w:rPr>
          <w:rFonts w:eastAsia="SimSun"/>
          <w:color w:val="222222"/>
          <w:szCs w:val="24"/>
          <w:shd w:val="clear" w:color="auto" w:fill="FFFFFF"/>
        </w:rPr>
      </w:pPr>
    </w:p>
    <w:p w14:paraId="2FF7BC17" w14:textId="77777777" w:rsidR="009C75BA" w:rsidRDefault="009C75BA">
      <w:pPr>
        <w:ind w:left="720" w:hanging="720"/>
        <w:rPr>
          <w:rFonts w:eastAsia="SimSun"/>
          <w:color w:val="222222"/>
          <w:szCs w:val="24"/>
          <w:shd w:val="clear" w:color="auto" w:fill="FFFFFF"/>
        </w:rPr>
      </w:pPr>
    </w:p>
    <w:p w14:paraId="4DF790ED" w14:textId="77777777" w:rsidR="009C75BA" w:rsidRDefault="009C75BA">
      <w:pPr>
        <w:ind w:left="720" w:hanging="720"/>
        <w:rPr>
          <w:rFonts w:eastAsia="SimSun"/>
          <w:color w:val="222222"/>
          <w:szCs w:val="24"/>
          <w:shd w:val="clear" w:color="auto" w:fill="FFFFFF"/>
        </w:rPr>
      </w:pPr>
    </w:p>
    <w:p w14:paraId="2D7FB462" w14:textId="77777777" w:rsidR="009C75BA" w:rsidRDefault="009C75BA">
      <w:pPr>
        <w:ind w:left="720" w:hanging="720"/>
        <w:rPr>
          <w:rFonts w:eastAsia="SimSun"/>
          <w:color w:val="222222"/>
          <w:szCs w:val="24"/>
          <w:shd w:val="clear" w:color="auto" w:fill="FFFFFF"/>
        </w:rPr>
      </w:pPr>
    </w:p>
    <w:p w14:paraId="1737D6BD" w14:textId="77777777" w:rsidR="001E0DDD" w:rsidRDefault="001E0DDD">
      <w:pPr>
        <w:spacing w:line="240" w:lineRule="auto"/>
        <w:ind w:firstLine="0"/>
        <w:jc w:val="left"/>
        <w:rPr>
          <w:rFonts w:eastAsia="Times New Roman"/>
          <w:b/>
          <w:szCs w:val="24"/>
          <w:lang w:val="en-US"/>
        </w:rPr>
      </w:pPr>
    </w:p>
    <w:p w14:paraId="5435E0E8" w14:textId="77777777" w:rsidR="009C75BA" w:rsidRDefault="00820B35">
      <w:pPr>
        <w:pStyle w:val="Heading1"/>
        <w:rPr>
          <w:rFonts w:eastAsia="SimSun"/>
          <w:color w:val="222222"/>
          <w:shd w:val="clear" w:color="auto" w:fill="FFFFFF"/>
          <w:lang w:val="en-US"/>
        </w:rPr>
      </w:pPr>
      <w:bookmarkStart w:id="5" w:name="_Toc122975233"/>
      <w:r>
        <w:rPr>
          <w:lang w:val="en-US"/>
        </w:rPr>
        <w:lastRenderedPageBreak/>
        <w:t xml:space="preserve">QUESTION </w:t>
      </w:r>
      <w:r w:rsidR="00812026">
        <w:rPr>
          <w:lang w:val="en-US"/>
        </w:rPr>
        <w:t xml:space="preserve">NUMBER </w:t>
      </w:r>
      <w:r>
        <w:rPr>
          <w:rFonts w:eastAsia="SimSun"/>
          <w:color w:val="222222"/>
          <w:shd w:val="clear" w:color="auto" w:fill="FFFFFF"/>
          <w:lang w:val="en-US"/>
        </w:rPr>
        <w:t>2</w:t>
      </w:r>
      <w:bookmarkEnd w:id="5"/>
    </w:p>
    <w:p w14:paraId="320212BA" w14:textId="77777777" w:rsidR="009C75BA" w:rsidRDefault="008B776B">
      <w:pPr>
        <w:pStyle w:val="Heading1"/>
        <w:numPr>
          <w:ilvl w:val="0"/>
          <w:numId w:val="2"/>
        </w:numPr>
        <w:jc w:val="both"/>
        <w:rPr>
          <w:lang w:val="en-US"/>
        </w:rPr>
      </w:pPr>
      <w:bookmarkStart w:id="6" w:name="_Toc122975234"/>
      <w:r>
        <w:rPr>
          <w:lang w:val="en-US"/>
        </w:rPr>
        <w:t xml:space="preserve">Analysis </w:t>
      </w:r>
      <w:r w:rsidR="00820B35">
        <w:rPr>
          <w:lang w:val="en-US"/>
        </w:rPr>
        <w:t>of Financial Ratio</w:t>
      </w:r>
      <w:bookmarkEnd w:id="6"/>
      <w:r w:rsidR="00820B35">
        <w:rPr>
          <w:lang w:val="en-US"/>
        </w:rPr>
        <w:t xml:space="preserve"> </w:t>
      </w:r>
    </w:p>
    <w:p w14:paraId="1495395F" w14:textId="77777777" w:rsidR="00963C29" w:rsidRDefault="00B9245D" w:rsidP="00CE56DC">
      <w:pPr>
        <w:rPr>
          <w:szCs w:val="24"/>
          <w:lang w:val="en-US"/>
        </w:rPr>
      </w:pPr>
      <w:r w:rsidRPr="00B9245D">
        <w:rPr>
          <w:szCs w:val="24"/>
          <w:lang w:val="en-US"/>
        </w:rPr>
        <w:t>A company's financial ratio is used to assess its financial standing by looking at both historical and recent financial information.</w:t>
      </w:r>
      <w:r>
        <w:rPr>
          <w:szCs w:val="24"/>
          <w:lang w:val="en-US"/>
        </w:rPr>
        <w:t xml:space="preserve"> </w:t>
      </w:r>
      <w:r w:rsidR="00BB4CF6" w:rsidRPr="00BB4CF6">
        <w:rPr>
          <w:szCs w:val="24"/>
          <w:lang w:val="en-US"/>
        </w:rPr>
        <w:t xml:space="preserve">Comparative statistics can be used to display and forecast the company's performance across time. </w:t>
      </w:r>
      <w:proofErr w:type="spellStart"/>
      <w:r w:rsidR="003B5BE7" w:rsidRPr="003B5BE7">
        <w:rPr>
          <w:szCs w:val="24"/>
          <w:lang w:val="en-US"/>
        </w:rPr>
        <w:t>Bordeianu</w:t>
      </w:r>
      <w:proofErr w:type="spellEnd"/>
      <w:r w:rsidR="003B5BE7" w:rsidRPr="003B5BE7">
        <w:rPr>
          <w:szCs w:val="24"/>
          <w:lang w:val="en-US"/>
        </w:rPr>
        <w:t xml:space="preserve"> and Radu</w:t>
      </w:r>
      <w:r w:rsidR="003B5BE7">
        <w:rPr>
          <w:szCs w:val="24"/>
          <w:lang w:val="en-US"/>
        </w:rPr>
        <w:t xml:space="preserve"> </w:t>
      </w:r>
      <w:r w:rsidR="00EB44D8">
        <w:rPr>
          <w:szCs w:val="24"/>
          <w:lang w:val="en-US"/>
        </w:rPr>
        <w:t>(</w:t>
      </w:r>
      <w:r w:rsidR="003B5BE7">
        <w:rPr>
          <w:szCs w:val="24"/>
          <w:lang w:val="en-US"/>
        </w:rPr>
        <w:t>2020</w:t>
      </w:r>
      <w:r w:rsidR="00EB44D8">
        <w:rPr>
          <w:szCs w:val="24"/>
          <w:lang w:val="en-US"/>
        </w:rPr>
        <w:t>)</w:t>
      </w:r>
      <w:r w:rsidR="002355E1">
        <w:rPr>
          <w:szCs w:val="24"/>
          <w:lang w:val="en-US"/>
        </w:rPr>
        <w:t xml:space="preserve"> </w:t>
      </w:r>
      <w:r w:rsidR="002355E1" w:rsidRPr="003B5BE7">
        <w:rPr>
          <w:szCs w:val="24"/>
          <w:lang w:val="en-US"/>
        </w:rPr>
        <w:t>describe</w:t>
      </w:r>
      <w:r w:rsidR="002355E1">
        <w:rPr>
          <w:szCs w:val="24"/>
          <w:lang w:val="en-US"/>
        </w:rPr>
        <w:t xml:space="preserve"> </w:t>
      </w:r>
      <w:r w:rsidR="00EB44D8">
        <w:rPr>
          <w:szCs w:val="24"/>
          <w:lang w:val="en-US"/>
        </w:rPr>
        <w:t>that a</w:t>
      </w:r>
      <w:r w:rsidR="00BB4CF6" w:rsidRPr="00BB4CF6">
        <w:rPr>
          <w:szCs w:val="24"/>
          <w:lang w:val="en-US"/>
        </w:rPr>
        <w:t xml:space="preserve"> company's financial performance can be compared to that of its rivals and the sector as a whole.</w:t>
      </w:r>
      <w:r w:rsidR="006A25A4">
        <w:rPr>
          <w:szCs w:val="24"/>
          <w:lang w:val="en-US"/>
        </w:rPr>
        <w:t xml:space="preserve"> </w:t>
      </w:r>
      <w:r w:rsidR="006A25A4" w:rsidRPr="006A25A4">
        <w:rPr>
          <w:szCs w:val="24"/>
          <w:lang w:val="en-US"/>
        </w:rPr>
        <w:t>Financial ratios serve as gauges of a company's financial health. Various financial statistics revea</w:t>
      </w:r>
      <w:r w:rsidR="00963C29">
        <w:rPr>
          <w:szCs w:val="24"/>
          <w:lang w:val="en-US"/>
        </w:rPr>
        <w:t>l the outcomes, financial risks,</w:t>
      </w:r>
      <w:r w:rsidR="006A25A4" w:rsidRPr="006A25A4">
        <w:rPr>
          <w:szCs w:val="24"/>
          <w:lang w:val="en-US"/>
        </w:rPr>
        <w:t xml:space="preserve"> and operational effectiveness of the</w:t>
      </w:r>
      <w:r w:rsidR="006A25A4">
        <w:rPr>
          <w:szCs w:val="24"/>
          <w:lang w:val="en-US"/>
        </w:rPr>
        <w:t xml:space="preserve"> company, which involve the liquidity, solvency, profitability, and assets management ratio</w:t>
      </w:r>
      <w:r w:rsidR="00963C29">
        <w:rPr>
          <w:szCs w:val="24"/>
          <w:lang w:val="en-US"/>
        </w:rPr>
        <w:t xml:space="preserve"> analysis</w:t>
      </w:r>
      <w:r w:rsidR="006A25A4" w:rsidRPr="006A25A4">
        <w:rPr>
          <w:szCs w:val="24"/>
          <w:lang w:val="en-US"/>
        </w:rPr>
        <w:t>.</w:t>
      </w:r>
      <w:r w:rsidR="00BB4CF6" w:rsidRPr="00BB4CF6">
        <w:rPr>
          <w:szCs w:val="24"/>
          <w:lang w:val="en-US"/>
        </w:rPr>
        <w:t xml:space="preserve"> </w:t>
      </w:r>
      <w:r w:rsidR="003B5BE7">
        <w:rPr>
          <w:szCs w:val="24"/>
          <w:lang w:val="en-US"/>
        </w:rPr>
        <w:t>T</w:t>
      </w:r>
      <w:r w:rsidR="00963C29">
        <w:rPr>
          <w:szCs w:val="24"/>
          <w:lang w:val="en-US"/>
        </w:rPr>
        <w:t>able 3 show</w:t>
      </w:r>
      <w:r w:rsidR="003B5BE7">
        <w:rPr>
          <w:szCs w:val="24"/>
          <w:lang w:val="en-US"/>
        </w:rPr>
        <w:t>s</w:t>
      </w:r>
      <w:r w:rsidR="00963C29">
        <w:rPr>
          <w:szCs w:val="24"/>
          <w:lang w:val="en-US"/>
        </w:rPr>
        <w:t xml:space="preserve"> the calculation of sweet plc f</w:t>
      </w:r>
      <w:r w:rsidR="003B5BE7">
        <w:rPr>
          <w:szCs w:val="24"/>
          <w:lang w:val="en-US"/>
        </w:rPr>
        <w:t>ro</w:t>
      </w:r>
      <w:r w:rsidR="00963C29">
        <w:rPr>
          <w:szCs w:val="24"/>
          <w:lang w:val="en-US"/>
        </w:rPr>
        <w:t>m the year</w:t>
      </w:r>
      <w:r w:rsidR="003B5BE7">
        <w:rPr>
          <w:szCs w:val="24"/>
          <w:lang w:val="en-US"/>
        </w:rPr>
        <w:t>s</w:t>
      </w:r>
      <w:r w:rsidR="00963C29">
        <w:rPr>
          <w:szCs w:val="24"/>
          <w:lang w:val="en-US"/>
        </w:rPr>
        <w:t xml:space="preserve"> 2020 and 2021</w:t>
      </w:r>
      <w:r w:rsidR="00CE56DC">
        <w:rPr>
          <w:szCs w:val="24"/>
          <w:lang w:val="en-US"/>
        </w:rPr>
        <w:t xml:space="preserve">. Moreover, the table also shows the change </w:t>
      </w:r>
      <w:r w:rsidR="003B5BE7">
        <w:rPr>
          <w:szCs w:val="24"/>
          <w:lang w:val="en-US"/>
        </w:rPr>
        <w:t>in</w:t>
      </w:r>
      <w:r w:rsidR="00CE56DC">
        <w:rPr>
          <w:szCs w:val="24"/>
          <w:lang w:val="en-US"/>
        </w:rPr>
        <w:t xml:space="preserve"> each ratio during the years. </w:t>
      </w:r>
    </w:p>
    <w:p w14:paraId="3BC6B626" w14:textId="77777777" w:rsidR="00943A5A" w:rsidRDefault="00943A5A" w:rsidP="00CE56DC">
      <w:pPr>
        <w:rPr>
          <w:szCs w:val="24"/>
          <w:lang w:val="en-US"/>
        </w:rPr>
      </w:pPr>
    </w:p>
    <w:p w14:paraId="514691F7" w14:textId="77777777" w:rsidR="007D166F" w:rsidRPr="007D166F" w:rsidRDefault="007D166F" w:rsidP="007D166F">
      <w:pPr>
        <w:pStyle w:val="Caption"/>
        <w:keepNext/>
        <w:jc w:val="center"/>
        <w:rPr>
          <w:b/>
          <w:i/>
        </w:rPr>
      </w:pPr>
      <w:r w:rsidRPr="007D166F">
        <w:rPr>
          <w:b/>
          <w:i/>
        </w:rPr>
        <w:t xml:space="preserve">Table </w:t>
      </w:r>
      <w:r w:rsidRPr="007D166F">
        <w:rPr>
          <w:b/>
          <w:i/>
        </w:rPr>
        <w:fldChar w:fldCharType="begin"/>
      </w:r>
      <w:r w:rsidRPr="007D166F">
        <w:rPr>
          <w:b/>
          <w:i/>
        </w:rPr>
        <w:instrText xml:space="preserve"> SEQ Table \* ARABIC </w:instrText>
      </w:r>
      <w:r w:rsidRPr="007D166F">
        <w:rPr>
          <w:b/>
          <w:i/>
        </w:rPr>
        <w:fldChar w:fldCharType="separate"/>
      </w:r>
      <w:r w:rsidRPr="007D166F">
        <w:rPr>
          <w:b/>
          <w:i/>
          <w:noProof/>
        </w:rPr>
        <w:t>3</w:t>
      </w:r>
      <w:r w:rsidRPr="007D166F">
        <w:rPr>
          <w:b/>
          <w:i/>
        </w:rPr>
        <w:fldChar w:fldCharType="end"/>
      </w:r>
      <w:r w:rsidRPr="007D166F">
        <w:rPr>
          <w:b/>
          <w:i/>
        </w:rPr>
        <w:t>: Ratio Analysis of Sweet Plc</w:t>
      </w:r>
    </w:p>
    <w:tbl>
      <w:tblPr>
        <w:tblW w:w="76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6"/>
        <w:gridCol w:w="2425"/>
        <w:gridCol w:w="1769"/>
        <w:gridCol w:w="1134"/>
        <w:gridCol w:w="1276"/>
      </w:tblGrid>
      <w:tr w:rsidR="00943A5A" w:rsidRPr="00943A5A" w14:paraId="55479853" w14:textId="77777777" w:rsidTr="004016F9">
        <w:trPr>
          <w:trHeight w:val="755"/>
          <w:jc w:val="center"/>
        </w:trPr>
        <w:tc>
          <w:tcPr>
            <w:tcW w:w="7650" w:type="dxa"/>
            <w:gridSpan w:val="5"/>
            <w:shd w:val="clear" w:color="auto" w:fill="auto"/>
            <w:noWrap/>
            <w:vAlign w:val="center"/>
            <w:hideMark/>
          </w:tcPr>
          <w:p w14:paraId="1B5A997C" w14:textId="77777777" w:rsidR="00943A5A" w:rsidRPr="00943A5A" w:rsidRDefault="00943A5A" w:rsidP="00943A5A">
            <w:pPr>
              <w:shd w:val="clear" w:color="auto" w:fill="F4B083" w:themeFill="accent2" w:themeFillTint="99"/>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w:t>
            </w:r>
          </w:p>
          <w:p w14:paraId="7DBEDAF9" w14:textId="77777777" w:rsidR="00943A5A" w:rsidRPr="00943A5A" w:rsidRDefault="00943A5A" w:rsidP="00943A5A">
            <w:pPr>
              <w:shd w:val="clear" w:color="auto" w:fill="F4B083" w:themeFill="accent2" w:themeFillTint="99"/>
              <w:spacing w:line="240" w:lineRule="auto"/>
              <w:ind w:firstLine="0"/>
              <w:jc w:val="center"/>
              <w:rPr>
                <w:rFonts w:eastAsia="Times New Roman"/>
                <w:b/>
                <w:bCs/>
                <w:color w:val="000000"/>
                <w:sz w:val="28"/>
                <w:szCs w:val="28"/>
                <w:lang w:val="en-US"/>
              </w:rPr>
            </w:pPr>
            <w:r w:rsidRPr="00943A5A">
              <w:rPr>
                <w:rFonts w:eastAsia="Times New Roman"/>
                <w:b/>
                <w:bCs/>
                <w:color w:val="000000"/>
                <w:sz w:val="28"/>
                <w:szCs w:val="28"/>
                <w:lang w:val="en-US"/>
              </w:rPr>
              <w:t xml:space="preserve">Ratio Analysis </w:t>
            </w:r>
          </w:p>
          <w:p w14:paraId="1DE373C0" w14:textId="77777777" w:rsidR="00943A5A" w:rsidRPr="00943A5A" w:rsidRDefault="00943A5A" w:rsidP="00943A5A">
            <w:pPr>
              <w:shd w:val="clear" w:color="auto" w:fill="F4B083" w:themeFill="accent2" w:themeFillTint="99"/>
              <w:spacing w:line="240" w:lineRule="auto"/>
              <w:ind w:firstLine="0"/>
              <w:jc w:val="center"/>
              <w:rPr>
                <w:rFonts w:eastAsia="Times New Roman"/>
                <w:b/>
                <w:bCs/>
                <w:color w:val="000000"/>
                <w:sz w:val="28"/>
                <w:szCs w:val="28"/>
                <w:lang w:val="en-US"/>
              </w:rPr>
            </w:pPr>
            <w:r w:rsidRPr="00943A5A">
              <w:rPr>
                <w:rFonts w:eastAsia="Times New Roman"/>
                <w:b/>
                <w:bCs/>
                <w:color w:val="000000"/>
                <w:sz w:val="28"/>
                <w:szCs w:val="28"/>
                <w:lang w:val="en-US"/>
              </w:rPr>
              <w:t xml:space="preserve">Sweet plc </w:t>
            </w:r>
          </w:p>
          <w:p w14:paraId="39DC58CE" w14:textId="77777777" w:rsidR="00943A5A" w:rsidRPr="00943A5A" w:rsidRDefault="00943A5A" w:rsidP="00943A5A">
            <w:pPr>
              <w:spacing w:line="240" w:lineRule="auto"/>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w:t>
            </w:r>
          </w:p>
        </w:tc>
      </w:tr>
      <w:tr w:rsidR="004016F9" w:rsidRPr="00943A5A" w14:paraId="122F50D6" w14:textId="77777777" w:rsidTr="004016F9">
        <w:trPr>
          <w:trHeight w:val="302"/>
          <w:jc w:val="center"/>
        </w:trPr>
        <w:tc>
          <w:tcPr>
            <w:tcW w:w="1046" w:type="dxa"/>
            <w:shd w:val="clear" w:color="auto" w:fill="auto"/>
            <w:noWrap/>
            <w:vAlign w:val="center"/>
            <w:hideMark/>
          </w:tcPr>
          <w:p w14:paraId="36AB788D" w14:textId="77777777" w:rsidR="00943A5A" w:rsidRPr="00943A5A" w:rsidRDefault="00943A5A" w:rsidP="00943A5A">
            <w:pPr>
              <w:spacing w:line="240" w:lineRule="auto"/>
              <w:ind w:firstLine="0"/>
              <w:jc w:val="left"/>
              <w:rPr>
                <w:rFonts w:eastAsia="Times New Roman"/>
                <w:sz w:val="20"/>
                <w:szCs w:val="20"/>
                <w:lang w:val="en-US"/>
              </w:rPr>
            </w:pPr>
          </w:p>
        </w:tc>
        <w:tc>
          <w:tcPr>
            <w:tcW w:w="2425" w:type="dxa"/>
            <w:shd w:val="clear" w:color="auto" w:fill="auto"/>
            <w:noWrap/>
            <w:vAlign w:val="center"/>
            <w:hideMark/>
          </w:tcPr>
          <w:p w14:paraId="6B3C8F3D" w14:textId="77777777" w:rsidR="00943A5A" w:rsidRPr="00943A5A" w:rsidRDefault="00943A5A" w:rsidP="00943A5A">
            <w:pPr>
              <w:spacing w:line="240" w:lineRule="auto"/>
              <w:ind w:firstLine="0"/>
              <w:jc w:val="left"/>
              <w:rPr>
                <w:rFonts w:eastAsia="Times New Roman"/>
                <w:sz w:val="20"/>
                <w:szCs w:val="20"/>
                <w:lang w:val="en-US"/>
              </w:rPr>
            </w:pPr>
          </w:p>
        </w:tc>
        <w:tc>
          <w:tcPr>
            <w:tcW w:w="1769" w:type="dxa"/>
            <w:shd w:val="clear" w:color="auto" w:fill="auto"/>
            <w:noWrap/>
            <w:vAlign w:val="center"/>
            <w:hideMark/>
          </w:tcPr>
          <w:p w14:paraId="0D500515" w14:textId="77777777" w:rsidR="00943A5A" w:rsidRPr="00943A5A" w:rsidRDefault="00943A5A" w:rsidP="00943A5A">
            <w:pPr>
              <w:spacing w:line="240" w:lineRule="auto"/>
              <w:ind w:firstLine="0"/>
              <w:jc w:val="right"/>
              <w:rPr>
                <w:rFonts w:ascii="Calibri" w:eastAsia="Times New Roman" w:hAnsi="Calibri" w:cs="Calibri"/>
                <w:b/>
                <w:bCs/>
                <w:color w:val="000000"/>
                <w:sz w:val="22"/>
                <w:lang w:val="en-US"/>
              </w:rPr>
            </w:pPr>
            <w:r w:rsidRPr="00943A5A">
              <w:rPr>
                <w:rFonts w:ascii="Calibri" w:eastAsia="Times New Roman" w:hAnsi="Calibri" w:cs="Calibri"/>
                <w:b/>
                <w:bCs/>
                <w:color w:val="000000"/>
                <w:sz w:val="22"/>
                <w:lang w:val="en-US"/>
              </w:rPr>
              <w:t>2020</w:t>
            </w:r>
          </w:p>
        </w:tc>
        <w:tc>
          <w:tcPr>
            <w:tcW w:w="1134" w:type="dxa"/>
            <w:shd w:val="clear" w:color="auto" w:fill="auto"/>
            <w:noWrap/>
            <w:vAlign w:val="center"/>
            <w:hideMark/>
          </w:tcPr>
          <w:p w14:paraId="51DFBC16" w14:textId="77777777" w:rsidR="00943A5A" w:rsidRPr="00943A5A" w:rsidRDefault="00943A5A" w:rsidP="00943A5A">
            <w:pPr>
              <w:spacing w:line="240" w:lineRule="auto"/>
              <w:ind w:firstLine="0"/>
              <w:jc w:val="right"/>
              <w:rPr>
                <w:rFonts w:ascii="Calibri" w:eastAsia="Times New Roman" w:hAnsi="Calibri" w:cs="Calibri"/>
                <w:b/>
                <w:bCs/>
                <w:color w:val="000000"/>
                <w:sz w:val="22"/>
                <w:lang w:val="en-US"/>
              </w:rPr>
            </w:pPr>
            <w:r w:rsidRPr="00943A5A">
              <w:rPr>
                <w:rFonts w:ascii="Calibri" w:eastAsia="Times New Roman" w:hAnsi="Calibri" w:cs="Calibri"/>
                <w:b/>
                <w:bCs/>
                <w:color w:val="000000"/>
                <w:sz w:val="22"/>
                <w:lang w:val="en-US"/>
              </w:rPr>
              <w:t>2021</w:t>
            </w:r>
          </w:p>
        </w:tc>
        <w:tc>
          <w:tcPr>
            <w:tcW w:w="1276" w:type="dxa"/>
            <w:shd w:val="clear" w:color="auto" w:fill="auto"/>
            <w:noWrap/>
            <w:vAlign w:val="center"/>
            <w:hideMark/>
          </w:tcPr>
          <w:p w14:paraId="0F3F8072"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r w:rsidRPr="00943A5A">
              <w:rPr>
                <w:rFonts w:ascii="Calibri" w:eastAsia="Times New Roman" w:hAnsi="Calibri" w:cs="Calibri"/>
                <w:b/>
                <w:bCs/>
                <w:color w:val="000000"/>
                <w:sz w:val="22"/>
                <w:lang w:val="en-US"/>
              </w:rPr>
              <w:t xml:space="preserve">Change </w:t>
            </w:r>
          </w:p>
        </w:tc>
      </w:tr>
      <w:tr w:rsidR="004016F9" w:rsidRPr="00943A5A" w14:paraId="62B5F6E2" w14:textId="77777777" w:rsidTr="004016F9">
        <w:trPr>
          <w:trHeight w:val="302"/>
          <w:jc w:val="center"/>
        </w:trPr>
        <w:tc>
          <w:tcPr>
            <w:tcW w:w="1046" w:type="dxa"/>
            <w:shd w:val="clear" w:color="auto" w:fill="auto"/>
            <w:noWrap/>
            <w:vAlign w:val="center"/>
            <w:hideMark/>
          </w:tcPr>
          <w:p w14:paraId="3C3CD6CB"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p>
        </w:tc>
        <w:tc>
          <w:tcPr>
            <w:tcW w:w="2425" w:type="dxa"/>
            <w:shd w:val="clear" w:color="auto" w:fill="auto"/>
            <w:noWrap/>
            <w:vAlign w:val="center"/>
            <w:hideMark/>
          </w:tcPr>
          <w:p w14:paraId="0508F44E" w14:textId="77777777" w:rsidR="00943A5A" w:rsidRPr="00943A5A" w:rsidRDefault="00943A5A" w:rsidP="00943A5A">
            <w:pPr>
              <w:spacing w:line="240" w:lineRule="auto"/>
              <w:ind w:firstLine="0"/>
              <w:jc w:val="left"/>
              <w:rPr>
                <w:rFonts w:eastAsia="Times New Roman"/>
                <w:sz w:val="20"/>
                <w:szCs w:val="20"/>
                <w:lang w:val="en-US"/>
              </w:rPr>
            </w:pPr>
          </w:p>
        </w:tc>
        <w:tc>
          <w:tcPr>
            <w:tcW w:w="1769" w:type="dxa"/>
            <w:shd w:val="clear" w:color="auto" w:fill="auto"/>
            <w:noWrap/>
            <w:vAlign w:val="center"/>
            <w:hideMark/>
          </w:tcPr>
          <w:p w14:paraId="4390FD8C"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w:t>
            </w:r>
          </w:p>
        </w:tc>
        <w:tc>
          <w:tcPr>
            <w:tcW w:w="1134" w:type="dxa"/>
            <w:shd w:val="clear" w:color="auto" w:fill="auto"/>
            <w:noWrap/>
            <w:vAlign w:val="center"/>
            <w:hideMark/>
          </w:tcPr>
          <w:p w14:paraId="2C5BB9F4"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w:t>
            </w:r>
          </w:p>
        </w:tc>
        <w:tc>
          <w:tcPr>
            <w:tcW w:w="1276" w:type="dxa"/>
            <w:shd w:val="clear" w:color="auto" w:fill="auto"/>
            <w:noWrap/>
            <w:vAlign w:val="center"/>
            <w:hideMark/>
          </w:tcPr>
          <w:p w14:paraId="55F9942A"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p>
        </w:tc>
      </w:tr>
      <w:tr w:rsidR="004016F9" w:rsidRPr="00943A5A" w14:paraId="16B79DD4" w14:textId="77777777" w:rsidTr="004016F9">
        <w:trPr>
          <w:trHeight w:val="302"/>
          <w:jc w:val="center"/>
        </w:trPr>
        <w:tc>
          <w:tcPr>
            <w:tcW w:w="3471" w:type="dxa"/>
            <w:gridSpan w:val="2"/>
            <w:shd w:val="clear" w:color="000000" w:fill="FFFF00"/>
            <w:noWrap/>
            <w:vAlign w:val="center"/>
            <w:hideMark/>
          </w:tcPr>
          <w:p w14:paraId="79CD1DF4"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r w:rsidRPr="00943A5A">
              <w:rPr>
                <w:rFonts w:ascii="Calibri" w:eastAsia="Times New Roman" w:hAnsi="Calibri" w:cs="Calibri"/>
                <w:b/>
                <w:bCs/>
                <w:color w:val="000000"/>
                <w:sz w:val="22"/>
                <w:lang w:val="en-US"/>
              </w:rPr>
              <w:t xml:space="preserve">Profitability  Ratio </w:t>
            </w:r>
          </w:p>
        </w:tc>
        <w:tc>
          <w:tcPr>
            <w:tcW w:w="1769" w:type="dxa"/>
            <w:shd w:val="clear" w:color="auto" w:fill="auto"/>
            <w:noWrap/>
            <w:vAlign w:val="center"/>
            <w:hideMark/>
          </w:tcPr>
          <w:p w14:paraId="4D032262"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p>
        </w:tc>
        <w:tc>
          <w:tcPr>
            <w:tcW w:w="1134" w:type="dxa"/>
            <w:shd w:val="clear" w:color="auto" w:fill="auto"/>
            <w:noWrap/>
            <w:vAlign w:val="center"/>
            <w:hideMark/>
          </w:tcPr>
          <w:p w14:paraId="0C4AF67A" w14:textId="77777777" w:rsidR="00943A5A" w:rsidRPr="00943A5A" w:rsidRDefault="00943A5A" w:rsidP="00943A5A">
            <w:pPr>
              <w:spacing w:line="240" w:lineRule="auto"/>
              <w:ind w:firstLine="0"/>
              <w:jc w:val="right"/>
              <w:rPr>
                <w:rFonts w:eastAsia="Times New Roman"/>
                <w:sz w:val="20"/>
                <w:szCs w:val="20"/>
                <w:lang w:val="en-US"/>
              </w:rPr>
            </w:pPr>
          </w:p>
        </w:tc>
        <w:tc>
          <w:tcPr>
            <w:tcW w:w="1276" w:type="dxa"/>
            <w:shd w:val="clear" w:color="auto" w:fill="auto"/>
            <w:noWrap/>
            <w:vAlign w:val="center"/>
            <w:hideMark/>
          </w:tcPr>
          <w:p w14:paraId="32DE56E0" w14:textId="77777777" w:rsidR="00943A5A" w:rsidRPr="00943A5A" w:rsidRDefault="00943A5A" w:rsidP="00943A5A">
            <w:pPr>
              <w:spacing w:line="240" w:lineRule="auto"/>
              <w:ind w:firstLine="0"/>
              <w:jc w:val="right"/>
              <w:rPr>
                <w:rFonts w:eastAsia="Times New Roman"/>
                <w:sz w:val="20"/>
                <w:szCs w:val="20"/>
                <w:lang w:val="en-US"/>
              </w:rPr>
            </w:pPr>
          </w:p>
        </w:tc>
      </w:tr>
      <w:tr w:rsidR="004016F9" w:rsidRPr="00943A5A" w14:paraId="46802724" w14:textId="77777777" w:rsidTr="004016F9">
        <w:trPr>
          <w:trHeight w:val="302"/>
          <w:jc w:val="center"/>
        </w:trPr>
        <w:tc>
          <w:tcPr>
            <w:tcW w:w="1046" w:type="dxa"/>
            <w:shd w:val="clear" w:color="auto" w:fill="auto"/>
            <w:noWrap/>
            <w:vAlign w:val="center"/>
            <w:hideMark/>
          </w:tcPr>
          <w:p w14:paraId="1D2E8850"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ROCE </w:t>
            </w:r>
          </w:p>
        </w:tc>
        <w:tc>
          <w:tcPr>
            <w:tcW w:w="2425" w:type="dxa"/>
            <w:shd w:val="clear" w:color="auto" w:fill="auto"/>
            <w:noWrap/>
            <w:vAlign w:val="center"/>
            <w:hideMark/>
          </w:tcPr>
          <w:p w14:paraId="1D3024AE"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p>
        </w:tc>
        <w:tc>
          <w:tcPr>
            <w:tcW w:w="1769" w:type="dxa"/>
            <w:shd w:val="clear" w:color="auto" w:fill="auto"/>
            <w:noWrap/>
            <w:vAlign w:val="center"/>
            <w:hideMark/>
          </w:tcPr>
          <w:p w14:paraId="5AFBE2DA"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9.9%</w:t>
            </w:r>
          </w:p>
        </w:tc>
        <w:tc>
          <w:tcPr>
            <w:tcW w:w="1134" w:type="dxa"/>
            <w:shd w:val="clear" w:color="auto" w:fill="auto"/>
            <w:noWrap/>
            <w:vAlign w:val="center"/>
            <w:hideMark/>
          </w:tcPr>
          <w:p w14:paraId="0C3AB584"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11.1%</w:t>
            </w:r>
          </w:p>
        </w:tc>
        <w:tc>
          <w:tcPr>
            <w:tcW w:w="1276" w:type="dxa"/>
            <w:shd w:val="clear" w:color="auto" w:fill="auto"/>
            <w:noWrap/>
            <w:vAlign w:val="center"/>
            <w:hideMark/>
          </w:tcPr>
          <w:p w14:paraId="43524725"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1.21%</w:t>
            </w:r>
          </w:p>
        </w:tc>
      </w:tr>
      <w:tr w:rsidR="004016F9" w:rsidRPr="00943A5A" w14:paraId="03198C4F" w14:textId="77777777" w:rsidTr="004016F9">
        <w:trPr>
          <w:trHeight w:val="302"/>
          <w:jc w:val="center"/>
        </w:trPr>
        <w:tc>
          <w:tcPr>
            <w:tcW w:w="1046" w:type="dxa"/>
            <w:shd w:val="clear" w:color="auto" w:fill="auto"/>
            <w:noWrap/>
            <w:vAlign w:val="center"/>
            <w:hideMark/>
          </w:tcPr>
          <w:p w14:paraId="3D6A5B9B"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ROE </w:t>
            </w:r>
          </w:p>
        </w:tc>
        <w:tc>
          <w:tcPr>
            <w:tcW w:w="2425" w:type="dxa"/>
            <w:shd w:val="clear" w:color="auto" w:fill="auto"/>
            <w:noWrap/>
            <w:vAlign w:val="center"/>
            <w:hideMark/>
          </w:tcPr>
          <w:p w14:paraId="344926BF"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p>
        </w:tc>
        <w:tc>
          <w:tcPr>
            <w:tcW w:w="1769" w:type="dxa"/>
            <w:shd w:val="clear" w:color="auto" w:fill="auto"/>
            <w:noWrap/>
            <w:vAlign w:val="center"/>
            <w:hideMark/>
          </w:tcPr>
          <w:p w14:paraId="75603444"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12.6%</w:t>
            </w:r>
          </w:p>
        </w:tc>
        <w:tc>
          <w:tcPr>
            <w:tcW w:w="1134" w:type="dxa"/>
            <w:shd w:val="clear" w:color="auto" w:fill="auto"/>
            <w:noWrap/>
            <w:vAlign w:val="center"/>
            <w:hideMark/>
          </w:tcPr>
          <w:p w14:paraId="06C20E77"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14.0%</w:t>
            </w:r>
          </w:p>
        </w:tc>
        <w:tc>
          <w:tcPr>
            <w:tcW w:w="1276" w:type="dxa"/>
            <w:shd w:val="clear" w:color="auto" w:fill="auto"/>
            <w:noWrap/>
            <w:vAlign w:val="center"/>
            <w:hideMark/>
          </w:tcPr>
          <w:p w14:paraId="5DB1A526"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1.39%</w:t>
            </w:r>
          </w:p>
        </w:tc>
      </w:tr>
      <w:tr w:rsidR="004016F9" w:rsidRPr="00943A5A" w14:paraId="5CC74086" w14:textId="77777777" w:rsidTr="004016F9">
        <w:trPr>
          <w:trHeight w:val="302"/>
          <w:jc w:val="center"/>
        </w:trPr>
        <w:tc>
          <w:tcPr>
            <w:tcW w:w="3471" w:type="dxa"/>
            <w:gridSpan w:val="2"/>
            <w:shd w:val="clear" w:color="auto" w:fill="auto"/>
            <w:noWrap/>
            <w:vAlign w:val="center"/>
            <w:hideMark/>
          </w:tcPr>
          <w:p w14:paraId="06285C97"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Earnings per share </w:t>
            </w:r>
          </w:p>
        </w:tc>
        <w:tc>
          <w:tcPr>
            <w:tcW w:w="1769" w:type="dxa"/>
            <w:shd w:val="clear" w:color="auto" w:fill="auto"/>
            <w:noWrap/>
            <w:vAlign w:val="center"/>
            <w:hideMark/>
          </w:tcPr>
          <w:p w14:paraId="5574AE93"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1.2 </w:t>
            </w:r>
          </w:p>
        </w:tc>
        <w:tc>
          <w:tcPr>
            <w:tcW w:w="1134" w:type="dxa"/>
            <w:shd w:val="clear" w:color="auto" w:fill="auto"/>
            <w:noWrap/>
            <w:vAlign w:val="center"/>
            <w:hideMark/>
          </w:tcPr>
          <w:p w14:paraId="785A2431"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1.4 </w:t>
            </w:r>
          </w:p>
        </w:tc>
        <w:tc>
          <w:tcPr>
            <w:tcW w:w="1276" w:type="dxa"/>
            <w:shd w:val="clear" w:color="auto" w:fill="auto"/>
            <w:noWrap/>
            <w:vAlign w:val="center"/>
            <w:hideMark/>
          </w:tcPr>
          <w:p w14:paraId="352B64D0"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0.217 </w:t>
            </w:r>
          </w:p>
        </w:tc>
      </w:tr>
      <w:tr w:rsidR="004016F9" w:rsidRPr="00943A5A" w14:paraId="2DF4986C" w14:textId="77777777" w:rsidTr="004016F9">
        <w:trPr>
          <w:trHeight w:val="302"/>
          <w:jc w:val="center"/>
        </w:trPr>
        <w:tc>
          <w:tcPr>
            <w:tcW w:w="3471" w:type="dxa"/>
            <w:gridSpan w:val="2"/>
            <w:shd w:val="clear" w:color="auto" w:fill="auto"/>
            <w:noWrap/>
            <w:vAlign w:val="center"/>
            <w:hideMark/>
          </w:tcPr>
          <w:p w14:paraId="63034106"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Net Profit Margin  </w:t>
            </w:r>
          </w:p>
        </w:tc>
        <w:tc>
          <w:tcPr>
            <w:tcW w:w="1769" w:type="dxa"/>
            <w:shd w:val="clear" w:color="auto" w:fill="auto"/>
            <w:noWrap/>
            <w:vAlign w:val="center"/>
            <w:hideMark/>
          </w:tcPr>
          <w:p w14:paraId="0EE2760C"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6.4%</w:t>
            </w:r>
          </w:p>
        </w:tc>
        <w:tc>
          <w:tcPr>
            <w:tcW w:w="1134" w:type="dxa"/>
            <w:shd w:val="clear" w:color="auto" w:fill="auto"/>
            <w:noWrap/>
            <w:vAlign w:val="center"/>
            <w:hideMark/>
          </w:tcPr>
          <w:p w14:paraId="20D76F4C"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5.7%</w:t>
            </w:r>
          </w:p>
        </w:tc>
        <w:tc>
          <w:tcPr>
            <w:tcW w:w="1276" w:type="dxa"/>
            <w:shd w:val="clear" w:color="auto" w:fill="auto"/>
            <w:noWrap/>
            <w:vAlign w:val="center"/>
            <w:hideMark/>
          </w:tcPr>
          <w:p w14:paraId="03D56E49"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-0.71%</w:t>
            </w:r>
          </w:p>
        </w:tc>
      </w:tr>
      <w:tr w:rsidR="004016F9" w:rsidRPr="00943A5A" w14:paraId="03D44D33" w14:textId="77777777" w:rsidTr="004016F9">
        <w:trPr>
          <w:trHeight w:val="302"/>
          <w:jc w:val="center"/>
        </w:trPr>
        <w:tc>
          <w:tcPr>
            <w:tcW w:w="3471" w:type="dxa"/>
            <w:gridSpan w:val="2"/>
            <w:shd w:val="clear" w:color="000000" w:fill="FFFF00"/>
            <w:noWrap/>
            <w:vAlign w:val="center"/>
            <w:hideMark/>
          </w:tcPr>
          <w:p w14:paraId="1B884007"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r w:rsidRPr="00943A5A">
              <w:rPr>
                <w:rFonts w:ascii="Calibri" w:eastAsia="Times New Roman" w:hAnsi="Calibri" w:cs="Calibri"/>
                <w:b/>
                <w:bCs/>
                <w:color w:val="000000"/>
                <w:sz w:val="22"/>
                <w:lang w:val="en-US"/>
              </w:rPr>
              <w:t xml:space="preserve">Efficiency Ratio </w:t>
            </w:r>
          </w:p>
        </w:tc>
        <w:tc>
          <w:tcPr>
            <w:tcW w:w="1769" w:type="dxa"/>
            <w:shd w:val="clear" w:color="auto" w:fill="auto"/>
            <w:noWrap/>
            <w:vAlign w:val="center"/>
            <w:hideMark/>
          </w:tcPr>
          <w:p w14:paraId="550D0962"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p>
        </w:tc>
        <w:tc>
          <w:tcPr>
            <w:tcW w:w="1134" w:type="dxa"/>
            <w:shd w:val="clear" w:color="auto" w:fill="auto"/>
            <w:noWrap/>
            <w:vAlign w:val="center"/>
            <w:hideMark/>
          </w:tcPr>
          <w:p w14:paraId="702DE152" w14:textId="77777777" w:rsidR="00943A5A" w:rsidRPr="00943A5A" w:rsidRDefault="00943A5A" w:rsidP="00943A5A">
            <w:pPr>
              <w:spacing w:line="240" w:lineRule="auto"/>
              <w:ind w:firstLine="0"/>
              <w:jc w:val="left"/>
              <w:rPr>
                <w:rFonts w:eastAsia="Times New Roman"/>
                <w:sz w:val="20"/>
                <w:szCs w:val="20"/>
                <w:lang w:val="en-US"/>
              </w:rPr>
            </w:pPr>
          </w:p>
        </w:tc>
        <w:tc>
          <w:tcPr>
            <w:tcW w:w="1276" w:type="dxa"/>
            <w:shd w:val="clear" w:color="auto" w:fill="auto"/>
            <w:noWrap/>
            <w:vAlign w:val="center"/>
            <w:hideMark/>
          </w:tcPr>
          <w:p w14:paraId="2B29F622" w14:textId="77777777" w:rsidR="00943A5A" w:rsidRPr="00943A5A" w:rsidRDefault="00943A5A" w:rsidP="00943A5A">
            <w:pPr>
              <w:spacing w:line="240" w:lineRule="auto"/>
              <w:ind w:firstLine="0"/>
              <w:jc w:val="left"/>
              <w:rPr>
                <w:rFonts w:eastAsia="Times New Roman"/>
                <w:sz w:val="20"/>
                <w:szCs w:val="20"/>
                <w:lang w:val="en-US"/>
              </w:rPr>
            </w:pPr>
          </w:p>
        </w:tc>
      </w:tr>
      <w:tr w:rsidR="004016F9" w:rsidRPr="00943A5A" w14:paraId="79943267" w14:textId="77777777" w:rsidTr="004016F9">
        <w:trPr>
          <w:trHeight w:val="302"/>
          <w:jc w:val="center"/>
        </w:trPr>
        <w:tc>
          <w:tcPr>
            <w:tcW w:w="3471" w:type="dxa"/>
            <w:gridSpan w:val="2"/>
            <w:shd w:val="clear" w:color="auto" w:fill="auto"/>
            <w:noWrap/>
            <w:vAlign w:val="center"/>
            <w:hideMark/>
          </w:tcPr>
          <w:p w14:paraId="02A23EA6"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Asset Turnover </w:t>
            </w:r>
          </w:p>
        </w:tc>
        <w:tc>
          <w:tcPr>
            <w:tcW w:w="1769" w:type="dxa"/>
            <w:shd w:val="clear" w:color="auto" w:fill="auto"/>
            <w:noWrap/>
            <w:vAlign w:val="center"/>
            <w:hideMark/>
          </w:tcPr>
          <w:p w14:paraId="254A24B9"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0.6385 </w:t>
            </w:r>
          </w:p>
        </w:tc>
        <w:tc>
          <w:tcPr>
            <w:tcW w:w="1134" w:type="dxa"/>
            <w:shd w:val="clear" w:color="auto" w:fill="auto"/>
            <w:noWrap/>
            <w:vAlign w:val="center"/>
            <w:hideMark/>
          </w:tcPr>
          <w:p w14:paraId="286F8C73"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0.6798 </w:t>
            </w:r>
          </w:p>
        </w:tc>
        <w:tc>
          <w:tcPr>
            <w:tcW w:w="1276" w:type="dxa"/>
            <w:shd w:val="clear" w:color="auto" w:fill="auto"/>
            <w:noWrap/>
            <w:vAlign w:val="center"/>
            <w:hideMark/>
          </w:tcPr>
          <w:p w14:paraId="5A6BEDF2"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0.041 </w:t>
            </w:r>
          </w:p>
        </w:tc>
      </w:tr>
      <w:tr w:rsidR="004016F9" w:rsidRPr="00943A5A" w14:paraId="14CB392F" w14:textId="77777777" w:rsidTr="004016F9">
        <w:trPr>
          <w:trHeight w:val="302"/>
          <w:jc w:val="center"/>
        </w:trPr>
        <w:tc>
          <w:tcPr>
            <w:tcW w:w="3471" w:type="dxa"/>
            <w:gridSpan w:val="2"/>
            <w:shd w:val="clear" w:color="auto" w:fill="auto"/>
            <w:noWrap/>
            <w:vAlign w:val="center"/>
            <w:hideMark/>
          </w:tcPr>
          <w:p w14:paraId="455EA349"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Inventory Turnover</w:t>
            </w:r>
          </w:p>
        </w:tc>
        <w:tc>
          <w:tcPr>
            <w:tcW w:w="1769" w:type="dxa"/>
            <w:shd w:val="clear" w:color="auto" w:fill="auto"/>
            <w:noWrap/>
            <w:vAlign w:val="center"/>
            <w:hideMark/>
          </w:tcPr>
          <w:p w14:paraId="5AAB09C0"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4.6980 </w:t>
            </w:r>
          </w:p>
        </w:tc>
        <w:tc>
          <w:tcPr>
            <w:tcW w:w="1134" w:type="dxa"/>
            <w:shd w:val="clear" w:color="auto" w:fill="auto"/>
            <w:noWrap/>
            <w:vAlign w:val="center"/>
            <w:hideMark/>
          </w:tcPr>
          <w:p w14:paraId="6EA1E99B"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9.8581 </w:t>
            </w:r>
          </w:p>
        </w:tc>
        <w:tc>
          <w:tcPr>
            <w:tcW w:w="1276" w:type="dxa"/>
            <w:shd w:val="clear" w:color="auto" w:fill="auto"/>
            <w:noWrap/>
            <w:vAlign w:val="center"/>
            <w:hideMark/>
          </w:tcPr>
          <w:p w14:paraId="548BDDDD"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5.160 </w:t>
            </w:r>
          </w:p>
        </w:tc>
      </w:tr>
      <w:tr w:rsidR="004016F9" w:rsidRPr="00943A5A" w14:paraId="4AC30B8C" w14:textId="77777777" w:rsidTr="004016F9">
        <w:trPr>
          <w:trHeight w:val="302"/>
          <w:jc w:val="center"/>
        </w:trPr>
        <w:tc>
          <w:tcPr>
            <w:tcW w:w="3471" w:type="dxa"/>
            <w:gridSpan w:val="2"/>
            <w:shd w:val="clear" w:color="auto" w:fill="auto"/>
            <w:noWrap/>
            <w:vAlign w:val="center"/>
            <w:hideMark/>
          </w:tcPr>
          <w:p w14:paraId="535D8801"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Stock Holding days </w:t>
            </w:r>
          </w:p>
        </w:tc>
        <w:tc>
          <w:tcPr>
            <w:tcW w:w="1769" w:type="dxa"/>
            <w:shd w:val="clear" w:color="auto" w:fill="auto"/>
            <w:noWrap/>
            <w:vAlign w:val="center"/>
            <w:hideMark/>
          </w:tcPr>
          <w:p w14:paraId="46377697"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77.6922 </w:t>
            </w:r>
          </w:p>
        </w:tc>
        <w:tc>
          <w:tcPr>
            <w:tcW w:w="1134" w:type="dxa"/>
            <w:shd w:val="clear" w:color="auto" w:fill="auto"/>
            <w:noWrap/>
            <w:vAlign w:val="center"/>
            <w:hideMark/>
          </w:tcPr>
          <w:p w14:paraId="58CD4BBB"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37.0255 </w:t>
            </w:r>
          </w:p>
        </w:tc>
        <w:tc>
          <w:tcPr>
            <w:tcW w:w="1276" w:type="dxa"/>
            <w:shd w:val="clear" w:color="auto" w:fill="auto"/>
            <w:noWrap/>
            <w:vAlign w:val="center"/>
            <w:hideMark/>
          </w:tcPr>
          <w:p w14:paraId="56DF2CB5"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-40.667 </w:t>
            </w:r>
          </w:p>
        </w:tc>
      </w:tr>
      <w:tr w:rsidR="004016F9" w:rsidRPr="00943A5A" w14:paraId="228F8650" w14:textId="77777777" w:rsidTr="004016F9">
        <w:trPr>
          <w:trHeight w:val="302"/>
          <w:jc w:val="center"/>
        </w:trPr>
        <w:tc>
          <w:tcPr>
            <w:tcW w:w="3471" w:type="dxa"/>
            <w:gridSpan w:val="2"/>
            <w:shd w:val="clear" w:color="auto" w:fill="auto"/>
            <w:noWrap/>
            <w:vAlign w:val="center"/>
            <w:hideMark/>
          </w:tcPr>
          <w:p w14:paraId="379ED400"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Account Receivable Turnover </w:t>
            </w:r>
          </w:p>
        </w:tc>
        <w:tc>
          <w:tcPr>
            <w:tcW w:w="1769" w:type="dxa"/>
            <w:shd w:val="clear" w:color="auto" w:fill="auto"/>
            <w:noWrap/>
            <w:vAlign w:val="center"/>
            <w:hideMark/>
          </w:tcPr>
          <w:p w14:paraId="6337CB2E"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5.0047 </w:t>
            </w:r>
          </w:p>
        </w:tc>
        <w:tc>
          <w:tcPr>
            <w:tcW w:w="1134" w:type="dxa"/>
            <w:shd w:val="clear" w:color="auto" w:fill="auto"/>
            <w:noWrap/>
            <w:vAlign w:val="center"/>
            <w:hideMark/>
          </w:tcPr>
          <w:p w14:paraId="6E7A92FA"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5.3139 </w:t>
            </w:r>
          </w:p>
        </w:tc>
        <w:tc>
          <w:tcPr>
            <w:tcW w:w="1276" w:type="dxa"/>
            <w:shd w:val="clear" w:color="auto" w:fill="auto"/>
            <w:noWrap/>
            <w:vAlign w:val="center"/>
            <w:hideMark/>
          </w:tcPr>
          <w:p w14:paraId="6F6576E8"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0.3092 </w:t>
            </w:r>
          </w:p>
        </w:tc>
      </w:tr>
      <w:tr w:rsidR="004016F9" w:rsidRPr="00943A5A" w14:paraId="50EBD821" w14:textId="77777777" w:rsidTr="004016F9">
        <w:trPr>
          <w:trHeight w:val="302"/>
          <w:jc w:val="center"/>
        </w:trPr>
        <w:tc>
          <w:tcPr>
            <w:tcW w:w="3471" w:type="dxa"/>
            <w:gridSpan w:val="2"/>
            <w:shd w:val="clear" w:color="auto" w:fill="auto"/>
            <w:noWrap/>
            <w:vAlign w:val="center"/>
            <w:hideMark/>
          </w:tcPr>
          <w:p w14:paraId="7720716B"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Debtors Collection Period </w:t>
            </w:r>
          </w:p>
        </w:tc>
        <w:tc>
          <w:tcPr>
            <w:tcW w:w="1769" w:type="dxa"/>
            <w:shd w:val="clear" w:color="auto" w:fill="auto"/>
            <w:noWrap/>
            <w:vAlign w:val="center"/>
            <w:hideMark/>
          </w:tcPr>
          <w:p w14:paraId="32AC0537"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72.9320 </w:t>
            </w:r>
          </w:p>
        </w:tc>
        <w:tc>
          <w:tcPr>
            <w:tcW w:w="1134" w:type="dxa"/>
            <w:shd w:val="clear" w:color="auto" w:fill="auto"/>
            <w:noWrap/>
            <w:vAlign w:val="center"/>
            <w:hideMark/>
          </w:tcPr>
          <w:p w14:paraId="0C50E5D3"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68.6880 </w:t>
            </w:r>
          </w:p>
        </w:tc>
        <w:tc>
          <w:tcPr>
            <w:tcW w:w="1276" w:type="dxa"/>
            <w:shd w:val="clear" w:color="auto" w:fill="auto"/>
            <w:noWrap/>
            <w:vAlign w:val="center"/>
            <w:hideMark/>
          </w:tcPr>
          <w:p w14:paraId="168D9723"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-4.244 </w:t>
            </w:r>
          </w:p>
        </w:tc>
      </w:tr>
      <w:tr w:rsidR="004016F9" w:rsidRPr="00943A5A" w14:paraId="286B8802" w14:textId="77777777" w:rsidTr="004016F9">
        <w:trPr>
          <w:trHeight w:val="302"/>
          <w:jc w:val="center"/>
        </w:trPr>
        <w:tc>
          <w:tcPr>
            <w:tcW w:w="3471" w:type="dxa"/>
            <w:gridSpan w:val="2"/>
            <w:shd w:val="clear" w:color="000000" w:fill="FFFF00"/>
            <w:noWrap/>
            <w:vAlign w:val="center"/>
            <w:hideMark/>
          </w:tcPr>
          <w:p w14:paraId="02CF4F98"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r w:rsidRPr="00943A5A">
              <w:rPr>
                <w:rFonts w:ascii="Calibri" w:eastAsia="Times New Roman" w:hAnsi="Calibri" w:cs="Calibri"/>
                <w:b/>
                <w:bCs/>
                <w:color w:val="000000"/>
                <w:sz w:val="22"/>
                <w:lang w:val="en-US"/>
              </w:rPr>
              <w:t xml:space="preserve">Liquidity  Ratio </w:t>
            </w:r>
          </w:p>
        </w:tc>
        <w:tc>
          <w:tcPr>
            <w:tcW w:w="1769" w:type="dxa"/>
            <w:shd w:val="clear" w:color="auto" w:fill="auto"/>
            <w:noWrap/>
            <w:vAlign w:val="center"/>
            <w:hideMark/>
          </w:tcPr>
          <w:p w14:paraId="662D3962" w14:textId="77777777" w:rsidR="00943A5A" w:rsidRPr="00943A5A" w:rsidRDefault="00943A5A" w:rsidP="00943A5A">
            <w:pPr>
              <w:spacing w:line="240" w:lineRule="auto"/>
              <w:ind w:firstLine="0"/>
              <w:jc w:val="left"/>
              <w:rPr>
                <w:rFonts w:ascii="Calibri" w:eastAsia="Times New Roman" w:hAnsi="Calibri" w:cs="Calibri"/>
                <w:b/>
                <w:bCs/>
                <w:color w:val="000000"/>
                <w:sz w:val="22"/>
                <w:lang w:val="en-US"/>
              </w:rPr>
            </w:pPr>
          </w:p>
        </w:tc>
        <w:tc>
          <w:tcPr>
            <w:tcW w:w="1134" w:type="dxa"/>
            <w:shd w:val="clear" w:color="auto" w:fill="auto"/>
            <w:noWrap/>
            <w:vAlign w:val="center"/>
            <w:hideMark/>
          </w:tcPr>
          <w:p w14:paraId="6FFF4329" w14:textId="77777777" w:rsidR="00943A5A" w:rsidRPr="00943A5A" w:rsidRDefault="00943A5A" w:rsidP="00943A5A">
            <w:pPr>
              <w:spacing w:line="240" w:lineRule="auto"/>
              <w:ind w:firstLine="0"/>
              <w:jc w:val="left"/>
              <w:rPr>
                <w:rFonts w:eastAsia="Times New Roman"/>
                <w:sz w:val="20"/>
                <w:szCs w:val="20"/>
                <w:lang w:val="en-US"/>
              </w:rPr>
            </w:pPr>
          </w:p>
        </w:tc>
        <w:tc>
          <w:tcPr>
            <w:tcW w:w="1276" w:type="dxa"/>
            <w:shd w:val="clear" w:color="auto" w:fill="auto"/>
            <w:noWrap/>
            <w:vAlign w:val="center"/>
            <w:hideMark/>
          </w:tcPr>
          <w:p w14:paraId="2EC07594" w14:textId="77777777" w:rsidR="00943A5A" w:rsidRPr="00943A5A" w:rsidRDefault="00943A5A" w:rsidP="00943A5A">
            <w:pPr>
              <w:spacing w:line="240" w:lineRule="auto"/>
              <w:ind w:firstLine="0"/>
              <w:jc w:val="left"/>
              <w:rPr>
                <w:rFonts w:eastAsia="Times New Roman"/>
                <w:sz w:val="20"/>
                <w:szCs w:val="20"/>
                <w:lang w:val="en-US"/>
              </w:rPr>
            </w:pPr>
          </w:p>
        </w:tc>
      </w:tr>
      <w:tr w:rsidR="004016F9" w:rsidRPr="00943A5A" w14:paraId="32632940" w14:textId="77777777" w:rsidTr="004016F9">
        <w:trPr>
          <w:trHeight w:val="302"/>
          <w:jc w:val="center"/>
        </w:trPr>
        <w:tc>
          <w:tcPr>
            <w:tcW w:w="3471" w:type="dxa"/>
            <w:gridSpan w:val="2"/>
            <w:shd w:val="clear" w:color="auto" w:fill="auto"/>
            <w:noWrap/>
            <w:vAlign w:val="center"/>
            <w:hideMark/>
          </w:tcPr>
          <w:p w14:paraId="404D7504"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Current Ratio </w:t>
            </w:r>
          </w:p>
        </w:tc>
        <w:tc>
          <w:tcPr>
            <w:tcW w:w="1769" w:type="dxa"/>
            <w:shd w:val="clear" w:color="auto" w:fill="auto"/>
            <w:noWrap/>
            <w:vAlign w:val="center"/>
            <w:hideMark/>
          </w:tcPr>
          <w:p w14:paraId="768EEE72"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0.7731 </w:t>
            </w:r>
          </w:p>
        </w:tc>
        <w:tc>
          <w:tcPr>
            <w:tcW w:w="1134" w:type="dxa"/>
            <w:shd w:val="clear" w:color="auto" w:fill="auto"/>
            <w:noWrap/>
            <w:vAlign w:val="center"/>
            <w:hideMark/>
          </w:tcPr>
          <w:p w14:paraId="645E7D01"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0.9172 </w:t>
            </w:r>
          </w:p>
        </w:tc>
        <w:tc>
          <w:tcPr>
            <w:tcW w:w="1276" w:type="dxa"/>
            <w:shd w:val="clear" w:color="auto" w:fill="auto"/>
            <w:noWrap/>
            <w:vAlign w:val="center"/>
            <w:hideMark/>
          </w:tcPr>
          <w:p w14:paraId="17EE774B"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0.1440 </w:t>
            </w:r>
          </w:p>
        </w:tc>
      </w:tr>
      <w:tr w:rsidR="004016F9" w:rsidRPr="00943A5A" w14:paraId="32D6AB5D" w14:textId="77777777" w:rsidTr="004016F9">
        <w:trPr>
          <w:trHeight w:val="302"/>
          <w:jc w:val="center"/>
        </w:trPr>
        <w:tc>
          <w:tcPr>
            <w:tcW w:w="3471" w:type="dxa"/>
            <w:gridSpan w:val="2"/>
            <w:shd w:val="clear" w:color="auto" w:fill="auto"/>
            <w:noWrap/>
            <w:vAlign w:val="center"/>
            <w:hideMark/>
          </w:tcPr>
          <w:p w14:paraId="21324E26"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Gearing Ratio </w:t>
            </w:r>
          </w:p>
        </w:tc>
        <w:tc>
          <w:tcPr>
            <w:tcW w:w="1769" w:type="dxa"/>
            <w:shd w:val="clear" w:color="auto" w:fill="auto"/>
            <w:noWrap/>
            <w:vAlign w:val="center"/>
            <w:hideMark/>
          </w:tcPr>
          <w:p w14:paraId="21ECCFBD"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2.4639 </w:t>
            </w:r>
          </w:p>
        </w:tc>
        <w:tc>
          <w:tcPr>
            <w:tcW w:w="1134" w:type="dxa"/>
            <w:shd w:val="clear" w:color="auto" w:fill="auto"/>
            <w:noWrap/>
            <w:vAlign w:val="center"/>
            <w:hideMark/>
          </w:tcPr>
          <w:p w14:paraId="14EA4786"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2.1528 </w:t>
            </w:r>
          </w:p>
        </w:tc>
        <w:tc>
          <w:tcPr>
            <w:tcW w:w="1276" w:type="dxa"/>
            <w:shd w:val="clear" w:color="auto" w:fill="auto"/>
            <w:noWrap/>
            <w:vAlign w:val="center"/>
            <w:hideMark/>
          </w:tcPr>
          <w:p w14:paraId="7AC6AC8E"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-0.311 </w:t>
            </w:r>
          </w:p>
        </w:tc>
      </w:tr>
      <w:tr w:rsidR="004016F9" w:rsidRPr="00943A5A" w14:paraId="57AB32E1" w14:textId="77777777" w:rsidTr="004016F9">
        <w:trPr>
          <w:trHeight w:val="302"/>
          <w:jc w:val="center"/>
        </w:trPr>
        <w:tc>
          <w:tcPr>
            <w:tcW w:w="3471" w:type="dxa"/>
            <w:gridSpan w:val="2"/>
            <w:shd w:val="clear" w:color="auto" w:fill="auto"/>
            <w:noWrap/>
            <w:vAlign w:val="center"/>
            <w:hideMark/>
          </w:tcPr>
          <w:p w14:paraId="7078D84A" w14:textId="77777777" w:rsidR="00943A5A" w:rsidRPr="00943A5A" w:rsidRDefault="00943A5A" w:rsidP="00943A5A">
            <w:pPr>
              <w:spacing w:line="240" w:lineRule="auto"/>
              <w:ind w:firstLine="0"/>
              <w:jc w:val="lef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Interest  Cover</w:t>
            </w:r>
          </w:p>
        </w:tc>
        <w:tc>
          <w:tcPr>
            <w:tcW w:w="1769" w:type="dxa"/>
            <w:shd w:val="clear" w:color="auto" w:fill="auto"/>
            <w:noWrap/>
            <w:vAlign w:val="center"/>
            <w:hideMark/>
          </w:tcPr>
          <w:p w14:paraId="670E6FFD"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3.8619 </w:t>
            </w:r>
          </w:p>
        </w:tc>
        <w:tc>
          <w:tcPr>
            <w:tcW w:w="1134" w:type="dxa"/>
            <w:shd w:val="clear" w:color="auto" w:fill="auto"/>
            <w:noWrap/>
            <w:vAlign w:val="center"/>
            <w:hideMark/>
          </w:tcPr>
          <w:p w14:paraId="2FEB2656"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3.5619 </w:t>
            </w:r>
          </w:p>
        </w:tc>
        <w:tc>
          <w:tcPr>
            <w:tcW w:w="1276" w:type="dxa"/>
            <w:shd w:val="clear" w:color="auto" w:fill="auto"/>
            <w:noWrap/>
            <w:vAlign w:val="center"/>
            <w:hideMark/>
          </w:tcPr>
          <w:p w14:paraId="6B2A7A85" w14:textId="77777777" w:rsidR="00943A5A" w:rsidRPr="00943A5A" w:rsidRDefault="00943A5A" w:rsidP="00943A5A">
            <w:pPr>
              <w:spacing w:line="240" w:lineRule="auto"/>
              <w:ind w:firstLine="0"/>
              <w:jc w:val="right"/>
              <w:rPr>
                <w:rFonts w:ascii="Calibri" w:eastAsia="Times New Roman" w:hAnsi="Calibri" w:cs="Calibri"/>
                <w:color w:val="000000"/>
                <w:sz w:val="22"/>
                <w:lang w:val="en-US"/>
              </w:rPr>
            </w:pPr>
            <w:r w:rsidRPr="00943A5A">
              <w:rPr>
                <w:rFonts w:ascii="Calibri" w:eastAsia="Times New Roman" w:hAnsi="Calibri" w:cs="Calibri"/>
                <w:color w:val="000000"/>
                <w:sz w:val="22"/>
                <w:lang w:val="en-US"/>
              </w:rPr>
              <w:t xml:space="preserve">-0.300 </w:t>
            </w:r>
          </w:p>
        </w:tc>
      </w:tr>
    </w:tbl>
    <w:p w14:paraId="5DCBD799" w14:textId="77777777" w:rsidR="00943A5A" w:rsidRDefault="00943A5A" w:rsidP="00CE56DC">
      <w:pPr>
        <w:rPr>
          <w:szCs w:val="24"/>
          <w:lang w:val="en-US"/>
        </w:rPr>
      </w:pPr>
    </w:p>
    <w:p w14:paraId="701AFE11" w14:textId="77777777" w:rsidR="00CE56DC" w:rsidRDefault="00CE56DC" w:rsidP="00CE56DC">
      <w:pPr>
        <w:rPr>
          <w:szCs w:val="24"/>
          <w:lang w:val="en-US"/>
        </w:rPr>
      </w:pPr>
    </w:p>
    <w:p w14:paraId="5691CB2F" w14:textId="77777777" w:rsidR="009C75BA" w:rsidRDefault="009C75BA">
      <w:pPr>
        <w:ind w:firstLine="0"/>
        <w:rPr>
          <w:lang w:val="en-US"/>
        </w:rPr>
      </w:pPr>
    </w:p>
    <w:p w14:paraId="322CB167" w14:textId="77777777" w:rsidR="009C75BA" w:rsidRDefault="00820B35">
      <w:pPr>
        <w:pStyle w:val="Heading1"/>
        <w:numPr>
          <w:ilvl w:val="0"/>
          <w:numId w:val="2"/>
        </w:numPr>
        <w:jc w:val="both"/>
        <w:rPr>
          <w:lang w:val="en-US"/>
        </w:rPr>
      </w:pPr>
      <w:bookmarkStart w:id="7" w:name="_Toc122975235"/>
      <w:proofErr w:type="spellStart"/>
      <w:r>
        <w:rPr>
          <w:lang w:val="en-US"/>
        </w:rPr>
        <w:t>Analyse</w:t>
      </w:r>
      <w:proofErr w:type="spellEnd"/>
      <w:r>
        <w:rPr>
          <w:lang w:val="en-US"/>
        </w:rPr>
        <w:t xml:space="preserve"> the Financial </w:t>
      </w:r>
      <w:r w:rsidR="003B5BE7">
        <w:rPr>
          <w:lang w:val="en-US"/>
        </w:rPr>
        <w:t xml:space="preserve">Ratios </w:t>
      </w:r>
      <w:r>
        <w:rPr>
          <w:lang w:val="en-US"/>
        </w:rPr>
        <w:t>of the Sweets Plc</w:t>
      </w:r>
      <w:bookmarkEnd w:id="7"/>
    </w:p>
    <w:p w14:paraId="779E8266" w14:textId="77777777" w:rsidR="003B5BE7" w:rsidRDefault="00B9245D" w:rsidP="003B5BE7">
      <w:pPr>
        <w:rPr>
          <w:szCs w:val="24"/>
          <w:lang w:val="en-US"/>
        </w:rPr>
      </w:pPr>
      <w:r w:rsidRPr="00B9245D">
        <w:rPr>
          <w:rFonts w:eastAsia="SimSun"/>
          <w:szCs w:val="24"/>
          <w:shd w:val="clear" w:color="auto" w:fill="FFFFFF"/>
          <w:lang w:val="en-US"/>
        </w:rPr>
        <w:t xml:space="preserve">Financial ratios are largely used to make fair comparisons over time and </w:t>
      </w:r>
      <w:r>
        <w:rPr>
          <w:rFonts w:eastAsia="SimSun"/>
          <w:szCs w:val="24"/>
          <w:shd w:val="clear" w:color="auto" w:fill="FFFFFF"/>
          <w:lang w:val="en-US"/>
        </w:rPr>
        <w:t xml:space="preserve">gauge the </w:t>
      </w:r>
      <w:r w:rsidRPr="00B9245D">
        <w:rPr>
          <w:rFonts w:eastAsia="SimSun"/>
          <w:szCs w:val="24"/>
          <w:shd w:val="clear" w:color="auto" w:fill="FFFFFF"/>
          <w:lang w:val="en-US"/>
        </w:rPr>
        <w:t>differen</w:t>
      </w:r>
      <w:r>
        <w:rPr>
          <w:rFonts w:eastAsia="SimSun"/>
          <w:szCs w:val="24"/>
          <w:shd w:val="clear" w:color="auto" w:fill="FFFFFF"/>
          <w:lang w:val="en-US"/>
        </w:rPr>
        <w:t xml:space="preserve">ces between </w:t>
      </w:r>
      <w:r w:rsidRPr="00B9245D">
        <w:rPr>
          <w:rFonts w:eastAsia="SimSun"/>
          <w:szCs w:val="24"/>
          <w:shd w:val="clear" w:color="auto" w:fill="FFFFFF"/>
          <w:lang w:val="en-US"/>
        </w:rPr>
        <w:t>industries or e</w:t>
      </w:r>
      <w:r>
        <w:rPr>
          <w:rFonts w:eastAsia="SimSun"/>
          <w:szCs w:val="24"/>
          <w:shd w:val="clear" w:color="auto" w:fill="FFFFFF"/>
          <w:lang w:val="en-US"/>
        </w:rPr>
        <w:t>nterprises</w:t>
      </w:r>
      <w:r w:rsidR="008C016E" w:rsidRPr="003B5BE7">
        <w:rPr>
          <w:rFonts w:eastAsia="SimSun"/>
          <w:szCs w:val="24"/>
          <w:shd w:val="clear" w:color="auto" w:fill="FFFFFF"/>
          <w:lang w:val="en-US"/>
        </w:rPr>
        <w:t>.  To access the company</w:t>
      </w:r>
      <w:r w:rsidR="003B5BE7" w:rsidRPr="003B5BE7">
        <w:rPr>
          <w:rFonts w:eastAsia="SimSun"/>
          <w:szCs w:val="24"/>
          <w:shd w:val="clear" w:color="auto" w:fill="FFFFFF"/>
          <w:lang w:val="en-US"/>
        </w:rPr>
        <w:t>'s</w:t>
      </w:r>
      <w:r w:rsidR="008C016E" w:rsidRPr="003B5BE7">
        <w:rPr>
          <w:rFonts w:eastAsia="SimSun"/>
          <w:szCs w:val="24"/>
          <w:shd w:val="clear" w:color="auto" w:fill="FFFFFF"/>
          <w:lang w:val="en-US"/>
        </w:rPr>
        <w:t xml:space="preserve"> performance</w:t>
      </w:r>
      <w:r w:rsidR="003B5BE7" w:rsidRPr="003B5BE7">
        <w:rPr>
          <w:rFonts w:eastAsia="SimSun"/>
          <w:szCs w:val="24"/>
          <w:shd w:val="clear" w:color="auto" w:fill="FFFFFF"/>
          <w:lang w:val="en-US"/>
        </w:rPr>
        <w:t xml:space="preserve"> and financial health, </w:t>
      </w:r>
      <w:r w:rsidR="008C016E" w:rsidRPr="003B5BE7">
        <w:rPr>
          <w:rFonts w:eastAsia="SimSun"/>
          <w:szCs w:val="24"/>
          <w:shd w:val="clear" w:color="auto" w:fill="FFFFFF"/>
          <w:lang w:val="en-US"/>
        </w:rPr>
        <w:t>various ratio</w:t>
      </w:r>
      <w:r w:rsidR="00297B8D" w:rsidRPr="003B5BE7">
        <w:rPr>
          <w:rFonts w:eastAsia="SimSun"/>
          <w:szCs w:val="24"/>
          <w:shd w:val="clear" w:color="auto" w:fill="FFFFFF"/>
          <w:lang w:val="en-US"/>
        </w:rPr>
        <w:t xml:space="preserve">s are </w:t>
      </w:r>
      <w:r w:rsidR="007673F2" w:rsidRPr="003B5BE7">
        <w:rPr>
          <w:rFonts w:eastAsia="SimSun"/>
          <w:szCs w:val="24"/>
          <w:shd w:val="clear" w:color="auto" w:fill="FFFFFF"/>
          <w:lang w:val="en-US"/>
        </w:rPr>
        <w:t>being</w:t>
      </w:r>
      <w:r w:rsidR="00297B8D" w:rsidRPr="003B5BE7">
        <w:rPr>
          <w:rFonts w:eastAsia="SimSun"/>
          <w:szCs w:val="24"/>
          <w:shd w:val="clear" w:color="auto" w:fill="FFFFFF"/>
          <w:lang w:val="en-US"/>
        </w:rPr>
        <w:t xml:space="preserve"> considered</w:t>
      </w:r>
      <w:r w:rsidR="008C016E" w:rsidRPr="003B5BE7">
        <w:rPr>
          <w:rFonts w:eastAsia="SimSun"/>
          <w:szCs w:val="24"/>
          <w:shd w:val="clear" w:color="auto" w:fill="FFFFFF"/>
          <w:lang w:val="en-US"/>
        </w:rPr>
        <w:t xml:space="preserve"> such as financial </w:t>
      </w:r>
      <w:r w:rsidR="007673F2" w:rsidRPr="003B5BE7">
        <w:rPr>
          <w:rFonts w:eastAsia="SimSun"/>
          <w:szCs w:val="24"/>
          <w:shd w:val="clear" w:color="auto" w:fill="FFFFFF"/>
          <w:lang w:val="en-US"/>
        </w:rPr>
        <w:t>efficiency, liquidity, profitability, and</w:t>
      </w:r>
      <w:r w:rsidR="003B5BE7" w:rsidRPr="003B5BE7">
        <w:rPr>
          <w:rFonts w:eastAsia="SimSun"/>
          <w:szCs w:val="24"/>
          <w:shd w:val="clear" w:color="auto" w:fill="FFFFFF"/>
          <w:lang w:val="en-US"/>
        </w:rPr>
        <w:t xml:space="preserve"> company repayment capacity. According to Furman and Summers (2019), each of these can be separately been evaluated for the financial health of the company. The ratio </w:t>
      </w:r>
      <w:r w:rsidR="005D14FF" w:rsidRPr="003B5BE7">
        <w:rPr>
          <w:rFonts w:eastAsia="SimSun"/>
          <w:szCs w:val="24"/>
          <w:shd w:val="clear" w:color="auto" w:fill="FFFFFF"/>
          <w:lang w:val="en-US"/>
        </w:rPr>
        <w:t>of ROCE can</w:t>
      </w:r>
      <w:r w:rsidR="003B5BE7" w:rsidRPr="003B5BE7">
        <w:rPr>
          <w:rFonts w:eastAsia="SimSun"/>
          <w:szCs w:val="24"/>
          <w:shd w:val="clear" w:color="auto" w:fill="FFFFFF"/>
          <w:lang w:val="en-US"/>
        </w:rPr>
        <w:t xml:space="preserve"> be used to calculate when a business wants to gain how much profit it generates for every £</w:t>
      </w:r>
      <w:r w:rsidR="005D14FF" w:rsidRPr="003B5BE7">
        <w:rPr>
          <w:rFonts w:eastAsia="SimSun"/>
          <w:szCs w:val="24"/>
          <w:shd w:val="clear" w:color="auto" w:fill="FFFFFF"/>
          <w:lang w:val="en-US"/>
        </w:rPr>
        <w:t>1 invested</w:t>
      </w:r>
      <w:r w:rsidR="003B5BE7" w:rsidRPr="003B5BE7">
        <w:rPr>
          <w:rFonts w:eastAsia="SimSun"/>
          <w:szCs w:val="24"/>
          <w:shd w:val="clear" w:color="auto" w:fill="FFFFFF"/>
          <w:lang w:val="en-US"/>
        </w:rPr>
        <w:t xml:space="preserve"> in capital. Chika, Promise, and </w:t>
      </w:r>
      <w:proofErr w:type="spellStart"/>
      <w:r w:rsidR="003B5BE7" w:rsidRPr="003B5BE7">
        <w:rPr>
          <w:rFonts w:eastAsia="SimSun"/>
          <w:szCs w:val="24"/>
          <w:shd w:val="clear" w:color="auto" w:fill="FFFFFF"/>
          <w:lang w:val="en-US"/>
        </w:rPr>
        <w:t>Werikum</w:t>
      </w:r>
      <w:proofErr w:type="spellEnd"/>
      <w:r w:rsidR="003B5BE7" w:rsidRPr="003B5BE7">
        <w:rPr>
          <w:rFonts w:eastAsia="SimSun"/>
          <w:szCs w:val="24"/>
          <w:shd w:val="clear" w:color="auto" w:fill="FFFFFF"/>
          <w:lang w:val="en-US"/>
        </w:rPr>
        <w:t xml:space="preserve"> (2022) describe that higher ROCE suggests that a company can produce profit per unit of output. As a result, in corporate comparisons, a higher ROCE denotes more profitability. Table 3 shows the computation </w:t>
      </w:r>
      <w:r w:rsidR="005D14FF" w:rsidRPr="003B5BE7">
        <w:rPr>
          <w:rFonts w:eastAsia="SimSun"/>
          <w:szCs w:val="24"/>
          <w:shd w:val="clear" w:color="auto" w:fill="FFFFFF"/>
          <w:lang w:val="en-US"/>
        </w:rPr>
        <w:t>of Sweet</w:t>
      </w:r>
      <w:r w:rsidR="003B5BE7" w:rsidRPr="003B5BE7">
        <w:rPr>
          <w:rFonts w:eastAsia="SimSun"/>
          <w:szCs w:val="24"/>
          <w:shd w:val="clear" w:color="auto" w:fill="FFFFFF"/>
          <w:lang w:val="en-US"/>
        </w:rPr>
        <w:t xml:space="preserve"> plc's </w:t>
      </w:r>
      <w:r w:rsidR="005D14FF" w:rsidRPr="003B5BE7">
        <w:rPr>
          <w:rFonts w:eastAsia="SimSun"/>
          <w:szCs w:val="24"/>
          <w:shd w:val="clear" w:color="auto" w:fill="FFFFFF"/>
          <w:lang w:val="en-US"/>
        </w:rPr>
        <w:t>ROCE ratio</w:t>
      </w:r>
      <w:r w:rsidR="003B5BE7" w:rsidRPr="003B5BE7">
        <w:rPr>
          <w:rFonts w:eastAsia="SimSun"/>
          <w:szCs w:val="24"/>
          <w:shd w:val="clear" w:color="auto" w:fill="FFFFFF"/>
          <w:lang w:val="en-US"/>
        </w:rPr>
        <w:t xml:space="preserve"> which has increased from 9.9% to 11% from 2020 to 2021. The main reason for the high ROCE ratio is that higher EBIT has been observed from </w:t>
      </w:r>
      <w:r w:rsidR="005D14FF" w:rsidRPr="003B5BE7">
        <w:rPr>
          <w:rFonts w:eastAsia="SimSun"/>
          <w:szCs w:val="24"/>
          <w:shd w:val="clear" w:color="auto" w:fill="FFFFFF"/>
          <w:lang w:val="en-US"/>
        </w:rPr>
        <w:t>2020 to</w:t>
      </w:r>
      <w:r w:rsidR="003B5BE7" w:rsidRPr="003B5BE7">
        <w:rPr>
          <w:rFonts w:eastAsia="SimSun"/>
          <w:szCs w:val="24"/>
          <w:shd w:val="clear" w:color="auto" w:fill="FFFFFF"/>
          <w:lang w:val="en-US"/>
        </w:rPr>
        <w:t xml:space="preserve"> 2021. The higher operating income can substantially increase the ratio of ROCE. In </w:t>
      </w:r>
      <w:r w:rsidR="005D14FF" w:rsidRPr="003B5BE7">
        <w:rPr>
          <w:rFonts w:eastAsia="SimSun"/>
          <w:szCs w:val="24"/>
          <w:shd w:val="clear" w:color="auto" w:fill="FFFFFF"/>
          <w:lang w:val="en-US"/>
        </w:rPr>
        <w:t>addition, the</w:t>
      </w:r>
      <w:r w:rsidR="003B5BE7">
        <w:rPr>
          <w:szCs w:val="24"/>
          <w:lang w:val="en-US"/>
        </w:rPr>
        <w:t xml:space="preserve"> return on equity (ROE) is another ratio that helps an </w:t>
      </w:r>
      <w:r w:rsidR="003B5BE7" w:rsidRPr="003B5BE7">
        <w:rPr>
          <w:szCs w:val="24"/>
          <w:lang w:val="en-US"/>
        </w:rPr>
        <w:t xml:space="preserve">investor </w:t>
      </w:r>
      <w:r w:rsidR="003B5BE7">
        <w:rPr>
          <w:szCs w:val="24"/>
          <w:lang w:val="en-US"/>
        </w:rPr>
        <w:t xml:space="preserve">to </w:t>
      </w:r>
      <w:r w:rsidR="003B5BE7" w:rsidRPr="003B5BE7">
        <w:rPr>
          <w:szCs w:val="24"/>
          <w:lang w:val="en-US"/>
        </w:rPr>
        <w:t>evaluate</w:t>
      </w:r>
      <w:r w:rsidR="003B5BE7">
        <w:rPr>
          <w:szCs w:val="24"/>
          <w:lang w:val="en-US"/>
        </w:rPr>
        <w:t xml:space="preserve"> whether</w:t>
      </w:r>
      <w:r w:rsidR="003B5BE7" w:rsidRPr="003B5BE7">
        <w:rPr>
          <w:szCs w:val="24"/>
          <w:lang w:val="en-US"/>
        </w:rPr>
        <w:t xml:space="preserve"> a compan</w:t>
      </w:r>
      <w:r w:rsidR="003B5BE7">
        <w:rPr>
          <w:szCs w:val="24"/>
          <w:lang w:val="en-US"/>
        </w:rPr>
        <w:t xml:space="preserve">y is effectively managing its capital. Table 3 shows the calculation of the return on equity from 2020 to 2021. In 2020 </w:t>
      </w:r>
      <w:r w:rsidR="005D14FF">
        <w:rPr>
          <w:szCs w:val="24"/>
          <w:lang w:val="en-US"/>
        </w:rPr>
        <w:t>the Sweet</w:t>
      </w:r>
      <w:r w:rsidR="003B5BE7">
        <w:rPr>
          <w:szCs w:val="24"/>
          <w:lang w:val="en-US"/>
        </w:rPr>
        <w:t xml:space="preserve"> Plc ROC was </w:t>
      </w:r>
      <w:r w:rsidR="003B5BE7" w:rsidRPr="003B5BE7">
        <w:rPr>
          <w:szCs w:val="24"/>
          <w:lang w:val="en-US"/>
        </w:rPr>
        <w:t>12.6</w:t>
      </w:r>
      <w:r w:rsidR="005D14FF" w:rsidRPr="003B5BE7">
        <w:rPr>
          <w:szCs w:val="24"/>
          <w:lang w:val="en-US"/>
        </w:rPr>
        <w:t>% which</w:t>
      </w:r>
      <w:r w:rsidR="003B5BE7" w:rsidRPr="003B5BE7">
        <w:rPr>
          <w:szCs w:val="24"/>
          <w:lang w:val="en-US"/>
        </w:rPr>
        <w:t xml:space="preserve"> has </w:t>
      </w:r>
      <w:r w:rsidR="003B5BE7">
        <w:rPr>
          <w:szCs w:val="24"/>
          <w:lang w:val="en-US"/>
        </w:rPr>
        <w:t xml:space="preserve">increased </w:t>
      </w:r>
      <w:r w:rsidR="003B5BE7" w:rsidRPr="003B5BE7">
        <w:rPr>
          <w:szCs w:val="24"/>
          <w:lang w:val="en-US"/>
        </w:rPr>
        <w:t xml:space="preserve">by 1.39% </w:t>
      </w:r>
      <w:r w:rsidR="003B5BE7">
        <w:rPr>
          <w:szCs w:val="24"/>
          <w:lang w:val="en-US"/>
        </w:rPr>
        <w:t xml:space="preserve">because the company's net income in </w:t>
      </w:r>
      <w:r w:rsidR="005D14FF">
        <w:rPr>
          <w:szCs w:val="24"/>
          <w:lang w:val="en-US"/>
        </w:rPr>
        <w:t>2021 has</w:t>
      </w:r>
      <w:r w:rsidR="003B5BE7">
        <w:rPr>
          <w:szCs w:val="24"/>
          <w:lang w:val="en-US"/>
        </w:rPr>
        <w:t xml:space="preserve"> increased by 1.17%.  Thus, a larger ratio </w:t>
      </w:r>
      <w:r w:rsidR="003B5BE7" w:rsidRPr="003B5BE7">
        <w:rPr>
          <w:szCs w:val="24"/>
          <w:lang w:val="en-US"/>
        </w:rPr>
        <w:t>denotes the company's higher profitability.</w:t>
      </w:r>
    </w:p>
    <w:p w14:paraId="16FD75EC" w14:textId="77777777" w:rsidR="003B5BE7" w:rsidRDefault="003B5BE7" w:rsidP="003B5BE7">
      <w:pPr>
        <w:rPr>
          <w:szCs w:val="24"/>
          <w:lang w:val="en-US"/>
        </w:rPr>
      </w:pPr>
      <w:r>
        <w:rPr>
          <w:szCs w:val="24"/>
          <w:lang w:val="en-US"/>
        </w:rPr>
        <w:t xml:space="preserve"> The </w:t>
      </w:r>
      <w:r w:rsidR="005D14FF">
        <w:rPr>
          <w:szCs w:val="24"/>
          <w:lang w:val="en-US"/>
        </w:rPr>
        <w:t>EPS ratio</w:t>
      </w:r>
      <w:r>
        <w:rPr>
          <w:szCs w:val="24"/>
          <w:lang w:val="en-US"/>
        </w:rPr>
        <w:t xml:space="preserve"> is another ratio that helps to measure the company's profitability. </w:t>
      </w:r>
      <w:r w:rsidRPr="003B5BE7">
        <w:rPr>
          <w:szCs w:val="24"/>
          <w:lang w:val="en-US"/>
        </w:rPr>
        <w:t xml:space="preserve">To calculate a company's profit per share, profits are divided by the </w:t>
      </w:r>
      <w:r>
        <w:rPr>
          <w:szCs w:val="24"/>
          <w:lang w:val="en-US"/>
        </w:rPr>
        <w:t>number of shares of common stock (</w:t>
      </w:r>
      <w:proofErr w:type="spellStart"/>
      <w:r>
        <w:rPr>
          <w:rFonts w:eastAsia="SimSun"/>
          <w:color w:val="222222"/>
          <w:szCs w:val="24"/>
          <w:shd w:val="clear" w:color="auto" w:fill="FFFFFF"/>
        </w:rPr>
        <w:t>Pramitta</w:t>
      </w:r>
      <w:proofErr w:type="spellEnd"/>
      <w:r>
        <w:rPr>
          <w:rFonts w:eastAsia="SimSun"/>
          <w:color w:val="222222"/>
          <w:szCs w:val="24"/>
          <w:shd w:val="clear" w:color="auto" w:fill="FFFFFF"/>
        </w:rPr>
        <w:t xml:space="preserve"> </w:t>
      </w:r>
      <w:proofErr w:type="spellStart"/>
      <w:r>
        <w:rPr>
          <w:rFonts w:eastAsia="SimSun"/>
          <w:color w:val="222222"/>
          <w:szCs w:val="24"/>
          <w:shd w:val="clear" w:color="auto" w:fill="FFFFFF"/>
          <w:lang w:val="en-US"/>
        </w:rPr>
        <w:t>Yulianda</w:t>
      </w:r>
      <w:proofErr w:type="spellEnd"/>
      <w:r>
        <w:rPr>
          <w:rFonts w:eastAsia="SimSun"/>
          <w:color w:val="222222"/>
          <w:szCs w:val="24"/>
          <w:shd w:val="clear" w:color="auto" w:fill="FFFFFF"/>
        </w:rPr>
        <w:t xml:space="preserve">, </w:t>
      </w:r>
      <w:proofErr w:type="spellStart"/>
      <w:r>
        <w:rPr>
          <w:rFonts w:eastAsia="SimSun"/>
          <w:color w:val="222222"/>
          <w:szCs w:val="24"/>
          <w:shd w:val="clear" w:color="auto" w:fill="FFFFFF"/>
        </w:rPr>
        <w:t>Thio</w:t>
      </w:r>
      <w:proofErr w:type="spellEnd"/>
      <w:r>
        <w:rPr>
          <w:rFonts w:eastAsia="SimSun"/>
          <w:color w:val="222222"/>
          <w:szCs w:val="24"/>
          <w:shd w:val="clear" w:color="auto" w:fill="FFFFFF"/>
        </w:rPr>
        <w:t>, and Asri, 2018)</w:t>
      </w:r>
      <w:r>
        <w:rPr>
          <w:szCs w:val="24"/>
          <w:lang w:val="en-US"/>
        </w:rPr>
        <w:t xml:space="preserve">. </w:t>
      </w:r>
      <w:r w:rsidR="005D14FF">
        <w:rPr>
          <w:szCs w:val="24"/>
          <w:lang w:val="en-US"/>
        </w:rPr>
        <w:t>Furthermore, EPS</w:t>
      </w:r>
      <w:r w:rsidRPr="003B5BE7">
        <w:rPr>
          <w:szCs w:val="24"/>
          <w:lang w:val="en-US"/>
        </w:rPr>
        <w:t xml:space="preserve"> ratios are often used by </w:t>
      </w:r>
      <w:r>
        <w:rPr>
          <w:szCs w:val="24"/>
          <w:lang w:val="en-US"/>
        </w:rPr>
        <w:t xml:space="preserve">companies </w:t>
      </w:r>
      <w:r w:rsidRPr="003B5BE7">
        <w:rPr>
          <w:szCs w:val="24"/>
          <w:lang w:val="en-US"/>
        </w:rPr>
        <w:t>to report their financial outcomes.</w:t>
      </w:r>
      <w:r>
        <w:rPr>
          <w:szCs w:val="24"/>
          <w:lang w:val="en-US"/>
        </w:rPr>
        <w:t xml:space="preserve"> From </w:t>
      </w:r>
      <w:r w:rsidR="005D14FF">
        <w:rPr>
          <w:szCs w:val="24"/>
          <w:lang w:val="en-US"/>
        </w:rPr>
        <w:t>table 3</w:t>
      </w:r>
      <w:r>
        <w:rPr>
          <w:szCs w:val="24"/>
          <w:lang w:val="en-US"/>
        </w:rPr>
        <w:t xml:space="preserve">, it has been observed that Sweet's </w:t>
      </w:r>
      <w:r w:rsidR="005D14FF">
        <w:rPr>
          <w:szCs w:val="24"/>
          <w:lang w:val="en-US"/>
        </w:rPr>
        <w:t>plc EPS</w:t>
      </w:r>
      <w:r>
        <w:rPr>
          <w:szCs w:val="24"/>
          <w:lang w:val="en-US"/>
        </w:rPr>
        <w:t xml:space="preserve"> has increased from </w:t>
      </w:r>
      <w:r w:rsidR="005D14FF">
        <w:rPr>
          <w:szCs w:val="24"/>
          <w:lang w:val="en-US"/>
        </w:rPr>
        <w:t>1.2 to</w:t>
      </w:r>
      <w:r>
        <w:rPr>
          <w:szCs w:val="24"/>
          <w:lang w:val="en-US"/>
        </w:rPr>
        <w:t xml:space="preserve"> 1.4 </w:t>
      </w:r>
      <w:r w:rsidR="005D14FF">
        <w:rPr>
          <w:szCs w:val="24"/>
          <w:lang w:val="en-US"/>
        </w:rPr>
        <w:t>during 2021</w:t>
      </w:r>
      <w:r>
        <w:rPr>
          <w:szCs w:val="24"/>
          <w:lang w:val="en-US"/>
        </w:rPr>
        <w:t xml:space="preserve">. </w:t>
      </w:r>
      <w:r w:rsidR="00B9245D" w:rsidRPr="00B9245D">
        <w:rPr>
          <w:szCs w:val="24"/>
          <w:lang w:val="en-US"/>
        </w:rPr>
        <w:t>Therefore, greater EPS indicates that investors would pay more for shares of Sweet's plc if they thought the firm had larger earnings i</w:t>
      </w:r>
      <w:r w:rsidR="00B9245D">
        <w:rPr>
          <w:szCs w:val="24"/>
          <w:lang w:val="en-US"/>
        </w:rPr>
        <w:t>n comparison to its share price. As</w:t>
      </w:r>
      <w:r w:rsidR="00B9245D" w:rsidRPr="00B9245D">
        <w:rPr>
          <w:szCs w:val="24"/>
          <w:lang w:val="en-US"/>
        </w:rPr>
        <w:t xml:space="preserve"> a result, higher EPS indicates more value for the company and raised Sweet's plc's net worth.</w:t>
      </w:r>
      <w:r w:rsidR="00820B35" w:rsidRPr="003B5BE7">
        <w:rPr>
          <w:szCs w:val="24"/>
          <w:lang w:val="en-US"/>
        </w:rPr>
        <w:t xml:space="preserve">  </w:t>
      </w:r>
      <w:r w:rsidR="00B9245D" w:rsidRPr="00B9245D">
        <w:rPr>
          <w:szCs w:val="24"/>
          <w:lang w:val="en-US"/>
        </w:rPr>
        <w:t>The ratio of net income or profit to revenue is measured by the net prof</w:t>
      </w:r>
      <w:r w:rsidR="00B9245D">
        <w:rPr>
          <w:szCs w:val="24"/>
          <w:lang w:val="en-US"/>
        </w:rPr>
        <w:t xml:space="preserve">it margin, which is often called the net profit margin </w:t>
      </w:r>
      <w:r>
        <w:rPr>
          <w:szCs w:val="24"/>
          <w:lang w:val="en-US"/>
        </w:rPr>
        <w:t>(</w:t>
      </w:r>
      <w:proofErr w:type="spellStart"/>
      <w:r w:rsidRPr="003B5BE7">
        <w:rPr>
          <w:szCs w:val="24"/>
          <w:lang w:val="en-US"/>
        </w:rPr>
        <w:t>Restianti</w:t>
      </w:r>
      <w:proofErr w:type="spellEnd"/>
      <w:r w:rsidRPr="003B5BE7">
        <w:rPr>
          <w:szCs w:val="24"/>
          <w:lang w:val="en-US"/>
        </w:rPr>
        <w:t xml:space="preserve"> and Agustina, 2018</w:t>
      </w:r>
      <w:r>
        <w:rPr>
          <w:szCs w:val="24"/>
          <w:lang w:val="en-US"/>
        </w:rPr>
        <w:t>)</w:t>
      </w:r>
      <w:r w:rsidRPr="003B5BE7">
        <w:rPr>
          <w:szCs w:val="24"/>
          <w:lang w:val="en-US"/>
        </w:rPr>
        <w:t>.</w:t>
      </w:r>
      <w:r>
        <w:rPr>
          <w:szCs w:val="24"/>
          <w:lang w:val="en-US"/>
        </w:rPr>
        <w:t xml:space="preserve">  The net profit margin is another method to evaluate the company's profitability. </w:t>
      </w:r>
      <w:r w:rsidRPr="003B5BE7">
        <w:rPr>
          <w:szCs w:val="24"/>
          <w:lang w:val="en-US"/>
        </w:rPr>
        <w:t>The presented financial statement and a calculated Net Profit Margin ratio imply that even though the company's net income climbed from 2020 to 21. However, the ratio fell from 6.4% to 5.7% as a result of higher costs incurred during the year, which severely dropped the ratio by 0.71%.</w:t>
      </w:r>
    </w:p>
    <w:p w14:paraId="14A1A3BF" w14:textId="77777777" w:rsidR="003B5BE7" w:rsidRPr="003B5BE7" w:rsidRDefault="003B5BE7" w:rsidP="003B5BE7">
      <w:pPr>
        <w:rPr>
          <w:szCs w:val="24"/>
          <w:lang w:val="en-US"/>
        </w:rPr>
      </w:pPr>
      <w:r w:rsidRPr="003B5BE7">
        <w:rPr>
          <w:szCs w:val="24"/>
          <w:lang w:val="en-US"/>
        </w:rPr>
        <w:lastRenderedPageBreak/>
        <w:t>The asset turnover ratio is calculated by comparing sales to the overall asset value. This indicator assesses the effectiveness with which assets are converted into money</w:t>
      </w:r>
      <w:r>
        <w:rPr>
          <w:szCs w:val="24"/>
          <w:lang w:val="en-US"/>
        </w:rPr>
        <w:t xml:space="preserve"> (</w:t>
      </w:r>
      <w:proofErr w:type="spellStart"/>
      <w:r w:rsidRPr="003B5BE7">
        <w:rPr>
          <w:szCs w:val="24"/>
          <w:lang w:val="en-US"/>
        </w:rPr>
        <w:t>Panigrahi</w:t>
      </w:r>
      <w:proofErr w:type="spellEnd"/>
      <w:r w:rsidRPr="003B5BE7">
        <w:rPr>
          <w:szCs w:val="24"/>
          <w:lang w:val="en-US"/>
        </w:rPr>
        <w:t xml:space="preserve"> and </w:t>
      </w:r>
      <w:proofErr w:type="spellStart"/>
      <w:r w:rsidRPr="003B5BE7">
        <w:rPr>
          <w:szCs w:val="24"/>
          <w:lang w:val="en-US"/>
        </w:rPr>
        <w:t>Vachhani</w:t>
      </w:r>
      <w:proofErr w:type="spellEnd"/>
      <w:r w:rsidRPr="003B5BE7">
        <w:rPr>
          <w:szCs w:val="24"/>
          <w:lang w:val="en-US"/>
        </w:rPr>
        <w:t>,</w:t>
      </w:r>
      <w:r>
        <w:rPr>
          <w:szCs w:val="24"/>
          <w:lang w:val="en-US"/>
        </w:rPr>
        <w:t xml:space="preserve"> 2021) Table 3 shows that Sweet's plc is effectively managing and using its capital because it earns income from its assets.  Furthermore, i</w:t>
      </w:r>
      <w:r w:rsidRPr="003B5BE7">
        <w:rPr>
          <w:szCs w:val="24"/>
          <w:lang w:val="en-US"/>
        </w:rPr>
        <w:t>nventory days on hand is a metric used to gauge how quickly a fi</w:t>
      </w:r>
      <w:r>
        <w:rPr>
          <w:szCs w:val="24"/>
          <w:lang w:val="en-US"/>
        </w:rPr>
        <w:t xml:space="preserve">rm </w:t>
      </w:r>
      <w:r w:rsidR="005D14FF">
        <w:rPr>
          <w:szCs w:val="24"/>
          <w:lang w:val="en-US"/>
        </w:rPr>
        <w:t>sell</w:t>
      </w:r>
      <w:r>
        <w:rPr>
          <w:szCs w:val="24"/>
          <w:lang w:val="en-US"/>
        </w:rPr>
        <w:t xml:space="preserve"> through its stock. Base</w:t>
      </w:r>
      <w:r w:rsidRPr="003B5BE7">
        <w:rPr>
          <w:szCs w:val="24"/>
          <w:lang w:val="en-US"/>
        </w:rPr>
        <w:t>d on the company study, it can be said that Sweets Plc has drastically shortened the time of stock inventory from 77.6 days in 2020 to 37.02 days seen in 2021. Thus, the outcome demonstrates that the business is efficiently using its inventory.</w:t>
      </w:r>
      <w:r>
        <w:rPr>
          <w:szCs w:val="24"/>
          <w:lang w:val="en-US"/>
        </w:rPr>
        <w:t xml:space="preserve"> On the side debtor’s collection period is another metric that is used to measure the efficiency of the company. </w:t>
      </w:r>
      <w:r w:rsidRPr="003B5BE7">
        <w:rPr>
          <w:szCs w:val="24"/>
          <w:lang w:val="en-US"/>
        </w:rPr>
        <w:t>According</w:t>
      </w:r>
      <w:r>
        <w:rPr>
          <w:szCs w:val="24"/>
          <w:lang w:val="en-US"/>
        </w:rPr>
        <w:t xml:space="preserve"> to </w:t>
      </w:r>
      <w:r w:rsidRPr="003B5BE7">
        <w:rPr>
          <w:szCs w:val="24"/>
          <w:lang w:val="en-US"/>
        </w:rPr>
        <w:t xml:space="preserve">Munene and </w:t>
      </w:r>
      <w:r w:rsidR="005D14FF" w:rsidRPr="003B5BE7">
        <w:rPr>
          <w:szCs w:val="24"/>
          <w:lang w:val="en-US"/>
        </w:rPr>
        <w:t xml:space="preserve">Tibbs </w:t>
      </w:r>
      <w:r w:rsidR="005D14FF">
        <w:rPr>
          <w:szCs w:val="24"/>
          <w:lang w:val="en-US"/>
        </w:rPr>
        <w:t>(</w:t>
      </w:r>
      <w:r>
        <w:rPr>
          <w:szCs w:val="24"/>
          <w:lang w:val="en-US"/>
        </w:rPr>
        <w:t>2018) a</w:t>
      </w:r>
      <w:r w:rsidRPr="003B5BE7">
        <w:rPr>
          <w:szCs w:val="24"/>
          <w:lang w:val="en-US"/>
        </w:rPr>
        <w:t xml:space="preserve"> company's average accounts receivable amount divided by its net credit sales for a given period yields the average collection period. The debtors' collection period reflects the time a company take to collect a debt from trade.</w:t>
      </w:r>
      <w:r>
        <w:rPr>
          <w:szCs w:val="24"/>
          <w:lang w:val="en-US"/>
        </w:rPr>
        <w:t xml:space="preserve">  Lower debtors’ collection suggests higher company </w:t>
      </w:r>
      <w:r w:rsidRPr="003B5BE7">
        <w:rPr>
          <w:szCs w:val="24"/>
          <w:lang w:val="en-US"/>
        </w:rPr>
        <w:t>efficiency</w:t>
      </w:r>
      <w:r>
        <w:rPr>
          <w:szCs w:val="24"/>
          <w:lang w:val="en-US"/>
        </w:rPr>
        <w:t xml:space="preserve"> (</w:t>
      </w:r>
      <w:r w:rsidRPr="003B5BE7">
        <w:rPr>
          <w:szCs w:val="24"/>
          <w:lang w:val="en-US"/>
        </w:rPr>
        <w:t>Ahmad, Bashir, and Waqas, 2022</w:t>
      </w:r>
      <w:r>
        <w:rPr>
          <w:szCs w:val="24"/>
          <w:lang w:val="en-US"/>
        </w:rPr>
        <w:t xml:space="preserve">). </w:t>
      </w:r>
      <w:r w:rsidRPr="003B5BE7">
        <w:rPr>
          <w:szCs w:val="24"/>
          <w:lang w:val="en-US"/>
        </w:rPr>
        <w:t>The debtor collection period for Sweets Plc has been reduced from 72.9 days to 68.68 days in the financial statement that has been presented, which also demonstrates the company's increased efficiency.</w:t>
      </w:r>
    </w:p>
    <w:p w14:paraId="18139508" w14:textId="77777777" w:rsidR="003B5BE7" w:rsidRDefault="003B5BE7" w:rsidP="003B5BE7">
      <w:pPr>
        <w:ind w:firstLine="0"/>
        <w:rPr>
          <w:rFonts w:eastAsia="SimSun"/>
          <w:szCs w:val="24"/>
          <w:shd w:val="clear" w:color="auto" w:fill="FFFFFF"/>
          <w:lang w:val="en-US"/>
        </w:rPr>
      </w:pPr>
      <w:r>
        <w:rPr>
          <w:rFonts w:eastAsia="SimSun"/>
          <w:color w:val="222222"/>
          <w:szCs w:val="24"/>
          <w:shd w:val="clear" w:color="auto" w:fill="FFFFFF"/>
          <w:lang w:val="en-US"/>
        </w:rPr>
        <w:t xml:space="preserve"> </w:t>
      </w:r>
      <w:r w:rsidRPr="003B5BE7">
        <w:rPr>
          <w:rFonts w:eastAsia="SimSun"/>
          <w:szCs w:val="24"/>
          <w:shd w:val="clear" w:color="auto" w:fill="FFFFFF"/>
          <w:lang w:val="en-US"/>
        </w:rPr>
        <w:tab/>
        <w:t>The company’s abil</w:t>
      </w:r>
      <w:r>
        <w:rPr>
          <w:rFonts w:eastAsia="SimSun"/>
          <w:szCs w:val="24"/>
          <w:shd w:val="clear" w:color="auto" w:fill="FFFFFF"/>
          <w:lang w:val="en-US"/>
        </w:rPr>
        <w:t>i</w:t>
      </w:r>
      <w:r w:rsidRPr="003B5BE7">
        <w:rPr>
          <w:rFonts w:eastAsia="SimSun"/>
          <w:szCs w:val="24"/>
          <w:shd w:val="clear" w:color="auto" w:fill="FFFFFF"/>
          <w:lang w:val="en-US"/>
        </w:rPr>
        <w:t>ty to pay its short</w:t>
      </w:r>
      <w:r>
        <w:rPr>
          <w:rFonts w:eastAsia="SimSun"/>
          <w:szCs w:val="24"/>
          <w:shd w:val="clear" w:color="auto" w:fill="FFFFFF"/>
          <w:lang w:val="en-US"/>
        </w:rPr>
        <w:t>-</w:t>
      </w:r>
      <w:r w:rsidRPr="003B5BE7">
        <w:rPr>
          <w:rFonts w:eastAsia="SimSun"/>
          <w:szCs w:val="24"/>
          <w:shd w:val="clear" w:color="auto" w:fill="FFFFFF"/>
          <w:lang w:val="en-US"/>
        </w:rPr>
        <w:t>term obligation can be determine</w:t>
      </w:r>
      <w:r>
        <w:rPr>
          <w:rFonts w:eastAsia="SimSun"/>
          <w:szCs w:val="24"/>
          <w:shd w:val="clear" w:color="auto" w:fill="FFFFFF"/>
          <w:lang w:val="en-US"/>
        </w:rPr>
        <w:t>d</w:t>
      </w:r>
      <w:r w:rsidRPr="003B5BE7">
        <w:rPr>
          <w:rFonts w:eastAsia="SimSun"/>
          <w:szCs w:val="24"/>
          <w:shd w:val="clear" w:color="auto" w:fill="FFFFFF"/>
          <w:lang w:val="en-US"/>
        </w:rPr>
        <w:t xml:space="preserve"> by calculating the liquidity ratios. According to</w:t>
      </w:r>
      <w:r>
        <w:rPr>
          <w:rFonts w:eastAsia="SimSun"/>
          <w:szCs w:val="24"/>
          <w:shd w:val="clear" w:color="auto" w:fill="FFFFFF"/>
          <w:lang w:val="en-US"/>
        </w:rPr>
        <w:t xml:space="preserve"> </w:t>
      </w:r>
      <w:proofErr w:type="spellStart"/>
      <w:r w:rsidRPr="003B5BE7">
        <w:rPr>
          <w:rFonts w:eastAsia="SimSun"/>
          <w:szCs w:val="24"/>
          <w:shd w:val="clear" w:color="auto" w:fill="FFFFFF"/>
          <w:lang w:val="en-US"/>
        </w:rPr>
        <w:t>Haralayya</w:t>
      </w:r>
      <w:proofErr w:type="spellEnd"/>
      <w:r w:rsidRPr="003B5BE7">
        <w:rPr>
          <w:rFonts w:eastAsia="SimSun"/>
          <w:szCs w:val="24"/>
          <w:shd w:val="clear" w:color="auto" w:fill="FFFFFF"/>
          <w:lang w:val="en-US"/>
        </w:rPr>
        <w:t xml:space="preserve"> (</w:t>
      </w:r>
      <w:r>
        <w:rPr>
          <w:rFonts w:eastAsia="SimSun"/>
          <w:szCs w:val="24"/>
          <w:shd w:val="clear" w:color="auto" w:fill="FFFFFF"/>
          <w:lang w:val="en-US"/>
        </w:rPr>
        <w:t>2021</w:t>
      </w:r>
      <w:r w:rsidRPr="003B5BE7">
        <w:rPr>
          <w:rFonts w:eastAsia="SimSun"/>
          <w:szCs w:val="24"/>
          <w:shd w:val="clear" w:color="auto" w:fill="FFFFFF"/>
          <w:lang w:val="en-US"/>
        </w:rPr>
        <w:t>), the current ratio evaluates the extent to which the entire current assets cover the whole current liabilities.</w:t>
      </w:r>
      <w:r>
        <w:rPr>
          <w:rFonts w:eastAsia="SimSun"/>
          <w:szCs w:val="24"/>
          <w:shd w:val="clear" w:color="auto" w:fill="FFFFFF"/>
          <w:lang w:val="en-US"/>
        </w:rPr>
        <w:t xml:space="preserve">  In addition, the </w:t>
      </w:r>
      <w:r w:rsidRPr="003B5BE7">
        <w:rPr>
          <w:rFonts w:eastAsia="SimSun"/>
          <w:szCs w:val="24"/>
          <w:shd w:val="clear" w:color="auto" w:fill="FFFFFF"/>
          <w:lang w:val="en-US"/>
        </w:rPr>
        <w:t>current ratio is one of the most prominent metric</w:t>
      </w:r>
      <w:r>
        <w:rPr>
          <w:rFonts w:eastAsia="SimSun"/>
          <w:szCs w:val="24"/>
          <w:shd w:val="clear" w:color="auto" w:fill="FFFFFF"/>
          <w:lang w:val="en-US"/>
        </w:rPr>
        <w:t>s</w:t>
      </w:r>
      <w:r w:rsidRPr="003B5BE7">
        <w:rPr>
          <w:rFonts w:eastAsia="SimSun"/>
          <w:szCs w:val="24"/>
          <w:shd w:val="clear" w:color="auto" w:fill="FFFFFF"/>
          <w:lang w:val="en-US"/>
        </w:rPr>
        <w:t xml:space="preserve"> for determining a company's liquidity</w:t>
      </w:r>
      <w:r>
        <w:rPr>
          <w:rFonts w:eastAsia="SimSun"/>
          <w:szCs w:val="24"/>
          <w:shd w:val="clear" w:color="auto" w:fill="FFFFFF"/>
          <w:lang w:val="en-US"/>
        </w:rPr>
        <w:t xml:space="preserve"> (</w:t>
      </w:r>
      <w:r w:rsidRPr="003B5BE7">
        <w:rPr>
          <w:rFonts w:eastAsia="SimSun"/>
          <w:szCs w:val="24"/>
          <w:shd w:val="clear" w:color="auto" w:fill="FFFFFF"/>
          <w:lang w:val="en-US"/>
        </w:rPr>
        <w:t xml:space="preserve">Chika, Promise, and </w:t>
      </w:r>
      <w:proofErr w:type="spellStart"/>
      <w:r w:rsidRPr="003B5BE7">
        <w:rPr>
          <w:rFonts w:eastAsia="SimSun"/>
          <w:szCs w:val="24"/>
          <w:shd w:val="clear" w:color="auto" w:fill="FFFFFF"/>
          <w:lang w:val="en-US"/>
        </w:rPr>
        <w:t>Werikum</w:t>
      </w:r>
      <w:proofErr w:type="spellEnd"/>
      <w:r w:rsidRPr="003B5BE7">
        <w:rPr>
          <w:rFonts w:eastAsia="SimSun"/>
          <w:szCs w:val="24"/>
          <w:shd w:val="clear" w:color="auto" w:fill="FFFFFF"/>
          <w:lang w:val="en-US"/>
        </w:rPr>
        <w:t>, 2022</w:t>
      </w:r>
      <w:r>
        <w:rPr>
          <w:rFonts w:eastAsia="SimSun"/>
          <w:szCs w:val="24"/>
          <w:shd w:val="clear" w:color="auto" w:fill="FFFFFF"/>
          <w:lang w:val="en-US"/>
        </w:rPr>
        <w:t>)</w:t>
      </w:r>
      <w:r w:rsidRPr="003B5BE7">
        <w:rPr>
          <w:rFonts w:eastAsia="SimSun"/>
          <w:szCs w:val="24"/>
          <w:shd w:val="clear" w:color="auto" w:fill="FFFFFF"/>
          <w:lang w:val="en-US"/>
        </w:rPr>
        <w:t>.</w:t>
      </w:r>
      <w:r>
        <w:rPr>
          <w:rFonts w:eastAsia="SimSun"/>
          <w:szCs w:val="24"/>
          <w:shd w:val="clear" w:color="auto" w:fill="FFFFFF"/>
          <w:lang w:val="en-US"/>
        </w:rPr>
        <w:t xml:space="preserve"> </w:t>
      </w:r>
      <w:r w:rsidRPr="003B5BE7">
        <w:rPr>
          <w:rFonts w:eastAsia="SimSun"/>
          <w:szCs w:val="24"/>
          <w:shd w:val="clear" w:color="auto" w:fill="FFFFFF"/>
          <w:lang w:val="en-US"/>
        </w:rPr>
        <w:t>It has been determined from the analysis that the company's liquidity condition improved throughout the year. The current ratio increased by 0.144 in 2020 to 0.773. As a result of larger current assets, the ratio indicates that the company's liquidity position has improved.</w:t>
      </w:r>
      <w:r>
        <w:rPr>
          <w:rFonts w:eastAsia="SimSun"/>
          <w:szCs w:val="24"/>
          <w:shd w:val="clear" w:color="auto" w:fill="FFFFFF"/>
          <w:lang w:val="en-US"/>
        </w:rPr>
        <w:t xml:space="preserve"> In other words, the positive change in the company liquidity ratio suggests that Sweet's plc's liquidity position has been improved due to higher assets compared to the liquidity position. </w:t>
      </w:r>
    </w:p>
    <w:p w14:paraId="424901B0" w14:textId="77777777" w:rsidR="003B5BE7" w:rsidRPr="003B5BE7" w:rsidRDefault="003B5BE7" w:rsidP="003B5BE7">
      <w:pPr>
        <w:ind w:firstLine="0"/>
        <w:rPr>
          <w:rFonts w:eastAsia="SimSun"/>
          <w:b/>
          <w:szCs w:val="24"/>
          <w:shd w:val="clear" w:color="auto" w:fill="FFFFFF"/>
          <w:lang w:val="en-US"/>
        </w:rPr>
      </w:pPr>
      <w:r>
        <w:rPr>
          <w:rFonts w:eastAsia="SimSun"/>
          <w:szCs w:val="24"/>
          <w:shd w:val="clear" w:color="auto" w:fill="FFFFFF"/>
          <w:lang w:val="en-US"/>
        </w:rPr>
        <w:tab/>
        <w:t xml:space="preserve"> </w:t>
      </w:r>
      <w:r w:rsidRPr="003B5BE7">
        <w:rPr>
          <w:rFonts w:eastAsia="SimSun"/>
          <w:szCs w:val="24"/>
          <w:shd w:val="clear" w:color="auto" w:fill="FFFFFF"/>
          <w:lang w:val="en-US"/>
        </w:rPr>
        <w:t xml:space="preserve">It's critical to assess the company's debt status before </w:t>
      </w:r>
      <w:proofErr w:type="spellStart"/>
      <w:r w:rsidRPr="003B5BE7">
        <w:rPr>
          <w:rFonts w:eastAsia="SimSun"/>
          <w:szCs w:val="24"/>
          <w:shd w:val="clear" w:color="auto" w:fill="FFFFFF"/>
          <w:lang w:val="en-US"/>
        </w:rPr>
        <w:t>analysing</w:t>
      </w:r>
      <w:proofErr w:type="spellEnd"/>
      <w:r w:rsidRPr="003B5BE7">
        <w:rPr>
          <w:rFonts w:eastAsia="SimSun"/>
          <w:szCs w:val="24"/>
          <w:shd w:val="clear" w:color="auto" w:fill="FFFFFF"/>
          <w:lang w:val="en-US"/>
        </w:rPr>
        <w:t xml:space="preserve"> its financial performance and position. By comparing shareholders' equity to corporate debt, the calculation of gearing ratios assesses the company's leverage and financial health.</w:t>
      </w:r>
      <w:r>
        <w:rPr>
          <w:rFonts w:eastAsia="SimSun"/>
          <w:szCs w:val="24"/>
          <w:shd w:val="clear" w:color="auto" w:fill="FFFFFF"/>
          <w:lang w:val="en-US"/>
        </w:rPr>
        <w:t xml:space="preserve">  The calculation </w:t>
      </w:r>
      <w:r w:rsidR="005D14FF">
        <w:rPr>
          <w:rFonts w:eastAsia="SimSun"/>
          <w:szCs w:val="24"/>
          <w:shd w:val="clear" w:color="auto" w:fill="FFFFFF"/>
          <w:lang w:val="en-US"/>
        </w:rPr>
        <w:t>of Sweet</w:t>
      </w:r>
      <w:r>
        <w:rPr>
          <w:rFonts w:eastAsia="SimSun"/>
          <w:szCs w:val="24"/>
          <w:shd w:val="clear" w:color="auto" w:fill="FFFFFF"/>
          <w:lang w:val="en-US"/>
        </w:rPr>
        <w:t xml:space="preserve"> plc's gearing ratio suggests that </w:t>
      </w:r>
      <w:r w:rsidR="005D14FF">
        <w:rPr>
          <w:rFonts w:eastAsia="SimSun"/>
          <w:szCs w:val="24"/>
          <w:shd w:val="clear" w:color="auto" w:fill="FFFFFF"/>
          <w:lang w:val="en-US"/>
        </w:rPr>
        <w:t>in 2020 sweet</w:t>
      </w:r>
      <w:r>
        <w:rPr>
          <w:rFonts w:eastAsia="SimSun"/>
          <w:szCs w:val="24"/>
          <w:shd w:val="clear" w:color="auto" w:fill="FFFFFF"/>
          <w:lang w:val="en-US"/>
        </w:rPr>
        <w:t xml:space="preserve"> plc debt to equity ratio was 2.46</w:t>
      </w:r>
      <w:r w:rsidR="005D14FF">
        <w:rPr>
          <w:rFonts w:eastAsia="SimSun"/>
          <w:szCs w:val="24"/>
          <w:shd w:val="clear" w:color="auto" w:fill="FFFFFF"/>
          <w:lang w:val="en-US"/>
        </w:rPr>
        <w:t>% which</w:t>
      </w:r>
      <w:r>
        <w:rPr>
          <w:rFonts w:eastAsia="SimSun"/>
          <w:szCs w:val="24"/>
          <w:shd w:val="clear" w:color="auto" w:fill="FFFFFF"/>
          <w:lang w:val="en-US"/>
        </w:rPr>
        <w:t xml:space="preserve"> has been lowered by 0.311</w:t>
      </w:r>
      <w:r w:rsidR="005D14FF">
        <w:rPr>
          <w:rFonts w:eastAsia="SimSun"/>
          <w:szCs w:val="24"/>
          <w:shd w:val="clear" w:color="auto" w:fill="FFFFFF"/>
          <w:lang w:val="en-US"/>
        </w:rPr>
        <w:t>% in</w:t>
      </w:r>
      <w:r>
        <w:rPr>
          <w:rFonts w:eastAsia="SimSun"/>
          <w:szCs w:val="24"/>
          <w:shd w:val="clear" w:color="auto" w:fill="FFFFFF"/>
          <w:lang w:val="en-US"/>
        </w:rPr>
        <w:t xml:space="preserve"> 2021.  </w:t>
      </w:r>
      <w:r w:rsidRPr="003B5BE7">
        <w:rPr>
          <w:rFonts w:eastAsia="SimSun"/>
          <w:szCs w:val="24"/>
          <w:shd w:val="clear" w:color="auto" w:fill="FFFFFF"/>
          <w:lang w:val="en-US"/>
        </w:rPr>
        <w:t>In addition, the interest coverage ratio is another matrix</w:t>
      </w:r>
      <w:r>
        <w:rPr>
          <w:rFonts w:eastAsia="SimSun"/>
          <w:szCs w:val="24"/>
          <w:shd w:val="clear" w:color="auto" w:fill="FFFFFF"/>
          <w:lang w:val="en-US"/>
        </w:rPr>
        <w:t xml:space="preserve"> that is effectively</w:t>
      </w:r>
      <w:r w:rsidRPr="003B5BE7">
        <w:rPr>
          <w:rFonts w:eastAsia="SimSun"/>
          <w:szCs w:val="24"/>
          <w:shd w:val="clear" w:color="auto" w:fill="FFFFFF"/>
          <w:lang w:val="en-US"/>
        </w:rPr>
        <w:t xml:space="preserve"> used to evaluate the company's financial situation.</w:t>
      </w:r>
      <w:r>
        <w:rPr>
          <w:rFonts w:eastAsia="SimSun"/>
          <w:szCs w:val="24"/>
          <w:shd w:val="clear" w:color="auto" w:fill="FFFFFF"/>
          <w:lang w:val="en-US"/>
        </w:rPr>
        <w:t xml:space="preserve"> </w:t>
      </w:r>
      <w:r w:rsidRPr="003B5BE7">
        <w:rPr>
          <w:rFonts w:eastAsia="SimSun"/>
          <w:szCs w:val="24"/>
          <w:shd w:val="clear" w:color="auto" w:fill="FFFFFF"/>
          <w:lang w:val="en-US"/>
        </w:rPr>
        <w:t>According</w:t>
      </w:r>
      <w:r>
        <w:rPr>
          <w:rFonts w:eastAsia="SimSun"/>
          <w:szCs w:val="24"/>
          <w:shd w:val="clear" w:color="auto" w:fill="FFFFFF"/>
          <w:lang w:val="en-US"/>
        </w:rPr>
        <w:t xml:space="preserve"> to </w:t>
      </w:r>
      <w:r w:rsidRPr="003B5BE7">
        <w:rPr>
          <w:rFonts w:eastAsia="SimSun"/>
          <w:szCs w:val="24"/>
          <w:shd w:val="clear" w:color="auto" w:fill="FFFFFF"/>
          <w:lang w:val="en-US"/>
        </w:rPr>
        <w:t>Zelalem</w:t>
      </w:r>
      <w:r>
        <w:rPr>
          <w:rFonts w:eastAsia="SimSun"/>
          <w:szCs w:val="24"/>
          <w:shd w:val="clear" w:color="auto" w:fill="FFFFFF"/>
          <w:lang w:val="en-US"/>
        </w:rPr>
        <w:t xml:space="preserve"> (2020), a company</w:t>
      </w:r>
      <w:r w:rsidRPr="003B5BE7">
        <w:rPr>
          <w:rFonts w:eastAsia="SimSun"/>
          <w:szCs w:val="24"/>
          <w:shd w:val="clear" w:color="auto" w:fill="FFFFFF"/>
          <w:lang w:val="en-US"/>
        </w:rPr>
        <w:t xml:space="preserve"> is better positioned to pay its debts when its interest coverage ratio is higher.</w:t>
      </w:r>
      <w:r>
        <w:rPr>
          <w:rFonts w:eastAsia="SimSun"/>
          <w:szCs w:val="24"/>
          <w:shd w:val="clear" w:color="auto" w:fill="FFFFFF"/>
          <w:lang w:val="en-US"/>
        </w:rPr>
        <w:t xml:space="preserve">  Thus, a </w:t>
      </w:r>
      <w:r w:rsidRPr="003B5BE7">
        <w:rPr>
          <w:rFonts w:eastAsia="SimSun"/>
          <w:szCs w:val="24"/>
          <w:shd w:val="clear" w:color="auto" w:fill="FFFFFF"/>
          <w:lang w:val="en-US"/>
        </w:rPr>
        <w:t xml:space="preserve">higher interest coverage ratio shows </w:t>
      </w:r>
      <w:r w:rsidRPr="003B5BE7">
        <w:rPr>
          <w:rFonts w:eastAsia="SimSun"/>
          <w:szCs w:val="24"/>
          <w:shd w:val="clear" w:color="auto" w:fill="FFFFFF"/>
          <w:lang w:val="en-US"/>
        </w:rPr>
        <w:lastRenderedPageBreak/>
        <w:t>the higher efficiency of the company.</w:t>
      </w:r>
      <w:r>
        <w:rPr>
          <w:rFonts w:eastAsia="SimSun"/>
          <w:szCs w:val="24"/>
          <w:shd w:val="clear" w:color="auto" w:fill="FFFFFF"/>
          <w:lang w:val="en-US"/>
        </w:rPr>
        <w:t xml:space="preserve">  Table 3 shows </w:t>
      </w:r>
      <w:r w:rsidR="001405FF">
        <w:rPr>
          <w:rFonts w:eastAsia="SimSun"/>
          <w:szCs w:val="24"/>
          <w:shd w:val="clear" w:color="auto" w:fill="FFFFFF"/>
          <w:lang w:val="en-US"/>
        </w:rPr>
        <w:t>that Sweet’s</w:t>
      </w:r>
      <w:r>
        <w:rPr>
          <w:rFonts w:eastAsia="SimSun"/>
          <w:szCs w:val="24"/>
          <w:shd w:val="clear" w:color="auto" w:fill="FFFFFF"/>
          <w:lang w:val="en-US"/>
        </w:rPr>
        <w:t xml:space="preserve"> Plc interest coverage ratio has decreased </w:t>
      </w:r>
      <w:r w:rsidR="001405FF">
        <w:rPr>
          <w:rFonts w:eastAsia="SimSun"/>
          <w:szCs w:val="24"/>
          <w:shd w:val="clear" w:color="auto" w:fill="FFFFFF"/>
          <w:lang w:val="en-US"/>
        </w:rPr>
        <w:t>from 2020</w:t>
      </w:r>
      <w:r>
        <w:rPr>
          <w:rFonts w:eastAsia="SimSun"/>
          <w:szCs w:val="24"/>
          <w:shd w:val="clear" w:color="auto" w:fill="FFFFFF"/>
          <w:lang w:val="en-US"/>
        </w:rPr>
        <w:t xml:space="preserve"> to 2021.  In </w:t>
      </w:r>
      <w:r w:rsidR="001405FF">
        <w:rPr>
          <w:rFonts w:eastAsia="SimSun"/>
          <w:szCs w:val="24"/>
          <w:shd w:val="clear" w:color="auto" w:fill="FFFFFF"/>
          <w:lang w:val="en-US"/>
        </w:rPr>
        <w:t>2020, the</w:t>
      </w:r>
      <w:r>
        <w:rPr>
          <w:rFonts w:eastAsia="SimSun"/>
          <w:szCs w:val="24"/>
          <w:shd w:val="clear" w:color="auto" w:fill="FFFFFF"/>
          <w:lang w:val="en-US"/>
        </w:rPr>
        <w:t xml:space="preserve"> company interest coverage was 3.862 which has been lowered to 3.562. Thus, this suggests that wh</w:t>
      </w:r>
      <w:r w:rsidRPr="003B5BE7">
        <w:rPr>
          <w:rFonts w:eastAsia="SimSun"/>
          <w:szCs w:val="24"/>
          <w:shd w:val="clear" w:color="auto" w:fill="FFFFFF"/>
          <w:lang w:val="en-US"/>
        </w:rPr>
        <w:t>en there are not enough profits to cover the interest on the de</w:t>
      </w:r>
      <w:r>
        <w:rPr>
          <w:rFonts w:eastAsia="SimSun"/>
          <w:szCs w:val="24"/>
          <w:shd w:val="clear" w:color="auto" w:fill="FFFFFF"/>
          <w:lang w:val="en-US"/>
        </w:rPr>
        <w:t xml:space="preserve">bt, the interest coverage ratio tends to be </w:t>
      </w:r>
      <w:r w:rsidRPr="003B5BE7">
        <w:rPr>
          <w:rFonts w:eastAsia="SimSun"/>
          <w:szCs w:val="24"/>
          <w:shd w:val="clear" w:color="auto" w:fill="FFFFFF"/>
          <w:lang w:val="en-US"/>
        </w:rPr>
        <w:t>low. The formula for computing the interest coverage ratio can be stated as EBIT divided by interest expense. The study of the financial statements for the company indicates that Sweet's plc's interest costs have increased from 181 to 226 pounds, which lowers the company's coverage ratio for the year. Overall, the Sweets Plc ratio analysis indicates that the business is operating more profitably and efficiently. The company's higher liquidity position is also indicated by the current ratio. Consequently, the analysis and results show that Sweet's plc is in a good financial position.</w:t>
      </w:r>
    </w:p>
    <w:p w14:paraId="05D2961B" w14:textId="77777777" w:rsidR="003B5BE7" w:rsidRDefault="003B5BE7">
      <w:pPr>
        <w:ind w:firstLine="0"/>
        <w:rPr>
          <w:rFonts w:eastAsia="SimSun"/>
          <w:color w:val="222222"/>
          <w:szCs w:val="24"/>
          <w:shd w:val="clear" w:color="auto" w:fill="FFFFFF"/>
          <w:lang w:val="en-US"/>
        </w:rPr>
      </w:pPr>
    </w:p>
    <w:p w14:paraId="7AD54320" w14:textId="77777777" w:rsidR="009C75BA" w:rsidRDefault="009C75BA">
      <w:pPr>
        <w:ind w:firstLine="0"/>
        <w:rPr>
          <w:rFonts w:eastAsia="SimSun"/>
          <w:color w:val="222222"/>
          <w:szCs w:val="24"/>
          <w:shd w:val="clear" w:color="auto" w:fill="FFFFFF"/>
          <w:lang w:val="en-US"/>
        </w:rPr>
      </w:pPr>
    </w:p>
    <w:p w14:paraId="627D211A" w14:textId="77777777" w:rsidR="009C75BA" w:rsidRDefault="009C75BA">
      <w:pPr>
        <w:ind w:firstLine="0"/>
        <w:rPr>
          <w:rFonts w:eastAsia="SimSun"/>
          <w:color w:val="222222"/>
          <w:szCs w:val="24"/>
          <w:shd w:val="clear" w:color="auto" w:fill="FFFFFF"/>
          <w:lang w:val="en-US"/>
        </w:rPr>
      </w:pPr>
    </w:p>
    <w:p w14:paraId="756BD3A9" w14:textId="77777777" w:rsidR="009C75BA" w:rsidRDefault="009C75BA">
      <w:pPr>
        <w:ind w:firstLine="0"/>
        <w:rPr>
          <w:rFonts w:eastAsia="SimSun"/>
          <w:color w:val="222222"/>
          <w:szCs w:val="24"/>
          <w:shd w:val="clear" w:color="auto" w:fill="FFFFFF"/>
          <w:lang w:val="en-US"/>
        </w:rPr>
      </w:pPr>
    </w:p>
    <w:p w14:paraId="44A3E5D7" w14:textId="77777777" w:rsidR="009C75BA" w:rsidRDefault="009C75BA">
      <w:pPr>
        <w:ind w:firstLine="0"/>
        <w:rPr>
          <w:rFonts w:eastAsia="SimSun"/>
          <w:color w:val="222222"/>
          <w:szCs w:val="24"/>
          <w:shd w:val="clear" w:color="auto" w:fill="FFFFFF"/>
          <w:lang w:val="en-US"/>
        </w:rPr>
      </w:pPr>
    </w:p>
    <w:p w14:paraId="5EB5553A" w14:textId="77777777" w:rsidR="009C75BA" w:rsidRDefault="009C75BA">
      <w:pPr>
        <w:ind w:firstLine="0"/>
        <w:rPr>
          <w:rFonts w:eastAsia="SimSun"/>
          <w:color w:val="222222"/>
          <w:szCs w:val="24"/>
          <w:shd w:val="clear" w:color="auto" w:fill="FFFFFF"/>
          <w:lang w:val="en-US"/>
        </w:rPr>
      </w:pPr>
    </w:p>
    <w:p w14:paraId="6D937007" w14:textId="061B8678" w:rsidR="009C75BA" w:rsidRDefault="002F5CE8">
      <w:pPr>
        <w:ind w:firstLine="0"/>
        <w:rPr>
          <w:rFonts w:eastAsia="SimSun"/>
          <w:color w:val="222222"/>
          <w:szCs w:val="24"/>
          <w:shd w:val="clear" w:color="auto" w:fill="FFFFFF"/>
          <w:lang w:val="en-US"/>
        </w:rPr>
      </w:pPr>
      <w:r>
        <w:rPr>
          <w:rFonts w:eastAsia="SimSun"/>
          <w:noProof/>
          <w:color w:val="222222"/>
          <w:szCs w:val="24"/>
          <w:shd w:val="clear" w:color="auto" w:fill="FFFFFF"/>
          <w:lang w:val="en-US"/>
        </w:rPr>
        <w:lastRenderedPageBreak/>
        <w:drawing>
          <wp:inline distT="0" distB="0" distL="0" distR="0" wp14:anchorId="69026FF3" wp14:editId="69CB3317">
            <wp:extent cx="5943600" cy="7924800"/>
            <wp:effectExtent l="0" t="0" r="0" b="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4C3DB434" w14:textId="77777777" w:rsidR="009C75BA" w:rsidRDefault="009C75BA">
      <w:pPr>
        <w:ind w:firstLine="0"/>
        <w:rPr>
          <w:rFonts w:eastAsia="SimSun"/>
          <w:color w:val="222222"/>
          <w:szCs w:val="24"/>
          <w:shd w:val="clear" w:color="auto" w:fill="FFFFFF"/>
          <w:lang w:val="en-US"/>
        </w:rPr>
      </w:pPr>
    </w:p>
    <w:p w14:paraId="76370BE0" w14:textId="00489682" w:rsidR="009C75BA" w:rsidRDefault="002F5CE8">
      <w:pPr>
        <w:ind w:firstLine="0"/>
        <w:rPr>
          <w:rFonts w:eastAsia="SimSun"/>
          <w:color w:val="222222"/>
          <w:szCs w:val="24"/>
          <w:shd w:val="clear" w:color="auto" w:fill="FFFFFF"/>
          <w:lang w:val="en-US"/>
        </w:rPr>
      </w:pPr>
      <w:r>
        <w:rPr>
          <w:rFonts w:eastAsia="SimSun"/>
          <w:noProof/>
          <w:color w:val="222222"/>
          <w:szCs w:val="24"/>
          <w:shd w:val="clear" w:color="auto" w:fill="FFFFFF"/>
          <w:lang w:val="en-US"/>
        </w:rPr>
        <w:lastRenderedPageBreak/>
        <w:drawing>
          <wp:inline distT="0" distB="0" distL="0" distR="0" wp14:anchorId="7BC2B1CB" wp14:editId="206E5E1C">
            <wp:extent cx="5943600" cy="79248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38CF7A2D" w14:textId="77777777" w:rsidR="009C75BA" w:rsidRDefault="009C75BA">
      <w:pPr>
        <w:ind w:firstLine="0"/>
        <w:rPr>
          <w:rFonts w:eastAsia="SimSun"/>
          <w:color w:val="222222"/>
          <w:szCs w:val="24"/>
          <w:shd w:val="clear" w:color="auto" w:fill="FFFFFF"/>
          <w:lang w:val="en-US"/>
        </w:rPr>
      </w:pPr>
    </w:p>
    <w:p w14:paraId="0A8ED61C" w14:textId="77777777" w:rsidR="009C75BA" w:rsidRDefault="009C75BA">
      <w:pPr>
        <w:ind w:firstLine="0"/>
        <w:rPr>
          <w:rFonts w:eastAsia="SimSun"/>
          <w:color w:val="222222"/>
          <w:szCs w:val="24"/>
          <w:shd w:val="clear" w:color="auto" w:fill="FFFFFF"/>
          <w:lang w:val="en-US"/>
        </w:rPr>
      </w:pPr>
    </w:p>
    <w:p w14:paraId="24B8A7C5" w14:textId="092350A6" w:rsidR="009C75BA" w:rsidRDefault="002F5CE8">
      <w:pPr>
        <w:ind w:firstLine="0"/>
        <w:rPr>
          <w:rFonts w:eastAsia="SimSun"/>
          <w:color w:val="222222"/>
          <w:szCs w:val="24"/>
          <w:shd w:val="clear" w:color="auto" w:fill="FFFFFF"/>
          <w:lang w:val="en-US"/>
        </w:rPr>
      </w:pPr>
      <w:r>
        <w:rPr>
          <w:rFonts w:eastAsia="SimSun"/>
          <w:noProof/>
          <w:color w:val="222222"/>
          <w:szCs w:val="24"/>
          <w:shd w:val="clear" w:color="auto" w:fill="FFFFFF"/>
          <w:lang w:val="en-US"/>
        </w:rPr>
        <w:drawing>
          <wp:inline distT="0" distB="0" distL="0" distR="0" wp14:anchorId="2AD9A8E1" wp14:editId="7C3DF19F">
            <wp:extent cx="5943600" cy="6273800"/>
            <wp:effectExtent l="6350" t="0" r="6350" b="635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943600" cy="6273800"/>
                    </a:xfrm>
                    <a:prstGeom prst="rect">
                      <a:avLst/>
                    </a:prstGeom>
                  </pic:spPr>
                </pic:pic>
              </a:graphicData>
            </a:graphic>
          </wp:inline>
        </w:drawing>
      </w:r>
    </w:p>
    <w:p w14:paraId="5B0901DD" w14:textId="77777777" w:rsidR="003B5BE7" w:rsidRDefault="003B5BE7">
      <w:pPr>
        <w:ind w:firstLine="0"/>
        <w:rPr>
          <w:rFonts w:eastAsia="SimSun"/>
          <w:color w:val="222222"/>
          <w:szCs w:val="24"/>
          <w:shd w:val="clear" w:color="auto" w:fill="FFFFFF"/>
          <w:lang w:val="en-US"/>
        </w:rPr>
      </w:pPr>
    </w:p>
    <w:p w14:paraId="03995833" w14:textId="77777777" w:rsidR="003B5BE7" w:rsidRDefault="003B5BE7">
      <w:pPr>
        <w:ind w:firstLine="0"/>
        <w:rPr>
          <w:rFonts w:eastAsia="SimSun"/>
          <w:color w:val="222222"/>
          <w:szCs w:val="24"/>
          <w:shd w:val="clear" w:color="auto" w:fill="FFFFFF"/>
          <w:lang w:val="en-US"/>
        </w:rPr>
      </w:pPr>
    </w:p>
    <w:p w14:paraId="2CD958FF" w14:textId="77777777" w:rsidR="003B5BE7" w:rsidRDefault="003B5BE7">
      <w:pPr>
        <w:ind w:firstLine="0"/>
        <w:rPr>
          <w:rFonts w:eastAsia="SimSun"/>
          <w:color w:val="222222"/>
          <w:szCs w:val="24"/>
          <w:shd w:val="clear" w:color="auto" w:fill="FFFFFF"/>
          <w:lang w:val="en-US"/>
        </w:rPr>
      </w:pPr>
    </w:p>
    <w:p w14:paraId="2937F885" w14:textId="77777777" w:rsidR="003B5BE7" w:rsidRDefault="003B5BE7">
      <w:pPr>
        <w:ind w:firstLine="0"/>
        <w:rPr>
          <w:rFonts w:eastAsia="SimSun"/>
          <w:color w:val="222222"/>
          <w:szCs w:val="24"/>
          <w:shd w:val="clear" w:color="auto" w:fill="FFFFFF"/>
          <w:lang w:val="en-US"/>
        </w:rPr>
      </w:pPr>
    </w:p>
    <w:p w14:paraId="6345BD89" w14:textId="77777777" w:rsidR="003B5BE7" w:rsidRDefault="003B5BE7">
      <w:pPr>
        <w:ind w:firstLine="0"/>
        <w:rPr>
          <w:rFonts w:eastAsia="SimSun"/>
          <w:color w:val="222222"/>
          <w:szCs w:val="24"/>
          <w:shd w:val="clear" w:color="auto" w:fill="FFFFFF"/>
          <w:lang w:val="en-US"/>
        </w:rPr>
      </w:pPr>
    </w:p>
    <w:p w14:paraId="05852BF5" w14:textId="77777777" w:rsidR="003B5BE7" w:rsidRDefault="003B5BE7">
      <w:pPr>
        <w:ind w:firstLine="0"/>
        <w:rPr>
          <w:rFonts w:eastAsia="SimSun"/>
          <w:color w:val="222222"/>
          <w:szCs w:val="24"/>
          <w:shd w:val="clear" w:color="auto" w:fill="FFFFFF"/>
          <w:lang w:val="en-US"/>
        </w:rPr>
      </w:pPr>
    </w:p>
    <w:p w14:paraId="60F3FACB" w14:textId="77777777" w:rsidR="003B5BE7" w:rsidRDefault="003B5BE7">
      <w:pPr>
        <w:ind w:firstLine="0"/>
        <w:rPr>
          <w:rFonts w:eastAsia="SimSun"/>
          <w:color w:val="222222"/>
          <w:szCs w:val="24"/>
          <w:shd w:val="clear" w:color="auto" w:fill="FFFFFF"/>
          <w:lang w:val="en-US"/>
        </w:rPr>
      </w:pPr>
    </w:p>
    <w:p w14:paraId="0AE91EB5" w14:textId="77777777" w:rsidR="009C75BA" w:rsidRDefault="009C75BA">
      <w:pPr>
        <w:ind w:firstLine="0"/>
        <w:rPr>
          <w:rFonts w:eastAsia="SimSun"/>
          <w:color w:val="222222"/>
          <w:szCs w:val="24"/>
          <w:shd w:val="clear" w:color="auto" w:fill="FFFFFF"/>
          <w:lang w:val="en-US"/>
        </w:rPr>
      </w:pPr>
    </w:p>
    <w:p w14:paraId="2C4BBAE1" w14:textId="77777777" w:rsidR="009C75BA" w:rsidRDefault="00820B35">
      <w:pPr>
        <w:pStyle w:val="Heading1"/>
        <w:jc w:val="both"/>
        <w:rPr>
          <w:rFonts w:eastAsia="SimSun"/>
          <w:color w:val="222222"/>
          <w:shd w:val="clear" w:color="auto" w:fill="FFFFFF"/>
        </w:rPr>
      </w:pPr>
      <w:bookmarkStart w:id="8" w:name="_Toc122975236"/>
      <w:r>
        <w:rPr>
          <w:lang w:val="en-US"/>
        </w:rPr>
        <w:t xml:space="preserve">References </w:t>
      </w:r>
      <w:r w:rsidR="00812026">
        <w:rPr>
          <w:lang w:val="en-US"/>
        </w:rPr>
        <w:t>for Q2</w:t>
      </w:r>
      <w:bookmarkEnd w:id="8"/>
    </w:p>
    <w:p w14:paraId="704D1B42" w14:textId="77777777" w:rsidR="003B5BE7" w:rsidRPr="003B5BE7" w:rsidRDefault="003B5BE7">
      <w:pPr>
        <w:ind w:left="720" w:hanging="720"/>
        <w:rPr>
          <w:szCs w:val="24"/>
          <w:shd w:val="clear" w:color="auto" w:fill="FFFFFF"/>
        </w:rPr>
      </w:pPr>
      <w:r w:rsidRPr="003B5BE7">
        <w:rPr>
          <w:szCs w:val="24"/>
          <w:shd w:val="clear" w:color="auto" w:fill="FFFFFF"/>
        </w:rPr>
        <w:t>Ahmad, M., Bashir, R. and Waqas, H., 2022. Working capital management and firm performance: are their effects same in covid 19 compared to financial crisis 2008?. </w:t>
      </w:r>
      <w:r w:rsidRPr="003B5BE7">
        <w:rPr>
          <w:i/>
          <w:iCs/>
          <w:szCs w:val="24"/>
          <w:shd w:val="clear" w:color="auto" w:fill="FFFFFF"/>
        </w:rPr>
        <w:t>Cogent Economics &amp; Finance</w:t>
      </w:r>
      <w:r w:rsidRPr="003B5BE7">
        <w:rPr>
          <w:szCs w:val="24"/>
          <w:shd w:val="clear" w:color="auto" w:fill="FFFFFF"/>
        </w:rPr>
        <w:t>, </w:t>
      </w:r>
      <w:r w:rsidRPr="003B5BE7">
        <w:rPr>
          <w:i/>
          <w:iCs/>
          <w:szCs w:val="24"/>
          <w:shd w:val="clear" w:color="auto" w:fill="FFFFFF"/>
        </w:rPr>
        <w:t>10</w:t>
      </w:r>
      <w:r w:rsidRPr="003B5BE7">
        <w:rPr>
          <w:szCs w:val="24"/>
          <w:shd w:val="clear" w:color="auto" w:fill="FFFFFF"/>
        </w:rPr>
        <w:t>(1), p.2101224.</w:t>
      </w:r>
    </w:p>
    <w:p w14:paraId="591BA4CB" w14:textId="77777777" w:rsidR="003B5BE7" w:rsidRPr="003B5BE7" w:rsidRDefault="003B5BE7">
      <w:pPr>
        <w:ind w:left="720" w:hanging="720"/>
        <w:rPr>
          <w:rFonts w:eastAsia="SimSun"/>
          <w:szCs w:val="24"/>
          <w:shd w:val="clear" w:color="auto" w:fill="FFFFFF"/>
        </w:rPr>
      </w:pPr>
      <w:proofErr w:type="spellStart"/>
      <w:r w:rsidRPr="003B5BE7">
        <w:rPr>
          <w:szCs w:val="24"/>
          <w:shd w:val="clear" w:color="auto" w:fill="FFFFFF"/>
        </w:rPr>
        <w:t>Bordeianu</w:t>
      </w:r>
      <w:proofErr w:type="spellEnd"/>
      <w:r w:rsidRPr="003B5BE7">
        <w:rPr>
          <w:rFonts w:eastAsia="SimSun"/>
          <w:szCs w:val="24"/>
          <w:shd w:val="clear" w:color="auto" w:fill="FFFFFF"/>
        </w:rPr>
        <w:t>, G.D. and Radu, F., 2020. Basic Types of Financial Ratios Used to Measure a Company's Performance. </w:t>
      </w:r>
      <w:r w:rsidRPr="003B5BE7">
        <w:rPr>
          <w:rFonts w:eastAsia="SimSun"/>
          <w:i/>
          <w:iCs/>
          <w:szCs w:val="24"/>
          <w:shd w:val="clear" w:color="auto" w:fill="FFFFFF"/>
        </w:rPr>
        <w:t xml:space="preserve">Economy </w:t>
      </w:r>
      <w:proofErr w:type="spellStart"/>
      <w:r w:rsidRPr="003B5BE7">
        <w:rPr>
          <w:rFonts w:eastAsia="SimSun"/>
          <w:i/>
          <w:iCs/>
          <w:szCs w:val="24"/>
          <w:shd w:val="clear" w:color="auto" w:fill="FFFFFF"/>
        </w:rPr>
        <w:t>Transdisciplinarity</w:t>
      </w:r>
      <w:proofErr w:type="spellEnd"/>
      <w:r w:rsidRPr="003B5BE7">
        <w:rPr>
          <w:rFonts w:eastAsia="SimSun"/>
          <w:i/>
          <w:iCs/>
          <w:szCs w:val="24"/>
          <w:shd w:val="clear" w:color="auto" w:fill="FFFFFF"/>
        </w:rPr>
        <w:t xml:space="preserve"> Cognition</w:t>
      </w:r>
      <w:r w:rsidRPr="003B5BE7">
        <w:rPr>
          <w:rFonts w:eastAsia="SimSun"/>
          <w:szCs w:val="24"/>
          <w:shd w:val="clear" w:color="auto" w:fill="FFFFFF"/>
        </w:rPr>
        <w:t>, </w:t>
      </w:r>
      <w:r w:rsidRPr="003B5BE7">
        <w:rPr>
          <w:rFonts w:eastAsia="SimSun"/>
          <w:i/>
          <w:iCs/>
          <w:szCs w:val="24"/>
          <w:shd w:val="clear" w:color="auto" w:fill="FFFFFF"/>
        </w:rPr>
        <w:t>23</w:t>
      </w:r>
      <w:r w:rsidRPr="003B5BE7">
        <w:rPr>
          <w:rFonts w:eastAsia="SimSun"/>
          <w:szCs w:val="24"/>
          <w:shd w:val="clear" w:color="auto" w:fill="FFFFFF"/>
        </w:rPr>
        <w:t>(2).</w:t>
      </w:r>
    </w:p>
    <w:p w14:paraId="148DD64B" w14:textId="77777777" w:rsidR="003B5BE7" w:rsidRPr="003B5BE7" w:rsidRDefault="003B5BE7">
      <w:pPr>
        <w:ind w:left="720" w:hanging="720"/>
        <w:rPr>
          <w:rFonts w:eastAsia="SimSun"/>
          <w:szCs w:val="24"/>
          <w:shd w:val="clear" w:color="auto" w:fill="FFFFFF"/>
        </w:rPr>
      </w:pPr>
      <w:r w:rsidRPr="003B5BE7">
        <w:rPr>
          <w:rFonts w:eastAsia="SimSun"/>
          <w:szCs w:val="24"/>
          <w:shd w:val="clear" w:color="auto" w:fill="FFFFFF"/>
        </w:rPr>
        <w:t xml:space="preserve">Chika, O.V., Promise, E. and </w:t>
      </w:r>
      <w:proofErr w:type="spellStart"/>
      <w:r w:rsidRPr="003B5BE7">
        <w:rPr>
          <w:rFonts w:eastAsia="SimSun"/>
          <w:szCs w:val="24"/>
          <w:shd w:val="clear" w:color="auto" w:fill="FFFFFF"/>
        </w:rPr>
        <w:t>Werikum</w:t>
      </w:r>
      <w:proofErr w:type="spellEnd"/>
      <w:r w:rsidRPr="003B5BE7">
        <w:rPr>
          <w:rFonts w:eastAsia="SimSun"/>
          <w:szCs w:val="24"/>
          <w:shd w:val="clear" w:color="auto" w:fill="FFFFFF"/>
        </w:rPr>
        <w:t>, E.V., 2022. Influence of Liquidity and Profitability on Profits Growth of Nigerian Pharmaceutical Firms. </w:t>
      </w:r>
      <w:r w:rsidRPr="003B5BE7">
        <w:rPr>
          <w:rFonts w:eastAsia="SimSun"/>
          <w:i/>
          <w:iCs/>
          <w:szCs w:val="24"/>
          <w:shd w:val="clear" w:color="auto" w:fill="FFFFFF"/>
        </w:rPr>
        <w:t xml:space="preserve">Goodwood </w:t>
      </w:r>
      <w:proofErr w:type="spellStart"/>
      <w:r w:rsidRPr="003B5BE7">
        <w:rPr>
          <w:rFonts w:eastAsia="SimSun"/>
          <w:i/>
          <w:iCs/>
          <w:szCs w:val="24"/>
          <w:shd w:val="clear" w:color="auto" w:fill="FFFFFF"/>
        </w:rPr>
        <w:t>Akuntansi</w:t>
      </w:r>
      <w:proofErr w:type="spellEnd"/>
      <w:r w:rsidRPr="003B5BE7">
        <w:rPr>
          <w:rFonts w:eastAsia="SimSun"/>
          <w:i/>
          <w:iCs/>
          <w:szCs w:val="24"/>
          <w:shd w:val="clear" w:color="auto" w:fill="FFFFFF"/>
        </w:rPr>
        <w:t xml:space="preserve"> dan Auditing </w:t>
      </w:r>
      <w:proofErr w:type="spellStart"/>
      <w:r w:rsidRPr="003B5BE7">
        <w:rPr>
          <w:rFonts w:eastAsia="SimSun"/>
          <w:i/>
          <w:iCs/>
          <w:szCs w:val="24"/>
          <w:shd w:val="clear" w:color="auto" w:fill="FFFFFF"/>
        </w:rPr>
        <w:t>Reviu</w:t>
      </w:r>
      <w:proofErr w:type="spellEnd"/>
      <w:r w:rsidRPr="003B5BE7">
        <w:rPr>
          <w:rFonts w:eastAsia="SimSun"/>
          <w:szCs w:val="24"/>
          <w:shd w:val="clear" w:color="auto" w:fill="FFFFFF"/>
        </w:rPr>
        <w:t>, </w:t>
      </w:r>
      <w:r w:rsidRPr="003B5BE7">
        <w:rPr>
          <w:rFonts w:eastAsia="SimSun"/>
          <w:i/>
          <w:iCs/>
          <w:szCs w:val="24"/>
          <w:shd w:val="clear" w:color="auto" w:fill="FFFFFF"/>
        </w:rPr>
        <w:t>1</w:t>
      </w:r>
      <w:r w:rsidRPr="003B5BE7">
        <w:rPr>
          <w:rFonts w:eastAsia="SimSun"/>
          <w:szCs w:val="24"/>
          <w:shd w:val="clear" w:color="auto" w:fill="FFFFFF"/>
        </w:rPr>
        <w:t>(1), pp.1-13.</w:t>
      </w:r>
    </w:p>
    <w:p w14:paraId="2062A6DB" w14:textId="77777777" w:rsidR="003B5BE7" w:rsidRPr="003B5BE7" w:rsidRDefault="003B5BE7">
      <w:pPr>
        <w:ind w:left="720" w:hanging="720"/>
        <w:rPr>
          <w:szCs w:val="24"/>
          <w:shd w:val="clear" w:color="auto" w:fill="FFFFFF"/>
        </w:rPr>
      </w:pPr>
      <w:r w:rsidRPr="003B5BE7">
        <w:rPr>
          <w:szCs w:val="24"/>
          <w:shd w:val="clear" w:color="auto" w:fill="FFFFFF"/>
        </w:rPr>
        <w:t xml:space="preserve">Chika, O.V., Promise, E. and </w:t>
      </w:r>
      <w:proofErr w:type="spellStart"/>
      <w:r w:rsidRPr="003B5BE7">
        <w:rPr>
          <w:szCs w:val="24"/>
          <w:shd w:val="clear" w:color="auto" w:fill="FFFFFF"/>
        </w:rPr>
        <w:t>Werikum</w:t>
      </w:r>
      <w:proofErr w:type="spellEnd"/>
      <w:r w:rsidRPr="003B5BE7">
        <w:rPr>
          <w:szCs w:val="24"/>
          <w:shd w:val="clear" w:color="auto" w:fill="FFFFFF"/>
        </w:rPr>
        <w:t>, E.V., 2022. Influence of Liquidity and Profitability on Profits Growth of Nigerian Pharmaceutical Firms. </w:t>
      </w:r>
      <w:r w:rsidRPr="003B5BE7">
        <w:rPr>
          <w:i/>
          <w:iCs/>
          <w:szCs w:val="24"/>
          <w:shd w:val="clear" w:color="auto" w:fill="FFFFFF"/>
        </w:rPr>
        <w:t xml:space="preserve">Goodwood </w:t>
      </w:r>
      <w:proofErr w:type="spellStart"/>
      <w:r w:rsidRPr="003B5BE7">
        <w:rPr>
          <w:i/>
          <w:iCs/>
          <w:szCs w:val="24"/>
          <w:shd w:val="clear" w:color="auto" w:fill="FFFFFF"/>
        </w:rPr>
        <w:t>Akuntansi</w:t>
      </w:r>
      <w:proofErr w:type="spellEnd"/>
      <w:r w:rsidRPr="003B5BE7">
        <w:rPr>
          <w:i/>
          <w:iCs/>
          <w:szCs w:val="24"/>
          <w:shd w:val="clear" w:color="auto" w:fill="FFFFFF"/>
        </w:rPr>
        <w:t xml:space="preserve"> dan Auditing </w:t>
      </w:r>
      <w:proofErr w:type="spellStart"/>
      <w:r w:rsidRPr="003B5BE7">
        <w:rPr>
          <w:i/>
          <w:iCs/>
          <w:szCs w:val="24"/>
          <w:shd w:val="clear" w:color="auto" w:fill="FFFFFF"/>
        </w:rPr>
        <w:t>Reviu</w:t>
      </w:r>
      <w:proofErr w:type="spellEnd"/>
      <w:r w:rsidRPr="003B5BE7">
        <w:rPr>
          <w:szCs w:val="24"/>
          <w:shd w:val="clear" w:color="auto" w:fill="FFFFFF"/>
        </w:rPr>
        <w:t>, </w:t>
      </w:r>
      <w:r w:rsidRPr="003B5BE7">
        <w:rPr>
          <w:i/>
          <w:iCs/>
          <w:szCs w:val="24"/>
          <w:shd w:val="clear" w:color="auto" w:fill="FFFFFF"/>
        </w:rPr>
        <w:t>1</w:t>
      </w:r>
      <w:r w:rsidRPr="003B5BE7">
        <w:rPr>
          <w:szCs w:val="24"/>
          <w:shd w:val="clear" w:color="auto" w:fill="FFFFFF"/>
        </w:rPr>
        <w:t>(1), pp.1-13.</w:t>
      </w:r>
    </w:p>
    <w:p w14:paraId="03A7EE76" w14:textId="77777777" w:rsidR="003B5BE7" w:rsidRPr="003B5BE7" w:rsidRDefault="003B5BE7">
      <w:pPr>
        <w:ind w:left="720" w:hanging="720"/>
        <w:rPr>
          <w:rFonts w:eastAsia="SimSun"/>
          <w:szCs w:val="24"/>
          <w:shd w:val="clear" w:color="auto" w:fill="FFFFFF"/>
        </w:rPr>
      </w:pPr>
      <w:r w:rsidRPr="003B5BE7">
        <w:rPr>
          <w:rFonts w:eastAsia="SimSun"/>
          <w:szCs w:val="24"/>
          <w:shd w:val="clear" w:color="auto" w:fill="FFFFFF"/>
          <w:lang w:val="en-US"/>
        </w:rPr>
        <w:t>Furman</w:t>
      </w:r>
      <w:r w:rsidRPr="003B5BE7">
        <w:rPr>
          <w:rFonts w:eastAsia="SimSun"/>
          <w:szCs w:val="24"/>
          <w:shd w:val="clear" w:color="auto" w:fill="FFFFFF"/>
        </w:rPr>
        <w:t>, J. and Summers, L.H., 2019. Who's Afraid of Budget Deficits: How Washington Should End Its Debt Obsession. </w:t>
      </w:r>
      <w:r w:rsidRPr="003B5BE7">
        <w:rPr>
          <w:rFonts w:eastAsia="SimSun"/>
          <w:i/>
          <w:iCs/>
          <w:szCs w:val="24"/>
          <w:shd w:val="clear" w:color="auto" w:fill="FFFFFF"/>
        </w:rPr>
        <w:t xml:space="preserve">Foreign </w:t>
      </w:r>
      <w:proofErr w:type="spellStart"/>
      <w:r w:rsidRPr="003B5BE7">
        <w:rPr>
          <w:rFonts w:eastAsia="SimSun"/>
          <w:i/>
          <w:iCs/>
          <w:szCs w:val="24"/>
          <w:shd w:val="clear" w:color="auto" w:fill="FFFFFF"/>
        </w:rPr>
        <w:t>Aff</w:t>
      </w:r>
      <w:proofErr w:type="spellEnd"/>
      <w:r w:rsidRPr="003B5BE7">
        <w:rPr>
          <w:rFonts w:eastAsia="SimSun"/>
          <w:i/>
          <w:iCs/>
          <w:szCs w:val="24"/>
          <w:shd w:val="clear" w:color="auto" w:fill="FFFFFF"/>
        </w:rPr>
        <w:t>.</w:t>
      </w:r>
      <w:r w:rsidRPr="003B5BE7">
        <w:rPr>
          <w:rFonts w:eastAsia="SimSun"/>
          <w:szCs w:val="24"/>
          <w:shd w:val="clear" w:color="auto" w:fill="FFFFFF"/>
        </w:rPr>
        <w:t>, </w:t>
      </w:r>
      <w:r w:rsidRPr="003B5BE7">
        <w:rPr>
          <w:rFonts w:eastAsia="SimSun"/>
          <w:i/>
          <w:iCs/>
          <w:szCs w:val="24"/>
          <w:shd w:val="clear" w:color="auto" w:fill="FFFFFF"/>
        </w:rPr>
        <w:t>98</w:t>
      </w:r>
      <w:r w:rsidRPr="003B5BE7">
        <w:rPr>
          <w:rFonts w:eastAsia="SimSun"/>
          <w:szCs w:val="24"/>
          <w:shd w:val="clear" w:color="auto" w:fill="FFFFFF"/>
        </w:rPr>
        <w:t>, p.82.</w:t>
      </w:r>
    </w:p>
    <w:p w14:paraId="5C73E29B" w14:textId="77777777" w:rsidR="003B5BE7" w:rsidRPr="003B5BE7" w:rsidRDefault="003B5BE7">
      <w:pPr>
        <w:ind w:left="720" w:hanging="720"/>
        <w:rPr>
          <w:szCs w:val="24"/>
          <w:shd w:val="clear" w:color="auto" w:fill="FFFFFF"/>
        </w:rPr>
      </w:pPr>
      <w:proofErr w:type="spellStart"/>
      <w:r w:rsidRPr="003B5BE7">
        <w:rPr>
          <w:szCs w:val="24"/>
          <w:shd w:val="clear" w:color="auto" w:fill="FFFFFF"/>
        </w:rPr>
        <w:t>Haralayya</w:t>
      </w:r>
      <w:proofErr w:type="spellEnd"/>
      <w:r w:rsidRPr="003B5BE7">
        <w:rPr>
          <w:szCs w:val="24"/>
          <w:shd w:val="clear" w:color="auto" w:fill="FFFFFF"/>
        </w:rPr>
        <w:t>, B., 2021. Working Capital Management at TVS Motors, Bidar. </w:t>
      </w:r>
      <w:r w:rsidRPr="003B5BE7">
        <w:rPr>
          <w:i/>
          <w:iCs/>
          <w:szCs w:val="24"/>
          <w:shd w:val="clear" w:color="auto" w:fill="FFFFFF"/>
        </w:rPr>
        <w:t>Iconic Research And Engineering Journals</w:t>
      </w:r>
      <w:r w:rsidRPr="003B5BE7">
        <w:rPr>
          <w:szCs w:val="24"/>
          <w:shd w:val="clear" w:color="auto" w:fill="FFFFFF"/>
        </w:rPr>
        <w:t>, </w:t>
      </w:r>
      <w:r w:rsidRPr="003B5BE7">
        <w:rPr>
          <w:i/>
          <w:iCs/>
          <w:szCs w:val="24"/>
          <w:shd w:val="clear" w:color="auto" w:fill="FFFFFF"/>
        </w:rPr>
        <w:t>4</w:t>
      </w:r>
      <w:r w:rsidRPr="003B5BE7">
        <w:rPr>
          <w:szCs w:val="24"/>
          <w:shd w:val="clear" w:color="auto" w:fill="FFFFFF"/>
        </w:rPr>
        <w:t>(12), pp.255-265.</w:t>
      </w:r>
    </w:p>
    <w:p w14:paraId="64C947EC" w14:textId="77777777" w:rsidR="003B5BE7" w:rsidRPr="003B5BE7" w:rsidRDefault="003B5BE7">
      <w:pPr>
        <w:ind w:left="720" w:hanging="720"/>
        <w:rPr>
          <w:szCs w:val="24"/>
          <w:shd w:val="clear" w:color="auto" w:fill="FFFFFF"/>
        </w:rPr>
      </w:pPr>
      <w:r w:rsidRPr="003B5BE7">
        <w:rPr>
          <w:szCs w:val="24"/>
          <w:shd w:val="clear" w:color="auto" w:fill="FFFFFF"/>
        </w:rPr>
        <w:t>Munene, F. and Tibbs, C.Y., 2018. Accounts receivable management and financial performance of Embu Water and Sanitation Company Limited, Embu County, Kenya. </w:t>
      </w:r>
      <w:r w:rsidRPr="003B5BE7">
        <w:rPr>
          <w:i/>
          <w:iCs/>
          <w:szCs w:val="24"/>
          <w:shd w:val="clear" w:color="auto" w:fill="FFFFFF"/>
        </w:rPr>
        <w:t>ACCOUNTS RECEIVABLE MANAGEMENT AND FINANCIAL PERFORMANCE OF EMBU WATER AND SANITATION COMPANY LIMITED, EMBU COUNTY, KENYA. Kenya: International Academic Journal of Economics and Finance</w:t>
      </w:r>
      <w:r w:rsidRPr="003B5BE7">
        <w:rPr>
          <w:szCs w:val="24"/>
          <w:shd w:val="clear" w:color="auto" w:fill="FFFFFF"/>
        </w:rPr>
        <w:t>.</w:t>
      </w:r>
    </w:p>
    <w:p w14:paraId="18D90CFE" w14:textId="77777777" w:rsidR="003B5BE7" w:rsidRPr="003B5BE7" w:rsidRDefault="003B5BE7">
      <w:pPr>
        <w:ind w:left="720" w:hanging="720"/>
        <w:rPr>
          <w:rFonts w:eastAsia="SimSun"/>
          <w:szCs w:val="24"/>
          <w:shd w:val="clear" w:color="auto" w:fill="FFFFFF"/>
        </w:rPr>
      </w:pPr>
      <w:proofErr w:type="spellStart"/>
      <w:r w:rsidRPr="003B5BE7">
        <w:rPr>
          <w:szCs w:val="24"/>
          <w:shd w:val="clear" w:color="auto" w:fill="FFFFFF"/>
        </w:rPr>
        <w:t>Panigrahi</w:t>
      </w:r>
      <w:proofErr w:type="spellEnd"/>
      <w:r w:rsidRPr="003B5BE7">
        <w:rPr>
          <w:szCs w:val="24"/>
          <w:shd w:val="clear" w:color="auto" w:fill="FFFFFF"/>
        </w:rPr>
        <w:t xml:space="preserve">, C.M.A. and </w:t>
      </w:r>
      <w:proofErr w:type="spellStart"/>
      <w:r w:rsidRPr="003B5BE7">
        <w:rPr>
          <w:szCs w:val="24"/>
          <w:shd w:val="clear" w:color="auto" w:fill="FFFFFF"/>
        </w:rPr>
        <w:t>Vachhani</w:t>
      </w:r>
      <w:proofErr w:type="spellEnd"/>
      <w:r w:rsidRPr="003B5BE7">
        <w:rPr>
          <w:szCs w:val="24"/>
          <w:shd w:val="clear" w:color="auto" w:fill="FFFFFF"/>
        </w:rPr>
        <w:t>, K., 2021. Financial analysis by return on equity (ROE) and return on asset (ROA)-A comparative study of HUL and ITC. </w:t>
      </w:r>
      <w:proofErr w:type="spellStart"/>
      <w:r w:rsidRPr="003B5BE7">
        <w:rPr>
          <w:i/>
          <w:iCs/>
          <w:szCs w:val="24"/>
          <w:shd w:val="clear" w:color="auto" w:fill="FFFFFF"/>
        </w:rPr>
        <w:t>Panigrahi</w:t>
      </w:r>
      <w:proofErr w:type="spellEnd"/>
      <w:r w:rsidRPr="003B5BE7">
        <w:rPr>
          <w:i/>
          <w:iCs/>
          <w:szCs w:val="24"/>
          <w:shd w:val="clear" w:color="auto" w:fill="FFFFFF"/>
        </w:rPr>
        <w:t xml:space="preserve"> AK, </w:t>
      </w:r>
      <w:proofErr w:type="spellStart"/>
      <w:r w:rsidRPr="003B5BE7">
        <w:rPr>
          <w:i/>
          <w:iCs/>
          <w:szCs w:val="24"/>
          <w:shd w:val="clear" w:color="auto" w:fill="FFFFFF"/>
        </w:rPr>
        <w:t>Vachhani</w:t>
      </w:r>
      <w:proofErr w:type="spellEnd"/>
      <w:r w:rsidRPr="003B5BE7">
        <w:rPr>
          <w:i/>
          <w:iCs/>
          <w:szCs w:val="24"/>
          <w:shd w:val="clear" w:color="auto" w:fill="FFFFFF"/>
        </w:rPr>
        <w:t xml:space="preserve"> K, Financial analysis by return on equity (ROE) and return on asset (ROA)-A comparative study of HUL and ITC. J </w:t>
      </w:r>
      <w:proofErr w:type="spellStart"/>
      <w:r w:rsidRPr="003B5BE7">
        <w:rPr>
          <w:i/>
          <w:iCs/>
          <w:szCs w:val="24"/>
          <w:shd w:val="clear" w:color="auto" w:fill="FFFFFF"/>
        </w:rPr>
        <w:t>Manag</w:t>
      </w:r>
      <w:proofErr w:type="spellEnd"/>
      <w:r w:rsidRPr="003B5BE7">
        <w:rPr>
          <w:i/>
          <w:iCs/>
          <w:szCs w:val="24"/>
          <w:shd w:val="clear" w:color="auto" w:fill="FFFFFF"/>
        </w:rPr>
        <w:t xml:space="preserve"> Res Anal</w:t>
      </w:r>
      <w:r w:rsidRPr="003B5BE7">
        <w:rPr>
          <w:szCs w:val="24"/>
          <w:shd w:val="clear" w:color="auto" w:fill="FFFFFF"/>
        </w:rPr>
        <w:t>, </w:t>
      </w:r>
      <w:r w:rsidRPr="003B5BE7">
        <w:rPr>
          <w:i/>
          <w:iCs/>
          <w:szCs w:val="24"/>
          <w:shd w:val="clear" w:color="auto" w:fill="FFFFFF"/>
        </w:rPr>
        <w:t>8</w:t>
      </w:r>
      <w:r w:rsidRPr="003B5BE7">
        <w:rPr>
          <w:szCs w:val="24"/>
          <w:shd w:val="clear" w:color="auto" w:fill="FFFFFF"/>
        </w:rPr>
        <w:t>(3), pp.131-138.</w:t>
      </w:r>
    </w:p>
    <w:p w14:paraId="59D42119" w14:textId="77777777" w:rsidR="003B5BE7" w:rsidRPr="003B5BE7" w:rsidRDefault="003B5BE7">
      <w:pPr>
        <w:ind w:left="720" w:hanging="720"/>
        <w:rPr>
          <w:rFonts w:eastAsia="SimSun"/>
          <w:szCs w:val="24"/>
          <w:shd w:val="clear" w:color="auto" w:fill="FFFFFF"/>
        </w:rPr>
      </w:pPr>
      <w:proofErr w:type="spellStart"/>
      <w:r w:rsidRPr="003B5BE7">
        <w:rPr>
          <w:rFonts w:eastAsia="SimSun"/>
          <w:szCs w:val="24"/>
          <w:shd w:val="clear" w:color="auto" w:fill="FFFFFF"/>
        </w:rPr>
        <w:t>Pramitta</w:t>
      </w:r>
      <w:proofErr w:type="spellEnd"/>
      <w:r w:rsidRPr="003B5BE7">
        <w:rPr>
          <w:rFonts w:eastAsia="SimSun"/>
          <w:szCs w:val="24"/>
          <w:shd w:val="clear" w:color="auto" w:fill="FFFFFF"/>
        </w:rPr>
        <w:t xml:space="preserve"> </w:t>
      </w:r>
      <w:proofErr w:type="spellStart"/>
      <w:r w:rsidRPr="003B5BE7">
        <w:rPr>
          <w:rFonts w:eastAsia="SimSun"/>
          <w:szCs w:val="24"/>
          <w:shd w:val="clear" w:color="auto" w:fill="FFFFFF"/>
          <w:lang w:val="en-US"/>
        </w:rPr>
        <w:t>Yulianda</w:t>
      </w:r>
      <w:proofErr w:type="spellEnd"/>
      <w:r w:rsidRPr="003B5BE7">
        <w:rPr>
          <w:rFonts w:eastAsia="SimSun"/>
          <w:szCs w:val="24"/>
          <w:shd w:val="clear" w:color="auto" w:fill="FFFFFF"/>
        </w:rPr>
        <w:t xml:space="preserve">, A., </w:t>
      </w:r>
      <w:proofErr w:type="spellStart"/>
      <w:r w:rsidRPr="003B5BE7">
        <w:rPr>
          <w:rFonts w:eastAsia="SimSun"/>
          <w:szCs w:val="24"/>
          <w:shd w:val="clear" w:color="auto" w:fill="FFFFFF"/>
        </w:rPr>
        <w:t>Thio</w:t>
      </w:r>
      <w:proofErr w:type="spellEnd"/>
      <w:r w:rsidRPr="003B5BE7">
        <w:rPr>
          <w:rFonts w:eastAsia="SimSun"/>
          <w:szCs w:val="24"/>
          <w:shd w:val="clear" w:color="auto" w:fill="FFFFFF"/>
        </w:rPr>
        <w:t>, S. and Asri, M., 2018. Dilutive Securities and Earnings Per Share. </w:t>
      </w:r>
      <w:proofErr w:type="spellStart"/>
      <w:r w:rsidRPr="003B5BE7">
        <w:rPr>
          <w:rFonts w:eastAsia="SimSun"/>
          <w:i/>
          <w:iCs/>
          <w:szCs w:val="24"/>
          <w:shd w:val="clear" w:color="auto" w:fill="FFFFFF"/>
        </w:rPr>
        <w:t>Stevani</w:t>
      </w:r>
      <w:proofErr w:type="spellEnd"/>
      <w:r w:rsidRPr="003B5BE7">
        <w:rPr>
          <w:rFonts w:eastAsia="SimSun"/>
          <w:i/>
          <w:iCs/>
          <w:szCs w:val="24"/>
          <w:shd w:val="clear" w:color="auto" w:fill="FFFFFF"/>
        </w:rPr>
        <w:t xml:space="preserve"> and Asri, </w:t>
      </w:r>
      <w:proofErr w:type="spellStart"/>
      <w:r w:rsidRPr="003B5BE7">
        <w:rPr>
          <w:rFonts w:eastAsia="SimSun"/>
          <w:i/>
          <w:iCs/>
          <w:szCs w:val="24"/>
          <w:shd w:val="clear" w:color="auto" w:fill="FFFFFF"/>
        </w:rPr>
        <w:t>Marselinus</w:t>
      </w:r>
      <w:proofErr w:type="spellEnd"/>
      <w:r w:rsidRPr="003B5BE7">
        <w:rPr>
          <w:rFonts w:eastAsia="SimSun"/>
          <w:i/>
          <w:iCs/>
          <w:szCs w:val="24"/>
          <w:shd w:val="clear" w:color="auto" w:fill="FFFFFF"/>
        </w:rPr>
        <w:t>, Dilutive Securities and Earnings Per Share (July 8, 2018)</w:t>
      </w:r>
      <w:r w:rsidRPr="003B5BE7">
        <w:rPr>
          <w:rFonts w:eastAsia="SimSun"/>
          <w:szCs w:val="24"/>
          <w:shd w:val="clear" w:color="auto" w:fill="FFFFFF"/>
        </w:rPr>
        <w:t>.</w:t>
      </w:r>
    </w:p>
    <w:p w14:paraId="3A069818" w14:textId="77777777" w:rsidR="003B5BE7" w:rsidRPr="003B5BE7" w:rsidRDefault="003B5BE7">
      <w:pPr>
        <w:ind w:left="720" w:hanging="720"/>
        <w:rPr>
          <w:rFonts w:eastAsia="SimSun"/>
          <w:szCs w:val="24"/>
          <w:shd w:val="clear" w:color="auto" w:fill="FFFFFF"/>
        </w:rPr>
      </w:pPr>
      <w:proofErr w:type="spellStart"/>
      <w:r w:rsidRPr="003B5BE7">
        <w:rPr>
          <w:rFonts w:eastAsia="SimSun"/>
          <w:szCs w:val="24"/>
          <w:shd w:val="clear" w:color="auto" w:fill="FFFFFF"/>
        </w:rPr>
        <w:t>Restianti</w:t>
      </w:r>
      <w:proofErr w:type="spellEnd"/>
      <w:r w:rsidRPr="003B5BE7">
        <w:rPr>
          <w:rFonts w:eastAsia="SimSun"/>
          <w:szCs w:val="24"/>
          <w:shd w:val="clear" w:color="auto" w:fill="FFFFFF"/>
        </w:rPr>
        <w:t xml:space="preserve">, T. and Agustina, L., 2018. The effect of financial ratios on financial distress conditions in </w:t>
      </w:r>
      <w:r w:rsidRPr="003B5BE7">
        <w:rPr>
          <w:rFonts w:eastAsia="SimSun"/>
          <w:szCs w:val="24"/>
          <w:shd w:val="clear" w:color="auto" w:fill="FFFFFF"/>
          <w:lang w:val="en-US"/>
        </w:rPr>
        <w:t xml:space="preserve">sub </w:t>
      </w:r>
      <w:r w:rsidRPr="003B5BE7">
        <w:rPr>
          <w:rFonts w:eastAsia="SimSun"/>
          <w:szCs w:val="24"/>
          <w:shd w:val="clear" w:color="auto" w:fill="FFFFFF"/>
        </w:rPr>
        <w:t>industrial sector company. </w:t>
      </w:r>
      <w:r w:rsidRPr="003B5BE7">
        <w:rPr>
          <w:rFonts w:eastAsia="SimSun"/>
          <w:i/>
          <w:iCs/>
          <w:szCs w:val="24"/>
          <w:shd w:val="clear" w:color="auto" w:fill="FFFFFF"/>
        </w:rPr>
        <w:t>Accounting Analysis Journal</w:t>
      </w:r>
      <w:r w:rsidRPr="003B5BE7">
        <w:rPr>
          <w:rFonts w:eastAsia="SimSun"/>
          <w:szCs w:val="24"/>
          <w:shd w:val="clear" w:color="auto" w:fill="FFFFFF"/>
        </w:rPr>
        <w:t>, </w:t>
      </w:r>
      <w:r w:rsidRPr="003B5BE7">
        <w:rPr>
          <w:rFonts w:eastAsia="SimSun"/>
          <w:i/>
          <w:iCs/>
          <w:szCs w:val="24"/>
          <w:shd w:val="clear" w:color="auto" w:fill="FFFFFF"/>
        </w:rPr>
        <w:t>7</w:t>
      </w:r>
      <w:r w:rsidRPr="003B5BE7">
        <w:rPr>
          <w:rFonts w:eastAsia="SimSun"/>
          <w:szCs w:val="24"/>
          <w:shd w:val="clear" w:color="auto" w:fill="FFFFFF"/>
        </w:rPr>
        <w:t>(1), pp.25-33.</w:t>
      </w:r>
    </w:p>
    <w:p w14:paraId="2A05ACA8" w14:textId="77777777" w:rsidR="003B5BE7" w:rsidRPr="003B5BE7" w:rsidRDefault="003B5BE7" w:rsidP="003B5BE7">
      <w:pPr>
        <w:ind w:left="720" w:hanging="720"/>
        <w:rPr>
          <w:rFonts w:eastAsia="SimSun"/>
          <w:szCs w:val="24"/>
          <w:shd w:val="clear" w:color="auto" w:fill="FFFFFF"/>
        </w:rPr>
      </w:pPr>
      <w:r w:rsidRPr="003B5BE7">
        <w:rPr>
          <w:szCs w:val="24"/>
          <w:shd w:val="clear" w:color="auto" w:fill="FFFFFF"/>
        </w:rPr>
        <w:lastRenderedPageBreak/>
        <w:t>Zelalem, D., 2020. The impact of financial leverage on the performance of commercial banks: Evidence from selected commercial banks in Ethiopia. </w:t>
      </w:r>
      <w:r w:rsidRPr="003B5BE7">
        <w:rPr>
          <w:i/>
          <w:iCs/>
          <w:szCs w:val="24"/>
          <w:shd w:val="clear" w:color="auto" w:fill="FFFFFF"/>
        </w:rPr>
        <w:t>International Journal of Accounting, Finance and Risk Management</w:t>
      </w:r>
      <w:r w:rsidRPr="003B5BE7">
        <w:rPr>
          <w:szCs w:val="24"/>
          <w:shd w:val="clear" w:color="auto" w:fill="FFFFFF"/>
        </w:rPr>
        <w:t>, </w:t>
      </w:r>
      <w:r w:rsidRPr="003B5BE7">
        <w:rPr>
          <w:i/>
          <w:iCs/>
          <w:szCs w:val="24"/>
          <w:shd w:val="clear" w:color="auto" w:fill="FFFFFF"/>
        </w:rPr>
        <w:t>5</w:t>
      </w:r>
      <w:r w:rsidRPr="003B5BE7">
        <w:rPr>
          <w:szCs w:val="24"/>
          <w:shd w:val="clear" w:color="auto" w:fill="FFFFFF"/>
        </w:rPr>
        <w:t xml:space="preserve">(1), pp.62-68. </w:t>
      </w:r>
    </w:p>
    <w:p w14:paraId="36BD7E00" w14:textId="77777777" w:rsidR="009C75BA" w:rsidRDefault="009C75BA">
      <w:pPr>
        <w:ind w:left="720" w:hanging="720"/>
        <w:rPr>
          <w:rFonts w:eastAsia="SimSun"/>
          <w:color w:val="222222"/>
          <w:szCs w:val="24"/>
          <w:shd w:val="clear" w:color="auto" w:fill="FFFFFF"/>
        </w:rPr>
      </w:pPr>
    </w:p>
    <w:p w14:paraId="1E979F18" w14:textId="77777777" w:rsidR="009C75BA" w:rsidRDefault="009C75BA">
      <w:pPr>
        <w:ind w:left="720" w:hanging="720"/>
        <w:rPr>
          <w:rFonts w:eastAsia="Times New Roman"/>
          <w:b/>
          <w:szCs w:val="24"/>
          <w:lang w:val="en-US"/>
        </w:rPr>
      </w:pPr>
    </w:p>
    <w:p w14:paraId="39BF0E12" w14:textId="77777777" w:rsidR="003B5BE7" w:rsidRDefault="003B5BE7">
      <w:pPr>
        <w:ind w:left="720" w:hanging="720"/>
        <w:rPr>
          <w:rFonts w:eastAsia="Times New Roman"/>
          <w:b/>
          <w:bCs/>
          <w:i/>
          <w:szCs w:val="24"/>
          <w:shd w:val="clear" w:color="auto" w:fill="FFFFFF"/>
          <w:lang w:eastAsia="en-GB"/>
        </w:rPr>
      </w:pPr>
    </w:p>
    <w:p w14:paraId="718BA4C6" w14:textId="77777777" w:rsidR="003B5BE7" w:rsidRDefault="003B5BE7">
      <w:pPr>
        <w:ind w:left="720" w:hanging="720"/>
        <w:rPr>
          <w:rFonts w:eastAsia="SimSun"/>
          <w:color w:val="222222"/>
          <w:szCs w:val="24"/>
          <w:shd w:val="clear" w:color="auto" w:fill="FFFFFF"/>
          <w:lang w:val="en-US"/>
        </w:rPr>
      </w:pPr>
    </w:p>
    <w:sectPr w:rsidR="003B5BE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56D7E" w14:textId="77777777" w:rsidR="006E7F0D" w:rsidRDefault="006E7F0D">
      <w:pPr>
        <w:spacing w:line="240" w:lineRule="auto"/>
      </w:pPr>
      <w:r>
        <w:separator/>
      </w:r>
    </w:p>
  </w:endnote>
  <w:endnote w:type="continuationSeparator" w:id="0">
    <w:p w14:paraId="779653DA" w14:textId="77777777" w:rsidR="006E7F0D" w:rsidRDefault="006E7F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F38DF" w14:textId="77777777" w:rsidR="006E7F0D" w:rsidRDefault="006E7F0D">
      <w:r>
        <w:separator/>
      </w:r>
    </w:p>
  </w:footnote>
  <w:footnote w:type="continuationSeparator" w:id="0">
    <w:p w14:paraId="43528F98" w14:textId="77777777" w:rsidR="006E7F0D" w:rsidRDefault="006E7F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323968"/>
      <w:docPartObj>
        <w:docPartGallery w:val="Page Numbers (Top of Page)"/>
        <w:docPartUnique/>
      </w:docPartObj>
    </w:sdtPr>
    <w:sdtEndPr>
      <w:rPr>
        <w:noProof/>
      </w:rPr>
    </w:sdtEndPr>
    <w:sdtContent>
      <w:p w14:paraId="7BDAF677" w14:textId="77777777" w:rsidR="006D3F42" w:rsidRDefault="006D3F42">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1A2E2653" w14:textId="77777777" w:rsidR="006D3F42" w:rsidRDefault="006D3F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F19FB7F"/>
    <w:multiLevelType w:val="singleLevel"/>
    <w:tmpl w:val="BF19FB7F"/>
    <w:lvl w:ilvl="0">
      <w:start w:val="1"/>
      <w:numFmt w:val="upperLetter"/>
      <w:lvlText w:val="%1."/>
      <w:lvlJc w:val="left"/>
      <w:pPr>
        <w:tabs>
          <w:tab w:val="left" w:pos="840"/>
        </w:tabs>
        <w:ind w:left="840"/>
      </w:pPr>
    </w:lvl>
  </w:abstractNum>
  <w:abstractNum w:abstractNumId="1" w15:restartNumberingAfterBreak="0">
    <w:nsid w:val="C710025F"/>
    <w:multiLevelType w:val="singleLevel"/>
    <w:tmpl w:val="C710025F"/>
    <w:lvl w:ilvl="0">
      <w:start w:val="1"/>
      <w:numFmt w:val="upperLetter"/>
      <w:lvlText w:val="%1."/>
      <w:lvlJc w:val="left"/>
    </w:lvl>
  </w:abstractNum>
  <w:num w:numId="1" w16cid:durableId="1353916988">
    <w:abstractNumId w:val="0"/>
  </w:num>
  <w:num w:numId="2" w16cid:durableId="1586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wNjM0NzeyMDM0MDZX0lEKTi0uzszPAykwrwUAQ0GOBCwAAAA="/>
  </w:docVars>
  <w:rsids>
    <w:rsidRoot w:val="00DB5C6D"/>
    <w:rsid w:val="00036DC9"/>
    <w:rsid w:val="000D4FC4"/>
    <w:rsid w:val="00140376"/>
    <w:rsid w:val="001405FF"/>
    <w:rsid w:val="001920ED"/>
    <w:rsid w:val="001935A1"/>
    <w:rsid w:val="00194E88"/>
    <w:rsid w:val="001A0CA7"/>
    <w:rsid w:val="001D2CBD"/>
    <w:rsid w:val="001E0DDD"/>
    <w:rsid w:val="002175F4"/>
    <w:rsid w:val="002355E1"/>
    <w:rsid w:val="00246C15"/>
    <w:rsid w:val="002630C4"/>
    <w:rsid w:val="00287ED3"/>
    <w:rsid w:val="00297B8D"/>
    <w:rsid w:val="002F5CE8"/>
    <w:rsid w:val="003655E8"/>
    <w:rsid w:val="00386097"/>
    <w:rsid w:val="003A3E4F"/>
    <w:rsid w:val="003B5BE7"/>
    <w:rsid w:val="003B6514"/>
    <w:rsid w:val="003D674C"/>
    <w:rsid w:val="003F0790"/>
    <w:rsid w:val="004016F9"/>
    <w:rsid w:val="0041689B"/>
    <w:rsid w:val="0045280E"/>
    <w:rsid w:val="004569F5"/>
    <w:rsid w:val="004A4A48"/>
    <w:rsid w:val="004C0586"/>
    <w:rsid w:val="005224CD"/>
    <w:rsid w:val="0055045B"/>
    <w:rsid w:val="00571120"/>
    <w:rsid w:val="00574E6D"/>
    <w:rsid w:val="005D14FF"/>
    <w:rsid w:val="005F75F7"/>
    <w:rsid w:val="00670767"/>
    <w:rsid w:val="006728F7"/>
    <w:rsid w:val="006778B8"/>
    <w:rsid w:val="0069463D"/>
    <w:rsid w:val="006A25A4"/>
    <w:rsid w:val="006C738C"/>
    <w:rsid w:val="006D3F42"/>
    <w:rsid w:val="006E0314"/>
    <w:rsid w:val="006E7F0D"/>
    <w:rsid w:val="006F7767"/>
    <w:rsid w:val="007411A7"/>
    <w:rsid w:val="007518EF"/>
    <w:rsid w:val="007673F2"/>
    <w:rsid w:val="00774B3F"/>
    <w:rsid w:val="00777898"/>
    <w:rsid w:val="00783C09"/>
    <w:rsid w:val="00794864"/>
    <w:rsid w:val="007B7B46"/>
    <w:rsid w:val="007D166F"/>
    <w:rsid w:val="007E2A64"/>
    <w:rsid w:val="007F6776"/>
    <w:rsid w:val="00802C31"/>
    <w:rsid w:val="00812026"/>
    <w:rsid w:val="00820B35"/>
    <w:rsid w:val="00827019"/>
    <w:rsid w:val="00831BED"/>
    <w:rsid w:val="008660F0"/>
    <w:rsid w:val="00875680"/>
    <w:rsid w:val="008A1862"/>
    <w:rsid w:val="008B07B0"/>
    <w:rsid w:val="008B776B"/>
    <w:rsid w:val="008C016E"/>
    <w:rsid w:val="00910E88"/>
    <w:rsid w:val="009246D8"/>
    <w:rsid w:val="00930059"/>
    <w:rsid w:val="00943A5A"/>
    <w:rsid w:val="00963C29"/>
    <w:rsid w:val="009A0E5C"/>
    <w:rsid w:val="009B4009"/>
    <w:rsid w:val="009C75BA"/>
    <w:rsid w:val="00A139AB"/>
    <w:rsid w:val="00A20B43"/>
    <w:rsid w:val="00A3074B"/>
    <w:rsid w:val="00A52D51"/>
    <w:rsid w:val="00A84E9A"/>
    <w:rsid w:val="00AC0643"/>
    <w:rsid w:val="00AC34BC"/>
    <w:rsid w:val="00B00571"/>
    <w:rsid w:val="00B119F9"/>
    <w:rsid w:val="00B56235"/>
    <w:rsid w:val="00B9245D"/>
    <w:rsid w:val="00BA0E37"/>
    <w:rsid w:val="00BB4CF6"/>
    <w:rsid w:val="00BC1666"/>
    <w:rsid w:val="00BE5A39"/>
    <w:rsid w:val="00C07991"/>
    <w:rsid w:val="00C15AF0"/>
    <w:rsid w:val="00C42C68"/>
    <w:rsid w:val="00C82FF2"/>
    <w:rsid w:val="00C90F5F"/>
    <w:rsid w:val="00CD1782"/>
    <w:rsid w:val="00CD3971"/>
    <w:rsid w:val="00CD6798"/>
    <w:rsid w:val="00CE56DC"/>
    <w:rsid w:val="00D005AB"/>
    <w:rsid w:val="00D13619"/>
    <w:rsid w:val="00D24C42"/>
    <w:rsid w:val="00D26070"/>
    <w:rsid w:val="00D35515"/>
    <w:rsid w:val="00D9303F"/>
    <w:rsid w:val="00D9498B"/>
    <w:rsid w:val="00D95D6C"/>
    <w:rsid w:val="00DA2FFD"/>
    <w:rsid w:val="00DB178C"/>
    <w:rsid w:val="00DB5C6D"/>
    <w:rsid w:val="00DE4430"/>
    <w:rsid w:val="00E10590"/>
    <w:rsid w:val="00E36BC0"/>
    <w:rsid w:val="00E70213"/>
    <w:rsid w:val="00EB44D8"/>
    <w:rsid w:val="00ED2FDE"/>
    <w:rsid w:val="00EE6FE3"/>
    <w:rsid w:val="00F02994"/>
    <w:rsid w:val="00F040F6"/>
    <w:rsid w:val="00F74D9D"/>
    <w:rsid w:val="00F82C38"/>
    <w:rsid w:val="00FE77BC"/>
    <w:rsid w:val="00FF3905"/>
    <w:rsid w:val="0F657030"/>
    <w:rsid w:val="128356FF"/>
    <w:rsid w:val="21342D27"/>
    <w:rsid w:val="263929E8"/>
    <w:rsid w:val="279664C8"/>
    <w:rsid w:val="30D469E5"/>
    <w:rsid w:val="31B14DEE"/>
    <w:rsid w:val="325830A9"/>
    <w:rsid w:val="37D53B15"/>
    <w:rsid w:val="3E39680C"/>
    <w:rsid w:val="4F2E1987"/>
    <w:rsid w:val="769D16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07B7D"/>
  <w15:docId w15:val="{02486446-4CA1-4FD1-80C9-7EAFD2E53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ind w:firstLine="720"/>
      <w:jc w:val="both"/>
    </w:pPr>
    <w:rPr>
      <w:rFonts w:eastAsia="Calibri"/>
      <w:sz w:val="24"/>
      <w:szCs w:val="22"/>
      <w:lang w:val="en-GB"/>
    </w:rPr>
  </w:style>
  <w:style w:type="paragraph" w:styleId="Heading1">
    <w:name w:val="heading 1"/>
    <w:basedOn w:val="Normal"/>
    <w:next w:val="Normal"/>
    <w:link w:val="Heading1Char"/>
    <w:uiPriority w:val="9"/>
    <w:qFormat/>
    <w:pPr>
      <w:keepNext/>
      <w:keepLines/>
      <w:ind w:firstLine="0"/>
      <w:jc w:val="center"/>
      <w:outlineLvl w:val="0"/>
    </w:pPr>
    <w:rPr>
      <w:rFonts w:eastAsia="Times New Roman"/>
      <w:b/>
      <w:szCs w:val="24"/>
    </w:rPr>
  </w:style>
  <w:style w:type="paragraph" w:styleId="Heading2">
    <w:name w:val="heading 2"/>
    <w:basedOn w:val="Normal"/>
    <w:next w:val="Normal"/>
    <w:link w:val="Heading2Char"/>
    <w:uiPriority w:val="9"/>
    <w:qFormat/>
    <w:pPr>
      <w:keepNext/>
      <w:keepLines/>
      <w:spacing w:line="240" w:lineRule="auto"/>
      <w:ind w:firstLine="0"/>
      <w:outlineLvl w:val="1"/>
    </w:pPr>
    <w:rPr>
      <w:rFonts w:eastAsia="Times New Roman"/>
      <w:b/>
      <w:i/>
      <w:szCs w:val="24"/>
    </w:rPr>
  </w:style>
  <w:style w:type="paragraph" w:styleId="Heading3">
    <w:name w:val="heading 3"/>
    <w:basedOn w:val="Normal"/>
    <w:next w:val="Normal"/>
    <w:link w:val="Heading3Char"/>
    <w:uiPriority w:val="9"/>
    <w:qFormat/>
    <w:pPr>
      <w:keepNext/>
      <w:keepLines/>
      <w:spacing w:before="40"/>
      <w:ind w:firstLine="0"/>
      <w:outlineLvl w:val="2"/>
    </w:pPr>
    <w:rPr>
      <w:rFonts w:eastAsia="Times New Roman"/>
      <w:i/>
      <w:color w:val="000000"/>
      <w:szCs w:val="24"/>
    </w:rPr>
  </w:style>
  <w:style w:type="paragraph" w:styleId="Heading4">
    <w:name w:val="heading 4"/>
    <w:basedOn w:val="Normal"/>
    <w:next w:val="Normal"/>
    <w:link w:val="Heading4Char"/>
    <w:uiPriority w:val="9"/>
    <w:unhideWhenUsed/>
    <w:qFormat/>
    <w:pPr>
      <w:keepNext/>
      <w:keepLines/>
      <w:spacing w:before="40"/>
      <w:ind w:left="864" w:hanging="864"/>
      <w:jc w:val="left"/>
      <w:outlineLvl w:val="3"/>
    </w:pPr>
    <w:rPr>
      <w:rFonts w:eastAsia="Times New Roman"/>
      <w:i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Caption">
    <w:name w:val="caption"/>
    <w:basedOn w:val="Normal"/>
    <w:next w:val="Normal"/>
    <w:uiPriority w:val="35"/>
    <w:qFormat/>
    <w:pPr>
      <w:widowControl w:val="0"/>
      <w:suppressLineNumbers/>
      <w:suppressAutoHyphens/>
    </w:pPr>
    <w:rPr>
      <w:rFonts w:eastAsia="Times New Roman"/>
      <w:iCs/>
      <w:szCs w:val="24"/>
      <w:shd w:val="clear" w:color="auto" w:fill="FFFFFF"/>
      <w:lang w:eastAsia="en-GB"/>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pPr>
      <w:spacing w:before="100" w:beforeAutospacing="1" w:after="100" w:afterAutospacing="1" w:line="240" w:lineRule="auto"/>
      <w:ind w:firstLine="0"/>
      <w:jc w:val="left"/>
    </w:pPr>
    <w:rPr>
      <w:rFonts w:eastAsia="Times New Roman"/>
      <w:szCs w:val="24"/>
      <w:lang w:val="en-US"/>
    </w:rPr>
  </w:style>
  <w:style w:type="character" w:styleId="Strong">
    <w:name w:val="Strong"/>
    <w:basedOn w:val="DefaultParagraphFont"/>
    <w:uiPriority w:val="22"/>
    <w:qFormat/>
    <w:rPr>
      <w:b/>
      <w:bCs/>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customStyle="1" w:styleId="Heading1Char">
    <w:name w:val="Heading 1 Char"/>
    <w:link w:val="Heading1"/>
    <w:uiPriority w:val="9"/>
    <w:qFormat/>
    <w:rPr>
      <w:rFonts w:ascii="Times New Roman" w:eastAsia="Times New Roman" w:hAnsi="Times New Roman"/>
      <w:b/>
      <w:sz w:val="24"/>
      <w:szCs w:val="24"/>
      <w:lang w:val="en-GB"/>
    </w:rPr>
  </w:style>
  <w:style w:type="character" w:customStyle="1" w:styleId="Heading2Char">
    <w:name w:val="Heading 2 Char"/>
    <w:link w:val="Heading2"/>
    <w:uiPriority w:val="9"/>
    <w:rPr>
      <w:rFonts w:ascii="Times New Roman" w:eastAsia="Times New Roman" w:hAnsi="Times New Roman"/>
      <w:b/>
      <w:i/>
      <w:sz w:val="24"/>
      <w:szCs w:val="24"/>
      <w:lang w:val="en-GB"/>
    </w:rPr>
  </w:style>
  <w:style w:type="character" w:customStyle="1" w:styleId="Heading3Char">
    <w:name w:val="Heading 3 Char"/>
    <w:link w:val="Heading3"/>
    <w:uiPriority w:val="9"/>
    <w:qFormat/>
    <w:rPr>
      <w:rFonts w:ascii="Times New Roman" w:eastAsia="Times New Roman" w:hAnsi="Times New Roman"/>
      <w:i/>
      <w:color w:val="000000"/>
      <w:sz w:val="24"/>
      <w:szCs w:val="24"/>
      <w:lang w:val="en-GB"/>
    </w:rPr>
  </w:style>
  <w:style w:type="character" w:customStyle="1" w:styleId="Heading4Char">
    <w:name w:val="Heading 4 Char"/>
    <w:link w:val="Heading4"/>
    <w:uiPriority w:val="9"/>
    <w:rPr>
      <w:rFonts w:ascii="Times New Roman" w:eastAsia="Times New Roman" w:hAnsi="Times New Roman"/>
      <w:iCs/>
      <w:color w:val="000000"/>
      <w:sz w:val="24"/>
      <w:szCs w:val="22"/>
      <w:lang w:val="en-GB"/>
    </w:rPr>
  </w:style>
  <w:style w:type="paragraph" w:styleId="NoSpacing">
    <w:name w:val="No Spacing"/>
    <w:uiPriority w:val="1"/>
    <w:qFormat/>
    <w:rPr>
      <w:rFonts w:eastAsia="Calibri"/>
      <w:b/>
      <w:sz w:val="24"/>
      <w:szCs w:val="22"/>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qFormat/>
    <w:pPr>
      <w:spacing w:line="259" w:lineRule="auto"/>
      <w:jc w:val="left"/>
      <w:outlineLvl w:val="9"/>
    </w:pPr>
    <w:rPr>
      <w:rFonts w:ascii="Calibri Light" w:hAnsi="Calibri Light"/>
      <w:b w:val="0"/>
      <w:color w:val="2F5496"/>
      <w:sz w:val="32"/>
      <w:lang w:val="en-US"/>
    </w:rPr>
  </w:style>
  <w:style w:type="character" w:customStyle="1" w:styleId="CommentTextChar">
    <w:name w:val="Comment Text Char"/>
    <w:basedOn w:val="DefaultParagraphFont"/>
    <w:link w:val="CommentText"/>
    <w:uiPriority w:val="99"/>
    <w:semiHidden/>
    <w:rPr>
      <w:rFonts w:ascii="Times New Roman" w:hAnsi="Times New Roman"/>
      <w:lang w:val="en-GB"/>
    </w:rPr>
  </w:style>
  <w:style w:type="character" w:customStyle="1" w:styleId="CommentSubjectChar">
    <w:name w:val="Comment Subject Char"/>
    <w:basedOn w:val="CommentTextChar"/>
    <w:link w:val="CommentSubject"/>
    <w:uiPriority w:val="99"/>
    <w:semiHidden/>
    <w:rPr>
      <w:rFonts w:ascii="Times New Roman" w:hAnsi="Times New Roman"/>
      <w:b/>
      <w:bCs/>
      <w:lang w:val="en-GB"/>
    </w:rPr>
  </w:style>
  <w:style w:type="character" w:customStyle="1" w:styleId="BalloonTextChar">
    <w:name w:val="Balloon Text Char"/>
    <w:basedOn w:val="DefaultParagraphFont"/>
    <w:link w:val="BalloonText"/>
    <w:uiPriority w:val="99"/>
    <w:semiHidden/>
    <w:rPr>
      <w:rFonts w:ascii="Segoe UI" w:hAnsi="Segoe UI" w:cs="Segoe UI"/>
      <w:sz w:val="18"/>
      <w:szCs w:val="18"/>
      <w:lang w:val="en-GB"/>
    </w:rPr>
  </w:style>
  <w:style w:type="paragraph" w:styleId="Header">
    <w:name w:val="header"/>
    <w:basedOn w:val="Normal"/>
    <w:link w:val="HeaderChar"/>
    <w:uiPriority w:val="99"/>
    <w:unhideWhenUsed/>
    <w:rsid w:val="006D3F42"/>
    <w:pPr>
      <w:tabs>
        <w:tab w:val="center" w:pos="4680"/>
        <w:tab w:val="right" w:pos="9360"/>
      </w:tabs>
      <w:spacing w:line="240" w:lineRule="auto"/>
    </w:pPr>
  </w:style>
  <w:style w:type="character" w:customStyle="1" w:styleId="HeaderChar">
    <w:name w:val="Header Char"/>
    <w:basedOn w:val="DefaultParagraphFont"/>
    <w:link w:val="Header"/>
    <w:uiPriority w:val="99"/>
    <w:rsid w:val="006D3F42"/>
    <w:rPr>
      <w:rFonts w:eastAsia="Calibri"/>
      <w:sz w:val="24"/>
      <w:szCs w:val="22"/>
      <w:lang w:val="en-GB"/>
    </w:rPr>
  </w:style>
  <w:style w:type="paragraph" w:styleId="Footer">
    <w:name w:val="footer"/>
    <w:basedOn w:val="Normal"/>
    <w:link w:val="FooterChar"/>
    <w:uiPriority w:val="99"/>
    <w:unhideWhenUsed/>
    <w:rsid w:val="006D3F42"/>
    <w:pPr>
      <w:tabs>
        <w:tab w:val="center" w:pos="4680"/>
        <w:tab w:val="right" w:pos="9360"/>
      </w:tabs>
      <w:spacing w:line="240" w:lineRule="auto"/>
    </w:pPr>
  </w:style>
  <w:style w:type="character" w:customStyle="1" w:styleId="FooterChar">
    <w:name w:val="Footer Char"/>
    <w:basedOn w:val="DefaultParagraphFont"/>
    <w:link w:val="Footer"/>
    <w:uiPriority w:val="99"/>
    <w:rsid w:val="006D3F42"/>
    <w:rPr>
      <w:rFonts w:eastAsia="Calibri"/>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84935">
      <w:bodyDiv w:val="1"/>
      <w:marLeft w:val="0"/>
      <w:marRight w:val="0"/>
      <w:marTop w:val="0"/>
      <w:marBottom w:val="0"/>
      <w:divBdr>
        <w:top w:val="none" w:sz="0" w:space="0" w:color="auto"/>
        <w:left w:val="none" w:sz="0" w:space="0" w:color="auto"/>
        <w:bottom w:val="none" w:sz="0" w:space="0" w:color="auto"/>
        <w:right w:val="none" w:sz="0" w:space="0" w:color="auto"/>
      </w:divBdr>
    </w:div>
    <w:div w:id="1921212459">
      <w:bodyDiv w:val="1"/>
      <w:marLeft w:val="0"/>
      <w:marRight w:val="0"/>
      <w:marTop w:val="0"/>
      <w:marBottom w:val="0"/>
      <w:divBdr>
        <w:top w:val="none" w:sz="0" w:space="0" w:color="auto"/>
        <w:left w:val="none" w:sz="0" w:space="0" w:color="auto"/>
        <w:bottom w:val="none" w:sz="0" w:space="0" w:color="auto"/>
        <w:right w:val="none" w:sz="0" w:space="0" w:color="auto"/>
      </w:divBdr>
    </w:div>
    <w:div w:id="2048026026">
      <w:bodyDiv w:val="1"/>
      <w:marLeft w:val="0"/>
      <w:marRight w:val="0"/>
      <w:marTop w:val="0"/>
      <w:marBottom w:val="0"/>
      <w:divBdr>
        <w:top w:val="none" w:sz="0" w:space="0" w:color="auto"/>
        <w:left w:val="none" w:sz="0" w:space="0" w:color="auto"/>
        <w:bottom w:val="none" w:sz="0" w:space="0" w:color="auto"/>
        <w:right w:val="none" w:sz="0" w:space="0" w:color="auto"/>
      </w:divBdr>
    </w:div>
    <w:div w:id="2131435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57071-310E-4786-90D4-A33120E97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2675</Words>
  <Characters>15251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Madhuri</dc:creator>
  <cp:lastModifiedBy>adriana marin</cp:lastModifiedBy>
  <cp:revision>2</cp:revision>
  <dcterms:created xsi:type="dcterms:W3CDTF">2023-01-13T14:05:00Z</dcterms:created>
  <dcterms:modified xsi:type="dcterms:W3CDTF">2023-01-13T14:05:00Z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1EA23AE1914F4F0085B64FA815514503</vt:lpwstr>
  </property>
</Properties>
</file>