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BAE2EEB" w14:textId="77777777" w:rsidR="00D63405" w:rsidRPr="00E01EE7" w:rsidRDefault="00D63405">
      <w:pPr>
        <w:pStyle w:val="p1"/>
        <w:rPr>
          <w:rFonts w:ascii="Arial" w:hAnsi="Arial" w:cs="Arial"/>
          <w:sz w:val="24"/>
          <w:szCs w:val="24"/>
        </w:rPr>
      </w:pPr>
      <w:r w:rsidRPr="00E01EE7">
        <w:rPr>
          <w:rStyle w:val="s1"/>
          <w:rFonts w:ascii="Arial" w:hAnsi="Arial" w:cs="Arial"/>
          <w:sz w:val="24"/>
          <w:szCs w:val="24"/>
        </w:rPr>
        <w:t>Your name :Renata Balogh</w:t>
      </w:r>
    </w:p>
    <w:p w14:paraId="444AC99C" w14:textId="71B4D801" w:rsidR="00D63405" w:rsidRPr="00E01EE7" w:rsidRDefault="00D63405">
      <w:pPr>
        <w:pStyle w:val="p1"/>
        <w:rPr>
          <w:rFonts w:ascii="Arial" w:hAnsi="Arial" w:cs="Arial"/>
          <w:sz w:val="24"/>
          <w:szCs w:val="24"/>
        </w:rPr>
      </w:pPr>
      <w:r w:rsidRPr="00E01EE7">
        <w:rPr>
          <w:rStyle w:val="s1"/>
          <w:rFonts w:ascii="Arial" w:hAnsi="Arial" w:cs="Arial"/>
          <w:sz w:val="24"/>
          <w:szCs w:val="24"/>
        </w:rPr>
        <w:t xml:space="preserve">Date: </w:t>
      </w:r>
      <w:r w:rsidR="006D0D1F">
        <w:rPr>
          <w:rStyle w:val="s1"/>
          <w:rFonts w:ascii="Arial" w:hAnsi="Arial" w:cs="Arial"/>
          <w:sz w:val="24"/>
          <w:szCs w:val="24"/>
        </w:rPr>
        <w:t>18/02/2026</w:t>
      </w:r>
    </w:p>
    <w:p w14:paraId="04253028" w14:textId="77777777" w:rsidR="00D63405" w:rsidRPr="00E01EE7" w:rsidRDefault="00D63405">
      <w:pPr>
        <w:pStyle w:val="p1"/>
        <w:rPr>
          <w:rFonts w:ascii="Arial" w:hAnsi="Arial" w:cs="Arial"/>
          <w:sz w:val="24"/>
          <w:szCs w:val="24"/>
        </w:rPr>
      </w:pPr>
      <w:r w:rsidRPr="00E01EE7">
        <w:rPr>
          <w:rStyle w:val="s1"/>
          <w:rFonts w:ascii="Arial" w:hAnsi="Arial" w:cs="Arial"/>
          <w:sz w:val="24"/>
          <w:szCs w:val="24"/>
        </w:rPr>
        <w:t>Student Number: 2407673</w:t>
      </w:r>
    </w:p>
    <w:p w14:paraId="036A7580" w14:textId="77777777" w:rsidR="00957208" w:rsidRDefault="00D63405">
      <w:pPr>
        <w:pStyle w:val="p1"/>
      </w:pPr>
      <w:r w:rsidRPr="00E01EE7">
        <w:rPr>
          <w:rStyle w:val="s1"/>
          <w:rFonts w:ascii="Arial" w:hAnsi="Arial" w:cs="Arial"/>
          <w:sz w:val="24"/>
          <w:szCs w:val="24"/>
        </w:rPr>
        <w:t xml:space="preserve">Module title : </w:t>
      </w:r>
      <w:r w:rsidR="00957208">
        <w:rPr>
          <w:rStyle w:val="s1"/>
        </w:rPr>
        <w:t>BMHP5021</w:t>
      </w:r>
    </w:p>
    <w:p w14:paraId="262A4EE6" w14:textId="77777777" w:rsidR="00957208" w:rsidRDefault="00957208">
      <w:pPr>
        <w:pStyle w:val="p1"/>
      </w:pPr>
      <w:r>
        <w:rPr>
          <w:rStyle w:val="s1"/>
        </w:rPr>
        <w:t>PROTECTING AND SUPPORTING FAMILIES IN</w:t>
      </w:r>
    </w:p>
    <w:p w14:paraId="40218527" w14:textId="77777777" w:rsidR="00957208" w:rsidRDefault="00957208">
      <w:pPr>
        <w:pStyle w:val="p1"/>
      </w:pPr>
      <w:r>
        <w:rPr>
          <w:rStyle w:val="s1"/>
        </w:rPr>
        <w:t>HEALTH AND CARE</w:t>
      </w:r>
    </w:p>
    <w:p w14:paraId="21B510C7" w14:textId="60FDFA77" w:rsidR="00D63405" w:rsidRPr="00E01EE7" w:rsidRDefault="00D63405">
      <w:pPr>
        <w:pStyle w:val="p1"/>
        <w:rPr>
          <w:rFonts w:ascii="Arial" w:hAnsi="Arial" w:cs="Arial"/>
          <w:sz w:val="24"/>
          <w:szCs w:val="24"/>
        </w:rPr>
      </w:pPr>
    </w:p>
    <w:p w14:paraId="581B415F" w14:textId="77777777" w:rsidR="00D63405" w:rsidRPr="00E01EE7" w:rsidRDefault="00D63405">
      <w:pPr>
        <w:rPr>
          <w:rFonts w:ascii="Arial" w:hAnsi="Arial" w:cs="Arial"/>
        </w:rPr>
      </w:pPr>
    </w:p>
    <w:p w14:paraId="3FB9E1C2" w14:textId="77777777" w:rsidR="00A85377" w:rsidRPr="00A85377" w:rsidRDefault="00A85377" w:rsidP="00A85377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:sz w:val="42"/>
          <w:szCs w:val="42"/>
          <w14:ligatures w14:val="none"/>
        </w:rPr>
      </w:pPr>
      <w:r w:rsidRPr="00A85377">
        <w:rPr>
          <w:rFonts w:ascii="Times New Roman" w:hAnsi="Times New Roman" w:cs="Times New Roman"/>
          <w:kern w:val="0"/>
          <w:sz w:val="42"/>
          <w:szCs w:val="42"/>
          <w14:ligatures w14:val="none"/>
        </w:rPr>
        <w:t>References</w:t>
      </w:r>
    </w:p>
    <w:p w14:paraId="2654DA7B" w14:textId="77777777" w:rsidR="00815089" w:rsidRDefault="00815089"/>
    <w:p w14:paraId="7AC85A7E" w14:textId="79E61584" w:rsidR="00815089" w:rsidRDefault="00815089">
      <w:pPr>
        <w:rPr>
          <w:rFonts w:ascii="-webkit-standard" w:eastAsia="Times New Roman" w:hAnsi="-webkit-standard"/>
          <w:color w:val="000000"/>
          <w:sz w:val="27"/>
          <w:szCs w:val="27"/>
        </w:rPr>
      </w:pPr>
      <w:proofErr w:type="spellStart"/>
      <w:r>
        <w:rPr>
          <w:rFonts w:ascii="-webkit-standard" w:eastAsia="Times New Roman" w:hAnsi="-webkit-standard"/>
          <w:color w:val="000000"/>
          <w:sz w:val="27"/>
          <w:szCs w:val="27"/>
        </w:rPr>
        <w:t>Archard</w:t>
      </w:r>
      <w:proofErr w:type="spellEnd"/>
      <w:r>
        <w:rPr>
          <w:rFonts w:ascii="-webkit-standard" w:eastAsia="Times New Roman" w:hAnsi="-webkit-standard"/>
          <w:color w:val="000000"/>
          <w:sz w:val="27"/>
          <w:szCs w:val="27"/>
        </w:rPr>
        <w:t xml:space="preserve">, D. and </w:t>
      </w:r>
      <w:proofErr w:type="spellStart"/>
      <w:r>
        <w:rPr>
          <w:rFonts w:ascii="-webkit-standard" w:eastAsia="Times New Roman" w:hAnsi="-webkit-standard"/>
          <w:color w:val="000000"/>
          <w:sz w:val="27"/>
          <w:szCs w:val="27"/>
        </w:rPr>
        <w:t>Skivenes</w:t>
      </w:r>
      <w:proofErr w:type="spellEnd"/>
      <w:r>
        <w:rPr>
          <w:rFonts w:ascii="-webkit-standard" w:eastAsia="Times New Roman" w:hAnsi="-webkit-standard"/>
          <w:color w:val="000000"/>
          <w:sz w:val="27"/>
          <w:szCs w:val="27"/>
        </w:rPr>
        <w:t>, M. (2009) ‘Balancing a child’s best interests and a child’s views’,</w:t>
      </w:r>
      <w:r>
        <w:rPr>
          <w:rStyle w:val="apple-converted-space"/>
          <w:rFonts w:ascii="-webkit-standard" w:eastAsia="Times New Roman" w:hAnsi="-webkit-standard"/>
          <w:color w:val="000000"/>
          <w:sz w:val="27"/>
          <w:szCs w:val="27"/>
        </w:rPr>
        <w:t> </w:t>
      </w:r>
      <w:r>
        <w:rPr>
          <w:rStyle w:val="s4"/>
          <w:rFonts w:ascii="-webkit-standard" w:eastAsia="Times New Roman" w:hAnsi="-webkit-standard"/>
          <w:i/>
          <w:iCs/>
          <w:color w:val="000000"/>
          <w:sz w:val="27"/>
          <w:szCs w:val="27"/>
        </w:rPr>
        <w:t>The International Journal of Children’s Rights</w:t>
      </w:r>
      <w:r>
        <w:rPr>
          <w:rFonts w:ascii="-webkit-standard" w:eastAsia="Times New Roman" w:hAnsi="-webkit-standard"/>
          <w:color w:val="000000"/>
          <w:sz w:val="27"/>
          <w:szCs w:val="27"/>
        </w:rPr>
        <w:t>, 17(1), pp. 1–21.</w:t>
      </w:r>
    </w:p>
    <w:p w14:paraId="1650CDD2" w14:textId="77777777" w:rsidR="002D50FF" w:rsidRDefault="002D50FF">
      <w:pPr>
        <w:rPr>
          <w:rFonts w:ascii="-webkit-standard" w:eastAsia="Times New Roman" w:hAnsi="-webkit-standard"/>
          <w:color w:val="000000"/>
          <w:sz w:val="27"/>
          <w:szCs w:val="27"/>
        </w:rPr>
      </w:pPr>
    </w:p>
    <w:p w14:paraId="4A29FF3E" w14:textId="6946BBB8" w:rsidR="002D50FF" w:rsidRDefault="001C691A">
      <w:pPr>
        <w:rPr>
          <w:rFonts w:ascii="-webkit-standard" w:eastAsia="Times New Roman" w:hAnsi="-webkit-standard"/>
          <w:color w:val="000000"/>
          <w:sz w:val="27"/>
          <w:szCs w:val="27"/>
        </w:rPr>
      </w:pPr>
      <w:r>
        <w:rPr>
          <w:rFonts w:ascii="-webkit-standard" w:eastAsia="Times New Roman" w:hAnsi="-webkit-standard"/>
          <w:color w:val="000000"/>
          <w:sz w:val="27"/>
          <w:szCs w:val="27"/>
        </w:rPr>
        <w:t>Banks, S. (2012)</w:t>
      </w:r>
      <w:r>
        <w:rPr>
          <w:rStyle w:val="apple-converted-space"/>
          <w:rFonts w:ascii="-webkit-standard" w:eastAsia="Times New Roman" w:hAnsi="-webkit-standard"/>
          <w:color w:val="000000"/>
          <w:sz w:val="27"/>
          <w:szCs w:val="27"/>
        </w:rPr>
        <w:t> </w:t>
      </w:r>
      <w:r>
        <w:rPr>
          <w:rStyle w:val="s4"/>
          <w:rFonts w:ascii="-webkit-standard" w:eastAsia="Times New Roman" w:hAnsi="-webkit-standard"/>
          <w:i/>
          <w:iCs/>
          <w:color w:val="000000"/>
          <w:sz w:val="27"/>
          <w:szCs w:val="27"/>
        </w:rPr>
        <w:t>Ethics and values in social work</w:t>
      </w:r>
      <w:r>
        <w:rPr>
          <w:rFonts w:ascii="-webkit-standard" w:eastAsia="Times New Roman" w:hAnsi="-webkit-standard"/>
          <w:color w:val="000000"/>
          <w:sz w:val="27"/>
          <w:szCs w:val="27"/>
        </w:rPr>
        <w:t xml:space="preserve">. 4th </w:t>
      </w:r>
      <w:proofErr w:type="spellStart"/>
      <w:r>
        <w:rPr>
          <w:rFonts w:ascii="-webkit-standard" w:eastAsia="Times New Roman" w:hAnsi="-webkit-standard"/>
          <w:color w:val="000000"/>
          <w:sz w:val="27"/>
          <w:szCs w:val="27"/>
        </w:rPr>
        <w:t>edn</w:t>
      </w:r>
      <w:proofErr w:type="spellEnd"/>
      <w:r>
        <w:rPr>
          <w:rFonts w:ascii="-webkit-standard" w:eastAsia="Times New Roman" w:hAnsi="-webkit-standard"/>
          <w:color w:val="000000"/>
          <w:sz w:val="27"/>
          <w:szCs w:val="27"/>
        </w:rPr>
        <w:t xml:space="preserve">. Basingstoke: </w:t>
      </w:r>
      <w:proofErr w:type="spellStart"/>
      <w:r>
        <w:rPr>
          <w:rFonts w:ascii="-webkit-standard" w:eastAsia="Times New Roman" w:hAnsi="-webkit-standard"/>
          <w:color w:val="000000"/>
          <w:sz w:val="27"/>
          <w:szCs w:val="27"/>
        </w:rPr>
        <w:t>Palgrave</w:t>
      </w:r>
      <w:proofErr w:type="spellEnd"/>
      <w:r>
        <w:rPr>
          <w:rFonts w:ascii="-webkit-standard" w:eastAsia="Times New Roman" w:hAnsi="-webkit-standard"/>
          <w:color w:val="000000"/>
          <w:sz w:val="27"/>
          <w:szCs w:val="27"/>
        </w:rPr>
        <w:t xml:space="preserve"> Macmillan.</w:t>
      </w:r>
    </w:p>
    <w:p w14:paraId="11BDD3C4" w14:textId="77777777" w:rsidR="00E91B28" w:rsidRDefault="00E91B28">
      <w:pPr>
        <w:rPr>
          <w:rFonts w:ascii="-webkit-standard" w:eastAsia="Times New Roman" w:hAnsi="-webkit-standard"/>
          <w:color w:val="000000"/>
          <w:sz w:val="27"/>
          <w:szCs w:val="27"/>
        </w:rPr>
      </w:pPr>
    </w:p>
    <w:p w14:paraId="395189D9" w14:textId="053E9D65" w:rsidR="00E91B28" w:rsidRDefault="00E91B28">
      <w:pPr>
        <w:rPr>
          <w:rFonts w:ascii="-webkit-standard" w:eastAsia="Times New Roman" w:hAnsi="-webkit-standard"/>
          <w:color w:val="000000"/>
          <w:sz w:val="27"/>
          <w:szCs w:val="27"/>
        </w:rPr>
      </w:pPr>
      <w:r>
        <w:rPr>
          <w:rFonts w:ascii="-webkit-standard" w:eastAsia="Times New Roman" w:hAnsi="-webkit-standard"/>
          <w:color w:val="000000"/>
          <w:sz w:val="27"/>
          <w:szCs w:val="27"/>
        </w:rPr>
        <w:t xml:space="preserve">Brandon, M., Bailey, S., </w:t>
      </w:r>
      <w:proofErr w:type="spellStart"/>
      <w:r>
        <w:rPr>
          <w:rFonts w:ascii="-webkit-standard" w:eastAsia="Times New Roman" w:hAnsi="-webkit-standard"/>
          <w:color w:val="000000"/>
          <w:sz w:val="27"/>
          <w:szCs w:val="27"/>
        </w:rPr>
        <w:t>Belderson</w:t>
      </w:r>
      <w:proofErr w:type="spellEnd"/>
      <w:r>
        <w:rPr>
          <w:rFonts w:ascii="-webkit-standard" w:eastAsia="Times New Roman" w:hAnsi="-webkit-standard"/>
          <w:color w:val="000000"/>
          <w:sz w:val="27"/>
          <w:szCs w:val="27"/>
        </w:rPr>
        <w:t xml:space="preserve">, P., Gardner, R., </w:t>
      </w:r>
      <w:proofErr w:type="spellStart"/>
      <w:r>
        <w:rPr>
          <w:rFonts w:ascii="-webkit-standard" w:eastAsia="Times New Roman" w:hAnsi="-webkit-standard"/>
          <w:color w:val="000000"/>
          <w:sz w:val="27"/>
          <w:szCs w:val="27"/>
        </w:rPr>
        <w:t>Sidebotham</w:t>
      </w:r>
      <w:proofErr w:type="spellEnd"/>
      <w:r>
        <w:rPr>
          <w:rFonts w:ascii="-webkit-standard" w:eastAsia="Times New Roman" w:hAnsi="-webkit-standard"/>
          <w:color w:val="000000"/>
          <w:sz w:val="27"/>
          <w:szCs w:val="27"/>
        </w:rPr>
        <w:t>, P., Dodsworth, J., Warren, C. and Black, J. (2009)</w:t>
      </w:r>
      <w:r>
        <w:rPr>
          <w:rStyle w:val="apple-converted-space"/>
          <w:rFonts w:ascii="-webkit-standard" w:eastAsia="Times New Roman" w:hAnsi="-webkit-standard"/>
          <w:color w:val="000000"/>
          <w:sz w:val="27"/>
          <w:szCs w:val="27"/>
        </w:rPr>
        <w:t> </w:t>
      </w:r>
      <w:r>
        <w:rPr>
          <w:rStyle w:val="s4"/>
          <w:rFonts w:ascii="-webkit-standard" w:eastAsia="Times New Roman" w:hAnsi="-webkit-standard"/>
          <w:i/>
          <w:iCs/>
          <w:color w:val="000000"/>
          <w:sz w:val="27"/>
          <w:szCs w:val="27"/>
        </w:rPr>
        <w:t>Understanding serious case reviews and their impact</w:t>
      </w:r>
      <w:r>
        <w:rPr>
          <w:rFonts w:ascii="-webkit-standard" w:eastAsia="Times New Roman" w:hAnsi="-webkit-standard"/>
          <w:color w:val="000000"/>
          <w:sz w:val="27"/>
          <w:szCs w:val="27"/>
        </w:rPr>
        <w:t>. London: Department for Children, Schools and Families.</w:t>
      </w:r>
    </w:p>
    <w:p w14:paraId="39113102" w14:textId="77777777" w:rsidR="00067CEC" w:rsidRDefault="00067CEC">
      <w:pPr>
        <w:rPr>
          <w:rFonts w:ascii="-webkit-standard" w:eastAsia="Times New Roman" w:hAnsi="-webkit-standard"/>
          <w:color w:val="000000"/>
          <w:sz w:val="27"/>
          <w:szCs w:val="27"/>
        </w:rPr>
      </w:pPr>
    </w:p>
    <w:p w14:paraId="70A17A33" w14:textId="0449431D" w:rsidR="00067CEC" w:rsidRDefault="00067CEC">
      <w:pPr>
        <w:rPr>
          <w:rFonts w:ascii="-webkit-standard" w:eastAsia="Times New Roman" w:hAnsi="-webkit-standard"/>
          <w:color w:val="000000"/>
          <w:sz w:val="27"/>
          <w:szCs w:val="27"/>
        </w:rPr>
      </w:pPr>
      <w:r>
        <w:rPr>
          <w:rFonts w:ascii="-webkit-standard" w:eastAsia="Times New Roman" w:hAnsi="-webkit-standard"/>
          <w:color w:val="000000"/>
          <w:sz w:val="27"/>
          <w:szCs w:val="27"/>
        </w:rPr>
        <w:t>Ferguson, H. (2011)</w:t>
      </w:r>
      <w:r>
        <w:rPr>
          <w:rStyle w:val="apple-converted-space"/>
          <w:rFonts w:ascii="-webkit-standard" w:eastAsia="Times New Roman" w:hAnsi="-webkit-standard"/>
          <w:color w:val="000000"/>
          <w:sz w:val="27"/>
          <w:szCs w:val="27"/>
        </w:rPr>
        <w:t> </w:t>
      </w:r>
      <w:r>
        <w:rPr>
          <w:rStyle w:val="s4"/>
          <w:rFonts w:ascii="-webkit-standard" w:eastAsia="Times New Roman" w:hAnsi="-webkit-standard"/>
          <w:i/>
          <w:iCs/>
          <w:color w:val="000000"/>
          <w:sz w:val="27"/>
          <w:szCs w:val="27"/>
        </w:rPr>
        <w:t>Child protection practice</w:t>
      </w:r>
      <w:r>
        <w:rPr>
          <w:rFonts w:ascii="-webkit-standard" w:eastAsia="Times New Roman" w:hAnsi="-webkit-standard"/>
          <w:color w:val="000000"/>
          <w:sz w:val="27"/>
          <w:szCs w:val="27"/>
        </w:rPr>
        <w:t xml:space="preserve">. Basingstoke: </w:t>
      </w:r>
      <w:proofErr w:type="spellStart"/>
      <w:r>
        <w:rPr>
          <w:rFonts w:ascii="-webkit-standard" w:eastAsia="Times New Roman" w:hAnsi="-webkit-standard"/>
          <w:color w:val="000000"/>
          <w:sz w:val="27"/>
          <w:szCs w:val="27"/>
        </w:rPr>
        <w:t>Palgrave</w:t>
      </w:r>
      <w:proofErr w:type="spellEnd"/>
      <w:r>
        <w:rPr>
          <w:rFonts w:ascii="-webkit-standard" w:eastAsia="Times New Roman" w:hAnsi="-webkit-standard"/>
          <w:color w:val="000000"/>
          <w:sz w:val="27"/>
          <w:szCs w:val="27"/>
        </w:rPr>
        <w:t xml:space="preserve"> Macmillan.</w:t>
      </w:r>
    </w:p>
    <w:p w14:paraId="6A258EB3" w14:textId="77777777" w:rsidR="00067CEC" w:rsidRDefault="00067CEC">
      <w:pPr>
        <w:rPr>
          <w:rFonts w:ascii="-webkit-standard" w:eastAsia="Times New Roman" w:hAnsi="-webkit-standard"/>
          <w:color w:val="000000"/>
          <w:sz w:val="27"/>
          <w:szCs w:val="27"/>
        </w:rPr>
      </w:pPr>
    </w:p>
    <w:p w14:paraId="6595873D" w14:textId="77777777" w:rsidR="00247050" w:rsidRPr="00247050" w:rsidRDefault="00247050" w:rsidP="00247050">
      <w:pPr>
        <w:spacing w:after="150" w:line="240" w:lineRule="auto"/>
        <w:ind w:hanging="270"/>
        <w:rPr>
          <w:rFonts w:ascii="-webkit-standard" w:hAnsi="-webkit-standard" w:cs="Times New Roman"/>
          <w:color w:val="000000"/>
          <w:kern w:val="0"/>
          <w:sz w:val="27"/>
          <w:szCs w:val="27"/>
          <w14:ligatures w14:val="none"/>
        </w:rPr>
      </w:pPr>
      <w:r w:rsidRPr="00247050">
        <w:rPr>
          <w:rFonts w:ascii="-webkit-standard" w:hAnsi="-webkit-standard" w:cs="Times New Roman"/>
          <w:color w:val="000000"/>
          <w:kern w:val="0"/>
          <w:sz w:val="27"/>
          <w:szCs w:val="27"/>
          <w14:ligatures w14:val="none"/>
        </w:rPr>
        <w:t>Ferguson, H. (2016) ‘Researching social work practice close up: Using ethnographic and mobile methods to understand encounters between social workers, children and families’, </w:t>
      </w:r>
      <w:r w:rsidRPr="00247050">
        <w:rPr>
          <w:rFonts w:ascii="-webkit-standard" w:hAnsi="-webkit-standard" w:cs="Times New Roman"/>
          <w:i/>
          <w:iCs/>
          <w:color w:val="000000"/>
          <w:kern w:val="0"/>
          <w:sz w:val="27"/>
          <w:szCs w:val="27"/>
          <w14:ligatures w14:val="none"/>
        </w:rPr>
        <w:t>British Journal of Social Work</w:t>
      </w:r>
      <w:r w:rsidRPr="00247050">
        <w:rPr>
          <w:rFonts w:ascii="-webkit-standard" w:hAnsi="-webkit-standard" w:cs="Times New Roman"/>
          <w:color w:val="000000"/>
          <w:kern w:val="0"/>
          <w:sz w:val="27"/>
          <w:szCs w:val="27"/>
          <w14:ligatures w14:val="none"/>
        </w:rPr>
        <w:t>, 46(1), pp. 153–168.</w:t>
      </w:r>
    </w:p>
    <w:p w14:paraId="347213F1" w14:textId="77777777" w:rsidR="00247050" w:rsidRPr="00247050" w:rsidRDefault="00247050" w:rsidP="00247050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603E2723" w14:textId="513CBEBC" w:rsidR="00067CEC" w:rsidRDefault="00DC511A">
      <w:pPr>
        <w:rPr>
          <w:rFonts w:ascii="-webkit-standard" w:eastAsia="Times New Roman" w:hAnsi="-webkit-standard"/>
          <w:color w:val="000000"/>
          <w:sz w:val="27"/>
          <w:szCs w:val="27"/>
        </w:rPr>
      </w:pPr>
      <w:proofErr w:type="spellStart"/>
      <w:r>
        <w:rPr>
          <w:rFonts w:ascii="-webkit-standard" w:eastAsia="Times New Roman" w:hAnsi="-webkit-standard"/>
          <w:color w:val="000000"/>
          <w:sz w:val="27"/>
          <w:szCs w:val="27"/>
        </w:rPr>
        <w:t>Horwath</w:t>
      </w:r>
      <w:proofErr w:type="spellEnd"/>
      <w:r>
        <w:rPr>
          <w:rFonts w:ascii="-webkit-standard" w:eastAsia="Times New Roman" w:hAnsi="-webkit-standard"/>
          <w:color w:val="000000"/>
          <w:sz w:val="27"/>
          <w:szCs w:val="27"/>
        </w:rPr>
        <w:t>, J. (2007) ‘The missing assessment domain: Personal, professional and organisational factors influencing professional judgements when identifying and referring child neglect’,</w:t>
      </w:r>
      <w:r>
        <w:rPr>
          <w:rStyle w:val="apple-converted-space"/>
          <w:rFonts w:ascii="-webkit-standard" w:eastAsia="Times New Roman" w:hAnsi="-webkit-standard"/>
          <w:color w:val="000000"/>
          <w:sz w:val="27"/>
          <w:szCs w:val="27"/>
        </w:rPr>
        <w:t> </w:t>
      </w:r>
      <w:r>
        <w:rPr>
          <w:rStyle w:val="s4"/>
          <w:rFonts w:ascii="-webkit-standard" w:eastAsia="Times New Roman" w:hAnsi="-webkit-standard"/>
          <w:i/>
          <w:iCs/>
          <w:color w:val="000000"/>
          <w:sz w:val="27"/>
          <w:szCs w:val="27"/>
        </w:rPr>
        <w:t>British Journal of Social Work</w:t>
      </w:r>
      <w:r>
        <w:rPr>
          <w:rFonts w:ascii="-webkit-standard" w:eastAsia="Times New Roman" w:hAnsi="-webkit-standard"/>
          <w:color w:val="000000"/>
          <w:sz w:val="27"/>
          <w:szCs w:val="27"/>
        </w:rPr>
        <w:t>, 37(8), pp. 1285–1303.</w:t>
      </w:r>
    </w:p>
    <w:p w14:paraId="711CA02C" w14:textId="77777777" w:rsidR="00DC511A" w:rsidRDefault="00DC511A">
      <w:pPr>
        <w:rPr>
          <w:rFonts w:ascii="-webkit-standard" w:eastAsia="Times New Roman" w:hAnsi="-webkit-standard"/>
          <w:color w:val="000000"/>
          <w:sz w:val="27"/>
          <w:szCs w:val="27"/>
        </w:rPr>
      </w:pPr>
    </w:p>
    <w:p w14:paraId="069F103A" w14:textId="77777777" w:rsidR="00C6081F" w:rsidRPr="00C6081F" w:rsidRDefault="00C6081F" w:rsidP="00C6081F">
      <w:pPr>
        <w:spacing w:after="150" w:line="240" w:lineRule="auto"/>
        <w:ind w:hanging="270"/>
        <w:rPr>
          <w:rFonts w:ascii="-webkit-standard" w:hAnsi="-webkit-standard" w:cs="Times New Roman"/>
          <w:color w:val="000000"/>
          <w:kern w:val="0"/>
          <w:sz w:val="27"/>
          <w:szCs w:val="27"/>
          <w14:ligatures w14:val="none"/>
        </w:rPr>
      </w:pPr>
      <w:r w:rsidRPr="00C6081F">
        <w:rPr>
          <w:rFonts w:ascii="-webkit-standard" w:hAnsi="-webkit-standard" w:cs="Times New Roman"/>
          <w:color w:val="000000"/>
          <w:kern w:val="0"/>
          <w:sz w:val="27"/>
          <w:szCs w:val="27"/>
          <w14:ligatures w14:val="none"/>
        </w:rPr>
        <w:t>Munro, E. (2011) </w:t>
      </w:r>
      <w:r w:rsidRPr="00C6081F">
        <w:rPr>
          <w:rFonts w:ascii="-webkit-standard" w:hAnsi="-webkit-standard" w:cs="Times New Roman"/>
          <w:i/>
          <w:iCs/>
          <w:color w:val="000000"/>
          <w:kern w:val="0"/>
          <w:sz w:val="27"/>
          <w:szCs w:val="27"/>
          <w14:ligatures w14:val="none"/>
        </w:rPr>
        <w:t>The Munro Review of Child Protection: A Child-centred System</w:t>
      </w:r>
      <w:r w:rsidRPr="00C6081F">
        <w:rPr>
          <w:rFonts w:ascii="-webkit-standard" w:hAnsi="-webkit-standard" w:cs="Times New Roman"/>
          <w:color w:val="000000"/>
          <w:kern w:val="0"/>
          <w:sz w:val="27"/>
          <w:szCs w:val="27"/>
          <w14:ligatures w14:val="none"/>
        </w:rPr>
        <w:t>. London: The Stationery Office.</w:t>
      </w:r>
    </w:p>
    <w:p w14:paraId="1F3E3E70" w14:textId="77777777" w:rsidR="00C6081F" w:rsidRPr="00C6081F" w:rsidRDefault="00C6081F" w:rsidP="00C6081F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280BE143" w14:textId="77777777" w:rsidR="00DC511A" w:rsidRDefault="00DC511A"/>
    <w:p w14:paraId="1739C45E" w14:textId="52F590E8" w:rsidR="00C6081F" w:rsidRDefault="00A1751E">
      <w:r>
        <w:rPr>
          <w:rFonts w:ascii="-webkit-standard" w:eastAsia="Times New Roman" w:hAnsi="-webkit-standard"/>
          <w:color w:val="000000"/>
          <w:sz w:val="27"/>
          <w:szCs w:val="27"/>
        </w:rPr>
        <w:t>Winter, K. (2011)</w:t>
      </w:r>
      <w:r>
        <w:rPr>
          <w:rStyle w:val="apple-converted-space"/>
          <w:rFonts w:ascii="-webkit-standard" w:eastAsia="Times New Roman" w:hAnsi="-webkit-standard"/>
          <w:color w:val="000000"/>
          <w:sz w:val="27"/>
          <w:szCs w:val="27"/>
        </w:rPr>
        <w:t> </w:t>
      </w:r>
      <w:r>
        <w:rPr>
          <w:rStyle w:val="s4"/>
          <w:rFonts w:ascii="-webkit-standard" w:eastAsia="Times New Roman" w:hAnsi="-webkit-standard"/>
          <w:i/>
          <w:iCs/>
          <w:color w:val="000000"/>
          <w:sz w:val="27"/>
          <w:szCs w:val="27"/>
        </w:rPr>
        <w:t>The perspective of the child in social work: A study of child participation</w:t>
      </w:r>
      <w:r>
        <w:rPr>
          <w:rFonts w:ascii="-webkit-standard" w:eastAsia="Times New Roman" w:hAnsi="-webkit-standard"/>
          <w:color w:val="000000"/>
          <w:sz w:val="27"/>
          <w:szCs w:val="27"/>
        </w:rPr>
        <w:t xml:space="preserve">. Basingstoke: </w:t>
      </w:r>
      <w:proofErr w:type="spellStart"/>
      <w:r>
        <w:rPr>
          <w:rFonts w:ascii="-webkit-standard" w:eastAsia="Times New Roman" w:hAnsi="-webkit-standard"/>
          <w:color w:val="000000"/>
          <w:sz w:val="27"/>
          <w:szCs w:val="27"/>
        </w:rPr>
        <w:t>Palgrave</w:t>
      </w:r>
      <w:proofErr w:type="spellEnd"/>
      <w:r>
        <w:rPr>
          <w:rFonts w:ascii="-webkit-standard" w:eastAsia="Times New Roman" w:hAnsi="-webkit-standard"/>
          <w:color w:val="000000"/>
          <w:sz w:val="27"/>
          <w:szCs w:val="27"/>
        </w:rPr>
        <w:t xml:space="preserve"> Macmillan.</w:t>
      </w:r>
    </w:p>
    <w:sectPr w:rsidR="00C6081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-webkit-standard">
    <w:altName w:val="Cambria"/>
    <w:panose1 w:val="020B0604020202020204"/>
    <w:charset w:val="00"/>
    <w:family w:val="roman"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63405"/>
    <w:rsid w:val="00067CEC"/>
    <w:rsid w:val="001C691A"/>
    <w:rsid w:val="00247050"/>
    <w:rsid w:val="002D50FF"/>
    <w:rsid w:val="005F5DED"/>
    <w:rsid w:val="006D0D1F"/>
    <w:rsid w:val="00815089"/>
    <w:rsid w:val="00957208"/>
    <w:rsid w:val="00A1751E"/>
    <w:rsid w:val="00A85377"/>
    <w:rsid w:val="00C6081F"/>
    <w:rsid w:val="00D53531"/>
    <w:rsid w:val="00D63405"/>
    <w:rsid w:val="00DC511A"/>
    <w:rsid w:val="00E01EE7"/>
    <w:rsid w:val="00E91B28"/>
    <w:rsid w:val="00EE1A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CDD5835"/>
  <w15:chartTrackingRefBased/>
  <w15:docId w15:val="{0A61BD77-5878-EC4C-96B6-27BC139A40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6340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6340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63405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6340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63405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6340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6340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6340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6340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63405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6340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63405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63405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63405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6340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6340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6340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6340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6340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6340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6340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6340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6340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6340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6340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63405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63405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63405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63405"/>
    <w:rPr>
      <w:b/>
      <w:bCs/>
      <w:smallCaps/>
      <w:color w:val="2F5496" w:themeColor="accent1" w:themeShade="BF"/>
      <w:spacing w:val="5"/>
    </w:rPr>
  </w:style>
  <w:style w:type="paragraph" w:customStyle="1" w:styleId="p1">
    <w:name w:val="p1"/>
    <w:basedOn w:val="Normal"/>
    <w:rsid w:val="00D63405"/>
    <w:pPr>
      <w:spacing w:after="0" w:line="240" w:lineRule="auto"/>
    </w:pPr>
    <w:rPr>
      <w:rFonts w:ascii="Helvetica" w:hAnsi="Helvetica" w:cs="Times New Roman"/>
      <w:kern w:val="0"/>
      <w:sz w:val="18"/>
      <w:szCs w:val="18"/>
      <w14:ligatures w14:val="none"/>
    </w:rPr>
  </w:style>
  <w:style w:type="character" w:customStyle="1" w:styleId="s1">
    <w:name w:val="s1"/>
    <w:basedOn w:val="DefaultParagraphFont"/>
    <w:rsid w:val="00D63405"/>
    <w:rPr>
      <w:rFonts w:ascii="Helvetica" w:hAnsi="Helvetica" w:hint="default"/>
      <w:b w:val="0"/>
      <w:bCs w:val="0"/>
      <w:i w:val="0"/>
      <w:iCs w:val="0"/>
      <w:sz w:val="18"/>
      <w:szCs w:val="18"/>
    </w:rPr>
  </w:style>
  <w:style w:type="character" w:customStyle="1" w:styleId="apple-converted-space">
    <w:name w:val="apple-converted-space"/>
    <w:basedOn w:val="DefaultParagraphFont"/>
    <w:rsid w:val="00815089"/>
  </w:style>
  <w:style w:type="character" w:customStyle="1" w:styleId="s4">
    <w:name w:val="s4"/>
    <w:basedOn w:val="DefaultParagraphFont"/>
    <w:rsid w:val="00815089"/>
  </w:style>
  <w:style w:type="paragraph" w:customStyle="1" w:styleId="s5">
    <w:name w:val="s5"/>
    <w:basedOn w:val="Normal"/>
    <w:rsid w:val="00247050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212</Words>
  <Characters>1213</Characters>
  <Application>Microsoft Office Word</Application>
  <DocSecurity>0</DocSecurity>
  <Lines>10</Lines>
  <Paragraphs>2</Paragraphs>
  <ScaleCrop>false</ScaleCrop>
  <Company/>
  <LinksUpToDate>false</LinksUpToDate>
  <CharactersWithSpaces>1423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Renata Balogh (2407673)</dc:creator>
  <cp:keywords/>
  <dc:description/>
  <cp:lastModifiedBy>Renata Balogh (2407673)</cp:lastModifiedBy>
  <cp:revision>2</cp:revision>
  <dcterms:created xsi:type="dcterms:W3CDTF">2026-02-22T23:30:00Z</dcterms:created>
  <dcterms:modified xsi:type="dcterms:W3CDTF">2026-02-22T23:30:00Z</dcterms:modified>
</cp:coreProperties>
</file>