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BAB79" w14:textId="77777777" w:rsidR="00547F77" w:rsidRDefault="00547F77" w:rsidP="00AA601C">
      <w:pPr>
        <w:spacing w:line="360" w:lineRule="auto"/>
        <w:jc w:val="center"/>
        <w:rPr>
          <w:b/>
          <w:bCs/>
        </w:rPr>
      </w:pPr>
    </w:p>
    <w:p w14:paraId="3B5D47D1" w14:textId="77777777" w:rsidR="00547F77" w:rsidRDefault="00547F77" w:rsidP="00AA601C">
      <w:pPr>
        <w:spacing w:line="360" w:lineRule="auto"/>
        <w:jc w:val="center"/>
        <w:rPr>
          <w:b/>
          <w:bCs/>
        </w:rPr>
      </w:pPr>
    </w:p>
    <w:p w14:paraId="77B8F77B" w14:textId="77777777" w:rsidR="00547F77" w:rsidRDefault="00547F77" w:rsidP="00AA601C">
      <w:pPr>
        <w:spacing w:line="360" w:lineRule="auto"/>
        <w:jc w:val="center"/>
        <w:rPr>
          <w:b/>
          <w:bCs/>
        </w:rPr>
      </w:pPr>
    </w:p>
    <w:p w14:paraId="75E4CDD5" w14:textId="77777777" w:rsidR="00547F77" w:rsidRDefault="00547F77" w:rsidP="00AA601C">
      <w:pPr>
        <w:spacing w:line="360" w:lineRule="auto"/>
        <w:jc w:val="center"/>
        <w:rPr>
          <w:b/>
          <w:bCs/>
        </w:rPr>
      </w:pPr>
    </w:p>
    <w:p w14:paraId="1240B1E1" w14:textId="77777777" w:rsidR="00547F77" w:rsidRDefault="00547F77" w:rsidP="00AA601C">
      <w:pPr>
        <w:spacing w:line="360" w:lineRule="auto"/>
        <w:jc w:val="center"/>
        <w:rPr>
          <w:b/>
          <w:bCs/>
        </w:rPr>
      </w:pPr>
    </w:p>
    <w:p w14:paraId="343B7B42" w14:textId="77777777" w:rsidR="00547F77" w:rsidRPr="00547F77" w:rsidRDefault="00547F77" w:rsidP="00AA601C">
      <w:pPr>
        <w:spacing w:line="360" w:lineRule="auto"/>
        <w:jc w:val="center"/>
        <w:rPr>
          <w:b/>
          <w:bCs/>
        </w:rPr>
      </w:pPr>
      <w:r w:rsidRPr="00547F77">
        <w:rPr>
          <w:b/>
          <w:bCs/>
        </w:rPr>
        <w:t>I confirm that I have not presented any AI generated text as my own work</w:t>
      </w:r>
    </w:p>
    <w:p w14:paraId="68F469D1" w14:textId="77777777" w:rsidR="00547F77" w:rsidRPr="00547F77" w:rsidRDefault="00547F77" w:rsidP="00AA601C">
      <w:pPr>
        <w:spacing w:line="360" w:lineRule="auto"/>
        <w:jc w:val="center"/>
        <w:rPr>
          <w:b/>
          <w:bCs/>
        </w:rPr>
      </w:pPr>
      <w:r w:rsidRPr="00547F77">
        <w:rPr>
          <w:b/>
          <w:bCs/>
        </w:rPr>
        <w:br/>
        <w:t>I confirm I have copies of my drafts, notes, and other resources I used before, and after the use of AI tools which I may be asked to provide in evidence</w:t>
      </w:r>
    </w:p>
    <w:p w14:paraId="069678C9" w14:textId="77777777" w:rsidR="00547F77" w:rsidRDefault="00547F77" w:rsidP="00AA601C">
      <w:pPr>
        <w:spacing w:line="360" w:lineRule="auto"/>
        <w:jc w:val="center"/>
        <w:rPr>
          <w:b/>
          <w:bCs/>
        </w:rPr>
      </w:pPr>
    </w:p>
    <w:p w14:paraId="1D7CD3FF" w14:textId="77777777" w:rsidR="00547F77" w:rsidRDefault="00547F77" w:rsidP="00AA601C">
      <w:pPr>
        <w:spacing w:line="360" w:lineRule="auto"/>
        <w:jc w:val="center"/>
        <w:rPr>
          <w:b/>
          <w:bCs/>
        </w:rPr>
      </w:pPr>
    </w:p>
    <w:p w14:paraId="4784F22A" w14:textId="77777777" w:rsidR="00547F77" w:rsidRDefault="00547F77" w:rsidP="00AA601C">
      <w:pPr>
        <w:spacing w:line="360" w:lineRule="auto"/>
        <w:jc w:val="center"/>
        <w:rPr>
          <w:b/>
          <w:bCs/>
        </w:rPr>
      </w:pPr>
    </w:p>
    <w:p w14:paraId="2366F114" w14:textId="77777777" w:rsidR="00547F77" w:rsidRDefault="00547F77" w:rsidP="00AA601C">
      <w:pPr>
        <w:spacing w:line="360" w:lineRule="auto"/>
        <w:jc w:val="center"/>
        <w:rPr>
          <w:b/>
          <w:bCs/>
        </w:rPr>
      </w:pPr>
    </w:p>
    <w:p w14:paraId="5F56CA34" w14:textId="77777777" w:rsidR="00547F77" w:rsidRDefault="00547F77" w:rsidP="00AA601C">
      <w:pPr>
        <w:spacing w:line="360" w:lineRule="auto"/>
        <w:jc w:val="center"/>
        <w:rPr>
          <w:b/>
          <w:bCs/>
        </w:rPr>
      </w:pPr>
    </w:p>
    <w:p w14:paraId="26C85FCA" w14:textId="77777777" w:rsidR="00547F77" w:rsidRDefault="00547F77" w:rsidP="00AA601C">
      <w:pPr>
        <w:spacing w:line="360" w:lineRule="auto"/>
        <w:jc w:val="center"/>
        <w:rPr>
          <w:b/>
          <w:bCs/>
        </w:rPr>
      </w:pPr>
    </w:p>
    <w:p w14:paraId="1DF28E61" w14:textId="77777777" w:rsidR="00547F77" w:rsidRDefault="00547F77" w:rsidP="00AA601C">
      <w:pPr>
        <w:spacing w:line="360" w:lineRule="auto"/>
        <w:jc w:val="center"/>
        <w:rPr>
          <w:b/>
          <w:bCs/>
        </w:rPr>
      </w:pPr>
    </w:p>
    <w:p w14:paraId="0A2226CA" w14:textId="77777777" w:rsidR="00547F77" w:rsidRDefault="00547F77" w:rsidP="00AA601C">
      <w:pPr>
        <w:spacing w:line="360" w:lineRule="auto"/>
        <w:jc w:val="center"/>
        <w:rPr>
          <w:b/>
          <w:bCs/>
        </w:rPr>
      </w:pPr>
    </w:p>
    <w:p w14:paraId="610A257D" w14:textId="77777777" w:rsidR="00547F77" w:rsidRDefault="00547F77" w:rsidP="00AA601C">
      <w:pPr>
        <w:spacing w:line="360" w:lineRule="auto"/>
        <w:jc w:val="center"/>
        <w:rPr>
          <w:b/>
          <w:bCs/>
        </w:rPr>
      </w:pPr>
    </w:p>
    <w:p w14:paraId="6EAADA48" w14:textId="77777777" w:rsidR="00547F77" w:rsidRDefault="00547F77" w:rsidP="00AA601C">
      <w:pPr>
        <w:spacing w:line="360" w:lineRule="auto"/>
        <w:jc w:val="center"/>
        <w:rPr>
          <w:b/>
          <w:bCs/>
        </w:rPr>
      </w:pPr>
    </w:p>
    <w:p w14:paraId="269035A8" w14:textId="77777777" w:rsidR="00547F77" w:rsidRDefault="00547F77" w:rsidP="00AA601C">
      <w:pPr>
        <w:spacing w:line="360" w:lineRule="auto"/>
        <w:jc w:val="center"/>
        <w:rPr>
          <w:b/>
          <w:bCs/>
        </w:rPr>
      </w:pPr>
    </w:p>
    <w:p w14:paraId="61A55C93" w14:textId="77777777" w:rsidR="00547F77" w:rsidRDefault="00547F77" w:rsidP="00AA601C">
      <w:pPr>
        <w:spacing w:line="360" w:lineRule="auto"/>
        <w:jc w:val="center"/>
        <w:rPr>
          <w:b/>
          <w:bCs/>
        </w:rPr>
      </w:pPr>
    </w:p>
    <w:p w14:paraId="0D38B807" w14:textId="77777777" w:rsidR="00547F77" w:rsidRDefault="00547F77" w:rsidP="00AA601C">
      <w:pPr>
        <w:spacing w:line="360" w:lineRule="auto"/>
        <w:jc w:val="center"/>
        <w:rPr>
          <w:b/>
          <w:bCs/>
        </w:rPr>
      </w:pPr>
    </w:p>
    <w:p w14:paraId="03F25DB9" w14:textId="77777777" w:rsidR="00547F77" w:rsidRDefault="00547F77" w:rsidP="00AA601C">
      <w:pPr>
        <w:spacing w:line="360" w:lineRule="auto"/>
        <w:jc w:val="center"/>
        <w:rPr>
          <w:b/>
          <w:bCs/>
        </w:rPr>
      </w:pPr>
    </w:p>
    <w:p w14:paraId="650B9E26" w14:textId="77777777" w:rsidR="00547F77" w:rsidRDefault="00547F77" w:rsidP="00AA601C">
      <w:pPr>
        <w:spacing w:line="360" w:lineRule="auto"/>
        <w:jc w:val="center"/>
        <w:rPr>
          <w:b/>
          <w:bCs/>
        </w:rPr>
      </w:pPr>
    </w:p>
    <w:p w14:paraId="7EE4261E" w14:textId="77777777" w:rsidR="00547F77" w:rsidRDefault="00547F77" w:rsidP="00AA601C">
      <w:pPr>
        <w:spacing w:line="360" w:lineRule="auto"/>
        <w:jc w:val="center"/>
        <w:rPr>
          <w:b/>
          <w:bCs/>
        </w:rPr>
      </w:pPr>
    </w:p>
    <w:p w14:paraId="10667EC8" w14:textId="1FB60428" w:rsidR="00A52366" w:rsidRPr="00930D0C" w:rsidRDefault="0005639A" w:rsidP="00AA601C">
      <w:pPr>
        <w:spacing w:line="360" w:lineRule="auto"/>
        <w:jc w:val="center"/>
        <w:rPr>
          <w:b/>
          <w:bCs/>
        </w:rPr>
      </w:pPr>
      <w:r w:rsidRPr="00930D0C">
        <w:rPr>
          <w:b/>
          <w:bCs/>
        </w:rPr>
        <w:lastRenderedPageBreak/>
        <w:t>Critically analyse the implications for advocacy managers regarding the professionalisation of Independent Advocacy within a context of your choice.</w:t>
      </w:r>
    </w:p>
    <w:p w14:paraId="0B5CEF0A" w14:textId="77777777" w:rsidR="0005639A" w:rsidRDefault="0005639A" w:rsidP="00AA601C">
      <w:pPr>
        <w:spacing w:line="360" w:lineRule="auto"/>
      </w:pPr>
    </w:p>
    <w:p w14:paraId="63F6F4B0" w14:textId="7CF7F9F3" w:rsidR="0005639A" w:rsidRDefault="0005639A" w:rsidP="00AA601C">
      <w:pPr>
        <w:spacing w:line="360" w:lineRule="auto"/>
      </w:pPr>
      <w:r>
        <w:t xml:space="preserve">With the implementation of the Additional Learning Needs and Educational </w:t>
      </w:r>
      <w:r w:rsidR="00FF4784">
        <w:t>Tribunal (</w:t>
      </w:r>
      <w:r>
        <w:t xml:space="preserve">Wales) Act (2018) and the Additional Learning Needs Code for Wales (2021), </w:t>
      </w:r>
      <w:r w:rsidR="00FF4784">
        <w:t xml:space="preserve">independent advocacy is available to support families to ensure their </w:t>
      </w:r>
      <w:r w:rsidR="004F32FC">
        <w:t xml:space="preserve">voices are heard in relation to the child’s education and inclusion. In Wales, Snap Cymru offer this service to support parents, carers and children to ‘understand </w:t>
      </w:r>
      <w:r w:rsidR="004F32FC" w:rsidRPr="004F32FC">
        <w:t>their rights, participate confidently in decisions, and resolve issues early.</w:t>
      </w:r>
      <w:r w:rsidR="004F32FC">
        <w:t>’ (Snap Cymru, N.D.).</w:t>
      </w:r>
      <w:r w:rsidR="00D57210">
        <w:t xml:space="preserve"> This essay will look at any implications that professionalising services such as Snap Cymru </w:t>
      </w:r>
      <w:r w:rsidR="007C4A71">
        <w:t>c</w:t>
      </w:r>
      <w:r w:rsidR="00D57210">
        <w:t>ould have.</w:t>
      </w:r>
      <w:r w:rsidR="001233E8">
        <w:t xml:space="preserve"> </w:t>
      </w:r>
      <w:proofErr w:type="gramStart"/>
      <w:r w:rsidR="001233E8">
        <w:t>In regard to</w:t>
      </w:r>
      <w:proofErr w:type="gramEnd"/>
      <w:r w:rsidR="001233E8">
        <w:t xml:space="preserve"> the notion of professionalisation, in this context would be seen as </w:t>
      </w:r>
      <w:r w:rsidR="00324305">
        <w:t xml:space="preserve">statutory </w:t>
      </w:r>
      <w:r w:rsidR="001233E8">
        <w:t xml:space="preserve">regulation of advocacy services through the increasing regulatory frameworks, standards, accountability and governance, including further reporting of outcomes and statistics alongside </w:t>
      </w:r>
      <w:r w:rsidR="00324305">
        <w:t>registration and inspection.</w:t>
      </w:r>
    </w:p>
    <w:p w14:paraId="6BCCA05F" w14:textId="4D02E3B9" w:rsidR="0051421B" w:rsidRDefault="00D57210" w:rsidP="00AA601C">
      <w:pPr>
        <w:spacing w:line="360" w:lineRule="auto"/>
      </w:pPr>
      <w:r>
        <w:t>In Wales, there are some independent advocacy services that are already professionalised through the Social Services and Wellbeing (Wales) Act 201</w:t>
      </w:r>
      <w:r w:rsidR="00032105">
        <w:t>4 (The National Archives, 2014)</w:t>
      </w:r>
      <w:r>
        <w:t xml:space="preserve"> and the</w:t>
      </w:r>
      <w:r w:rsidRPr="00D57210">
        <w:t xml:space="preserve"> Regulated Advocacy Services (Service Providers and Responsible Individuals) (Wales) Regulations 2019</w:t>
      </w:r>
      <w:r w:rsidR="00032105">
        <w:t xml:space="preserve"> (The </w:t>
      </w:r>
      <w:r w:rsidR="00032105" w:rsidRPr="00032105">
        <w:t>National Archives 2019). </w:t>
      </w:r>
      <w:r w:rsidR="00544364">
        <w:t xml:space="preserve">Under chapter 10 of the </w:t>
      </w:r>
      <w:r w:rsidR="00544364" w:rsidRPr="00544364">
        <w:t>Social Services and Wellbeing (Wales) Act 2014</w:t>
      </w:r>
      <w:r w:rsidR="00544364">
        <w:t xml:space="preserve"> </w:t>
      </w:r>
      <w:r w:rsidR="00544364" w:rsidRPr="00544364">
        <w:t>(The National Archives, 2014)</w:t>
      </w:r>
      <w:r w:rsidR="00544364">
        <w:t xml:space="preserve">, local authorities may need to arrange for individuals to be referred for independent advocacy services when they require care and support. However, there are restrictions to this and under section 182 (d) of the Social Services and Wellbeing (Wales) Act 2014, independent advocacy services may not need to be provided for a child in relation to their education. Moreover, the act states that </w:t>
      </w:r>
      <w:r w:rsidR="00AA4AC4">
        <w:t xml:space="preserve">other legislation may be referred to, including the Education Act 1996 in which section 332BB states that while a local authority must provide independent advocacy services </w:t>
      </w:r>
      <w:r w:rsidR="0051421B">
        <w:t xml:space="preserve">for care and support, </w:t>
      </w:r>
      <w:r w:rsidR="00AA4AC4">
        <w:t>this is not automatic and the child needs to request this</w:t>
      </w:r>
      <w:r w:rsidR="007124ED">
        <w:t xml:space="preserve"> (The National Archives, 2026). </w:t>
      </w:r>
      <w:r w:rsidR="0051421B">
        <w:t xml:space="preserve">Section 69 of the </w:t>
      </w:r>
      <w:r w:rsidR="0051421B" w:rsidRPr="0051421B">
        <w:t>Additional Learning Needs and Education Tribunal (Wales) Act 2018</w:t>
      </w:r>
      <w:r w:rsidR="0051421B">
        <w:t xml:space="preserve"> states that the local authority must provide independent advocacy services only for children they are responsible for, in other words, looked after children (The National Archives, 2018).</w:t>
      </w:r>
    </w:p>
    <w:p w14:paraId="729655C1" w14:textId="79E88D98" w:rsidR="0051421B" w:rsidRDefault="007C4A71" w:rsidP="00AA601C">
      <w:pPr>
        <w:spacing w:line="360" w:lineRule="auto"/>
      </w:pPr>
      <w:r>
        <w:t>Further regulated advocacy services in Wales include all children over the age of 5 years old who enter the care of a local authority or are involved with child protection services. There are also statutory advocacy services under the Mental Health Act 1983 for those who are detained which are known as Independent Mental Health Advocates (IMHA) as well as Independent Mental Capacity Advocates (IMCA) under the Mental Capacity Act 2005. These</w:t>
      </w:r>
      <w:r w:rsidR="001B3688">
        <w:t xml:space="preserve"> independent </w:t>
      </w:r>
      <w:r w:rsidR="001B3688">
        <w:lastRenderedPageBreak/>
        <w:t>advocacy</w:t>
      </w:r>
      <w:r>
        <w:t xml:space="preserve"> services are regulated through Care Inspectorate Wales who </w:t>
      </w:r>
      <w:r w:rsidR="001B3688">
        <w:t xml:space="preserve">follow their inspection framework </w:t>
      </w:r>
      <w:r w:rsidR="001A5BDA">
        <w:t xml:space="preserve">which was designed with the  </w:t>
      </w:r>
      <w:r w:rsidR="001A5BDA" w:rsidRPr="001A5BDA">
        <w:t>Regulated Advocacy Services (Service Providers and Responsible Individuals) (Wales) Regulations 2019</w:t>
      </w:r>
      <w:r w:rsidR="001A5BDA">
        <w:t xml:space="preserve"> in mind </w:t>
      </w:r>
      <w:r w:rsidR="001B3688">
        <w:t xml:space="preserve">to ensure </w:t>
      </w:r>
      <w:r w:rsidR="001A5BDA">
        <w:t>services are in compliance with the themes they have set out in the framework which include Wellbeing, Care and Support, Leadership and Management and Environment</w:t>
      </w:r>
      <w:r w:rsidR="00BE294A" w:rsidRPr="00BE294A">
        <w:t xml:space="preserve"> </w:t>
      </w:r>
      <w:r w:rsidR="00BE294A">
        <w:t>(</w:t>
      </w:r>
      <w:r w:rsidR="00BE294A" w:rsidRPr="00BE294A">
        <w:t>Care Inspectorate Wales</w:t>
      </w:r>
      <w:r w:rsidR="00BE294A">
        <w:t xml:space="preserve">, </w:t>
      </w:r>
      <w:r w:rsidR="00BE294A" w:rsidRPr="00BE294A">
        <w:t>2019)</w:t>
      </w:r>
      <w:r w:rsidR="001A5BDA">
        <w:t>. With this is mind, it is a fair assumption that any professionalisation of non-regulated independent advocacy services would also be subject to Care Inspectorate Wales</w:t>
      </w:r>
      <w:r w:rsidR="00E629F8">
        <w:t xml:space="preserve"> registration and</w:t>
      </w:r>
      <w:r w:rsidR="001A5BDA">
        <w:t xml:space="preserve"> </w:t>
      </w:r>
      <w:r w:rsidR="00E629F8">
        <w:t xml:space="preserve">compliance. </w:t>
      </w:r>
    </w:p>
    <w:p w14:paraId="515B5BF6" w14:textId="2DFADF22" w:rsidR="000B0EF9" w:rsidRDefault="00BE294A" w:rsidP="00AA601C">
      <w:pPr>
        <w:spacing w:line="360" w:lineRule="auto"/>
      </w:pPr>
      <w:r>
        <w:t>While non-regulated independent advocacy services do not have to be registered with Care Inspectorate Wales or comply with their requirements, individual advocates</w:t>
      </w:r>
      <w:r w:rsidR="00BD195B">
        <w:t xml:space="preserve"> or an advocacy manager may need to register depending on individual circumstances. However, while they are unregulated, there is a code of practice for Advocacy designed to provide advocates and their managers with boundaries, support and clarity for their practice</w:t>
      </w:r>
      <w:r w:rsidR="00B7217F">
        <w:t xml:space="preserve"> (Advocacy QPM, 2014)</w:t>
      </w:r>
      <w:r w:rsidR="00BD195B">
        <w:t xml:space="preserve">. </w:t>
      </w:r>
      <w:r w:rsidR="000B0EF9">
        <w:t xml:space="preserve">Advocates and their managers must also act inside of legislation and be aware of their legislative duties  with regard to safeguarding, inclusion, data protection and equality, for example, as well as any legislation that may fall within their individual remit, for example the </w:t>
      </w:r>
      <w:r w:rsidR="000B0EF9" w:rsidRPr="000B0EF9">
        <w:t>Additional Learning Needs and Educational Tribunal (Wales) Act (2018) and the Additional Learning Needs Code for Wales (2021)</w:t>
      </w:r>
      <w:r w:rsidR="000B0EF9">
        <w:t xml:space="preserve"> for advocates who partner with families to support a child’s educational needs. Managers also need to ensure that advocates are adhering to the services funding requirements and expectations </w:t>
      </w:r>
      <w:r w:rsidR="000B0EF9" w:rsidRPr="000B0EF9">
        <w:t>(Advocacy QPM 2014).</w:t>
      </w:r>
    </w:p>
    <w:p w14:paraId="7D341CE3" w14:textId="10DB93D1" w:rsidR="00452DBA" w:rsidRDefault="00A769D1" w:rsidP="00AA601C">
      <w:pPr>
        <w:spacing w:line="360" w:lineRule="auto"/>
      </w:pPr>
      <w:proofErr w:type="gramStart"/>
      <w:r>
        <w:t>With regard to</w:t>
      </w:r>
      <w:proofErr w:type="gramEnd"/>
      <w:r>
        <w:t xml:space="preserve"> funding</w:t>
      </w:r>
      <w:r w:rsidR="007D20EA">
        <w:t xml:space="preserve"> pressures, professionalising additional learning needs </w:t>
      </w:r>
      <w:r w:rsidR="00F36A24">
        <w:t xml:space="preserve">(ALN) </w:t>
      </w:r>
      <w:r w:rsidR="007D20EA">
        <w:t xml:space="preserve">advocacy for children and their families could </w:t>
      </w:r>
      <w:r w:rsidR="0065468C">
        <w:t>prove</w:t>
      </w:r>
      <w:r w:rsidR="007D20EA">
        <w:t xml:space="preserve"> difficult with the shrinking budgets provided by Welsh Government. </w:t>
      </w:r>
      <w:r w:rsidR="0065468C">
        <w:t>While t</w:t>
      </w:r>
      <w:r w:rsidR="007D20EA">
        <w:t>hese services are traditionally funded through grant applications which</w:t>
      </w:r>
      <w:r w:rsidR="0065468C">
        <w:t xml:space="preserve"> usually</w:t>
      </w:r>
      <w:r w:rsidR="007D20EA">
        <w:t xml:space="preserve"> come with certain restrictions</w:t>
      </w:r>
      <w:r w:rsidR="0065468C">
        <w:t xml:space="preserve"> on the service.</w:t>
      </w:r>
      <w:r w:rsidR="0065468C" w:rsidRPr="0065468C">
        <w:t xml:space="preserve"> Different grants tend to have different restrictions, which could be in direct </w:t>
      </w:r>
      <w:r w:rsidR="0065468C">
        <w:t xml:space="preserve">contrast to restrictions on funding given by Welsh Government. Providing further funding from government or local authority could be a welcome reprieve for services, however, </w:t>
      </w:r>
      <w:r w:rsidR="00F36A24">
        <w:t xml:space="preserve">could they then be called an independent advocacy service as they would be advocating for children against local authorities who provide ALN services. </w:t>
      </w:r>
      <w:r w:rsidR="00151281">
        <w:t>The UK governments IMCA guidance states that an advocate can not have ‘</w:t>
      </w:r>
      <w:r w:rsidR="00151281" w:rsidRPr="00151281">
        <w:t>links to the responsible body instructing them</w:t>
      </w:r>
      <w:r w:rsidR="00151281">
        <w:t xml:space="preserve">’ which is usually a health or social care professional (Department of Health and Social Care, 2025). This statement is in direct contradiction of the independent advocacy service gaining funding from organisations that also instruct them. There can also be a risk of </w:t>
      </w:r>
      <w:r w:rsidR="00C102DF">
        <w:t xml:space="preserve">the advocacy service or individual advocates becoming institutionalised due to funding constraints and therefore being unable to appropriately challenge the institution that funds </w:t>
      </w:r>
      <w:r w:rsidR="00C102DF">
        <w:lastRenderedPageBreak/>
        <w:t>them.</w:t>
      </w:r>
      <w:r w:rsidR="001233E8" w:rsidRPr="001233E8">
        <w:t xml:space="preserve"> While professionalising advocacy could provide more financial stability from local authorities</w:t>
      </w:r>
      <w:r w:rsidR="001233E8">
        <w:t>,</w:t>
      </w:r>
      <w:r w:rsidR="00C102DF">
        <w:t xml:space="preserve"> </w:t>
      </w:r>
      <w:r w:rsidR="001233E8">
        <w:t>t</w:t>
      </w:r>
      <w:r w:rsidR="00BF2E40">
        <w:t>he Scottish Independent Advocacy Alliance (2025) states ‘</w:t>
      </w:r>
      <w:r w:rsidR="00BF2E40" w:rsidRPr="00BF2E40">
        <w:t>Structural and financial independence are fundamental to establishing and maintaining the independence of the organisation providing independent advocacy</w:t>
      </w:r>
      <w:r w:rsidR="00BF2E40">
        <w:t xml:space="preserve">’. </w:t>
      </w:r>
    </w:p>
    <w:p w14:paraId="4D543088" w14:textId="52C26702" w:rsidR="00151281" w:rsidRDefault="00CE086C" w:rsidP="00AA601C">
      <w:pPr>
        <w:spacing w:line="360" w:lineRule="auto"/>
      </w:pPr>
      <w:r>
        <w:t>For an advocacy manager, they need to be aware of the funding streams and their constraints ensuring that advocates work within these boundaries. They would also be responsible for applying for the grant funding which</w:t>
      </w:r>
      <w:r w:rsidR="00D11E16">
        <w:t xml:space="preserve"> as well as being a lengthy process</w:t>
      </w:r>
      <w:r>
        <w:t xml:space="preserve">, </w:t>
      </w:r>
      <w:r w:rsidR="00D11E16">
        <w:t xml:space="preserve">and </w:t>
      </w:r>
      <w:r>
        <w:t>as stated, is not guaranteed</w:t>
      </w:r>
      <w:r w:rsidR="00D11E16">
        <w:t xml:space="preserve">, </w:t>
      </w:r>
      <w:r>
        <w:t>therefore creating an uncertainty on the sustainability of the service.</w:t>
      </w:r>
      <w:r w:rsidR="004837DD">
        <w:t xml:space="preserve"> Managers need to be aware of the funding landscape to ensure they can move with the times and adapt to change where needed</w:t>
      </w:r>
      <w:r w:rsidR="00D11E16">
        <w:t xml:space="preserve"> continually learning and applying for funding to be able to strategically plan for their future as a service provider</w:t>
      </w:r>
      <w:r w:rsidR="004837DD">
        <w:t>. T</w:t>
      </w:r>
      <w:r w:rsidR="004837DD" w:rsidRPr="004837DD">
        <w:t>he National Council for Voluntary Organisations</w:t>
      </w:r>
      <w:r w:rsidR="004837DD">
        <w:t xml:space="preserve"> </w:t>
      </w:r>
      <w:r w:rsidR="00D11E16">
        <w:t xml:space="preserve">(NCVO) </w:t>
      </w:r>
      <w:r w:rsidR="004837DD">
        <w:t>(2025) found that funding for smaller charities or organisations is in decline with many of these struggling to access long term funding</w:t>
      </w:r>
      <w:r w:rsidR="00D11E16">
        <w:t xml:space="preserve"> and facing the pressure of changing their service to fit the expectations of the funding body. NCVO (2025) also highlight the impact that juggling of funding streams with long grant applications and business proposals can have on the mental health of the management. </w:t>
      </w:r>
    </w:p>
    <w:p w14:paraId="569C8F7A" w14:textId="4804E161" w:rsidR="00FB2B21" w:rsidRDefault="001233E8" w:rsidP="00AA601C">
      <w:pPr>
        <w:spacing w:line="360" w:lineRule="auto"/>
      </w:pPr>
      <w:r>
        <w:t>A further consideration for professionalising child and young people ALN advocacy</w:t>
      </w:r>
      <w:r w:rsidR="00324305">
        <w:t xml:space="preserve"> is the standardisation of services that may be required</w:t>
      </w:r>
      <w:r w:rsidR="00CC122B">
        <w:t xml:space="preserve"> as set out in the </w:t>
      </w:r>
      <w:r w:rsidR="00CC122B" w:rsidRPr="00CC122B">
        <w:t>National Standards and Outcomes Framework for Children and Young People’s Advocacy</w:t>
      </w:r>
      <w:r w:rsidR="006140CC">
        <w:t xml:space="preserve"> (Welsh Government, n.d.)</w:t>
      </w:r>
      <w:r w:rsidR="00324305">
        <w:t>.</w:t>
      </w:r>
      <w:r w:rsidR="00CC122B">
        <w:t xml:space="preserve"> </w:t>
      </w:r>
      <w:r w:rsidR="00324305">
        <w:t>Independent advocacy takes on the voice of the service user or advocate partner to ensure they are heard.</w:t>
      </w:r>
      <w:r w:rsidR="00C52F05">
        <w:t xml:space="preserve"> While standardisation of the service may bring</w:t>
      </w:r>
      <w:r w:rsidR="00CC122B">
        <w:t xml:space="preserve"> consistent</w:t>
      </w:r>
      <w:r w:rsidR="00C52F05">
        <w:t xml:space="preserve"> quality and accountability to the sector, it may</w:t>
      </w:r>
      <w:r w:rsidR="006140CC">
        <w:t xml:space="preserve"> also</w:t>
      </w:r>
      <w:r w:rsidR="00C52F05">
        <w:t xml:space="preserve"> be in direct contradiction to independent advocacy’s core values as per </w:t>
      </w:r>
      <w:r w:rsidR="00CC122B">
        <w:t xml:space="preserve">the </w:t>
      </w:r>
      <w:r w:rsidR="00C52F05">
        <w:t>code of practice</w:t>
      </w:r>
      <w:r w:rsidR="006140CC">
        <w:t xml:space="preserve"> (</w:t>
      </w:r>
      <w:r w:rsidR="006140CC" w:rsidRPr="006140CC">
        <w:t>Advocacy QPM</w:t>
      </w:r>
      <w:r w:rsidR="006140CC">
        <w:t xml:space="preserve">, </w:t>
      </w:r>
      <w:r w:rsidR="006140CC" w:rsidRPr="006140CC">
        <w:t xml:space="preserve">2014) </w:t>
      </w:r>
      <w:r w:rsidR="00C52F05">
        <w:t xml:space="preserve"> This could include but not be limited to the person centred approach which is in line with the United Nations Rights of the Child’s article 12 which states ‘</w:t>
      </w:r>
      <w:r w:rsidR="00C52F05" w:rsidRPr="00C52F05">
        <w:t>Every child has the right to express their views, feelings and wishes in all matters affecting them, and to have their views considered and taken seriously</w:t>
      </w:r>
      <w:r w:rsidR="00C52F05">
        <w:t>’ (</w:t>
      </w:r>
      <w:r w:rsidR="00C52F05" w:rsidRPr="00C52F05">
        <w:t>UNICEF</w:t>
      </w:r>
      <w:r w:rsidR="00C52F05">
        <w:t xml:space="preserve">, </w:t>
      </w:r>
      <w:r w:rsidR="00C52F05" w:rsidRPr="00C52F05">
        <w:t>n.d.). </w:t>
      </w:r>
      <w:r w:rsidR="00324305">
        <w:t xml:space="preserve">For children and young people with ALN, the advocate may need to be creative in the way they gather views and wants of the advocacy partner. </w:t>
      </w:r>
      <w:proofErr w:type="gramStart"/>
      <w:r w:rsidR="00980706">
        <w:t>With this in mind, the</w:t>
      </w:r>
      <w:proofErr w:type="gramEnd"/>
      <w:r w:rsidR="00980706">
        <w:t xml:space="preserve"> advoca</w:t>
      </w:r>
      <w:r w:rsidR="00164BDD">
        <w:t>cy</w:t>
      </w:r>
      <w:r w:rsidR="00980706">
        <w:t xml:space="preserve"> manager would need to ensure that the independent advocates are appropriately trained and </w:t>
      </w:r>
      <w:proofErr w:type="gramStart"/>
      <w:r w:rsidR="00980706">
        <w:t>have the ability to</w:t>
      </w:r>
      <w:proofErr w:type="gramEnd"/>
      <w:r w:rsidR="00980706">
        <w:t xml:space="preserve"> be flexible in their communication styles to ensure inclusivity so that the views of all children are </w:t>
      </w:r>
      <w:proofErr w:type="gramStart"/>
      <w:r w:rsidR="00980706">
        <w:t>taken into account</w:t>
      </w:r>
      <w:proofErr w:type="gramEnd"/>
      <w:r w:rsidR="00980706">
        <w:t xml:space="preserve"> and can be accurately portrayed.</w:t>
      </w:r>
      <w:r w:rsidR="00CC122B">
        <w:t xml:space="preserve"> These could be through play, communication boards, </w:t>
      </w:r>
      <w:r w:rsidR="009D560F">
        <w:t>creative art,</w:t>
      </w:r>
      <w:r w:rsidR="00CC122B">
        <w:t xml:space="preserve"> </w:t>
      </w:r>
      <w:r w:rsidR="00FB2B21">
        <w:t>etc</w:t>
      </w:r>
      <w:r w:rsidR="009D560F">
        <w:t>. (</w:t>
      </w:r>
      <w:r w:rsidR="009D560F" w:rsidRPr="009D560F">
        <w:t>Stafford, 2017)</w:t>
      </w:r>
    </w:p>
    <w:p w14:paraId="13FB7F28" w14:textId="526A34DC" w:rsidR="000B0EF9" w:rsidRDefault="00164BDD" w:rsidP="00AA601C">
      <w:pPr>
        <w:spacing w:line="360" w:lineRule="auto"/>
      </w:pPr>
      <w:r>
        <w:lastRenderedPageBreak/>
        <w:t>Being</w:t>
      </w:r>
      <w:r w:rsidR="00980706">
        <w:t xml:space="preserve"> too rigid in applying standards </w:t>
      </w:r>
      <w:r w:rsidR="006140CC">
        <w:t>and professionalising the sector through the</w:t>
      </w:r>
      <w:r w:rsidR="006140CC" w:rsidRPr="006140CC">
        <w:rPr>
          <w:rFonts w:ascii="Segoe UI" w:eastAsia="Times New Roman" w:hAnsi="Segoe UI" w:cs="Segoe UI"/>
          <w:b/>
          <w:bCs/>
          <w:kern w:val="0"/>
          <w:sz w:val="21"/>
          <w:szCs w:val="21"/>
          <w:lang w:eastAsia="en-GB"/>
          <w14:ligatures w14:val="none"/>
        </w:rPr>
        <w:t xml:space="preserve"> </w:t>
      </w:r>
      <w:r w:rsidR="006140CC" w:rsidRPr="006140CC">
        <w:t xml:space="preserve">Regulated Advocacy Services (Wales) Regulations </w:t>
      </w:r>
      <w:r w:rsidR="006140CC">
        <w:t>(</w:t>
      </w:r>
      <w:r w:rsidR="006140CC" w:rsidRPr="006140CC">
        <w:t>2019</w:t>
      </w:r>
      <w:r w:rsidR="006140CC">
        <w:t>)</w:t>
      </w:r>
      <w:r w:rsidR="006140CC" w:rsidRPr="006140CC">
        <w:t>,</w:t>
      </w:r>
      <w:r w:rsidR="006140CC">
        <w:t xml:space="preserve"> </w:t>
      </w:r>
      <w:r w:rsidR="00980706">
        <w:t xml:space="preserve">may negatively affect the advocates ability to be </w:t>
      </w:r>
      <w:r w:rsidR="00CC122B">
        <w:t xml:space="preserve">flexible in their approach, adapting to an </w:t>
      </w:r>
      <w:r w:rsidR="006140CC">
        <w:t>individual’s</w:t>
      </w:r>
      <w:r w:rsidR="00CC122B">
        <w:t xml:space="preserve"> needs </w:t>
      </w:r>
      <w:proofErr w:type="gramStart"/>
      <w:r w:rsidR="00CC122B">
        <w:t>in order to</w:t>
      </w:r>
      <w:proofErr w:type="gramEnd"/>
      <w:r w:rsidR="00CC122B">
        <w:t xml:space="preserve"> gain the voice of the child. </w:t>
      </w:r>
      <w:r w:rsidR="006140CC">
        <w:t xml:space="preserve">The impact on the advocacy manager is a careful balancing act of </w:t>
      </w:r>
      <w:r>
        <w:t xml:space="preserve">ensuring advocates </w:t>
      </w:r>
      <w:r w:rsidR="006140CC">
        <w:t>uphold</w:t>
      </w:r>
      <w:r>
        <w:t xml:space="preserve"> any </w:t>
      </w:r>
      <w:r w:rsidR="006140CC">
        <w:t xml:space="preserve">regulations while also being inclusive and gaining the voice of the child which is essential in the </w:t>
      </w:r>
      <w:r w:rsidR="00FB2B21" w:rsidRPr="00FB2B21">
        <w:t>Additional Learning Needs and Educational Tribunal (Wales) Act (2018) and the Additional Learning Needs Code for Wales (2021</w:t>
      </w:r>
      <w:r w:rsidR="00FB2B21">
        <w:t>) which state that the child should be involved in the creation of the individual development plan (IDP) as well as having a say in what affects them. Research conducted by</w:t>
      </w:r>
      <w:r>
        <w:t xml:space="preserve"> </w:t>
      </w:r>
      <w:r w:rsidR="00FB2B21" w:rsidRPr="00FB2B21">
        <w:t xml:space="preserve">Samarasinghe, Millar and </w:t>
      </w:r>
      <w:proofErr w:type="spellStart"/>
      <w:r w:rsidR="00FB2B21" w:rsidRPr="00FB2B21">
        <w:t>Exworthy</w:t>
      </w:r>
      <w:proofErr w:type="spellEnd"/>
      <w:r w:rsidR="00FB2B21" w:rsidRPr="00FB2B21">
        <w:t xml:space="preserve"> </w:t>
      </w:r>
      <w:r w:rsidR="00FB2B21">
        <w:t>(</w:t>
      </w:r>
      <w:r w:rsidR="00FB2B21" w:rsidRPr="00FB2B21">
        <w:t>2024)</w:t>
      </w:r>
      <w:r w:rsidR="00FB2B21">
        <w:t xml:space="preserve"> argues that ‘</w:t>
      </w:r>
      <w:r w:rsidR="00FB2B21" w:rsidRPr="00FB2B21">
        <w:t>The pressure to work within standardised clinical times, for example, can often be met by reports from patients that delivery ‘feel[s] rushed and stressful’.</w:t>
      </w:r>
      <w:r w:rsidR="00FB2B21">
        <w:t>’ While this report is based on clinical evidence, the premise stands that standardisation, while often efficient can result in a poorer quality of individual care. To put this into advocacy terms, the voice of the advocacy partner may not be accurately portrayed due to the lack of individualisation of services.</w:t>
      </w:r>
      <w:r w:rsidR="00757F24">
        <w:t xml:space="preserve"> </w:t>
      </w:r>
      <w:r w:rsidR="00757F24" w:rsidRPr="00757F24">
        <w:t xml:space="preserve">Symonds et al., </w:t>
      </w:r>
      <w:r w:rsidR="00757F24">
        <w:t>(</w:t>
      </w:r>
      <w:r w:rsidR="00757F24" w:rsidRPr="00757F24">
        <w:t>2019)</w:t>
      </w:r>
      <w:r w:rsidR="00757F24">
        <w:t xml:space="preserve"> go on to argue that a person-centred approach is often compromised </w:t>
      </w:r>
      <w:proofErr w:type="gramStart"/>
      <w:r w:rsidR="00757F24">
        <w:t>by the use of</w:t>
      </w:r>
      <w:proofErr w:type="gramEnd"/>
      <w:r w:rsidR="00757F24">
        <w:t xml:space="preserve"> processes for information gathering and not relationship building due to time constraints. </w:t>
      </w:r>
    </w:p>
    <w:p w14:paraId="4D52A345" w14:textId="209BF393" w:rsidR="00D11E16" w:rsidRDefault="009D560F" w:rsidP="00AA601C">
      <w:pPr>
        <w:spacing w:line="360" w:lineRule="auto"/>
      </w:pPr>
      <w:r>
        <w:t xml:space="preserve">Further to standardisation and professionalisation of independent advocacy for children and young people with ALN, is accountability and governance that comes with regulation. </w:t>
      </w:r>
      <w:r w:rsidR="00500122" w:rsidRPr="00500122">
        <w:t xml:space="preserve">Dewe, Otto and Schnurr (2006) </w:t>
      </w:r>
      <w:r w:rsidR="00500122">
        <w:t>a</w:t>
      </w:r>
      <w:r>
        <w:t xml:space="preserve">rgue that the </w:t>
      </w:r>
      <w:r w:rsidR="00500122">
        <w:t>standardisation</w:t>
      </w:r>
      <w:r>
        <w:t xml:space="preserve"> of social work </w:t>
      </w:r>
      <w:r w:rsidRPr="009D560F">
        <w:t xml:space="preserve">has </w:t>
      </w:r>
      <w:r w:rsidR="00500122">
        <w:t>‘</w:t>
      </w:r>
      <w:r w:rsidRPr="009D560F">
        <w:t xml:space="preserve">instilled economic parameters and cost/benefit-criteria into decision-making in social </w:t>
      </w:r>
      <w:r w:rsidR="00500122" w:rsidRPr="009D560F">
        <w:t>services</w:t>
      </w:r>
      <w:r w:rsidR="00500122">
        <w:t xml:space="preserve">.’ </w:t>
      </w:r>
      <w:proofErr w:type="gramStart"/>
      <w:r w:rsidR="00500122">
        <w:t>With this in mind quality</w:t>
      </w:r>
      <w:proofErr w:type="gramEnd"/>
      <w:r w:rsidR="00500122">
        <w:t xml:space="preserve"> assurance</w:t>
      </w:r>
      <w:r w:rsidR="0094576E">
        <w:t>, leadership,</w:t>
      </w:r>
      <w:r w:rsidR="00500122">
        <w:t xml:space="preserve"> advocate performance measurement</w:t>
      </w:r>
      <w:r w:rsidR="0094576E">
        <w:t xml:space="preserve"> and outcomes</w:t>
      </w:r>
      <w:r w:rsidR="00500122">
        <w:t xml:space="preserve"> </w:t>
      </w:r>
      <w:r w:rsidR="0094576E">
        <w:t>a</w:t>
      </w:r>
      <w:r w:rsidR="00500122">
        <w:t xml:space="preserve">ll factor in the regulations and as stated </w:t>
      </w:r>
      <w:r w:rsidR="0094576E">
        <w:t xml:space="preserve">in </w:t>
      </w:r>
      <w:r w:rsidR="00500122">
        <w:t xml:space="preserve">Care Inspectorate </w:t>
      </w:r>
      <w:r w:rsidR="0094576E">
        <w:t>Wales’s</w:t>
      </w:r>
      <w:r w:rsidR="0094576E" w:rsidRPr="0094576E">
        <w:t xml:space="preserve"> Code of Practice for Inspection of Regulated Services for adults and children</w:t>
      </w:r>
      <w:r w:rsidR="0094576E">
        <w:t xml:space="preserve"> </w:t>
      </w:r>
      <w:r w:rsidR="0094576E" w:rsidRPr="0094576E">
        <w:t>(2019)</w:t>
      </w:r>
      <w:r w:rsidR="00025631">
        <w:t>, with them</w:t>
      </w:r>
      <w:r w:rsidR="00500122">
        <w:t xml:space="preserve"> conducting inspections </w:t>
      </w:r>
      <w:r w:rsidR="00025631">
        <w:t xml:space="preserve">that </w:t>
      </w:r>
      <w:r w:rsidR="00500122">
        <w:t>require this information</w:t>
      </w:r>
      <w:r w:rsidR="00025631">
        <w:t xml:space="preserve"> to inform the</w:t>
      </w:r>
      <w:r w:rsidR="00164BDD">
        <w:t xml:space="preserve"> final</w:t>
      </w:r>
      <w:r w:rsidR="00025631">
        <w:t xml:space="preserve"> inspection reports</w:t>
      </w:r>
      <w:r w:rsidR="00500122">
        <w:t>. There then may be a danger, if not carefully managed, that advocates become rule or boundary based in their roles instead of free-thinking skilled practitioners. It could therefore be argued that standardisation may not necessarily result in professionalisation but rather create a diluted service where skillsets are lowered</w:t>
      </w:r>
      <w:r w:rsidR="00353BAC">
        <w:t xml:space="preserve"> (</w:t>
      </w:r>
      <w:r w:rsidR="00353BAC" w:rsidRPr="00353BAC">
        <w:t>Narendra</w:t>
      </w:r>
      <w:r w:rsidR="00353BAC">
        <w:t xml:space="preserve"> and</w:t>
      </w:r>
      <w:r w:rsidR="00353BAC" w:rsidRPr="00353BAC">
        <w:t xml:space="preserve"> </w:t>
      </w:r>
      <w:proofErr w:type="spellStart"/>
      <w:r w:rsidR="00353BAC" w:rsidRPr="00353BAC">
        <w:t>Daware</w:t>
      </w:r>
      <w:proofErr w:type="spellEnd"/>
      <w:r w:rsidR="00353BAC" w:rsidRPr="00353BAC">
        <w:t>,</w:t>
      </w:r>
      <w:r w:rsidR="00353BAC">
        <w:t xml:space="preserve"> </w:t>
      </w:r>
      <w:r w:rsidR="00353BAC" w:rsidRPr="00353BAC">
        <w:t>2025)</w:t>
      </w:r>
      <w:r w:rsidR="00500122">
        <w:t>.</w:t>
      </w:r>
      <w:r w:rsidR="0094576E" w:rsidRPr="0094576E">
        <w:rPr>
          <w:rFonts w:ascii="Roboto" w:hAnsi="Roboto"/>
          <w:color w:val="2C3E50"/>
          <w:sz w:val="23"/>
          <w:szCs w:val="23"/>
          <w:shd w:val="clear" w:color="auto" w:fill="FFFFFF"/>
        </w:rPr>
        <w:t xml:space="preserve"> </w:t>
      </w:r>
      <w:proofErr w:type="spellStart"/>
      <w:r w:rsidR="0094576E" w:rsidRPr="0094576E">
        <w:t>Tøssebro</w:t>
      </w:r>
      <w:proofErr w:type="spellEnd"/>
      <w:r w:rsidR="0094576E" w:rsidRPr="0094576E">
        <w:t xml:space="preserve">, Mjøen and </w:t>
      </w:r>
      <w:proofErr w:type="spellStart"/>
      <w:r w:rsidR="0094576E" w:rsidRPr="0094576E">
        <w:t>Bruteig</w:t>
      </w:r>
      <w:proofErr w:type="spellEnd"/>
      <w:r w:rsidR="0094576E" w:rsidRPr="0094576E">
        <w:t xml:space="preserve">, </w:t>
      </w:r>
      <w:r w:rsidR="008E32ED">
        <w:t>(</w:t>
      </w:r>
      <w:r w:rsidR="0094576E" w:rsidRPr="0094576E">
        <w:t>2022)</w:t>
      </w:r>
      <w:r w:rsidR="008E32ED">
        <w:t xml:space="preserve"> concur and go on to state that the reporting back to a regulator, </w:t>
      </w:r>
      <w:r w:rsidR="00164BDD">
        <w:t>can create</w:t>
      </w:r>
      <w:r w:rsidR="008E32ED">
        <w:t xml:space="preserve"> routine in service</w:t>
      </w:r>
      <w:r w:rsidR="00025631">
        <w:t xml:space="preserve"> rather than person-centred, individualised partnering with service users. </w:t>
      </w:r>
      <w:r w:rsidR="00025631" w:rsidRPr="00025631">
        <w:t>Haigh and Benefield</w:t>
      </w:r>
      <w:r w:rsidR="00025631">
        <w:t xml:space="preserve"> (</w:t>
      </w:r>
      <w:r w:rsidR="00025631" w:rsidRPr="00025631">
        <w:t>2023)</w:t>
      </w:r>
      <w:r w:rsidR="00025631">
        <w:t xml:space="preserve"> further suggest that relational practice should be prioritised over procedural practice </w:t>
      </w:r>
      <w:r w:rsidR="00353BAC">
        <w:t>with a reduction in performance review</w:t>
      </w:r>
      <w:r w:rsidR="00164BDD">
        <w:t>s of advocates and their managers</w:t>
      </w:r>
      <w:r w:rsidR="00353BAC">
        <w:t xml:space="preserve"> and an increase in supportive practices such as reflection and supervision.</w:t>
      </w:r>
      <w:r w:rsidR="00164BDD">
        <w:t xml:space="preserve"> This will also support the work-related mental </w:t>
      </w:r>
      <w:r w:rsidR="00164BDD">
        <w:lastRenderedPageBreak/>
        <w:t>health struggles that have already been discussed as well as ensure that advocates are able to manage their own feelings to reduce burnout.</w:t>
      </w:r>
    </w:p>
    <w:p w14:paraId="17A103C2" w14:textId="77777777" w:rsidR="00BB22DD" w:rsidRDefault="00353BAC" w:rsidP="00AA601C">
      <w:pPr>
        <w:spacing w:line="360" w:lineRule="auto"/>
      </w:pPr>
      <w:r>
        <w:t xml:space="preserve">For an advocacy manager, the balance between professionalisation or standardisation and person-centred care are often difficult to manage with the </w:t>
      </w:r>
      <w:r w:rsidR="0079618F">
        <w:t>ever-present</w:t>
      </w:r>
      <w:r>
        <w:t xml:space="preserve"> regulations</w:t>
      </w:r>
      <w:r w:rsidR="00F44946">
        <w:t xml:space="preserve"> from the R</w:t>
      </w:r>
      <w:r w:rsidR="00F44946" w:rsidRPr="00F44946">
        <w:t>egulated Advocacy Services (Wales) Regulations (2019),</w:t>
      </w:r>
      <w:r w:rsidR="00F44946">
        <w:t xml:space="preserve"> </w:t>
      </w:r>
      <w:r>
        <w:t>and expectations that come with</w:t>
      </w:r>
      <w:r w:rsidR="0079618F">
        <w:t xml:space="preserve"> the</w:t>
      </w:r>
      <w:r>
        <w:t xml:space="preserve"> standards </w:t>
      </w:r>
      <w:r w:rsidR="0079618F">
        <w:t>of</w:t>
      </w:r>
      <w:r>
        <w:t xml:space="preserve"> </w:t>
      </w:r>
      <w:r w:rsidR="0079618F">
        <w:t>Care Inspectorate Wales</w:t>
      </w:r>
      <w:r>
        <w:t>.</w:t>
      </w:r>
      <w:r w:rsidR="00F44946">
        <w:t xml:space="preserve"> While there are clear difficulties with professionalisation</w:t>
      </w:r>
      <w:r w:rsidR="00BE17D7">
        <w:t xml:space="preserve"> as discussed</w:t>
      </w:r>
      <w:r w:rsidR="00F44946">
        <w:t>, it</w:t>
      </w:r>
      <w:r w:rsidR="0079618F">
        <w:t xml:space="preserve"> can also bring consistency to service providers</w:t>
      </w:r>
      <w:r w:rsidR="00EA4119">
        <w:t xml:space="preserve"> across the provision</w:t>
      </w:r>
      <w:r w:rsidR="0079618F">
        <w:t xml:space="preserve"> as well as ensure ongoing quality through </w:t>
      </w:r>
      <w:r w:rsidR="00EA4119">
        <w:t>continuous</w:t>
      </w:r>
      <w:r w:rsidR="0079618F">
        <w:t xml:space="preserve"> learning</w:t>
      </w:r>
      <w:r w:rsidR="00BB22DD">
        <w:t xml:space="preserve"> and professional development</w:t>
      </w:r>
      <w:r w:rsidR="0079618F">
        <w:t>, for example, which can include formal advocacy qualifications</w:t>
      </w:r>
      <w:r w:rsidR="00BB22DD">
        <w:t xml:space="preserve"> (</w:t>
      </w:r>
      <w:r w:rsidR="00BB22DD" w:rsidRPr="00BB22DD">
        <w:t>Department for Education</w:t>
      </w:r>
      <w:r w:rsidR="00BB22DD">
        <w:t xml:space="preserve">, </w:t>
      </w:r>
      <w:r w:rsidR="00BB22DD" w:rsidRPr="00BB22DD">
        <w:t>2019).</w:t>
      </w:r>
      <w:r w:rsidR="00A62783">
        <w:t xml:space="preserve"> These qualifications can provide advocates with the skills needed to be competent and confident in their roles</w:t>
      </w:r>
      <w:r w:rsidR="004608B3">
        <w:t>, driving up standards and improving outcomes for advocate partners</w:t>
      </w:r>
      <w:r w:rsidR="00EA4119">
        <w:t xml:space="preserve"> (Nuffield Trust, 2022). </w:t>
      </w:r>
      <w:r w:rsidR="00BB22DD">
        <w:t>As well as helping advocates to keep up to date with legislation and regulation</w:t>
      </w:r>
      <w:r w:rsidR="00BB22DD" w:rsidRPr="00BB22DD">
        <w:t xml:space="preserve"> </w:t>
      </w:r>
      <w:r w:rsidR="00BB22DD">
        <w:t>(</w:t>
      </w:r>
      <w:r w:rsidR="00BB22DD" w:rsidRPr="00BB22DD">
        <w:t>Research in Practice</w:t>
      </w:r>
      <w:r w:rsidR="00BB22DD">
        <w:t xml:space="preserve">, </w:t>
      </w:r>
      <w:r w:rsidR="00BB22DD" w:rsidRPr="00BB22DD">
        <w:t>2025</w:t>
      </w:r>
      <w:r w:rsidR="00BB22DD">
        <w:t xml:space="preserve">), gaining these qualifications </w:t>
      </w:r>
      <w:r w:rsidR="00A62783">
        <w:t>can also provide a sense of confidence f</w:t>
      </w:r>
      <w:r w:rsidR="00EA4119">
        <w:t>or</w:t>
      </w:r>
      <w:r w:rsidR="00A62783">
        <w:t xml:space="preserve"> the advocate partners and other professionals who without these level 4 qualifications</w:t>
      </w:r>
      <w:r w:rsidR="00EA4119">
        <w:t xml:space="preserve"> in Wales</w:t>
      </w:r>
      <w:r w:rsidR="00A62783">
        <w:t xml:space="preserve">, as well as ongoing professional development, may not see the role of advocacy as a professional position, possibly resulting in a lack of respect for the advocate and the role that they perform. </w:t>
      </w:r>
    </w:p>
    <w:p w14:paraId="229B0CC4" w14:textId="7BD6D97B" w:rsidR="009D560F" w:rsidRDefault="00EA4119" w:rsidP="00AA601C">
      <w:pPr>
        <w:spacing w:line="360" w:lineRule="auto"/>
      </w:pPr>
      <w:r w:rsidRPr="00EA4119">
        <w:t>The Nuffield Trust</w:t>
      </w:r>
      <w:r>
        <w:t xml:space="preserve"> (</w:t>
      </w:r>
      <w:r w:rsidRPr="00EA4119">
        <w:t>2022)</w:t>
      </w:r>
      <w:r>
        <w:t xml:space="preserve">, </w:t>
      </w:r>
      <w:r w:rsidR="004608B3">
        <w:t>also state that professionalisation of services can create barriers to recruitment and retainment of staff, particularly those who may not want to be seen as being in a professional position. A further implication of staff training and professionalisation of advocacy services, is the inevitable increase in wages in correlation with the professional qualifications and complex safeguarding responsibilities. This needs to be carefully managed within the funding budgets to ensure staff are receiving fair compensation for their work but are not overstretched with their caseloads</w:t>
      </w:r>
      <w:r w:rsidR="009A55F6">
        <w:t xml:space="preserve"> particularly when research shows that budgets are already stretched across the voluntary and community sector with funding not necessarily matching real term expenditure (</w:t>
      </w:r>
      <w:r w:rsidR="009A55F6" w:rsidRPr="009A55F6">
        <w:t>Harris, Damm and Macmillan</w:t>
      </w:r>
      <w:r w:rsidR="009A55F6">
        <w:t xml:space="preserve">, </w:t>
      </w:r>
      <w:r w:rsidR="009A55F6" w:rsidRPr="009A55F6">
        <w:t>(2025</w:t>
      </w:r>
      <w:r w:rsidR="009A55F6">
        <w:t xml:space="preserve">) </w:t>
      </w:r>
      <w:r w:rsidR="004608B3">
        <w:t xml:space="preserve">This can inevitably lead to waiting lists for advocacy services </w:t>
      </w:r>
      <w:r w:rsidR="009A55F6">
        <w:t>whilst managers attempt to manage funding streams</w:t>
      </w:r>
      <w:r w:rsidR="00BE17D7">
        <w:t>.</w:t>
      </w:r>
      <w:r w:rsidR="009A55F6">
        <w:t xml:space="preserve"> </w:t>
      </w:r>
      <w:r w:rsidR="00BE17D7">
        <w:t xml:space="preserve">Age Cymru (2024) state that advocacy services in Wales have seen in increase in referrals particularly with increased complexities affecting the population at a time when funding and budgets are being cut by Welsh Government and subsequent local authorities. This, therefore, results in a less people being able to be supported and as stated waiting lists introduced. Many advocates are experiencing the same cost of living difficulties as everyone else, however as Age Cymru argue, are less likely to be fairly compensated with those who are of equal skillset and </w:t>
      </w:r>
      <w:r w:rsidR="00BE17D7">
        <w:lastRenderedPageBreak/>
        <w:t>qualification level. Due to this, they argue, recruitment and retention of staff is an ongoing struggle</w:t>
      </w:r>
      <w:r w:rsidR="00BB22DD">
        <w:t xml:space="preserve"> (Age Cymru, 2024).</w:t>
      </w:r>
    </w:p>
    <w:p w14:paraId="56A7A17D" w14:textId="68C82957" w:rsidR="006B32DA" w:rsidRDefault="00BB22DD" w:rsidP="00AA601C">
      <w:pPr>
        <w:spacing w:line="360" w:lineRule="auto"/>
      </w:pPr>
      <w:r>
        <w:t xml:space="preserve">Ethical considerations and safeguarding of practitioners and advocate partners is a large part of an advocacy managers role. Advocates for children and young people with ALN are often very vulnerable </w:t>
      </w:r>
      <w:r w:rsidR="005027DC">
        <w:t xml:space="preserve">and may be at risk of harm and/or exclusion from society. </w:t>
      </w:r>
      <w:proofErr w:type="gramStart"/>
      <w:r w:rsidR="005027DC">
        <w:t>With this in mind, robust</w:t>
      </w:r>
      <w:proofErr w:type="gramEnd"/>
      <w:r w:rsidR="005027DC">
        <w:t xml:space="preserve"> safeguarding procedures must be in place with advocates trained to the appropriate safeguarding level and following procedures as set out in the </w:t>
      </w:r>
      <w:r w:rsidR="005027DC" w:rsidRPr="005027DC">
        <w:t>Wales Safeguarding Procedures</w:t>
      </w:r>
      <w:r w:rsidR="005027DC">
        <w:t xml:space="preserve"> (2023). Ethical practice goes further and upholds confidentiality of the advocate partner (unless there is a safeguarding concern where proper procedures should be adhered to in the relevant timeframes), accurately providing the child with a</w:t>
      </w:r>
      <w:r w:rsidR="006059CC">
        <w:t>n independent</w:t>
      </w:r>
      <w:r w:rsidR="005027DC">
        <w:t xml:space="preserve"> voice in matters that affect them</w:t>
      </w:r>
      <w:r w:rsidR="006059CC">
        <w:t xml:space="preserve">, ensuring that the child is able to exercise their autonomy. Further ethical concerns could be where the child and the parent or professional’s opinions do not align. </w:t>
      </w:r>
      <w:r w:rsidR="005A4BBA">
        <w:t>I</w:t>
      </w:r>
      <w:r w:rsidR="006059CC">
        <w:t>t is the role of the advocate to put the child’s views across regardless of theirs or others personal views</w:t>
      </w:r>
      <w:r w:rsidR="005A4BBA">
        <w:t xml:space="preserve"> which can when faced with families or professionals who do not necessarily understand the role of the advocate in a challenging position</w:t>
      </w:r>
      <w:r w:rsidR="005A4BBA" w:rsidRPr="005A4BBA">
        <w:t xml:space="preserve"> </w:t>
      </w:r>
      <w:r w:rsidR="005A4BBA">
        <w:t>(</w:t>
      </w:r>
      <w:r w:rsidR="005A4BBA" w:rsidRPr="005A4BBA">
        <w:t>Care Research Wales</w:t>
      </w:r>
      <w:r w:rsidR="005A4BBA">
        <w:t xml:space="preserve">, </w:t>
      </w:r>
      <w:r w:rsidR="005A4BBA" w:rsidRPr="005A4BBA">
        <w:t>2025). </w:t>
      </w:r>
      <w:r w:rsidR="005A4BBA">
        <w:t>Part of t</w:t>
      </w:r>
      <w:r w:rsidR="006059CC">
        <w:t xml:space="preserve">he </w:t>
      </w:r>
      <w:proofErr w:type="spellStart"/>
      <w:r w:rsidR="006059CC">
        <w:t>advoca</w:t>
      </w:r>
      <w:r w:rsidR="005A4BBA">
        <w:t>acy</w:t>
      </w:r>
      <w:proofErr w:type="spellEnd"/>
      <w:r w:rsidR="006059CC">
        <w:t xml:space="preserve"> managers role is to support the advocate through any possible ethical dilemmas through reflective individual or peer supervisions. Professionalisation of advocacy services for children and young people with ALN will support the manager and advocates to uphold these important </w:t>
      </w:r>
      <w:r w:rsidR="005A4BBA">
        <w:t xml:space="preserve">reflective </w:t>
      </w:r>
      <w:r w:rsidR="006059CC">
        <w:t xml:space="preserve">sessions as they are set out in section 25 of </w:t>
      </w:r>
      <w:r w:rsidR="006059CC" w:rsidRPr="006059CC">
        <w:t>The Regulated Advocacy Services (Service Providers and Responsible Individuals) (Wales) Regulations 2019</w:t>
      </w:r>
      <w:r w:rsidR="006059CC">
        <w:t xml:space="preserve"> (</w:t>
      </w:r>
      <w:r w:rsidR="006059CC" w:rsidRPr="006059CC">
        <w:t>The National Archives</w:t>
      </w:r>
      <w:r w:rsidR="006059CC">
        <w:t xml:space="preserve">, </w:t>
      </w:r>
      <w:r w:rsidR="006059CC" w:rsidRPr="006059CC">
        <w:t>2019)</w:t>
      </w:r>
      <w:r w:rsidR="006059CC">
        <w:t xml:space="preserve">. </w:t>
      </w:r>
      <w:r w:rsidR="006F3B85">
        <w:t>Supervisions and appraisals with their advocacy manager allow for the advocate to maintain professional boundaries, process complex cases and adhere to ethical considerations. The manager can also ensure that the advocates wellbeing is also being looked after</w:t>
      </w:r>
      <w:r w:rsidR="005A4BBA">
        <w:t xml:space="preserve"> to prevent burnout, address any concerns</w:t>
      </w:r>
      <w:r w:rsidR="00A01C61">
        <w:t xml:space="preserve">, </w:t>
      </w:r>
      <w:r w:rsidR="005A4BBA">
        <w:t>maintain a high-quality service</w:t>
      </w:r>
      <w:r w:rsidR="00A01C61">
        <w:t xml:space="preserve"> and produce improved outcomes for service users</w:t>
      </w:r>
      <w:r w:rsidR="00A01C61" w:rsidRPr="00A01C61">
        <w:rPr>
          <w:rFonts w:ascii="Roboto" w:hAnsi="Roboto"/>
          <w:color w:val="2C3E50"/>
          <w:sz w:val="23"/>
          <w:szCs w:val="23"/>
          <w:shd w:val="clear" w:color="auto" w:fill="FFFFFF"/>
        </w:rPr>
        <w:t xml:space="preserve"> </w:t>
      </w:r>
      <w:r w:rsidR="00A01C61" w:rsidRPr="00A01C61">
        <w:t>(</w:t>
      </w:r>
      <w:proofErr w:type="spellStart"/>
      <w:r w:rsidR="00A01C61" w:rsidRPr="00A01C61">
        <w:t>Ravalier</w:t>
      </w:r>
      <w:proofErr w:type="spellEnd"/>
      <w:r w:rsidR="00A01C61" w:rsidRPr="00A01C61">
        <w:t xml:space="preserve"> et al., 2022)</w:t>
      </w:r>
      <w:r w:rsidR="005A4BBA">
        <w:t xml:space="preserve">. </w:t>
      </w:r>
      <w:proofErr w:type="spellStart"/>
      <w:r w:rsidR="00E70F89">
        <w:t>Baikady</w:t>
      </w:r>
      <w:proofErr w:type="spellEnd"/>
      <w:r w:rsidR="00E70F89">
        <w:t xml:space="preserve"> (2025) argues that ethical dilemmas occur throughout the care and support sector and that it can be difficult for practitioners to resolve as the guidance provided to resolve such issues can go against international agreements such as the U</w:t>
      </w:r>
      <w:r w:rsidR="00E70F89" w:rsidRPr="00E70F89">
        <w:t>nited Nations</w:t>
      </w:r>
      <w:r w:rsidR="00E70F89">
        <w:t xml:space="preserve"> Universal</w:t>
      </w:r>
      <w:r w:rsidR="00E70F89" w:rsidRPr="00E70F89">
        <w:t xml:space="preserve"> Declaration of Human Rights</w:t>
      </w:r>
      <w:r w:rsidR="00E70F89">
        <w:t xml:space="preserve"> (UDHR, 1948)</w:t>
      </w:r>
      <w:r w:rsidR="006B32DA">
        <w:t xml:space="preserve">. </w:t>
      </w:r>
    </w:p>
    <w:p w14:paraId="6FC7BAA5" w14:textId="1162C537" w:rsidR="006059CC" w:rsidRDefault="006B32DA" w:rsidP="00AA601C">
      <w:pPr>
        <w:spacing w:line="360" w:lineRule="auto"/>
      </w:pPr>
      <w:r>
        <w:t>Professionalisation of</w:t>
      </w:r>
      <w:r w:rsidR="00E22829">
        <w:t xml:space="preserve"> advocacy services would place the</w:t>
      </w:r>
      <w:r>
        <w:t xml:space="preserve"> role of the advocacy manager </w:t>
      </w:r>
      <w:r w:rsidR="00E22829">
        <w:t>as</w:t>
      </w:r>
      <w:r>
        <w:t xml:space="preserve"> balanc</w:t>
      </w:r>
      <w:r w:rsidR="00E22829">
        <w:t>ing</w:t>
      </w:r>
      <w:r>
        <w:t xml:space="preserve"> legal compliance and accountability while upholding safeguarding responsibilities and ensuring that the child still has a voice</w:t>
      </w:r>
      <w:r w:rsidR="00E22829">
        <w:t xml:space="preserve"> within the </w:t>
      </w:r>
      <w:r w:rsidR="00E22829" w:rsidRPr="00E22829">
        <w:t xml:space="preserve">Independent Professional Advocacy National Standards and Outcomes Framework for Children and Young People in Wales </w:t>
      </w:r>
      <w:r w:rsidR="00E22829">
        <w:t>(</w:t>
      </w:r>
      <w:r w:rsidR="00E22829" w:rsidRPr="00E22829">
        <w:t>Welsh Government</w:t>
      </w:r>
      <w:r w:rsidR="00E22829">
        <w:t xml:space="preserve">, </w:t>
      </w:r>
      <w:r w:rsidR="00E22829" w:rsidRPr="00E22829">
        <w:t>N.D)</w:t>
      </w:r>
      <w:r w:rsidR="00E22829">
        <w:t xml:space="preserve"> and the Advocacy Code of Practice (</w:t>
      </w:r>
      <w:r w:rsidR="00E22829" w:rsidRPr="00E22829">
        <w:t>Advocacy QPM</w:t>
      </w:r>
      <w:r w:rsidR="00E22829">
        <w:t xml:space="preserve">, </w:t>
      </w:r>
      <w:r w:rsidR="00E22829" w:rsidRPr="00E22829">
        <w:t>2014</w:t>
      </w:r>
      <w:r w:rsidR="00E22829">
        <w:t>).</w:t>
      </w:r>
      <w:r w:rsidR="00E22829" w:rsidRPr="00E22829">
        <w:t xml:space="preserve"> </w:t>
      </w:r>
      <w:r>
        <w:t>Careful navigation of statutory frameworks such as the S</w:t>
      </w:r>
      <w:r w:rsidRPr="006B32DA">
        <w:rPr>
          <w:i/>
          <w:iCs/>
        </w:rPr>
        <w:t xml:space="preserve">ocial Services and Well-being (Wales) Act </w:t>
      </w:r>
      <w:r w:rsidRPr="006B32DA">
        <w:rPr>
          <w:i/>
          <w:iCs/>
        </w:rPr>
        <w:lastRenderedPageBreak/>
        <w:t>2014</w:t>
      </w:r>
      <w:r>
        <w:t>,</w:t>
      </w:r>
      <w:r w:rsidRPr="006B32DA">
        <w:t xml:space="preserve"> the </w:t>
      </w:r>
      <w:r w:rsidRPr="006B32DA">
        <w:rPr>
          <w:i/>
          <w:iCs/>
        </w:rPr>
        <w:t>Regulated Advocacy Services (Wales) Regulations (2019)</w:t>
      </w:r>
      <w:r>
        <w:t xml:space="preserve"> and in the case of children with additional learning needs the</w:t>
      </w:r>
      <w:r w:rsidRPr="006B32DA">
        <w:rPr>
          <w:i/>
          <w:iCs/>
        </w:rPr>
        <w:t xml:space="preserve"> </w:t>
      </w:r>
      <w:r w:rsidRPr="006B32DA">
        <w:t>Additional Learning Needs and Education Tribunal (Wales) Act 2018</w:t>
      </w:r>
      <w:r>
        <w:t xml:space="preserve"> is needed to ensure that all responsibilities are being upheld and the child is protected from harm</w:t>
      </w:r>
      <w:r w:rsidRPr="006B32DA">
        <w:t xml:space="preserve"> </w:t>
      </w:r>
      <w:r>
        <w:t>(</w:t>
      </w:r>
      <w:r w:rsidRPr="006B32DA">
        <w:t>Wales Safeguarding Procedures</w:t>
      </w:r>
      <w:r>
        <w:t xml:space="preserve">, </w:t>
      </w:r>
      <w:r w:rsidRPr="006B32DA">
        <w:t>2023</w:t>
      </w:r>
      <w:r>
        <w:t xml:space="preserve">). </w:t>
      </w:r>
      <w:r w:rsidR="00E22829">
        <w:t xml:space="preserve">The role of the advocacy manager, therefore, lies in the interpretation of the legislation and frameworks while safeguarding children while protecting and encouraging their autonomy. A further implication would therefore be present whereby if advocacy managers are interpreting legislation and frameworks, does that constitute consistency across the service through </w:t>
      </w:r>
      <w:r w:rsidR="001A3E2F">
        <w:t>standardisation</w:t>
      </w:r>
      <w:r w:rsidR="00E22829">
        <w:t>?</w:t>
      </w:r>
      <w:r w:rsidR="001A3E2F">
        <w:t xml:space="preserve"> Law makers do not often provide rigid boundaries with the interpretation of the guidelines being at the discretion and professional judgment of the advocacy manager and advocates (Open Learn, n.d.). Lipsky (1980) coined the phrase street level bureaucracy where he argued that service providers function as policy makers by </w:t>
      </w:r>
      <w:r w:rsidR="00310571">
        <w:t>allowing professional discretion to manage</w:t>
      </w:r>
      <w:r w:rsidR="001A3E2F">
        <w:t xml:space="preserve"> </w:t>
      </w:r>
      <w:r w:rsidR="00310571">
        <w:t>real-life</w:t>
      </w:r>
      <w:r w:rsidR="001A3E2F">
        <w:t xml:space="preserve"> situations that they experience</w:t>
      </w:r>
      <w:r w:rsidR="00310571">
        <w:t xml:space="preserve"> </w:t>
      </w:r>
      <w:proofErr w:type="gramStart"/>
      <w:r w:rsidR="00310571">
        <w:t>in order for</w:t>
      </w:r>
      <w:proofErr w:type="gramEnd"/>
      <w:r w:rsidR="00310571">
        <w:t xml:space="preserve"> them to immediately mitigate some of the pressures of their day to day working lives. However, </w:t>
      </w:r>
      <w:r w:rsidR="00310571" w:rsidRPr="00310571">
        <w:t>Evans</w:t>
      </w:r>
      <w:r w:rsidR="00310571">
        <w:t xml:space="preserve"> (2020) argues that Lipsky’s theory is too broad and does not </w:t>
      </w:r>
      <w:proofErr w:type="gramStart"/>
      <w:r w:rsidR="00310571">
        <w:t>take into account</w:t>
      </w:r>
      <w:proofErr w:type="gramEnd"/>
      <w:r w:rsidR="00310571">
        <w:t xml:space="preserve"> ‘t</w:t>
      </w:r>
      <w:r w:rsidR="00310571" w:rsidRPr="00310571">
        <w:t>he varied extent of discretion in different settings, and the range of concerns and ethical commitments in different public services.</w:t>
      </w:r>
      <w:r w:rsidR="00310571">
        <w:t xml:space="preserve">’ (Evans, 2020). </w:t>
      </w:r>
      <w:proofErr w:type="gramStart"/>
      <w:r w:rsidR="00CA7971">
        <w:t>With this in mind, for</w:t>
      </w:r>
      <w:proofErr w:type="gramEnd"/>
      <w:r w:rsidR="00CA7971">
        <w:t xml:space="preserve"> an advocacy manager, it becomes a complex dilemma through standardisation of services seemingly providing consistency while professional discretion always creating variety in the service. Managers therefore need to ensure consistency within their organisation to ensure equity while also managing the needs of the advocacy partners</w:t>
      </w:r>
      <w:r w:rsidR="00CA7971" w:rsidRPr="00CA7971">
        <w:rPr>
          <w:rFonts w:ascii="Roboto" w:hAnsi="Roboto"/>
          <w:color w:val="2C3E50"/>
          <w:sz w:val="23"/>
          <w:szCs w:val="23"/>
          <w:shd w:val="clear" w:color="auto" w:fill="FFFFFF"/>
        </w:rPr>
        <w:t xml:space="preserve"> </w:t>
      </w:r>
      <w:r w:rsidR="00CA7971" w:rsidRPr="00CA7971">
        <w:t>(Evans and Harris, 2004)</w:t>
      </w:r>
      <w:r w:rsidR="00CA7971">
        <w:t>.</w:t>
      </w:r>
    </w:p>
    <w:p w14:paraId="50160859" w14:textId="7B6E5A79" w:rsidR="00CA7971" w:rsidRDefault="00CA7971" w:rsidP="00AA601C">
      <w:pPr>
        <w:spacing w:line="360" w:lineRule="auto"/>
      </w:pPr>
      <w:r>
        <w:t xml:space="preserve">Where an </w:t>
      </w:r>
      <w:r w:rsidR="00D8418B">
        <w:t>advocate’s</w:t>
      </w:r>
      <w:r>
        <w:t xml:space="preserve"> discretion is not well managed or guidance not sought, service delivery can become inconsistent. This can include</w:t>
      </w:r>
      <w:r w:rsidR="00D8418B">
        <w:t xml:space="preserve"> inconsistent</w:t>
      </w:r>
      <w:r>
        <w:t xml:space="preserve"> access to the service, the advocacy partners overall experience of </w:t>
      </w:r>
      <w:r w:rsidR="00D8418B">
        <w:t xml:space="preserve">the provision and the overall outcomes of the advocacy partners likely resulting in not meeting service level agreements with funding providers, further jeopardising funding options. Vulnerable service users are also more likely to receive in consistent care according to </w:t>
      </w:r>
      <w:r w:rsidR="00A01C61">
        <w:t>the</w:t>
      </w:r>
      <w:r w:rsidR="00A01C61" w:rsidRPr="00A01C61">
        <w:rPr>
          <w:rFonts w:ascii="Roboto" w:hAnsi="Roboto"/>
          <w:color w:val="2C3E50"/>
          <w:sz w:val="23"/>
          <w:szCs w:val="23"/>
          <w:shd w:val="clear" w:color="auto" w:fill="FFFFFF"/>
        </w:rPr>
        <w:t xml:space="preserve"> </w:t>
      </w:r>
      <w:r w:rsidR="00A01C61" w:rsidRPr="00A01C61">
        <w:t>Care Quality Commission</w:t>
      </w:r>
      <w:r w:rsidR="00A01C61">
        <w:t xml:space="preserve"> (</w:t>
      </w:r>
      <w:r w:rsidR="00A01C61" w:rsidRPr="00A01C61">
        <w:t>2022)</w:t>
      </w:r>
      <w:r w:rsidR="00A01C61">
        <w:t xml:space="preserve">. </w:t>
      </w:r>
      <w:r w:rsidR="00D8418B">
        <w:t xml:space="preserve">Standardisation within the individual organisation can support advocacy managers to effectively manage consistency of service delivery across the organisation. Should independent advocacy for children and young people with additional learning needs become professionalised and regulated, Care Inspectorate Wales are available for support around service and inspection expectations and requirements. </w:t>
      </w:r>
    </w:p>
    <w:p w14:paraId="58126168" w14:textId="7239E006" w:rsidR="003078B4" w:rsidRPr="003078B4" w:rsidRDefault="00A01C61" w:rsidP="00AA601C">
      <w:pPr>
        <w:spacing w:line="360" w:lineRule="auto"/>
        <w:rPr>
          <w:b/>
          <w:bCs/>
        </w:rPr>
      </w:pPr>
      <w:r>
        <w:t xml:space="preserve">Reporting to funding providers to ensure the service level agreements are adhered to as well as the core values of the organisation are being upheld are both key parts in the role of the advocacy manager. Further professionalisation and standardisation of the service will result in </w:t>
      </w:r>
      <w:r>
        <w:lastRenderedPageBreak/>
        <w:t xml:space="preserve">further reporting. This could include statistical analysis of the advocacy partners </w:t>
      </w:r>
      <w:r w:rsidR="003078B4">
        <w:t xml:space="preserve">in line with GDPR (General Data Protection Regulation (EU), </w:t>
      </w:r>
      <w:r w:rsidR="003078B4" w:rsidRPr="003078B4">
        <w:t>UK Government, 2018</w:t>
      </w:r>
      <w:r w:rsidR="003078B4">
        <w:t xml:space="preserve">). Reporting the outcomes following completion of the partnership provides information on the difference that the service has made within people’s lives. The </w:t>
      </w:r>
      <w:r w:rsidR="003078B4" w:rsidRPr="003078B4">
        <w:t>Social Services National Outcomes Framework: Annual Report 2024</w:t>
      </w:r>
      <w:r w:rsidR="003078B4">
        <w:t xml:space="preserve"> (Welsh Government, 2025) </w:t>
      </w:r>
      <w:r w:rsidR="00F43E55">
        <w:t>looks at the wellbeing of the population based on reported data from local authorities and various service providers. This report identifies both positive impacts of services on the lives and wellbeing of the population as well as areas of concern which in turn provides a basis for which services could be developed to meet the need of the population. Professionalisation of an advocacy service for children and young people with additional learning needs would feed into this report and highlight the number of families who are struggling to understand the</w:t>
      </w:r>
      <w:r w:rsidR="00F43E55" w:rsidRPr="00F43E55">
        <w:rPr>
          <w:i/>
          <w:iCs/>
        </w:rPr>
        <w:t xml:space="preserve"> </w:t>
      </w:r>
      <w:r w:rsidR="00F43E55" w:rsidRPr="00F43E55">
        <w:t>Additional Learning Needs and Education Tribunal (Wales) Act 2018</w:t>
      </w:r>
      <w:r w:rsidR="00F43E55">
        <w:t xml:space="preserve"> alongside the ALN processes and responsibilities of local authorities and educational establishments. As well as </w:t>
      </w:r>
      <w:r w:rsidR="000149B2">
        <w:t xml:space="preserve">highlighting when children are a part of the ALN process and their wishes and views are </w:t>
      </w:r>
      <w:proofErr w:type="gramStart"/>
      <w:r w:rsidR="000149B2">
        <w:t>taken into account</w:t>
      </w:r>
      <w:proofErr w:type="gramEnd"/>
      <w:r w:rsidR="000149B2">
        <w:t>.</w:t>
      </w:r>
    </w:p>
    <w:p w14:paraId="7216DBDF" w14:textId="0543B95B" w:rsidR="00A01C61" w:rsidRDefault="00F43E55" w:rsidP="00AA601C">
      <w:pPr>
        <w:spacing w:line="360" w:lineRule="auto"/>
      </w:pPr>
      <w:r>
        <w:t>In conclusion</w:t>
      </w:r>
      <w:r w:rsidR="000149B2">
        <w:t xml:space="preserve">, the professionalisation of an advocacy service for children and young people with ALN, has both positive and negative connotations where consistency and accountability can have a positive impact on service delivery, there are concerns around person-centred practice and independence of the service. However, as highlighted throughout, experienced managers who uphold the core values of advocacy, particularly around autonomy and the child’s voice, as well as understand the importance of regulation to safeguard both children and adults are crucial to the services being sustainable. Skilled advocacy managers who understand and thoughtfully </w:t>
      </w:r>
      <w:r w:rsidR="00547F77">
        <w:t>implement</w:t>
      </w:r>
      <w:r w:rsidR="000149B2">
        <w:t xml:space="preserve"> </w:t>
      </w:r>
      <w:r w:rsidR="00547F77">
        <w:t xml:space="preserve">essential guidelines to ensure service consistency and responsiveness to the children and young people with additional learning needs are crucial in providing advocacy services. </w:t>
      </w:r>
    </w:p>
    <w:p w14:paraId="23D5AAFC" w14:textId="77777777" w:rsidR="00AA601C" w:rsidRDefault="00AA601C" w:rsidP="00AA601C">
      <w:pPr>
        <w:spacing w:line="360" w:lineRule="auto"/>
        <w:jc w:val="center"/>
        <w:rPr>
          <w:b/>
          <w:bCs/>
        </w:rPr>
      </w:pPr>
    </w:p>
    <w:p w14:paraId="01976269" w14:textId="6176C0F7" w:rsidR="00AA601C" w:rsidRPr="00AA601C" w:rsidRDefault="00AA601C" w:rsidP="00AA601C">
      <w:pPr>
        <w:spacing w:line="360" w:lineRule="auto"/>
        <w:jc w:val="center"/>
        <w:rPr>
          <w:b/>
          <w:bCs/>
        </w:rPr>
      </w:pPr>
      <w:r w:rsidRPr="00AA601C">
        <w:rPr>
          <w:b/>
          <w:bCs/>
        </w:rPr>
        <w:t>Referencing</w:t>
      </w:r>
    </w:p>
    <w:p w14:paraId="27A6FD4C" w14:textId="77777777" w:rsidR="00AA601C" w:rsidRPr="00AA601C" w:rsidRDefault="00AA601C" w:rsidP="00AA601C">
      <w:pPr>
        <w:spacing w:line="360" w:lineRule="auto"/>
      </w:pPr>
      <w:r w:rsidRPr="00AA601C">
        <w:t xml:space="preserve">Advocacy QPM (2014) A CODE OF PRACTICE FOR ADVOCATES 1 A CODE OF PRACTICE FOR ADVOCATES 2. [online] Available at: </w:t>
      </w:r>
      <w:hyperlink r:id="rId7" w:history="1">
        <w:r w:rsidRPr="00AA601C">
          <w:rPr>
            <w:rStyle w:val="Hyperlink"/>
          </w:rPr>
          <w:t>https://qualityadvocacy.org.uk/wp-content/uploads/2018/05/Code-of-Practice-1.pdf</w:t>
        </w:r>
      </w:hyperlink>
      <w:r w:rsidRPr="00AA601C">
        <w:t xml:space="preserve">. </w:t>
      </w:r>
    </w:p>
    <w:p w14:paraId="4C500FB5" w14:textId="77777777" w:rsidR="00AA601C" w:rsidRPr="00AA601C" w:rsidRDefault="00AA601C" w:rsidP="00AA601C">
      <w:pPr>
        <w:spacing w:line="360" w:lineRule="auto"/>
      </w:pPr>
      <w:r w:rsidRPr="00AA601C">
        <w:t xml:space="preserve"> Age Cymru (2024) </w:t>
      </w:r>
      <w:r w:rsidRPr="00AA601C">
        <w:rPr>
          <w:i/>
          <w:iCs/>
        </w:rPr>
        <w:t>A review of advocacy services for adults in Wales with a particular focus on older people</w:t>
      </w:r>
      <w:r w:rsidRPr="00AA601C">
        <w:t xml:space="preserve"> Available at: </w:t>
      </w:r>
      <w:hyperlink r:id="rId8" w:history="1">
        <w:r w:rsidRPr="00AA601C">
          <w:rPr>
            <w:rStyle w:val="Hyperlink"/>
          </w:rPr>
          <w:t>https://www.agecymru.wales/siteassets/documents/gtap/advocacy-counts/age-cymru-advocacy-counts-9-english.pdf</w:t>
        </w:r>
      </w:hyperlink>
      <w:r w:rsidRPr="00AA601C">
        <w:t xml:space="preserve">. </w:t>
      </w:r>
    </w:p>
    <w:p w14:paraId="36777E34" w14:textId="77777777" w:rsidR="00AA601C" w:rsidRPr="00AA601C" w:rsidRDefault="00AA601C" w:rsidP="00AA601C">
      <w:pPr>
        <w:spacing w:line="360" w:lineRule="auto"/>
      </w:pPr>
      <w:proofErr w:type="spellStart"/>
      <w:r w:rsidRPr="00AA601C">
        <w:lastRenderedPageBreak/>
        <w:t>Baikady</w:t>
      </w:r>
      <w:proofErr w:type="spellEnd"/>
      <w:r w:rsidRPr="00AA601C">
        <w:t>, R., (2025). </w:t>
      </w:r>
      <w:r w:rsidRPr="00AA601C">
        <w:rPr>
          <w:i/>
          <w:iCs/>
        </w:rPr>
        <w:t>Social Work in an Unequal World</w:t>
      </w:r>
      <w:r w:rsidRPr="00AA601C">
        <w:t>. Oxford University Press.</w:t>
      </w:r>
    </w:p>
    <w:p w14:paraId="21315680" w14:textId="77777777" w:rsidR="00AA601C" w:rsidRPr="00AA601C" w:rsidRDefault="00AA601C" w:rsidP="00AA601C">
      <w:pPr>
        <w:spacing w:line="360" w:lineRule="auto"/>
      </w:pPr>
      <w:r w:rsidRPr="00AA601C">
        <w:t>Bhatia, A. and Swaminathan, J.M. (2025). EXPRESS: Measuring Consistency in Service Delivery: Examining the Effect of Process Standardization on Hospital Performance. </w:t>
      </w:r>
      <w:r w:rsidRPr="00AA601C">
        <w:rPr>
          <w:i/>
          <w:iCs/>
        </w:rPr>
        <w:t>Production and Operations Management</w:t>
      </w:r>
      <w:r w:rsidRPr="00AA601C">
        <w:t xml:space="preserve">. </w:t>
      </w:r>
      <w:proofErr w:type="spellStart"/>
      <w:proofErr w:type="gramStart"/>
      <w:r w:rsidRPr="00AA601C">
        <w:t>doi:https</w:t>
      </w:r>
      <w:proofErr w:type="spellEnd"/>
      <w:r w:rsidRPr="00AA601C">
        <w:t>://doi.org/10.1177/10591478251361985</w:t>
      </w:r>
      <w:proofErr w:type="gramEnd"/>
      <w:r w:rsidRPr="00AA601C">
        <w:t>.</w:t>
      </w:r>
    </w:p>
    <w:p w14:paraId="7CD03C85" w14:textId="77777777" w:rsidR="00AA601C" w:rsidRPr="00AA601C" w:rsidRDefault="00AA601C" w:rsidP="00AA601C">
      <w:pPr>
        <w:spacing w:line="360" w:lineRule="auto"/>
      </w:pPr>
      <w:r w:rsidRPr="00AA601C">
        <w:t xml:space="preserve">Care Inspectorate Wales (2019) </w:t>
      </w:r>
      <w:r w:rsidRPr="00AA601C">
        <w:rPr>
          <w:i/>
          <w:iCs/>
        </w:rPr>
        <w:t>Inspection framework for regulated advocacy services.</w:t>
      </w:r>
      <w:r w:rsidRPr="00AA601C">
        <w:t xml:space="preserve"> Available at: </w:t>
      </w:r>
      <w:hyperlink r:id="rId9" w:history="1">
        <w:r w:rsidRPr="00AA601C">
          <w:rPr>
            <w:rStyle w:val="Hyperlink"/>
          </w:rPr>
          <w:t>https://www.careinspectorate.wales/sites/default/files/2019-11/191128-inspection-framework-for-regulated-advocacy-services-en.pdf</w:t>
        </w:r>
      </w:hyperlink>
      <w:r w:rsidRPr="00AA601C">
        <w:t>.</w:t>
      </w:r>
    </w:p>
    <w:p w14:paraId="5BAEBA38" w14:textId="77777777" w:rsidR="00AA601C" w:rsidRPr="00AA601C" w:rsidRDefault="00AA601C" w:rsidP="00AA601C">
      <w:pPr>
        <w:spacing w:line="360" w:lineRule="auto"/>
      </w:pPr>
      <w:r w:rsidRPr="00AA601C">
        <w:t>Care Quality Commission (2022). </w:t>
      </w:r>
      <w:r w:rsidRPr="00AA601C">
        <w:rPr>
          <w:i/>
          <w:iCs/>
        </w:rPr>
        <w:t>Inequalities in care - Care Quality Commission</w:t>
      </w:r>
      <w:r w:rsidRPr="00AA601C">
        <w:t xml:space="preserve">. [online] www.cqc.org.uk. Available at: </w:t>
      </w:r>
      <w:hyperlink r:id="rId10" w:history="1">
        <w:r w:rsidRPr="00AA601C">
          <w:rPr>
            <w:rStyle w:val="Hyperlink"/>
          </w:rPr>
          <w:t>https://www.cqc.org.uk/publication/state-care-202122/inequalities</w:t>
        </w:r>
      </w:hyperlink>
      <w:r w:rsidRPr="00AA601C">
        <w:t>.</w:t>
      </w:r>
    </w:p>
    <w:p w14:paraId="592AD294" w14:textId="77777777" w:rsidR="00AA601C" w:rsidRPr="00AA601C" w:rsidRDefault="00AA601C" w:rsidP="00AA601C">
      <w:pPr>
        <w:spacing w:line="360" w:lineRule="auto"/>
      </w:pPr>
      <w:r w:rsidRPr="00AA601C">
        <w:t>Care Research Wales (2025). </w:t>
      </w:r>
      <w:r w:rsidRPr="00AA601C">
        <w:rPr>
          <w:i/>
          <w:iCs/>
        </w:rPr>
        <w:t xml:space="preserve">Balancing Autonomy and Risk in Social Care </w:t>
      </w:r>
      <w:proofErr w:type="gramStart"/>
      <w:r w:rsidRPr="00AA601C">
        <w:rPr>
          <w:i/>
          <w:iCs/>
        </w:rPr>
        <w:t>Practice  –</w:t>
      </w:r>
      <w:proofErr w:type="gramEnd"/>
      <w:r w:rsidRPr="00AA601C">
        <w:rPr>
          <w:i/>
          <w:iCs/>
        </w:rPr>
        <w:t xml:space="preserve"> Centre for Adult Social Care Research</w:t>
      </w:r>
      <w:r w:rsidRPr="00AA601C">
        <w:t xml:space="preserve">. [online] Available at: </w:t>
      </w:r>
      <w:hyperlink r:id="rId11" w:history="1">
        <w:r w:rsidRPr="00AA601C">
          <w:rPr>
            <w:rStyle w:val="Hyperlink"/>
          </w:rPr>
          <w:t>https://careresearchwales.org/balancing-autonomy-and-risk-in-social-care-practice/</w:t>
        </w:r>
      </w:hyperlink>
      <w:r w:rsidRPr="00AA601C">
        <w:t>.</w:t>
      </w:r>
    </w:p>
    <w:p w14:paraId="5ADD689B" w14:textId="77777777" w:rsidR="00AA601C" w:rsidRPr="00AA601C" w:rsidRDefault="00AA601C" w:rsidP="00AA601C">
      <w:pPr>
        <w:spacing w:line="360" w:lineRule="auto"/>
      </w:pPr>
      <w:r w:rsidRPr="00AA601C">
        <w:t>Department for Education (2019). </w:t>
      </w:r>
      <w:r w:rsidRPr="00AA601C">
        <w:rPr>
          <w:i/>
          <w:iCs/>
        </w:rPr>
        <w:t>Support for social workers</w:t>
      </w:r>
      <w:r w:rsidRPr="00AA601C">
        <w:t>. [online] Available at: https://support-for-social-workers.education.gov.uk/employer-standards/standard-6/benefits-of-achieving-continuing-professional-development-standard?preferenceSet=True.</w:t>
      </w:r>
    </w:p>
    <w:p w14:paraId="7B02F146" w14:textId="77777777" w:rsidR="00AA601C" w:rsidRPr="00AA601C" w:rsidRDefault="00AA601C" w:rsidP="00AA601C">
      <w:pPr>
        <w:spacing w:line="360" w:lineRule="auto"/>
      </w:pPr>
      <w:r w:rsidRPr="00AA601C">
        <w:t>Department of Health and Social Care (2025). </w:t>
      </w:r>
      <w:r w:rsidRPr="00AA601C">
        <w:rPr>
          <w:i/>
          <w:iCs/>
        </w:rPr>
        <w:t>Making decisions: the Independent Mental Capacity Advocate service (web version)</w:t>
      </w:r>
      <w:r w:rsidRPr="00AA601C">
        <w:t xml:space="preserve">. [online] GOV.UK. Available at: </w:t>
      </w:r>
      <w:hyperlink r:id="rId12" w:history="1">
        <w:r w:rsidRPr="00AA601C">
          <w:rPr>
            <w:rStyle w:val="Hyperlink"/>
          </w:rPr>
          <w:t>https://www.gov.uk/government/publications/independent-mental-capacity-advocates/making-decisions-the-independent-mental-capacity-advocate-service-web-version#how-an-imca-works</w:t>
        </w:r>
      </w:hyperlink>
      <w:r w:rsidRPr="00AA601C">
        <w:t>.</w:t>
      </w:r>
    </w:p>
    <w:p w14:paraId="3AEF0B02" w14:textId="77777777" w:rsidR="00AA601C" w:rsidRPr="00AA601C" w:rsidRDefault="00AA601C" w:rsidP="00AA601C">
      <w:pPr>
        <w:spacing w:line="360" w:lineRule="auto"/>
      </w:pPr>
      <w:r w:rsidRPr="00AA601C">
        <w:t xml:space="preserve">Dewe, B., Otto, H-U and Schnurr, S. (2006) </w:t>
      </w:r>
      <w:r w:rsidRPr="00AA601C">
        <w:rPr>
          <w:i/>
          <w:iCs/>
        </w:rPr>
        <w:t xml:space="preserve">New Professionalism in Social Work - A Social Work and Society Series. </w:t>
      </w:r>
      <w:r w:rsidRPr="00AA601C">
        <w:t>Social Work &amp; Society, Volume 4, Issue 1, 2006.</w:t>
      </w:r>
    </w:p>
    <w:p w14:paraId="7F8619E0" w14:textId="77777777" w:rsidR="00AA601C" w:rsidRPr="00AA601C" w:rsidRDefault="00AA601C" w:rsidP="00AA601C">
      <w:pPr>
        <w:spacing w:line="360" w:lineRule="auto"/>
      </w:pPr>
      <w:r w:rsidRPr="00AA601C">
        <w:t>Evans, T. (2020). Street-Level Bureaucrats: Discretion and Compliance in Policy Implementation. </w:t>
      </w:r>
      <w:r w:rsidRPr="00AA601C">
        <w:rPr>
          <w:i/>
          <w:iCs/>
        </w:rPr>
        <w:t xml:space="preserve">Oxford Research </w:t>
      </w:r>
      <w:proofErr w:type="spellStart"/>
      <w:r w:rsidRPr="00AA601C">
        <w:rPr>
          <w:i/>
          <w:iCs/>
        </w:rPr>
        <w:t>Encyclopedia</w:t>
      </w:r>
      <w:proofErr w:type="spellEnd"/>
      <w:r w:rsidRPr="00AA601C">
        <w:rPr>
          <w:i/>
          <w:iCs/>
        </w:rPr>
        <w:t xml:space="preserve"> of Politics</w:t>
      </w:r>
      <w:r w:rsidRPr="00AA601C">
        <w:t xml:space="preserve">. </w:t>
      </w:r>
      <w:proofErr w:type="spellStart"/>
      <w:proofErr w:type="gramStart"/>
      <w:r w:rsidRPr="00AA601C">
        <w:t>doi:https</w:t>
      </w:r>
      <w:proofErr w:type="spellEnd"/>
      <w:r w:rsidRPr="00AA601C">
        <w:t>://doi.org/10.1093/</w:t>
      </w:r>
      <w:proofErr w:type="spellStart"/>
      <w:r w:rsidRPr="00AA601C">
        <w:t>acrefore</w:t>
      </w:r>
      <w:proofErr w:type="spellEnd"/>
      <w:r w:rsidRPr="00AA601C">
        <w:t>/9780190228637.013.1422</w:t>
      </w:r>
      <w:proofErr w:type="gramEnd"/>
      <w:r w:rsidRPr="00AA601C">
        <w:t>.</w:t>
      </w:r>
    </w:p>
    <w:p w14:paraId="569B9185" w14:textId="77777777" w:rsidR="00AA601C" w:rsidRPr="00AA601C" w:rsidRDefault="00AA601C" w:rsidP="00AA601C">
      <w:pPr>
        <w:spacing w:line="360" w:lineRule="auto"/>
      </w:pPr>
      <w:r w:rsidRPr="00AA601C">
        <w:t xml:space="preserve">Evans, T. and Harris, J. (2004). </w:t>
      </w:r>
      <w:proofErr w:type="spellStart"/>
      <w:r w:rsidRPr="00AA601C">
        <w:t>StreetLevel</w:t>
      </w:r>
      <w:proofErr w:type="spellEnd"/>
      <w:r w:rsidRPr="00AA601C">
        <w:t xml:space="preserve"> Bureaucracy, Social Work and the (Exaggerated) Death of Discretion. </w:t>
      </w:r>
      <w:r w:rsidRPr="00AA601C">
        <w:rPr>
          <w:i/>
          <w:iCs/>
        </w:rPr>
        <w:t>The British Journal of Social Work</w:t>
      </w:r>
      <w:r w:rsidRPr="00AA601C">
        <w:t xml:space="preserve">, [online] 34(6), pp.871–895. </w:t>
      </w:r>
      <w:proofErr w:type="spellStart"/>
      <w:proofErr w:type="gramStart"/>
      <w:r w:rsidRPr="00AA601C">
        <w:t>doi:https</w:t>
      </w:r>
      <w:proofErr w:type="spellEnd"/>
      <w:r w:rsidRPr="00AA601C">
        <w:t>://doi.org/10.2307/23720514</w:t>
      </w:r>
      <w:proofErr w:type="gramEnd"/>
      <w:r w:rsidRPr="00AA601C">
        <w:t>.</w:t>
      </w:r>
    </w:p>
    <w:p w14:paraId="292A91EE" w14:textId="77777777" w:rsidR="00AA601C" w:rsidRPr="00AA601C" w:rsidRDefault="00AA601C" w:rsidP="00AA601C">
      <w:pPr>
        <w:spacing w:line="360" w:lineRule="auto"/>
      </w:pPr>
      <w:r w:rsidRPr="00AA601C">
        <w:t>Greenaway-Clarke, J. (2020). </w:t>
      </w:r>
      <w:r w:rsidRPr="00AA601C">
        <w:rPr>
          <w:i/>
          <w:iCs/>
        </w:rPr>
        <w:t>Advocacy and ‘Non-Instructed’ Advocacy with Disabled Children and Young People with Complex Communication Needs</w:t>
      </w:r>
      <w:r w:rsidRPr="00AA601C">
        <w:t xml:space="preserve">. [online] Available at: </w:t>
      </w:r>
      <w:r w:rsidRPr="00AA601C">
        <w:lastRenderedPageBreak/>
        <w:t>https://pure.port.ac.uk/ws/portalfiles/portal/25037792/Final_Thesis_JM_Greenaway_Clarke_.pdf [Accessed May 2026].</w:t>
      </w:r>
    </w:p>
    <w:p w14:paraId="612D1F8A" w14:textId="77777777" w:rsidR="00AA601C" w:rsidRPr="00AA601C" w:rsidRDefault="00AA601C" w:rsidP="00AA601C">
      <w:pPr>
        <w:spacing w:line="360" w:lineRule="auto"/>
      </w:pPr>
      <w:r w:rsidRPr="00AA601C">
        <w:t xml:space="preserve">Greenaway-Clarke, J. M. (2020) </w:t>
      </w:r>
      <w:r w:rsidRPr="00AA601C">
        <w:rPr>
          <w:i/>
          <w:iCs/>
        </w:rPr>
        <w:t>Advocacy and ‘non-instructed’ advocacy with disabled children and young people with complex communication needs.</w:t>
      </w:r>
      <w:r w:rsidRPr="00AA601C">
        <w:t xml:space="preserve"> Available from </w:t>
      </w:r>
      <w:hyperlink r:id="rId13" w:history="1">
        <w:r w:rsidRPr="00AA601C">
          <w:rPr>
            <w:rStyle w:val="Hyperlink"/>
          </w:rPr>
          <w:t>Advocacy and ‘non-instructed’ advocacy with disabled children and young people with complex communication needs - University of Portsmouth</w:t>
        </w:r>
      </w:hyperlink>
      <w:r w:rsidRPr="00AA601C">
        <w:t xml:space="preserve"> [Accessed May 2026]</w:t>
      </w:r>
    </w:p>
    <w:p w14:paraId="1B1FE74C" w14:textId="77777777" w:rsidR="00AA601C" w:rsidRPr="00AA601C" w:rsidRDefault="00AA601C" w:rsidP="00AA601C">
      <w:pPr>
        <w:spacing w:line="360" w:lineRule="auto"/>
      </w:pPr>
      <w:r w:rsidRPr="00AA601C">
        <w:t>Haigh, R. and Benefield, N. (2023). The Development of a Relational Practice Movement. </w:t>
      </w:r>
      <w:r w:rsidRPr="00AA601C">
        <w:rPr>
          <w:i/>
          <w:iCs/>
        </w:rPr>
        <w:t>Springer eBooks</w:t>
      </w:r>
      <w:r w:rsidRPr="00AA601C">
        <w:t xml:space="preserve">, pp.259–282. </w:t>
      </w:r>
      <w:proofErr w:type="spellStart"/>
      <w:proofErr w:type="gramStart"/>
      <w:r w:rsidRPr="00AA601C">
        <w:t>doi:https</w:t>
      </w:r>
      <w:proofErr w:type="spellEnd"/>
      <w:r w:rsidRPr="00AA601C">
        <w:t>://doi.org/10.1007/978-3-031-50047-3_14</w:t>
      </w:r>
      <w:proofErr w:type="gramEnd"/>
      <w:r w:rsidRPr="00AA601C">
        <w:t>.</w:t>
      </w:r>
    </w:p>
    <w:p w14:paraId="31F9133F" w14:textId="77777777" w:rsidR="00AA601C" w:rsidRPr="00AA601C" w:rsidRDefault="00AA601C" w:rsidP="00AA601C">
      <w:pPr>
        <w:spacing w:line="360" w:lineRule="auto"/>
      </w:pPr>
      <w:r w:rsidRPr="00AA601C">
        <w:t>Harris, C., Damm, C. and Macmillan, R. (2025). </w:t>
      </w:r>
      <w:r w:rsidRPr="00AA601C">
        <w:rPr>
          <w:i/>
          <w:iCs/>
        </w:rPr>
        <w:t>South Yorkshire VCSE: Understanding Value and Impact | Sheffield Hallam University</w:t>
      </w:r>
      <w:r w:rsidRPr="00AA601C">
        <w:t xml:space="preserve">. [online] Available at: </w:t>
      </w:r>
      <w:hyperlink r:id="rId14" w:history="1">
        <w:r w:rsidRPr="00AA601C">
          <w:rPr>
            <w:rStyle w:val="Hyperlink"/>
          </w:rPr>
          <w:t>https://www.shu.ac.uk/centre-regional-economic-social-research/publications/south-yorkshire-vcse</w:t>
        </w:r>
      </w:hyperlink>
      <w:r w:rsidRPr="00AA601C">
        <w:t>.</w:t>
      </w:r>
    </w:p>
    <w:p w14:paraId="3B641A0D" w14:textId="77777777" w:rsidR="00AA601C" w:rsidRPr="00AA601C" w:rsidRDefault="00AA601C" w:rsidP="00AA601C">
      <w:pPr>
        <w:spacing w:line="360" w:lineRule="auto"/>
      </w:pPr>
      <w:r w:rsidRPr="00AA601C">
        <w:t>Health and Care Learning Wales. (2021). </w:t>
      </w:r>
      <w:r w:rsidRPr="00AA601C">
        <w:rPr>
          <w:i/>
          <w:iCs/>
        </w:rPr>
        <w:t>Level 4 Independent Advocacy</w:t>
      </w:r>
      <w:r w:rsidRPr="00AA601C">
        <w:t xml:space="preserve">. [online] Available at: </w:t>
      </w:r>
      <w:hyperlink r:id="rId15" w:history="1">
        <w:r w:rsidRPr="00AA601C">
          <w:rPr>
            <w:rStyle w:val="Hyperlink"/>
          </w:rPr>
          <w:t>https://www.healt</w:t>
        </w:r>
        <w:r w:rsidRPr="00AA601C">
          <w:rPr>
            <w:rStyle w:val="Hyperlink"/>
          </w:rPr>
          <w:t>handcarelearning.wales/qualifications/level-4-independent-advocacy/?tab=1</w:t>
        </w:r>
      </w:hyperlink>
      <w:r w:rsidRPr="00AA601C">
        <w:t xml:space="preserve"> [Accessed May 2026].</w:t>
      </w:r>
    </w:p>
    <w:p w14:paraId="0A48271D" w14:textId="77777777" w:rsidR="00AA601C" w:rsidRPr="00AA601C" w:rsidRDefault="00AA601C" w:rsidP="00AA601C">
      <w:pPr>
        <w:spacing w:line="360" w:lineRule="auto"/>
      </w:pPr>
      <w:r w:rsidRPr="00AA601C">
        <w:t>Health and Social Care Alliance Scotland. (2025). </w:t>
      </w:r>
      <w:r w:rsidRPr="00AA601C">
        <w:rPr>
          <w:i/>
          <w:iCs/>
        </w:rPr>
        <w:t>Protecting human rights-based independent advocacy models amid funding threats - Health and Social Care Alliance Scotland</w:t>
      </w:r>
      <w:r w:rsidRPr="00AA601C">
        <w:t xml:space="preserve">. [online] Available at: </w:t>
      </w:r>
      <w:hyperlink r:id="rId16" w:history="1">
        <w:r w:rsidRPr="00AA601C">
          <w:rPr>
            <w:rStyle w:val="Hyperlink"/>
          </w:rPr>
          <w:t>https://www.alliance-scotland.org.uk/blog/news/protecting-human-rights-based-independent-advocacy-models-amid-funding-threats/</w:t>
        </w:r>
      </w:hyperlink>
      <w:r w:rsidRPr="00AA601C">
        <w:t>.</w:t>
      </w:r>
    </w:p>
    <w:p w14:paraId="0D113477" w14:textId="77777777" w:rsidR="00AA601C" w:rsidRPr="00AA601C" w:rsidRDefault="00AA601C" w:rsidP="00AA601C">
      <w:pPr>
        <w:spacing w:line="360" w:lineRule="auto"/>
      </w:pPr>
      <w:r w:rsidRPr="00AA601C">
        <w:t>MHA. (2025). </w:t>
      </w:r>
      <w:r w:rsidRPr="00AA601C">
        <w:rPr>
          <w:i/>
          <w:iCs/>
        </w:rPr>
        <w:t>Small charities facing ‘broken’ funding systems, NCVO report warns</w:t>
      </w:r>
      <w:r w:rsidRPr="00AA601C">
        <w:t xml:space="preserve">. [online] Available at: </w:t>
      </w:r>
      <w:hyperlink r:id="rId17" w:history="1">
        <w:r w:rsidRPr="00AA601C">
          <w:rPr>
            <w:rStyle w:val="Hyperlink"/>
          </w:rPr>
          <w:t>https://www.mha.co.uk/insights/small-charities-facing-broken-funding-systems-ncvo-report-warns</w:t>
        </w:r>
      </w:hyperlink>
      <w:r w:rsidRPr="00AA601C">
        <w:t>.</w:t>
      </w:r>
    </w:p>
    <w:p w14:paraId="68168428" w14:textId="77777777" w:rsidR="00AA601C" w:rsidRPr="00AA601C" w:rsidRDefault="00AA601C" w:rsidP="00AA601C">
      <w:pPr>
        <w:spacing w:line="360" w:lineRule="auto"/>
      </w:pPr>
      <w:r w:rsidRPr="00AA601C">
        <w:t xml:space="preserve">Narendra, N., </w:t>
      </w:r>
      <w:proofErr w:type="spellStart"/>
      <w:r w:rsidRPr="00AA601C">
        <w:t>Daware</w:t>
      </w:r>
      <w:proofErr w:type="spellEnd"/>
      <w:r w:rsidRPr="00AA601C">
        <w:t>, A. (2025). </w:t>
      </w:r>
      <w:r w:rsidRPr="00AA601C">
        <w:rPr>
          <w:i/>
          <w:iCs/>
        </w:rPr>
        <w:t>THE DE-SKILLING DILEMMA: A CRITICAL ANALYSIS OF AI’S IMPACT ON HUMAN POTENTIAL</w:t>
      </w:r>
      <w:r w:rsidRPr="00AA601C">
        <w:t>. [online] Available at: https://www.viirj.org/specialissues/2025/SP2504/24.pdf [Accessed May 2026].</w:t>
      </w:r>
    </w:p>
    <w:p w14:paraId="42D8E4F2" w14:textId="77777777" w:rsidR="00AA601C" w:rsidRPr="00AA601C" w:rsidRDefault="00AA601C" w:rsidP="00AA601C">
      <w:pPr>
        <w:spacing w:line="360" w:lineRule="auto"/>
      </w:pPr>
      <w:r w:rsidRPr="00AA601C">
        <w:t>NCVO. (2022). </w:t>
      </w:r>
      <w:r w:rsidRPr="00AA601C">
        <w:rPr>
          <w:i/>
          <w:iCs/>
        </w:rPr>
        <w:t>The Power of Small: championing small organisations across the sector</w:t>
      </w:r>
      <w:r w:rsidRPr="00AA601C">
        <w:t xml:space="preserve">. [online] Available at: </w:t>
      </w:r>
      <w:hyperlink r:id="rId18" w:history="1">
        <w:r w:rsidRPr="00AA601C">
          <w:rPr>
            <w:rStyle w:val="Hyperlink"/>
          </w:rPr>
          <w:t>https://www.ncvo.org.uk/news-and-insights/news-index/the-power-of-small-championing-small-organisations-across-the-sector/</w:t>
        </w:r>
      </w:hyperlink>
      <w:r w:rsidRPr="00AA601C">
        <w:t>.</w:t>
      </w:r>
    </w:p>
    <w:p w14:paraId="15D3FFC4" w14:textId="77777777" w:rsidR="00AA601C" w:rsidRPr="00AA601C" w:rsidRDefault="00AA601C" w:rsidP="00AA601C">
      <w:pPr>
        <w:spacing w:line="360" w:lineRule="auto"/>
      </w:pPr>
      <w:r w:rsidRPr="00AA601C">
        <w:t>Open Learn (n.d.). </w:t>
      </w:r>
      <w:r w:rsidRPr="00AA601C">
        <w:rPr>
          <w:i/>
          <w:iCs/>
        </w:rPr>
        <w:t>Social work law and UK regulation</w:t>
      </w:r>
      <w:r w:rsidRPr="00AA601C">
        <w:t>. [online] Available at: https://www.open.edu/openlearn/society-politics-law/social-work-law-and-uk-regulation/content-section-4.4.</w:t>
      </w:r>
    </w:p>
    <w:p w14:paraId="0107D29B" w14:textId="77777777" w:rsidR="00AA601C" w:rsidRPr="00AA601C" w:rsidRDefault="00AA601C" w:rsidP="00AA601C">
      <w:pPr>
        <w:spacing w:line="360" w:lineRule="auto"/>
      </w:pPr>
      <w:r w:rsidRPr="00AA601C">
        <w:lastRenderedPageBreak/>
        <w:t xml:space="preserve">Ravalier, J.M., Wegrzynek, P., Mitchell, A., McGowan, J., </w:t>
      </w:r>
      <w:proofErr w:type="spellStart"/>
      <w:r w:rsidRPr="00AA601C">
        <w:t>Mcfadden</w:t>
      </w:r>
      <w:proofErr w:type="spellEnd"/>
      <w:r w:rsidRPr="00AA601C">
        <w:t>, P. and Bald, C. (2022). A Rapid Review of Reflective Supervision in Social Work. </w:t>
      </w:r>
      <w:r w:rsidRPr="00AA601C">
        <w:rPr>
          <w:i/>
          <w:iCs/>
        </w:rPr>
        <w:t>The British Journal of Social Work</w:t>
      </w:r>
      <w:r w:rsidRPr="00AA601C">
        <w:t xml:space="preserve">, [online] 53(4), pp.1945–1962. </w:t>
      </w:r>
      <w:proofErr w:type="spellStart"/>
      <w:proofErr w:type="gramStart"/>
      <w:r w:rsidRPr="00AA601C">
        <w:t>doi:https</w:t>
      </w:r>
      <w:proofErr w:type="spellEnd"/>
      <w:r w:rsidRPr="00AA601C">
        <w:t>://doi.org/10.1093/</w:t>
      </w:r>
      <w:proofErr w:type="spellStart"/>
      <w:r w:rsidRPr="00AA601C">
        <w:t>bjsw</w:t>
      </w:r>
      <w:proofErr w:type="spellEnd"/>
      <w:r w:rsidRPr="00AA601C">
        <w:t>/bcac223</w:t>
      </w:r>
      <w:proofErr w:type="gramEnd"/>
      <w:r w:rsidRPr="00AA601C">
        <w:t>.</w:t>
      </w:r>
    </w:p>
    <w:p w14:paraId="242733F7" w14:textId="77777777" w:rsidR="00AA601C" w:rsidRPr="00AA601C" w:rsidRDefault="00AA601C" w:rsidP="00AA601C">
      <w:pPr>
        <w:spacing w:line="360" w:lineRule="auto"/>
      </w:pPr>
      <w:r w:rsidRPr="00AA601C">
        <w:t xml:space="preserve">Research in Practice (2025) A guide to continuing professional development (CPD) for social workers. National Childrens Bureau, London </w:t>
      </w:r>
    </w:p>
    <w:p w14:paraId="0F01524B" w14:textId="77777777" w:rsidR="00AA601C" w:rsidRPr="00AA601C" w:rsidRDefault="00AA601C" w:rsidP="00AA601C">
      <w:pPr>
        <w:spacing w:line="360" w:lineRule="auto"/>
      </w:pPr>
      <w:r w:rsidRPr="00AA601C">
        <w:t>Sabah, S.</w:t>
      </w:r>
      <w:r w:rsidRPr="00AA601C">
        <w:rPr>
          <w:i/>
          <w:iCs/>
        </w:rPr>
        <w:t xml:space="preserve"> </w:t>
      </w:r>
      <w:r w:rsidRPr="00AA601C">
        <w:t>(2022). </w:t>
      </w:r>
      <w:r w:rsidRPr="00AA601C">
        <w:rPr>
          <w:i/>
          <w:iCs/>
        </w:rPr>
        <w:t>A Relational Approach to Outcomes Measurement in Social Services – Relational Social Work</w:t>
      </w:r>
      <w:r w:rsidRPr="00AA601C">
        <w:t xml:space="preserve">. [online] Available at: </w:t>
      </w:r>
      <w:hyperlink r:id="rId19" w:history="1">
        <w:r w:rsidRPr="00AA601C">
          <w:rPr>
            <w:rStyle w:val="Hyperlink"/>
          </w:rPr>
          <w:t>https://rsw.erickson.international/archivio/vol-n-5/a-relational-approach-to-outcomes-measurement-in-social-services/</w:t>
        </w:r>
      </w:hyperlink>
      <w:r w:rsidRPr="00AA601C">
        <w:t>.</w:t>
      </w:r>
    </w:p>
    <w:p w14:paraId="40BEB1C5" w14:textId="77777777" w:rsidR="00AA601C" w:rsidRPr="00AA601C" w:rsidRDefault="00AA601C" w:rsidP="00AA601C">
      <w:pPr>
        <w:spacing w:line="360" w:lineRule="auto"/>
      </w:pPr>
      <w:r w:rsidRPr="00AA601C">
        <w:t xml:space="preserve">Samarasinghe, B.S.W., Millar, R. and </w:t>
      </w:r>
      <w:proofErr w:type="spellStart"/>
      <w:r w:rsidRPr="00AA601C">
        <w:t>Exworthy</w:t>
      </w:r>
      <w:proofErr w:type="spellEnd"/>
      <w:r w:rsidRPr="00AA601C">
        <w:t>, M. (2024). Bridging the divide? Why the integration of standardisation and individualisation of care remains paramount during turbulent times. </w:t>
      </w:r>
      <w:r w:rsidRPr="00AA601C">
        <w:rPr>
          <w:i/>
          <w:iCs/>
        </w:rPr>
        <w:t>BMJ Leader</w:t>
      </w:r>
      <w:r w:rsidRPr="00AA601C">
        <w:t xml:space="preserve">, </w:t>
      </w:r>
      <w:proofErr w:type="gramStart"/>
      <w:r w:rsidRPr="00AA601C">
        <w:t>p.leader</w:t>
      </w:r>
      <w:proofErr w:type="gramEnd"/>
      <w:r w:rsidRPr="00AA601C">
        <w:t xml:space="preserve">-2023-000920. </w:t>
      </w:r>
      <w:proofErr w:type="spellStart"/>
      <w:proofErr w:type="gramStart"/>
      <w:r w:rsidRPr="00AA601C">
        <w:t>doi:https</w:t>
      </w:r>
      <w:proofErr w:type="spellEnd"/>
      <w:r w:rsidRPr="00AA601C">
        <w:t>://doi.org/10.1136/leader-2023-000920</w:t>
      </w:r>
      <w:proofErr w:type="gramEnd"/>
      <w:r w:rsidRPr="00AA601C">
        <w:t>.</w:t>
      </w:r>
    </w:p>
    <w:p w14:paraId="6EB69C55" w14:textId="77777777" w:rsidR="00AA601C" w:rsidRPr="00AA601C" w:rsidRDefault="00AA601C" w:rsidP="00AA601C">
      <w:pPr>
        <w:spacing w:line="360" w:lineRule="auto"/>
      </w:pPr>
      <w:r w:rsidRPr="00AA601C">
        <w:t>Snap Cymru. (n.d.). </w:t>
      </w:r>
      <w:r w:rsidRPr="00AA601C">
        <w:rPr>
          <w:i/>
          <w:iCs/>
        </w:rPr>
        <w:t>About us</w:t>
      </w:r>
      <w:r w:rsidRPr="00AA601C">
        <w:t xml:space="preserve">. [online] Available at: </w:t>
      </w:r>
      <w:hyperlink r:id="rId20" w:history="1">
        <w:r w:rsidRPr="00AA601C">
          <w:rPr>
            <w:rStyle w:val="Hyperlink"/>
          </w:rPr>
          <w:t>https://www.snapcymru.org/about-us/</w:t>
        </w:r>
      </w:hyperlink>
      <w:r w:rsidRPr="00AA601C">
        <w:t>.</w:t>
      </w:r>
    </w:p>
    <w:p w14:paraId="6E984F3A" w14:textId="77777777" w:rsidR="00AA601C" w:rsidRPr="00AA601C" w:rsidRDefault="00AA601C" w:rsidP="00AA601C">
      <w:pPr>
        <w:spacing w:line="360" w:lineRule="auto"/>
      </w:pPr>
      <w:r w:rsidRPr="00AA601C">
        <w:t>Stafford, L. (2017). ‘What about my voice’: emancipating the voices of children with disabilities through participant-centred methods. </w:t>
      </w:r>
      <w:r w:rsidRPr="00AA601C">
        <w:rPr>
          <w:i/>
          <w:iCs/>
        </w:rPr>
        <w:t>Children’s Geographies</w:t>
      </w:r>
      <w:r w:rsidRPr="00AA601C">
        <w:t xml:space="preserve">, 15(5), pp.600–613. </w:t>
      </w:r>
      <w:proofErr w:type="spellStart"/>
      <w:proofErr w:type="gramStart"/>
      <w:r w:rsidRPr="00AA601C">
        <w:t>doi:https</w:t>
      </w:r>
      <w:proofErr w:type="spellEnd"/>
      <w:r w:rsidRPr="00AA601C">
        <w:t>://doi.org/10.1080/14733285.2017.1295134</w:t>
      </w:r>
      <w:proofErr w:type="gramEnd"/>
      <w:r w:rsidRPr="00AA601C">
        <w:t>.</w:t>
      </w:r>
    </w:p>
    <w:p w14:paraId="64246911" w14:textId="77777777" w:rsidR="00AA601C" w:rsidRPr="00AA601C" w:rsidRDefault="00AA601C" w:rsidP="00AA601C">
      <w:pPr>
        <w:spacing w:line="360" w:lineRule="auto"/>
      </w:pPr>
      <w:r w:rsidRPr="00AA601C">
        <w:t>Symonds, J., Miles, C., Steel, M., Porter, S. and Williams, V. (2019). Making person-centred Assessments. </w:t>
      </w:r>
      <w:r w:rsidRPr="00AA601C">
        <w:rPr>
          <w:i/>
          <w:iCs/>
        </w:rPr>
        <w:t>Journal of Social Work</w:t>
      </w:r>
      <w:r w:rsidRPr="00AA601C">
        <w:t xml:space="preserve">, [online] 20(4). </w:t>
      </w:r>
      <w:proofErr w:type="spellStart"/>
      <w:proofErr w:type="gramStart"/>
      <w:r w:rsidRPr="00AA601C">
        <w:t>doi:https</w:t>
      </w:r>
      <w:proofErr w:type="spellEnd"/>
      <w:r w:rsidRPr="00AA601C">
        <w:t>://doi.org/10.1177/1468017319830593</w:t>
      </w:r>
      <w:proofErr w:type="gramEnd"/>
      <w:r w:rsidRPr="00AA601C">
        <w:t>.</w:t>
      </w:r>
    </w:p>
    <w:p w14:paraId="63DF9AE6" w14:textId="77777777" w:rsidR="00AA601C" w:rsidRPr="00AA601C" w:rsidRDefault="00AA601C" w:rsidP="00AA601C">
      <w:pPr>
        <w:spacing w:line="360" w:lineRule="auto"/>
      </w:pPr>
      <w:r w:rsidRPr="00AA601C">
        <w:t>Taylor, I. &amp; Kelly, J. (2006), 'Professionals, discretion and public sector reform in the UK: re-visiting Lipsky', </w:t>
      </w:r>
      <w:r w:rsidRPr="00AA601C">
        <w:rPr>
          <w:i/>
          <w:iCs/>
        </w:rPr>
        <w:t>International Journal of Public Sector Management</w:t>
      </w:r>
      <w:r w:rsidRPr="00AA601C">
        <w:t>, vol. 19, no. 7, pp. 629-642. </w:t>
      </w:r>
      <w:hyperlink r:id="rId21" w:history="1">
        <w:r w:rsidRPr="00AA601C">
          <w:rPr>
            <w:rStyle w:val="Hyperlink"/>
          </w:rPr>
          <w:t>https://doi.org/10.1108/09513550610704662</w:t>
        </w:r>
      </w:hyperlink>
      <w:r w:rsidRPr="00AA601C">
        <w:t xml:space="preserve"> </w:t>
      </w:r>
    </w:p>
    <w:p w14:paraId="14464EB6" w14:textId="77777777" w:rsidR="00AA601C" w:rsidRPr="00AA601C" w:rsidRDefault="00AA601C" w:rsidP="00AA601C">
      <w:pPr>
        <w:spacing w:line="360" w:lineRule="auto"/>
      </w:pPr>
      <w:r w:rsidRPr="00AA601C">
        <w:t>The National Archives (2014). </w:t>
      </w:r>
      <w:r w:rsidRPr="00AA601C">
        <w:rPr>
          <w:i/>
          <w:iCs/>
        </w:rPr>
        <w:t>Social Services and Well-being (Wales) Act 2014</w:t>
      </w:r>
      <w:r w:rsidRPr="00AA601C">
        <w:t>. [online] Available at: https://www.legislation.gov.uk/anaw/2014/4/part/10/chapter/3</w:t>
      </w:r>
    </w:p>
    <w:p w14:paraId="684657D5" w14:textId="77777777" w:rsidR="00AA601C" w:rsidRPr="00AA601C" w:rsidRDefault="00AA601C" w:rsidP="00AA601C">
      <w:pPr>
        <w:spacing w:line="360" w:lineRule="auto"/>
      </w:pPr>
      <w:hyperlink r:id="rId22" w:history="1">
        <w:r w:rsidRPr="00AA601C">
          <w:rPr>
            <w:rStyle w:val="Hyperlink"/>
          </w:rPr>
          <w:t>The</w:t>
        </w:r>
      </w:hyperlink>
      <w:r w:rsidRPr="00AA601C">
        <w:t xml:space="preserve"> National Archives (2018). </w:t>
      </w:r>
      <w:r w:rsidRPr="00AA601C">
        <w:rPr>
          <w:i/>
          <w:iCs/>
        </w:rPr>
        <w:t>Additional Learning Needs and Education Tribunal (Wales) Act 2018</w:t>
      </w:r>
      <w:r w:rsidRPr="00AA601C">
        <w:t>. [online] Available at: https://www.legislation.gov.uk/anaw/2018/2/section/69 [Accessed May 2026].</w:t>
      </w:r>
    </w:p>
    <w:p w14:paraId="6DA47DAA" w14:textId="77777777" w:rsidR="00AA601C" w:rsidRPr="00AA601C" w:rsidRDefault="00AA601C" w:rsidP="00AA601C">
      <w:pPr>
        <w:spacing w:line="360" w:lineRule="auto"/>
      </w:pPr>
      <w:r w:rsidRPr="00AA601C">
        <w:t>The National Archives (2019). </w:t>
      </w:r>
      <w:r w:rsidRPr="00AA601C">
        <w:rPr>
          <w:i/>
          <w:iCs/>
        </w:rPr>
        <w:t>The Regulated Advocacy Services (Service Providers and Responsible Individuals) (Wales) Regulations 2019</w:t>
      </w:r>
      <w:r w:rsidRPr="00AA601C">
        <w:t xml:space="preserve">. [online] Available at: </w:t>
      </w:r>
      <w:hyperlink r:id="rId23" w:history="1">
        <w:r w:rsidRPr="00AA601C">
          <w:rPr>
            <w:rStyle w:val="Hyperlink"/>
          </w:rPr>
          <w:t>https://www.legislation.gov.uk/wsi/2019/165/contents</w:t>
        </w:r>
      </w:hyperlink>
      <w:r w:rsidRPr="00AA601C">
        <w:t xml:space="preserve">. </w:t>
      </w:r>
    </w:p>
    <w:p w14:paraId="5A75C330" w14:textId="77777777" w:rsidR="00AA601C" w:rsidRPr="00AA601C" w:rsidRDefault="00AA601C" w:rsidP="00AA601C">
      <w:pPr>
        <w:spacing w:line="360" w:lineRule="auto"/>
      </w:pPr>
      <w:r w:rsidRPr="00AA601C">
        <w:lastRenderedPageBreak/>
        <w:t xml:space="preserve">The National Archives (2026) </w:t>
      </w:r>
      <w:r w:rsidRPr="00AA601C">
        <w:rPr>
          <w:i/>
          <w:iCs/>
        </w:rPr>
        <w:t>Education Act 1996</w:t>
      </w:r>
      <w:r w:rsidRPr="00AA601C">
        <w:t>. [online] Available at: https://www.legislation.gov.uk/ukpga/1996/56/section/332BB [Accessed May 2026].</w:t>
      </w:r>
    </w:p>
    <w:p w14:paraId="72CDFFF2" w14:textId="77777777" w:rsidR="00AA601C" w:rsidRPr="00AA601C" w:rsidRDefault="00AA601C" w:rsidP="00AA601C">
      <w:pPr>
        <w:spacing w:line="360" w:lineRule="auto"/>
      </w:pPr>
      <w:r w:rsidRPr="00AA601C">
        <w:t>The Nuffield Trust. (2022). </w:t>
      </w:r>
      <w:r w:rsidRPr="00AA601C">
        <w:rPr>
          <w:i/>
          <w:iCs/>
        </w:rPr>
        <w:t>New horizons: What can England learn from the professionalisation of care workers in other countries?</w:t>
      </w:r>
      <w:r w:rsidRPr="00AA601C">
        <w:t xml:space="preserve"> [online] Available at: </w:t>
      </w:r>
      <w:hyperlink r:id="rId24" w:history="1">
        <w:r w:rsidRPr="00AA601C">
          <w:rPr>
            <w:rStyle w:val="Hyperlink"/>
          </w:rPr>
          <w:t>https://www.nuffieldtrust.org.uk/research/new-horizons-what-can-england-learn-from-the-professionalisation-of-care-workers-in-other-countries</w:t>
        </w:r>
      </w:hyperlink>
      <w:r w:rsidRPr="00AA601C">
        <w:t>.</w:t>
      </w:r>
    </w:p>
    <w:p w14:paraId="63E0DC40" w14:textId="77777777" w:rsidR="00AA601C" w:rsidRPr="00AA601C" w:rsidRDefault="00AA601C" w:rsidP="00AA601C">
      <w:pPr>
        <w:spacing w:line="360" w:lineRule="auto"/>
        <w:rPr>
          <w:i/>
          <w:iCs/>
        </w:rPr>
      </w:pPr>
      <w:r w:rsidRPr="00AA601C">
        <w:t xml:space="preserve">The Scottish Independent Advocacy Alliance (2025) </w:t>
      </w:r>
      <w:r w:rsidRPr="00AA601C">
        <w:rPr>
          <w:i/>
          <w:iCs/>
        </w:rPr>
        <w:t>Long May Yer Voice Sound: Sustaining Collective and Citizen Advocacy Models</w:t>
      </w:r>
    </w:p>
    <w:p w14:paraId="446E6E79" w14:textId="77777777" w:rsidR="00AA601C" w:rsidRPr="00AA601C" w:rsidRDefault="00AA601C" w:rsidP="00AA601C">
      <w:pPr>
        <w:spacing w:line="360" w:lineRule="auto"/>
      </w:pPr>
      <w:proofErr w:type="spellStart"/>
      <w:r w:rsidRPr="00AA601C">
        <w:t>Tøssebro</w:t>
      </w:r>
      <w:proofErr w:type="spellEnd"/>
      <w:r w:rsidRPr="00AA601C">
        <w:t>, J., Mjøen, O.M. and Bruteig, R. (2022). The Ambiguous Impact of Performance Measurement on Service Quality. </w:t>
      </w:r>
      <w:r w:rsidRPr="00AA601C">
        <w:rPr>
          <w:i/>
          <w:iCs/>
        </w:rPr>
        <w:t>Frontiers in Rehabilitation Sciences</w:t>
      </w:r>
      <w:r w:rsidRPr="00AA601C">
        <w:t xml:space="preserve">, 3. </w:t>
      </w:r>
      <w:proofErr w:type="spellStart"/>
      <w:proofErr w:type="gramStart"/>
      <w:r w:rsidRPr="00AA601C">
        <w:t>doi:https</w:t>
      </w:r>
      <w:proofErr w:type="spellEnd"/>
      <w:r w:rsidRPr="00AA601C">
        <w:t>://doi.org/10.3389/fresc.2022.878338</w:t>
      </w:r>
      <w:proofErr w:type="gramEnd"/>
      <w:r w:rsidRPr="00AA601C">
        <w:t>.</w:t>
      </w:r>
    </w:p>
    <w:p w14:paraId="5B90EF06" w14:textId="77777777" w:rsidR="00AA601C" w:rsidRPr="00AA601C" w:rsidRDefault="00AA601C" w:rsidP="00AA601C">
      <w:pPr>
        <w:spacing w:line="360" w:lineRule="auto"/>
      </w:pPr>
      <w:r w:rsidRPr="00AA601C">
        <w:t>UK Government (2018). </w:t>
      </w:r>
      <w:r w:rsidRPr="00AA601C">
        <w:rPr>
          <w:i/>
          <w:iCs/>
        </w:rPr>
        <w:t>UK General Data Protection Regulation</w:t>
      </w:r>
      <w:r w:rsidRPr="00AA601C">
        <w:t xml:space="preserve">. [online] legislation.gov.uk. Available at: </w:t>
      </w:r>
      <w:hyperlink r:id="rId25" w:history="1">
        <w:r w:rsidRPr="00AA601C">
          <w:rPr>
            <w:rStyle w:val="Hyperlink"/>
          </w:rPr>
          <w:t>https://www.legislation.gov.uk/eur/2016/679/contents</w:t>
        </w:r>
      </w:hyperlink>
      <w:r w:rsidRPr="00AA601C">
        <w:t>.</w:t>
      </w:r>
    </w:p>
    <w:p w14:paraId="622E9591" w14:textId="77777777" w:rsidR="00AA601C" w:rsidRPr="00AA601C" w:rsidRDefault="00AA601C" w:rsidP="00AA601C">
      <w:pPr>
        <w:spacing w:line="360" w:lineRule="auto"/>
      </w:pPr>
      <w:r w:rsidRPr="00AA601C">
        <w:t>UNICEF (n.d.). </w:t>
      </w:r>
      <w:r w:rsidRPr="00AA601C">
        <w:rPr>
          <w:i/>
          <w:iCs/>
        </w:rPr>
        <w:t>UN convention on the rights of the child (UNCRC)</w:t>
      </w:r>
      <w:r w:rsidRPr="00AA601C">
        <w:t xml:space="preserve">. [online] </w:t>
      </w:r>
      <w:proofErr w:type="spellStart"/>
      <w:r w:rsidRPr="00AA601C">
        <w:t>unicef</w:t>
      </w:r>
      <w:proofErr w:type="spellEnd"/>
      <w:r w:rsidRPr="00AA601C">
        <w:t xml:space="preserve">. Available at: </w:t>
      </w:r>
      <w:hyperlink r:id="rId26" w:history="1">
        <w:r w:rsidRPr="00AA601C">
          <w:rPr>
            <w:rStyle w:val="Hyperlink"/>
          </w:rPr>
          <w:t>https://www.unicef.org.uk/what-we-do/un-convention-child-rights/</w:t>
        </w:r>
      </w:hyperlink>
      <w:r w:rsidRPr="00AA601C">
        <w:t xml:space="preserve">. </w:t>
      </w:r>
    </w:p>
    <w:p w14:paraId="302CB418" w14:textId="77777777" w:rsidR="00AA601C" w:rsidRPr="00AA601C" w:rsidRDefault="00AA601C" w:rsidP="00AA601C">
      <w:pPr>
        <w:spacing w:line="360" w:lineRule="auto"/>
      </w:pPr>
      <w:r w:rsidRPr="00AA601C">
        <w:t>United Nations Foundation. (2023). </w:t>
      </w:r>
      <w:r w:rsidRPr="00AA601C">
        <w:rPr>
          <w:i/>
          <w:iCs/>
        </w:rPr>
        <w:t xml:space="preserve">The Universal Declaration of Human Rights Is Turning 75: Here’s What You Need </w:t>
      </w:r>
      <w:proofErr w:type="gramStart"/>
      <w:r w:rsidRPr="00AA601C">
        <w:rPr>
          <w:i/>
          <w:iCs/>
        </w:rPr>
        <w:t>To</w:t>
      </w:r>
      <w:proofErr w:type="gramEnd"/>
      <w:r w:rsidRPr="00AA601C">
        <w:rPr>
          <w:i/>
          <w:iCs/>
        </w:rPr>
        <w:t xml:space="preserve"> Know</w:t>
      </w:r>
      <w:r w:rsidRPr="00AA601C">
        <w:t>. [online] Available at: https://unfoundation.org/blog/post/the-universal-declaration-of-human-rights-is-turning-75-heres-what-you-need-to-know/?gad_source=1&amp;gad_campaignid=19554869486&amp;gclid=CjwKCAjwuO_QBhAWEiwAIkVhU0QBj-_qXMLg9zvFMGfNGDJKbZRtADN0scj2TVCAGEcoWgHRhfQ3kBoCaMMQAvD_BwE [Accessed May 2026].</w:t>
      </w:r>
    </w:p>
    <w:p w14:paraId="3E05BD15" w14:textId="77777777" w:rsidR="00AA601C" w:rsidRPr="00AA601C" w:rsidRDefault="00AA601C" w:rsidP="00AA601C">
      <w:pPr>
        <w:spacing w:line="360" w:lineRule="auto"/>
      </w:pPr>
      <w:r w:rsidRPr="00AA601C">
        <w:t>Vieira, H. (2025). </w:t>
      </w:r>
      <w:r w:rsidRPr="00AA601C">
        <w:rPr>
          <w:i/>
          <w:iCs/>
        </w:rPr>
        <w:t>New research shows how better pay and training could rescue social care in England - LSE Business Review</w:t>
      </w:r>
      <w:r w:rsidRPr="00AA601C">
        <w:t>. [online] LSE Business Review - Connecting business research with policy, practice and public debate. Available at: https://blogs.lse.ac.uk/businessreview/2025/10/12/new-research-shows-how-better-pay-and-training-could-rescue-social-care-in-england/ [Accessed May 2026].</w:t>
      </w:r>
    </w:p>
    <w:p w14:paraId="7D33A997" w14:textId="77777777" w:rsidR="00AA601C" w:rsidRPr="00AA601C" w:rsidRDefault="00AA601C" w:rsidP="00AA601C">
      <w:pPr>
        <w:spacing w:line="360" w:lineRule="auto"/>
      </w:pPr>
      <w:r w:rsidRPr="00AA601C">
        <w:t>Wales Safeguarding Procedures (2023). </w:t>
      </w:r>
      <w:r w:rsidRPr="00AA601C">
        <w:rPr>
          <w:i/>
          <w:iCs/>
        </w:rPr>
        <w:t>Safeguarding Wales</w:t>
      </w:r>
      <w:r w:rsidRPr="00AA601C">
        <w:t xml:space="preserve">. [online] www.safeguarding.wales. Available at: </w:t>
      </w:r>
      <w:hyperlink r:id="rId27" w:history="1">
        <w:r w:rsidRPr="00AA601C">
          <w:rPr>
            <w:rStyle w:val="Hyperlink"/>
          </w:rPr>
          <w:t>https://www.safeguarding.wales/en/</w:t>
        </w:r>
      </w:hyperlink>
      <w:r w:rsidRPr="00AA601C">
        <w:t>.</w:t>
      </w:r>
    </w:p>
    <w:p w14:paraId="41FDF353" w14:textId="77777777" w:rsidR="00AA601C" w:rsidRPr="00AA601C" w:rsidRDefault="00AA601C" w:rsidP="00AA601C">
      <w:pPr>
        <w:spacing w:line="360" w:lineRule="auto"/>
      </w:pPr>
      <w:r w:rsidRPr="00AA601C">
        <w:t>Welsh Assembly Government (2005)</w:t>
      </w:r>
      <w:r w:rsidRPr="00AA601C">
        <w:rPr>
          <w:i/>
          <w:iCs/>
        </w:rPr>
        <w:t xml:space="preserve"> A Study of Advocacy Services for Children &amp; Young People in Wales </w:t>
      </w:r>
      <w:proofErr w:type="gramStart"/>
      <w:r w:rsidRPr="00AA601C">
        <w:rPr>
          <w:i/>
          <w:iCs/>
        </w:rPr>
        <w:t>A</w:t>
      </w:r>
      <w:proofErr w:type="gramEnd"/>
      <w:r w:rsidRPr="00AA601C">
        <w:rPr>
          <w:i/>
          <w:iCs/>
        </w:rPr>
        <w:t xml:space="preserve"> Key Messages Report. </w:t>
      </w:r>
      <w:r w:rsidRPr="00AA601C">
        <w:t xml:space="preserve">Available at: </w:t>
      </w:r>
      <w:r w:rsidRPr="00AA601C">
        <w:lastRenderedPageBreak/>
        <w:t>https://knowledge.lancashire.ac.uk/id/eprint/3704/1/advocacy-services-children-e.pdf [Accessed May 2026].</w:t>
      </w:r>
    </w:p>
    <w:p w14:paraId="466C9F87" w14:textId="77777777" w:rsidR="00AA601C" w:rsidRPr="00AA601C" w:rsidRDefault="00AA601C" w:rsidP="00AA601C">
      <w:pPr>
        <w:spacing w:line="360" w:lineRule="auto"/>
      </w:pPr>
      <w:r w:rsidRPr="00AA601C">
        <w:t>Welsh Government (2021). </w:t>
      </w:r>
      <w:r w:rsidRPr="00AA601C">
        <w:rPr>
          <w:i/>
          <w:iCs/>
        </w:rPr>
        <w:t>The additional learning needs legislative framework | GOV.WALES</w:t>
      </w:r>
      <w:r w:rsidRPr="00AA601C">
        <w:t xml:space="preserve">. [online] Available at: </w:t>
      </w:r>
      <w:hyperlink r:id="rId28" w:history="1">
        <w:r w:rsidRPr="00AA601C">
          <w:rPr>
            <w:rStyle w:val="Hyperlink"/>
          </w:rPr>
          <w:t>https://www.gov.wales/additional-learning-needs-legislati</w:t>
        </w:r>
        <w:r w:rsidRPr="00AA601C">
          <w:rPr>
            <w:rStyle w:val="Hyperlink"/>
          </w:rPr>
          <w:t>ve-framework</w:t>
        </w:r>
      </w:hyperlink>
      <w:r w:rsidRPr="00AA601C">
        <w:t xml:space="preserve"> [Accessed May 2026].</w:t>
      </w:r>
    </w:p>
    <w:p w14:paraId="5030D8DB" w14:textId="77777777" w:rsidR="00AA601C" w:rsidRPr="00AA601C" w:rsidRDefault="00AA601C" w:rsidP="00AA601C">
      <w:pPr>
        <w:spacing w:line="360" w:lineRule="auto"/>
      </w:pPr>
      <w:r w:rsidRPr="00AA601C">
        <w:t>Welsh Government (2025). </w:t>
      </w:r>
      <w:r w:rsidRPr="00AA601C">
        <w:rPr>
          <w:i/>
          <w:iCs/>
        </w:rPr>
        <w:t>Social services national outcomes framework: annual report 2024 [HTML] | GOV.WALES</w:t>
      </w:r>
      <w:r w:rsidRPr="00AA601C">
        <w:t>. [online] Available at: https://www.gov.wales/social-services-national-outcomes-framework-annual-report-2024-html.</w:t>
      </w:r>
    </w:p>
    <w:p w14:paraId="7CFC2917" w14:textId="77777777" w:rsidR="00AA601C" w:rsidRPr="00AA601C" w:rsidRDefault="00AA601C" w:rsidP="00AA601C">
      <w:pPr>
        <w:spacing w:line="360" w:lineRule="auto"/>
      </w:pPr>
      <w:r w:rsidRPr="00AA601C">
        <w:t xml:space="preserve">Welsh Government (N.D) </w:t>
      </w:r>
      <w:r w:rsidRPr="00AA601C">
        <w:rPr>
          <w:i/>
          <w:iCs/>
        </w:rPr>
        <w:t>Independent Professional Advocacy National Standards and Outcomes Framework for Children and Young People in Wales</w:t>
      </w:r>
      <w:r w:rsidRPr="00AA601C">
        <w:t xml:space="preserve">. Available at: </w:t>
      </w:r>
      <w:hyperlink r:id="rId29" w:history="1">
        <w:r w:rsidRPr="00AA601C">
          <w:rPr>
            <w:rStyle w:val="Hyperlink"/>
          </w:rPr>
          <w:t>https://www.gov.wales/sites/default/files/publications/2021-05/national-standards-and-outcomes-framework-for-children-and-young-people-in-wales_0.pdf</w:t>
        </w:r>
      </w:hyperlink>
      <w:r w:rsidRPr="00AA601C">
        <w:t>.</w:t>
      </w:r>
    </w:p>
    <w:p w14:paraId="694E8F91" w14:textId="77777777" w:rsidR="006B32DA" w:rsidRPr="006059CC" w:rsidRDefault="006B32DA" w:rsidP="006059CC"/>
    <w:p w14:paraId="7358945A" w14:textId="5C502EB2" w:rsidR="00BE17D7" w:rsidRPr="005027DC" w:rsidRDefault="00BE17D7" w:rsidP="0051421B">
      <w:pPr>
        <w:rPr>
          <w:b/>
          <w:bCs/>
        </w:rPr>
      </w:pPr>
    </w:p>
    <w:p w14:paraId="502F7552" w14:textId="77777777" w:rsidR="009D560F" w:rsidRDefault="009D560F" w:rsidP="0051421B"/>
    <w:p w14:paraId="7A3BCDB7" w14:textId="77777777" w:rsidR="009D560F" w:rsidRDefault="009D560F" w:rsidP="0051421B"/>
    <w:p w14:paraId="154F1132" w14:textId="24315AFE" w:rsidR="00D57210" w:rsidRPr="00D57210" w:rsidRDefault="00D57210" w:rsidP="00D57210"/>
    <w:p w14:paraId="78A9F510" w14:textId="15537708" w:rsidR="00D57210" w:rsidRDefault="00D57210"/>
    <w:p w14:paraId="4E08FF10" w14:textId="77777777" w:rsidR="00A93B17" w:rsidRDefault="00A93B17"/>
    <w:p w14:paraId="7601AA43" w14:textId="255323F6" w:rsidR="00F0153E" w:rsidRDefault="00F0153E"/>
    <w:sectPr w:rsidR="00F0153E">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E64E5" w14:textId="77777777" w:rsidR="00804E4B" w:rsidRDefault="00804E4B" w:rsidP="00930D0C">
      <w:pPr>
        <w:spacing w:after="0" w:line="240" w:lineRule="auto"/>
      </w:pPr>
      <w:r>
        <w:separator/>
      </w:r>
    </w:p>
  </w:endnote>
  <w:endnote w:type="continuationSeparator" w:id="0">
    <w:p w14:paraId="6EDB6E00" w14:textId="77777777" w:rsidR="00804E4B" w:rsidRDefault="00804E4B" w:rsidP="00930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7447773"/>
      <w:docPartObj>
        <w:docPartGallery w:val="Page Numbers (Bottom of Page)"/>
        <w:docPartUnique/>
      </w:docPartObj>
    </w:sdtPr>
    <w:sdtEndPr>
      <w:rPr>
        <w:noProof/>
      </w:rPr>
    </w:sdtEndPr>
    <w:sdtContent>
      <w:p w14:paraId="68080815" w14:textId="4C6C09E2" w:rsidR="00CE086C" w:rsidRDefault="00CE08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F81BA9" w14:textId="77777777" w:rsidR="00CE086C" w:rsidRDefault="00CE0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444E8" w14:textId="77777777" w:rsidR="00804E4B" w:rsidRDefault="00804E4B" w:rsidP="00930D0C">
      <w:pPr>
        <w:spacing w:after="0" w:line="240" w:lineRule="auto"/>
      </w:pPr>
      <w:r>
        <w:separator/>
      </w:r>
    </w:p>
  </w:footnote>
  <w:footnote w:type="continuationSeparator" w:id="0">
    <w:p w14:paraId="4A1E1CAA" w14:textId="77777777" w:rsidR="00804E4B" w:rsidRDefault="00804E4B" w:rsidP="00930D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2DD6D" w14:textId="6022D6C9" w:rsidR="00930D0C" w:rsidRPr="00930D0C" w:rsidRDefault="00930D0C" w:rsidP="00930D0C">
    <w:pPr>
      <w:pStyle w:val="Header"/>
      <w:rPr>
        <w:b/>
        <w:bCs/>
      </w:rPr>
    </w:pPr>
    <w:r>
      <w:t>2306600</w:t>
    </w:r>
    <w:r>
      <w:tab/>
    </w:r>
    <w:r w:rsidRPr="00930D0C">
      <w:rPr>
        <w:b/>
        <w:bCs/>
      </w:rPr>
      <w:t>ECED7008</w:t>
    </w:r>
    <w:r>
      <w:rPr>
        <w:b/>
        <w:bCs/>
      </w:rPr>
      <w:tab/>
      <w:t xml:space="preserve">Word Count: </w:t>
    </w:r>
    <w:r w:rsidR="0079618F">
      <w:rPr>
        <w:b/>
        <w:bCs/>
      </w:rPr>
      <w:t>3</w:t>
    </w:r>
    <w:r w:rsidR="00547F77">
      <w:rPr>
        <w:b/>
        <w:bCs/>
      </w:rPr>
      <w:t>403</w:t>
    </w:r>
  </w:p>
  <w:p w14:paraId="5D1EEF37" w14:textId="738570A4" w:rsidR="00930D0C" w:rsidRDefault="00930D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B1555"/>
    <w:multiLevelType w:val="hybridMultilevel"/>
    <w:tmpl w:val="F5C2A33C"/>
    <w:lvl w:ilvl="0" w:tplc="67EC3B5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0675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39A"/>
    <w:rsid w:val="000149B2"/>
    <w:rsid w:val="00025631"/>
    <w:rsid w:val="00032105"/>
    <w:rsid w:val="0005639A"/>
    <w:rsid w:val="000B0EF9"/>
    <w:rsid w:val="001233E8"/>
    <w:rsid w:val="00151281"/>
    <w:rsid w:val="00164BDD"/>
    <w:rsid w:val="001A3E2F"/>
    <w:rsid w:val="001A5BDA"/>
    <w:rsid w:val="001B3688"/>
    <w:rsid w:val="003078B4"/>
    <w:rsid w:val="00310571"/>
    <w:rsid w:val="00324305"/>
    <w:rsid w:val="00353BAC"/>
    <w:rsid w:val="00452DBA"/>
    <w:rsid w:val="004608B3"/>
    <w:rsid w:val="00481851"/>
    <w:rsid w:val="004837DD"/>
    <w:rsid w:val="004F0963"/>
    <w:rsid w:val="004F32FC"/>
    <w:rsid w:val="00500122"/>
    <w:rsid w:val="005027DC"/>
    <w:rsid w:val="0051421B"/>
    <w:rsid w:val="00544364"/>
    <w:rsid w:val="00547F77"/>
    <w:rsid w:val="005842C7"/>
    <w:rsid w:val="005A4BBA"/>
    <w:rsid w:val="006059CC"/>
    <w:rsid w:val="006140CC"/>
    <w:rsid w:val="00622B2D"/>
    <w:rsid w:val="0065468C"/>
    <w:rsid w:val="006B32DA"/>
    <w:rsid w:val="006F3B85"/>
    <w:rsid w:val="007124ED"/>
    <w:rsid w:val="00757F24"/>
    <w:rsid w:val="0079618F"/>
    <w:rsid w:val="007C3DBE"/>
    <w:rsid w:val="007C4A71"/>
    <w:rsid w:val="007D20EA"/>
    <w:rsid w:val="00804E4B"/>
    <w:rsid w:val="00863346"/>
    <w:rsid w:val="008E32ED"/>
    <w:rsid w:val="00930D0C"/>
    <w:rsid w:val="0094576E"/>
    <w:rsid w:val="00980706"/>
    <w:rsid w:val="009A55F6"/>
    <w:rsid w:val="009D560F"/>
    <w:rsid w:val="00A01C61"/>
    <w:rsid w:val="00A52366"/>
    <w:rsid w:val="00A62783"/>
    <w:rsid w:val="00A769D1"/>
    <w:rsid w:val="00A93B17"/>
    <w:rsid w:val="00AA4AC4"/>
    <w:rsid w:val="00AA601C"/>
    <w:rsid w:val="00B7217F"/>
    <w:rsid w:val="00BB22DD"/>
    <w:rsid w:val="00BD195B"/>
    <w:rsid w:val="00BE17D7"/>
    <w:rsid w:val="00BE294A"/>
    <w:rsid w:val="00BF2E40"/>
    <w:rsid w:val="00C102DF"/>
    <w:rsid w:val="00C126AB"/>
    <w:rsid w:val="00C52F05"/>
    <w:rsid w:val="00CA7971"/>
    <w:rsid w:val="00CC122B"/>
    <w:rsid w:val="00CE086C"/>
    <w:rsid w:val="00D11E16"/>
    <w:rsid w:val="00D57210"/>
    <w:rsid w:val="00D8418B"/>
    <w:rsid w:val="00E22829"/>
    <w:rsid w:val="00E629F8"/>
    <w:rsid w:val="00E70F89"/>
    <w:rsid w:val="00EA4119"/>
    <w:rsid w:val="00F0153E"/>
    <w:rsid w:val="00F36A24"/>
    <w:rsid w:val="00F43E55"/>
    <w:rsid w:val="00F44946"/>
    <w:rsid w:val="00FB2B21"/>
    <w:rsid w:val="00FF4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64727"/>
  <w15:chartTrackingRefBased/>
  <w15:docId w15:val="{96E95485-A663-4FA4-AFEA-267F09DC5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63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63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63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63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63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63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63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63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63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3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63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63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63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63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63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63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63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639A"/>
    <w:rPr>
      <w:rFonts w:eastAsiaTheme="majorEastAsia" w:cstheme="majorBidi"/>
      <w:color w:val="272727" w:themeColor="text1" w:themeTint="D8"/>
    </w:rPr>
  </w:style>
  <w:style w:type="paragraph" w:styleId="Title">
    <w:name w:val="Title"/>
    <w:basedOn w:val="Normal"/>
    <w:next w:val="Normal"/>
    <w:link w:val="TitleChar"/>
    <w:uiPriority w:val="10"/>
    <w:qFormat/>
    <w:rsid w:val="000563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3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63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63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639A"/>
    <w:pPr>
      <w:spacing w:before="160"/>
      <w:jc w:val="center"/>
    </w:pPr>
    <w:rPr>
      <w:i/>
      <w:iCs/>
      <w:color w:val="404040" w:themeColor="text1" w:themeTint="BF"/>
    </w:rPr>
  </w:style>
  <w:style w:type="character" w:customStyle="1" w:styleId="QuoteChar">
    <w:name w:val="Quote Char"/>
    <w:basedOn w:val="DefaultParagraphFont"/>
    <w:link w:val="Quote"/>
    <w:uiPriority w:val="29"/>
    <w:rsid w:val="0005639A"/>
    <w:rPr>
      <w:i/>
      <w:iCs/>
      <w:color w:val="404040" w:themeColor="text1" w:themeTint="BF"/>
    </w:rPr>
  </w:style>
  <w:style w:type="paragraph" w:styleId="ListParagraph">
    <w:name w:val="List Paragraph"/>
    <w:basedOn w:val="Normal"/>
    <w:uiPriority w:val="34"/>
    <w:qFormat/>
    <w:rsid w:val="0005639A"/>
    <w:pPr>
      <w:ind w:left="720"/>
      <w:contextualSpacing/>
    </w:pPr>
  </w:style>
  <w:style w:type="character" w:styleId="IntenseEmphasis">
    <w:name w:val="Intense Emphasis"/>
    <w:basedOn w:val="DefaultParagraphFont"/>
    <w:uiPriority w:val="21"/>
    <w:qFormat/>
    <w:rsid w:val="0005639A"/>
    <w:rPr>
      <w:i/>
      <w:iCs/>
      <w:color w:val="0F4761" w:themeColor="accent1" w:themeShade="BF"/>
    </w:rPr>
  </w:style>
  <w:style w:type="paragraph" w:styleId="IntenseQuote">
    <w:name w:val="Intense Quote"/>
    <w:basedOn w:val="Normal"/>
    <w:next w:val="Normal"/>
    <w:link w:val="IntenseQuoteChar"/>
    <w:uiPriority w:val="30"/>
    <w:qFormat/>
    <w:rsid w:val="000563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639A"/>
    <w:rPr>
      <w:i/>
      <w:iCs/>
      <w:color w:val="0F4761" w:themeColor="accent1" w:themeShade="BF"/>
    </w:rPr>
  </w:style>
  <w:style w:type="character" w:styleId="IntenseReference">
    <w:name w:val="Intense Reference"/>
    <w:basedOn w:val="DefaultParagraphFont"/>
    <w:uiPriority w:val="32"/>
    <w:qFormat/>
    <w:rsid w:val="0005639A"/>
    <w:rPr>
      <w:b/>
      <w:bCs/>
      <w:smallCaps/>
      <w:color w:val="0F4761" w:themeColor="accent1" w:themeShade="BF"/>
      <w:spacing w:val="5"/>
    </w:rPr>
  </w:style>
  <w:style w:type="character" w:styleId="Hyperlink">
    <w:name w:val="Hyperlink"/>
    <w:basedOn w:val="DefaultParagraphFont"/>
    <w:uiPriority w:val="99"/>
    <w:unhideWhenUsed/>
    <w:rsid w:val="0005639A"/>
    <w:rPr>
      <w:color w:val="467886" w:themeColor="hyperlink"/>
      <w:u w:val="single"/>
    </w:rPr>
  </w:style>
  <w:style w:type="character" w:styleId="UnresolvedMention">
    <w:name w:val="Unresolved Mention"/>
    <w:basedOn w:val="DefaultParagraphFont"/>
    <w:uiPriority w:val="99"/>
    <w:semiHidden/>
    <w:unhideWhenUsed/>
    <w:rsid w:val="0005639A"/>
    <w:rPr>
      <w:color w:val="605E5C"/>
      <w:shd w:val="clear" w:color="auto" w:fill="E1DFDD"/>
    </w:rPr>
  </w:style>
  <w:style w:type="character" w:styleId="FollowedHyperlink">
    <w:name w:val="FollowedHyperlink"/>
    <w:basedOn w:val="DefaultParagraphFont"/>
    <w:uiPriority w:val="99"/>
    <w:semiHidden/>
    <w:unhideWhenUsed/>
    <w:rsid w:val="0005639A"/>
    <w:rPr>
      <w:color w:val="96607D" w:themeColor="followedHyperlink"/>
      <w:u w:val="single"/>
    </w:rPr>
  </w:style>
  <w:style w:type="paragraph" w:styleId="Header">
    <w:name w:val="header"/>
    <w:basedOn w:val="Normal"/>
    <w:link w:val="HeaderChar"/>
    <w:uiPriority w:val="99"/>
    <w:unhideWhenUsed/>
    <w:rsid w:val="00930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0C"/>
  </w:style>
  <w:style w:type="paragraph" w:styleId="Footer">
    <w:name w:val="footer"/>
    <w:basedOn w:val="Normal"/>
    <w:link w:val="FooterChar"/>
    <w:uiPriority w:val="99"/>
    <w:unhideWhenUsed/>
    <w:rsid w:val="00930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earchportal.port.ac.uk/en/studentTheses/advocacy-and-non-instructed-advocacy-with-disabled-children-and-y/" TargetMode="External"/><Relationship Id="rId18" Type="http://schemas.openxmlformats.org/officeDocument/2006/relationships/hyperlink" Target="https://www.ncvo.org.uk/news-and-insights/news-index/the-power-of-small-championing-small-organisations-across-the-sector/" TargetMode="External"/><Relationship Id="rId26" Type="http://schemas.openxmlformats.org/officeDocument/2006/relationships/hyperlink" Target="https://www.unicef.org.uk/what-we-do/un-convention-child-rights/" TargetMode="External"/><Relationship Id="rId3" Type="http://schemas.openxmlformats.org/officeDocument/2006/relationships/settings" Target="settings.xml"/><Relationship Id="rId21" Type="http://schemas.openxmlformats.org/officeDocument/2006/relationships/hyperlink" Target="https://doi.org/10.1108/09513550610704662" TargetMode="External"/><Relationship Id="rId7" Type="http://schemas.openxmlformats.org/officeDocument/2006/relationships/hyperlink" Target="https://qualityadvocacy.org.uk/wp-content/uploads/2018/05/Code-of-Practice-1.pdf" TargetMode="External"/><Relationship Id="rId12" Type="http://schemas.openxmlformats.org/officeDocument/2006/relationships/hyperlink" Target="https://www.gov.uk/government/publications/independent-mental-capacity-advocates/making-decisions-the-independent-mental-capacity-advocate-service-web-version#how-an-imca-works" TargetMode="External"/><Relationship Id="rId17" Type="http://schemas.openxmlformats.org/officeDocument/2006/relationships/hyperlink" Target="https://www.mha.co.uk/insights/small-charities-facing-broken-funding-systems-ncvo-report-warns" TargetMode="External"/><Relationship Id="rId25" Type="http://schemas.openxmlformats.org/officeDocument/2006/relationships/hyperlink" Target="https://www.legislation.gov.uk/eur/2016/679/content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lliance-scotland.org.uk/blog/news/protecting-human-rights-based-independent-advocacy-models-amid-funding-threats/" TargetMode="External"/><Relationship Id="rId20" Type="http://schemas.openxmlformats.org/officeDocument/2006/relationships/hyperlink" Target="https://www.snapcymru.org/about-us/" TargetMode="External"/><Relationship Id="rId29" Type="http://schemas.openxmlformats.org/officeDocument/2006/relationships/hyperlink" Target="https://www.gov.wales/sites/default/files/publications/2021-05/national-standards-and-outcomes-framework-for-children-and-young-people-in-wales_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researchwales.org/balancing-autonomy-and-risk-in-social-care-practice/" TargetMode="External"/><Relationship Id="rId24" Type="http://schemas.openxmlformats.org/officeDocument/2006/relationships/hyperlink" Target="https://www.nuffieldtrust.org.uk/research/new-horizons-what-can-england-learn-from-the-professionalisation-of-care-workers-in-other-countrie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healthandcarelearning.wales/qualifications/level-4-independent-advocacy/?tab=1" TargetMode="External"/><Relationship Id="rId23" Type="http://schemas.openxmlformats.org/officeDocument/2006/relationships/hyperlink" Target="https://www.legislation.gov.uk/wsi/2019/165/contents" TargetMode="External"/><Relationship Id="rId28" Type="http://schemas.openxmlformats.org/officeDocument/2006/relationships/hyperlink" Target="https://www.gov.wales/additional-learning-needs-legislative-framework" TargetMode="External"/><Relationship Id="rId10" Type="http://schemas.openxmlformats.org/officeDocument/2006/relationships/hyperlink" Target="https://www.cqc.org.uk/publication/state-care-202122/inequalities" TargetMode="External"/><Relationship Id="rId19" Type="http://schemas.openxmlformats.org/officeDocument/2006/relationships/hyperlink" Target="https://rsw.erickson.international/archivio/vol-n-5/a-relational-approach-to-outcomes-measurement-in-social-service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areinspectorate.wales/sites/default/files/2019-11/191128-inspection-framework-for-regulated-advocacy-services-en.pdf" TargetMode="External"/><Relationship Id="rId14" Type="http://schemas.openxmlformats.org/officeDocument/2006/relationships/hyperlink" Target="https://www.shu.ac.uk/centre-regional-economic-social-research/publications/south-yorkshire-vcse" TargetMode="External"/><Relationship Id="rId22" Type="http://schemas.openxmlformats.org/officeDocument/2006/relationships/hyperlink" Target="https://www.legislation.gov.uk/anaw/2018/2/section/69" TargetMode="External"/><Relationship Id="rId27" Type="http://schemas.openxmlformats.org/officeDocument/2006/relationships/hyperlink" Target="https://www.safeguarding.wales/en/" TargetMode="External"/><Relationship Id="rId30" Type="http://schemas.openxmlformats.org/officeDocument/2006/relationships/header" Target="header1.xml"/><Relationship Id="rId8" Type="http://schemas.openxmlformats.org/officeDocument/2006/relationships/hyperlink" Target="https://www.agecymru.wales/siteassets/documents/gtap/advocacy-counts/age-cymru-advocacy-counts-9-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2264</TotalTime>
  <Pages>14</Pages>
  <Words>5319</Words>
  <Characters>30588</Characters>
  <Application>Microsoft Office Word</Application>
  <DocSecurity>0</DocSecurity>
  <Lines>419</Lines>
  <Paragraphs>32</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5</cp:revision>
  <dcterms:created xsi:type="dcterms:W3CDTF">2026-05-26T08:58:00Z</dcterms:created>
  <dcterms:modified xsi:type="dcterms:W3CDTF">2026-05-31T20:30:00Z</dcterms:modified>
</cp:coreProperties>
</file>