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7269FD" w14:textId="49119E7E" w:rsidR="0099662C" w:rsidRPr="00607BCD" w:rsidRDefault="007F0A07" w:rsidP="00607BCD">
      <w:pPr>
        <w:pStyle w:val="NormalWeb"/>
        <w:jc w:val="center"/>
        <w:rPr>
          <w:rFonts w:asciiTheme="majorHAnsi" w:hAnsiTheme="majorHAnsi"/>
          <w:b/>
          <w:bCs/>
          <w:color w:val="000000"/>
          <w:sz w:val="32"/>
          <w:szCs w:val="32"/>
          <w:u w:val="single"/>
        </w:rPr>
      </w:pPr>
      <w:r w:rsidRPr="00607BCD">
        <w:rPr>
          <w:rFonts w:asciiTheme="majorHAnsi" w:hAnsiTheme="majorHAnsi"/>
          <w:b/>
          <w:bCs/>
          <w:color w:val="000000"/>
          <w:sz w:val="32"/>
          <w:szCs w:val="32"/>
          <w:u w:val="single"/>
        </w:rPr>
        <w:t>Critical</w:t>
      </w:r>
      <w:r w:rsidR="009D3382">
        <w:rPr>
          <w:rFonts w:asciiTheme="majorHAnsi" w:hAnsiTheme="majorHAnsi"/>
          <w:b/>
          <w:bCs/>
          <w:color w:val="000000"/>
          <w:sz w:val="32"/>
          <w:szCs w:val="32"/>
          <w:u w:val="single"/>
        </w:rPr>
        <w:t xml:space="preserve"> Reflection On </w:t>
      </w:r>
      <w:r w:rsidRPr="00607BCD">
        <w:rPr>
          <w:rFonts w:asciiTheme="majorHAnsi" w:hAnsiTheme="majorHAnsi"/>
          <w:b/>
          <w:bCs/>
          <w:color w:val="000000"/>
          <w:sz w:val="32"/>
          <w:szCs w:val="32"/>
          <w:u w:val="single"/>
        </w:rPr>
        <w:t>Quality Assurance Beyond Statutory Requirements in Early Years Settings</w:t>
      </w:r>
      <w:r w:rsidR="00607BCD" w:rsidRPr="00607BCD">
        <w:rPr>
          <w:rFonts w:asciiTheme="majorHAnsi" w:hAnsiTheme="majorHAnsi"/>
          <w:b/>
          <w:bCs/>
          <w:color w:val="000000"/>
          <w:sz w:val="32"/>
          <w:szCs w:val="32"/>
          <w:u w:val="single"/>
        </w:rPr>
        <w:t>.</w:t>
      </w:r>
    </w:p>
    <w:p w14:paraId="5FE5AC29" w14:textId="75131AA0" w:rsidR="0099662C" w:rsidRPr="00F4283C" w:rsidRDefault="0099662C" w:rsidP="00607BCD">
      <w:pPr>
        <w:pStyle w:val="NormalWeb"/>
        <w:spacing w:line="360" w:lineRule="auto"/>
        <w:rPr>
          <w:rFonts w:asciiTheme="minorHAnsi" w:hAnsiTheme="minorHAnsi"/>
          <w:color w:val="000000"/>
          <w:sz w:val="28"/>
          <w:szCs w:val="28"/>
          <w:u w:val="single"/>
        </w:rPr>
      </w:pPr>
      <w:r w:rsidRPr="00F4283C">
        <w:rPr>
          <w:rFonts w:asciiTheme="minorHAnsi" w:hAnsiTheme="minorHAnsi"/>
          <w:color w:val="000000"/>
          <w:sz w:val="28"/>
          <w:szCs w:val="28"/>
          <w:u w:val="single"/>
        </w:rPr>
        <w:t>Introduction</w:t>
      </w:r>
    </w:p>
    <w:p w14:paraId="6EBA120F" w14:textId="4B318E7A"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 xml:space="preserve">Early childhood education and care (ECEC) quality is a complex topic that is influenced by professional values, research, and legislation. It encompasses </w:t>
      </w:r>
      <w:r w:rsidR="00607BCD" w:rsidRPr="00F4283C">
        <w:rPr>
          <w:rFonts w:asciiTheme="minorHAnsi" w:hAnsiTheme="minorHAnsi"/>
          <w:color w:val="000000"/>
        </w:rPr>
        <w:t>children</w:t>
      </w:r>
      <w:r w:rsidR="00607BCD">
        <w:rPr>
          <w:rFonts w:asciiTheme="minorHAnsi" w:hAnsiTheme="minorHAnsi"/>
          <w:color w:val="000000"/>
        </w:rPr>
        <w:t>’s</w:t>
      </w:r>
      <w:r w:rsidRPr="00F4283C">
        <w:rPr>
          <w:rFonts w:asciiTheme="minorHAnsi" w:hAnsiTheme="minorHAnsi"/>
          <w:color w:val="000000"/>
        </w:rPr>
        <w:t xml:space="preserve"> experiences, such as the quality of relationships, emotional well-being, and learning opportunities, and goes beyond quantifiable structural indicators, including staff credentials and ratios (Sylva et al., 2018; Slot, 2018). Even if statutory organisations such as Ofsted and Care Inspectorate Wales set basic requirements through regulation and inspection, these frameworks alone are not enough to guarantee consistently high-quality service (Ofsted, 2023; OECD, 2020).</w:t>
      </w:r>
    </w:p>
    <w:p w14:paraId="7353B664" w14:textId="21EA6F1A"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 xml:space="preserve">Early childhood research has demonstrated the significance of quality. Improved cognitive, social, and emotional outcomes are closely linked to high-quality care, especially for children from disadvantaged homes (Melhuish et al., 2015; OECD, 2022; Anders, 2015). The quality of early education has long-term effects on achievement and life opportunities, according to studies like the Effective Provision of Pre-School Education (EPPE) and the Study of Early Education and Development (SEED) (Department for Education, 2021; Sylva et al., 2018; Pascal et al., 2019). This shows that access to high-quality early childhood services is not only beneficial but also necessary </w:t>
      </w:r>
      <w:r w:rsidRPr="00F4283C">
        <w:rPr>
          <w:rFonts w:asciiTheme="minorHAnsi" w:hAnsiTheme="minorHAnsi"/>
          <w:color w:val="000000"/>
        </w:rPr>
        <w:t>to</w:t>
      </w:r>
      <w:r w:rsidRPr="00F4283C">
        <w:rPr>
          <w:rFonts w:asciiTheme="minorHAnsi" w:hAnsiTheme="minorHAnsi"/>
          <w:color w:val="000000"/>
        </w:rPr>
        <w:t xml:space="preserve"> advanc</w:t>
      </w:r>
      <w:r w:rsidRPr="00F4283C">
        <w:rPr>
          <w:rFonts w:asciiTheme="minorHAnsi" w:hAnsiTheme="minorHAnsi"/>
          <w:color w:val="000000"/>
        </w:rPr>
        <w:t>e</w:t>
      </w:r>
      <w:r w:rsidRPr="00F4283C">
        <w:rPr>
          <w:rFonts w:asciiTheme="minorHAnsi" w:hAnsiTheme="minorHAnsi"/>
          <w:color w:val="000000"/>
        </w:rPr>
        <w:t xml:space="preserve"> fairness and foster children's growth.</w:t>
      </w:r>
    </w:p>
    <w:p w14:paraId="4066DE2B" w14:textId="378FB8AF" w:rsidR="0099662C" w:rsidRPr="00000B11"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However, statutory inspection systems typically place more emphasis on accountability and compliance than on ongoing development. Periodic inspections might not adequately reflect children's daily experiences or the changing nature of practice (OECD, 2020; Ball, 2013). As a result, more quality assurance techniques that provide continuous introspection and improvement are required. The Early Childhood Environment Rating Scale (ECERS) and the National Day Nurseries Association (NDNA) Quality Counts scheme are two such techniques that are examined critically in this essay. It considers the role of leadership in integrating various techniques and assesses their efficacy in fostering excellence beyond legal standards.</w:t>
      </w:r>
    </w:p>
    <w:p w14:paraId="4565FFB2" w14:textId="33A3DF22" w:rsidR="0099662C" w:rsidRPr="00F4283C" w:rsidRDefault="0099662C" w:rsidP="00607BCD">
      <w:pPr>
        <w:pStyle w:val="Heading3"/>
        <w:spacing w:line="360" w:lineRule="auto"/>
        <w:rPr>
          <w:rFonts w:asciiTheme="minorHAnsi" w:hAnsiTheme="minorHAnsi"/>
          <w:color w:val="000000"/>
          <w:u w:val="single"/>
        </w:rPr>
      </w:pPr>
      <w:r w:rsidRPr="00F4283C">
        <w:rPr>
          <w:rFonts w:asciiTheme="minorHAnsi" w:hAnsiTheme="minorHAnsi"/>
          <w:color w:val="000000"/>
          <w:u w:val="single"/>
        </w:rPr>
        <w:lastRenderedPageBreak/>
        <w:t>Quality in Early Years</w:t>
      </w:r>
    </w:p>
    <w:p w14:paraId="750F34F7"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Quality in early childhood education is not simply defined and is shaped by cultural, political, and theoretical viewpoints. Moss (2016) and Dahlberg (2013) argue that quality is a socially created concept influenced by attitudes and beliefs about children and education. This calls into question the notion that standardised metrics can fully capture quality and emphasises the significance of critical reflection when evaluating quality assurance instruments (Urban et al., 2019; Penn, 2011).</w:t>
      </w:r>
    </w:p>
    <w:p w14:paraId="636FD7BF"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Quality can also be understood through a systems perspective, where it is not located solely within individual settings but across interconnected structures, including workforce conditions, governance, and policy frameworks (Urban et al., 2019). This broader view highlights that quality is influenced by factors beyond practitioners’ immediate control, such as funding constraints and workforce stability. Consequently, attempts to measure quality through isolated tools may overlook the systemic conditions that shape practice.</w:t>
      </w:r>
    </w:p>
    <w:p w14:paraId="54B4A981" w14:textId="2541192C"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 xml:space="preserve">Furthermore, there is increasing recognition that quality should be viewed from the perspective of children themselves. Traditional measures often prioritise adult-defined outcomes, whereas approaches such as the Mosaic method emphasise </w:t>
      </w:r>
      <w:r w:rsidR="00607BCD" w:rsidRPr="00F4283C">
        <w:rPr>
          <w:rFonts w:asciiTheme="minorHAnsi" w:hAnsiTheme="minorHAnsi"/>
          <w:color w:val="000000"/>
        </w:rPr>
        <w:t>children</w:t>
      </w:r>
      <w:r w:rsidRPr="00F4283C">
        <w:rPr>
          <w:rFonts w:asciiTheme="minorHAnsi" w:hAnsiTheme="minorHAnsi"/>
          <w:color w:val="000000"/>
        </w:rPr>
        <w:t xml:space="preserve"> lived experiences and participation (Clark, 2017). This raises important questions about whose voices are privileged in quality assurance processes and whether current approaches adequately reflect children’s rights and agency.</w:t>
      </w:r>
    </w:p>
    <w:p w14:paraId="31D7A204"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Regardless of these arguments, there is widespread consensus that quality is critical for children's development. Research repeatedly shows that process quality, particularly the quality of adult-child interactions, is the most important element impacting outcomes (Siraj et al., 2015; Slot, 2018; Hamre et al., 2014; Pianta et al., 2016). Sustained shared thinking, emotional support, and responsive pedagogy are essential components of good early years practice.</w:t>
      </w:r>
    </w:p>
    <w:p w14:paraId="386F395D" w14:textId="49692BC6"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 xml:space="preserve">Statutory frameworks frequently emphasise structural quality, such as regulatory compliance, which may fail to effectively capture relational characteristics. This </w:t>
      </w:r>
      <w:r w:rsidRPr="00F4283C">
        <w:rPr>
          <w:rFonts w:asciiTheme="minorHAnsi" w:hAnsiTheme="minorHAnsi"/>
          <w:color w:val="000000"/>
        </w:rPr>
        <w:lastRenderedPageBreak/>
        <w:t xml:space="preserve">creates a gap that other quality assurance methods attempt to fill. However, these strategies must be closely assessed to ensure that they </w:t>
      </w:r>
      <w:r w:rsidR="00607BCD" w:rsidRPr="00F4283C">
        <w:rPr>
          <w:rFonts w:asciiTheme="minorHAnsi" w:hAnsiTheme="minorHAnsi"/>
          <w:color w:val="000000"/>
        </w:rPr>
        <w:t>improve</w:t>
      </w:r>
      <w:r w:rsidRPr="00F4283C">
        <w:rPr>
          <w:rFonts w:asciiTheme="minorHAnsi" w:hAnsiTheme="minorHAnsi"/>
          <w:color w:val="000000"/>
        </w:rPr>
        <w:t xml:space="preserve"> practice rather than simply reinforcing compliance.</w:t>
      </w:r>
    </w:p>
    <w:p w14:paraId="1DF86A52" w14:textId="7300DFBE" w:rsidR="0099662C" w:rsidRPr="00F4283C" w:rsidRDefault="0099662C" w:rsidP="00607BCD">
      <w:pPr>
        <w:spacing w:line="360" w:lineRule="auto"/>
        <w:rPr>
          <w:rFonts w:asciiTheme="minorHAnsi" w:hAnsiTheme="minorHAnsi"/>
        </w:rPr>
      </w:pPr>
    </w:p>
    <w:p w14:paraId="5E1394D8" w14:textId="77777777" w:rsidR="0099662C" w:rsidRPr="00F4283C" w:rsidRDefault="0099662C" w:rsidP="00607BCD">
      <w:pPr>
        <w:pStyle w:val="Heading3"/>
        <w:spacing w:line="360" w:lineRule="auto"/>
        <w:rPr>
          <w:rFonts w:asciiTheme="minorHAnsi" w:hAnsiTheme="minorHAnsi"/>
          <w:color w:val="000000"/>
          <w:u w:val="single"/>
        </w:rPr>
      </w:pPr>
      <w:r w:rsidRPr="00F4283C">
        <w:rPr>
          <w:rFonts w:asciiTheme="minorHAnsi" w:hAnsiTheme="minorHAnsi"/>
          <w:color w:val="000000"/>
          <w:u w:val="single"/>
        </w:rPr>
        <w:t>Critical Analysis of ECERS</w:t>
      </w:r>
    </w:p>
    <w:p w14:paraId="30420021"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The Early Childhood Environment Rating Scale (ECERS) is a commonly used observational technique for evaluating the quality of early childhood settings. It assesses various dimensions, such as space, resources, interactions, and learning opportunities, and provides a formal framework for evaluating provision (Harms et al., 2015; Clifford et al., 2017).</w:t>
      </w:r>
    </w:p>
    <w:p w14:paraId="6F0BCDC6"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One of ECERS' main assets is its standardisation and objectivity. It allows settings to provide quantitative data that can be used to compare performance and highlight areas for improvement (Slot, 2018; Clifford et al., 2017). This is especially useful for leaders since it provides concrete evidence to help with decision-making and quality improvement measures.</w:t>
      </w:r>
    </w:p>
    <w:p w14:paraId="32E21253"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ECERS also agrees with studies that emphasise the relevance of process quality. The emphasis on interactions and learning experiences pushes practitioners to consider their teaching techniques (Siraj et al., 2015; Pianta et al., 2016). This can support targeted professional development, linking quality assurance to improved practice.</w:t>
      </w:r>
    </w:p>
    <w:p w14:paraId="25E5DB7C"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However, ECERS takes a scientific and reductionist approach to quality. Breaking down practice into measurable indicators risks simplifying complicated educational processes (Moss, 2016; Fenech, 2011). According to Sims and Waniganayake (2015), such approaches may stress what can be evaluated above what is meaningful, thus marginalising characteristics such as children's emotional well-being and sense of belonging.</w:t>
      </w:r>
    </w:p>
    <w:p w14:paraId="7E21FC02"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 xml:space="preserve">Another limitation of ECERS is its cultural bias, as the tool is grounded in Western pedagogical assumptions about what constitutes quality practice. This raises concerns </w:t>
      </w:r>
      <w:r w:rsidRPr="00F4283C">
        <w:rPr>
          <w:rFonts w:asciiTheme="minorHAnsi" w:hAnsiTheme="minorHAnsi"/>
          <w:color w:val="000000"/>
        </w:rPr>
        <w:lastRenderedPageBreak/>
        <w:t>about its applicability across diverse contexts, where different cultural values may shape expectations of teaching, learning and child development (Fenech, 2011). As a result, settings serving diverse communities may be unfairly evaluated against criteria that do not fully reflect their pedagogical approaches.</w:t>
      </w:r>
    </w:p>
    <w:p w14:paraId="78CDE25E"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Additionally, the use of rating scales can encourage a performative approach to practice, where practitioners focus on meeting observable indicators rather than engaging in meaningful interactions. This aligns with broader critiques of performativity in education, where the pressure to achieve measurable outcomes can distort practice (Ball, 2013). In this context, ECERS may inadvertently reinforce compliance-driven behaviours rather than fostering genuine quality improvement.</w:t>
      </w:r>
    </w:p>
    <w:p w14:paraId="0D7223EB"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Furthermore, ECERS does not adequately capture the voices of children or families, limiting its ability to reflect diverse perspectives (Clark, 2017; Lundy, 2007). It also provides limited insight into leadership, organisational culture, and staff motivation, all of which are critical to sustaining quality.</w:t>
      </w:r>
    </w:p>
    <w:p w14:paraId="6ED893E8"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From a practical perspective, ECERS can be time-consuming and require training to ensure reliability. This may create barriers for settings with limited resources, raising concerns about accessibility and equity.</w:t>
      </w:r>
    </w:p>
    <w:p w14:paraId="05AF2B90" w14:textId="08DE772E" w:rsidR="0099662C" w:rsidRPr="00F4283C" w:rsidRDefault="0099662C" w:rsidP="00607BCD">
      <w:pPr>
        <w:spacing w:line="360" w:lineRule="auto"/>
        <w:rPr>
          <w:rFonts w:asciiTheme="minorHAnsi" w:hAnsiTheme="minorHAnsi"/>
          <w:sz w:val="28"/>
          <w:szCs w:val="28"/>
          <w:u w:val="single"/>
        </w:rPr>
      </w:pPr>
    </w:p>
    <w:p w14:paraId="2C26E597" w14:textId="77777777" w:rsidR="0099662C" w:rsidRPr="00F4283C" w:rsidRDefault="0099662C" w:rsidP="00607BCD">
      <w:pPr>
        <w:pStyle w:val="Heading3"/>
        <w:spacing w:line="360" w:lineRule="auto"/>
        <w:rPr>
          <w:rFonts w:asciiTheme="minorHAnsi" w:hAnsiTheme="minorHAnsi"/>
          <w:color w:val="000000"/>
          <w:u w:val="single"/>
        </w:rPr>
      </w:pPr>
      <w:r w:rsidRPr="00F4283C">
        <w:rPr>
          <w:rFonts w:asciiTheme="minorHAnsi" w:hAnsiTheme="minorHAnsi"/>
          <w:color w:val="000000"/>
          <w:u w:val="single"/>
        </w:rPr>
        <w:t>Critical Analysis of NDNA</w:t>
      </w:r>
    </w:p>
    <w:p w14:paraId="6B42A71F"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In contrast, the NDNA Quality Counts initiative takes a more comprehensive and developmental approach to quality assurance. It combines self-evaluation, external validation, and continuous improvement planning, emphasising quality as a continual process rather than a static result (Campbell-Barr and Leeson, 2016; Douglass, 2019).</w:t>
      </w:r>
    </w:p>
    <w:p w14:paraId="77124539"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 xml:space="preserve">This approach's emphasis on leadership and organisational culture is a significant strength. The scheme encourages leaders to incorporate reflective practice into the workplace, establishing a culture of openness, collaboration, and continual development (Siraj-Blatchford and Manni, 2021; Heikka and Waniganayake, 2011). This </w:t>
      </w:r>
      <w:r w:rsidRPr="00F4283C">
        <w:rPr>
          <w:rFonts w:asciiTheme="minorHAnsi" w:hAnsiTheme="minorHAnsi"/>
          <w:color w:val="000000"/>
        </w:rPr>
        <w:lastRenderedPageBreak/>
        <w:t>underscores the argument that strong leadership is critical to sustaining quality in early childhood care.</w:t>
      </w:r>
    </w:p>
    <w:p w14:paraId="12F68A61"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The NDNA framework also supports a broader understanding of quality, encompassing staff wellbeing, parental partnerships and professional development (Waniganayake et al., 2017; Sims et al., 2019). This aligns with contemporary policy priorities and recognises that quality is influenced by multiple interconnected factors.</w:t>
      </w:r>
    </w:p>
    <w:p w14:paraId="172769A8"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A further strength of the NDNA Quality Counts scheme is its emphasis on professional dialogue and collaborative learning. By engaging staff in reflective discussions, the approach supports the development of a shared understanding of quality within the setting. This aligns with research suggesting that collaborative professional learning is a key driver of sustained improvement in early years practice (Waniganayake et al., 2017).</w:t>
      </w:r>
    </w:p>
    <w:p w14:paraId="5E0D1145"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Additionally, the emphasis on continuous improvement enables settings to move beyond compliance and engage in meaningful development. Leaders are encouraged to analyse practice, implement changes, and evaluate their impact, promoting a cyclical approach to quality assurance (Schön, 1983; Eraut, 2004).</w:t>
      </w:r>
    </w:p>
    <w:p w14:paraId="365C6998"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However, the effectiveness of this approach is highly dependent on leadership capacity. Without skilled leadership to facilitate critical reflection, there is a risk that self-evaluation becomes routine rather than transformative. This highlights the importance of leadership development within the sector, as leaders must possess the skills to challenge practice, support staff, and drive meaningful change (Siraj-Blatchford and Manni, 2021).</w:t>
      </w:r>
    </w:p>
    <w:p w14:paraId="124BCAC8"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The NDNA scheme also has limitations. Its reliance on self-evaluation introduces potential bias, as practitioners may struggle to critically assess their own practice (Ball, 2013; Sims and Waniganayake, 2015). Without strong leadership, there is a risk that the process becomes superficial or overly focused on documentation.</w:t>
      </w:r>
    </w:p>
    <w:p w14:paraId="2ADEBD4D" w14:textId="3A889308" w:rsidR="001E1246"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Cost is another significant consideration, as participation in quality assurance schemes may not be accessible to all settings. This raises important questions about equity and the distribution of resources within the sector.</w:t>
      </w:r>
    </w:p>
    <w:p w14:paraId="5114A690" w14:textId="70988E03" w:rsidR="00F4283C" w:rsidRPr="00F4283C" w:rsidRDefault="00F4283C" w:rsidP="00607BCD">
      <w:pPr>
        <w:pStyle w:val="NormalWeb"/>
        <w:spacing w:line="360" w:lineRule="auto"/>
        <w:rPr>
          <w:rFonts w:asciiTheme="minorHAnsi" w:hAnsiTheme="minorHAnsi"/>
          <w:color w:val="000000"/>
          <w:sz w:val="28"/>
          <w:szCs w:val="28"/>
          <w:u w:val="single"/>
        </w:rPr>
      </w:pPr>
      <w:r w:rsidRPr="00F4283C">
        <w:rPr>
          <w:rFonts w:asciiTheme="minorHAnsi" w:hAnsiTheme="minorHAnsi"/>
          <w:color w:val="000000"/>
          <w:sz w:val="28"/>
          <w:szCs w:val="28"/>
          <w:u w:val="single"/>
        </w:rPr>
        <w:lastRenderedPageBreak/>
        <w:t>Comparison between ECERS and NDNA</w:t>
      </w:r>
    </w:p>
    <w:p w14:paraId="5FD615A7"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ECERS and NDNA are two distinct, but complementary, techniques for quality assurance. ECERS provides thorough, standardised data on specific areas of practice, whereas NDNA provides a comprehensive foundation for organisational development.</w:t>
      </w:r>
    </w:p>
    <w:p w14:paraId="33099836"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From a leadership standpoint, ECERS can be viewed as a diagnostic tool that identifies areas for improvement, whereas NDNA serves as a developmental framework that aids in the implementation of change. However, neither method is adequate in isolation.</w:t>
      </w:r>
    </w:p>
    <w:p w14:paraId="122122B7"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Importantly, the contrast between ECERS and NDNA reflects a wider debate within early years education between measurement and meaning. While quantitative tools such as ECERS provide clarity and comparability, they may fail to capture the complexity of practice. In contrast, qualitative approaches such as NDNA emphasise reflection and context but may lack consistency and objectivity.</w:t>
      </w:r>
    </w:p>
    <w:p w14:paraId="1C3D8AD1"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This suggests that an integrated approach to quality assurance is most effective, combining measurable data with reflective practice. Such an approach enables leaders to balance accountability requirements with a commitment to meaningful, child-centred provision.</w:t>
      </w:r>
    </w:p>
    <w:p w14:paraId="00034095"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Both methods also have limitations in terms of what they reveal. Neither fully captures children’s lived experiences, highlighting the need to incorporate additional perspectives, such as children’s voices and parental feedback (Clark, 2017; Lundy, 2007). This reinforces the importance of adopting a multi-method approach to quality assurance.</w:t>
      </w:r>
    </w:p>
    <w:p w14:paraId="17D140A4" w14:textId="67BC2596" w:rsidR="0099662C" w:rsidRPr="00F4283C" w:rsidRDefault="0099662C" w:rsidP="00607BCD">
      <w:pPr>
        <w:spacing w:line="360" w:lineRule="auto"/>
        <w:rPr>
          <w:rFonts w:asciiTheme="minorHAnsi" w:hAnsiTheme="minorHAnsi"/>
        </w:rPr>
      </w:pPr>
    </w:p>
    <w:p w14:paraId="51A98302" w14:textId="77777777" w:rsidR="0099662C" w:rsidRPr="00F4283C" w:rsidRDefault="0099662C" w:rsidP="00607BCD">
      <w:pPr>
        <w:pStyle w:val="Heading3"/>
        <w:spacing w:line="360" w:lineRule="auto"/>
        <w:rPr>
          <w:rFonts w:asciiTheme="minorHAnsi" w:hAnsiTheme="minorHAnsi"/>
          <w:color w:val="000000"/>
          <w:u w:val="single"/>
        </w:rPr>
      </w:pPr>
      <w:r w:rsidRPr="00F4283C">
        <w:rPr>
          <w:rFonts w:asciiTheme="minorHAnsi" w:hAnsiTheme="minorHAnsi"/>
          <w:color w:val="000000"/>
          <w:u w:val="single"/>
        </w:rPr>
        <w:t>Using Quality Assurance to Improve Provision</w:t>
      </w:r>
    </w:p>
    <w:p w14:paraId="6F13CA95"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The effectiveness of quality assurance procedures is determined by how the information generated is used. Leaders play an important role in data interpretation, reflection, and change implementation.</w:t>
      </w:r>
    </w:p>
    <w:p w14:paraId="654FA6E5"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lastRenderedPageBreak/>
        <w:t>For example, ECERS findings may indicate flaws in interaction quality, but without effective management, these insights may not result in improved practice. Similarly, NDNA's self-evaluation methods require a culture of trust and transparency to be effective (Siraj-Blatchford and Manni, 2021; Douglass, 2019).</w:t>
      </w:r>
    </w:p>
    <w:p w14:paraId="3BC28744" w14:textId="4E1A8D91"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 xml:space="preserve">This emphasises the need </w:t>
      </w:r>
      <w:r w:rsidRPr="00F4283C">
        <w:rPr>
          <w:rFonts w:asciiTheme="minorHAnsi" w:hAnsiTheme="minorHAnsi"/>
          <w:color w:val="000000"/>
        </w:rPr>
        <w:t>to</w:t>
      </w:r>
      <w:r w:rsidRPr="00F4283C">
        <w:rPr>
          <w:rFonts w:asciiTheme="minorHAnsi" w:hAnsiTheme="minorHAnsi"/>
          <w:color w:val="000000"/>
        </w:rPr>
        <w:t xml:space="preserve"> creat</w:t>
      </w:r>
      <w:r w:rsidRPr="00F4283C">
        <w:rPr>
          <w:rFonts w:asciiTheme="minorHAnsi" w:hAnsiTheme="minorHAnsi"/>
          <w:color w:val="000000"/>
        </w:rPr>
        <w:t>e</w:t>
      </w:r>
      <w:r w:rsidRPr="00F4283C">
        <w:rPr>
          <w:rFonts w:asciiTheme="minorHAnsi" w:hAnsiTheme="minorHAnsi"/>
          <w:color w:val="000000"/>
        </w:rPr>
        <w:t xml:space="preserve"> an open and constructive organisational culture in which employees feel supported in reflecting critically on their work (Schön, 1983; Eraut, 2004). Leaders must promote professional conversation, encourage ongoing professional growth, and guarantee that quality assurance systems are integrated into daily practice.</w:t>
      </w:r>
    </w:p>
    <w:p w14:paraId="30CC2102" w14:textId="3B96B03A"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Additionally, quality assurance should be aligned with broader policy frameworks, such as children’s rights and wellbeing agendas, ensuring that improvements are meaningful and child</w:t>
      </w:r>
      <w:r w:rsidRPr="00F4283C">
        <w:rPr>
          <w:rFonts w:asciiTheme="minorHAnsi" w:hAnsiTheme="minorHAnsi"/>
          <w:color w:val="000000"/>
        </w:rPr>
        <w:t>-</w:t>
      </w:r>
      <w:r w:rsidRPr="00F4283C">
        <w:rPr>
          <w:rFonts w:asciiTheme="minorHAnsi" w:hAnsiTheme="minorHAnsi"/>
          <w:color w:val="000000"/>
        </w:rPr>
        <w:t>centred (United Nations, 1989; Welsh Government, 2015).</w:t>
      </w:r>
    </w:p>
    <w:p w14:paraId="221B1362" w14:textId="10EA9088" w:rsidR="0099662C" w:rsidRPr="00F4283C" w:rsidRDefault="0099662C" w:rsidP="00607BCD">
      <w:pPr>
        <w:spacing w:line="360" w:lineRule="auto"/>
        <w:rPr>
          <w:rFonts w:asciiTheme="minorHAnsi" w:hAnsiTheme="minorHAnsi"/>
        </w:rPr>
      </w:pPr>
    </w:p>
    <w:p w14:paraId="03C35F49" w14:textId="77777777" w:rsidR="0099662C" w:rsidRPr="00F4283C" w:rsidRDefault="0099662C" w:rsidP="00607BCD">
      <w:pPr>
        <w:pStyle w:val="Heading3"/>
        <w:spacing w:line="360" w:lineRule="auto"/>
        <w:rPr>
          <w:rFonts w:asciiTheme="minorHAnsi" w:hAnsiTheme="minorHAnsi"/>
          <w:color w:val="000000"/>
          <w:u w:val="single"/>
        </w:rPr>
      </w:pPr>
      <w:r w:rsidRPr="00F4283C">
        <w:rPr>
          <w:rFonts w:asciiTheme="minorHAnsi" w:hAnsiTheme="minorHAnsi"/>
          <w:color w:val="000000"/>
          <w:u w:val="single"/>
        </w:rPr>
        <w:t>Critical Reflection</w:t>
      </w:r>
    </w:p>
    <w:p w14:paraId="792B2E56"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Reflecting on these methods highlights the tension between accountability and professional autonomy within early years provision. While quality assurance frameworks provide structure and guidance, they can also constrain practice if applied uncritically (Ball, 2013; Biesta, 2015).</w:t>
      </w:r>
    </w:p>
    <w:p w14:paraId="089D89A3"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There is a risk that settings become focused on achieving high scores or accreditation, rather than genuinely improving children’s experiences. This reflects a broader critique of performativity within education, where measurable outcomes are prioritised over meaningful learning (Osgood, 2021; Penn, 2011).</w:t>
      </w:r>
    </w:p>
    <w:p w14:paraId="1EB5F760"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This reflection also highlights the importance of professional judgement in early years practice. While quality assurance tools provide valuable frameworks, they cannot replace the knowledge and expertise of practitioners. There is a need for leaders to critically engage with these tools, adapting them to suit the specific context of their setting rather than applying them uncritically.</w:t>
      </w:r>
    </w:p>
    <w:p w14:paraId="45DFEA74" w14:textId="77777777"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lastRenderedPageBreak/>
        <w:t>Moreover, this raises questions about power and control within the sector. Quality assurance frameworks are often shaped by policy agendas, which may not always align with the needs of children or practitioners. As a future leader, it is therefore essential to adopt a critical stance, recognising both the benefits and limitations of these approaches and advocating for practices that prioritise children’s wellbeing and holistic development.</w:t>
      </w:r>
    </w:p>
    <w:p w14:paraId="3A32300B" w14:textId="45E9C064" w:rsidR="0099662C" w:rsidRPr="00F4283C" w:rsidRDefault="0099662C" w:rsidP="00607BCD">
      <w:pPr>
        <w:spacing w:line="360" w:lineRule="auto"/>
        <w:rPr>
          <w:rFonts w:asciiTheme="minorHAnsi" w:hAnsiTheme="minorHAnsi"/>
        </w:rPr>
      </w:pPr>
    </w:p>
    <w:p w14:paraId="3269EFE9" w14:textId="77777777" w:rsidR="0099662C" w:rsidRPr="00F4283C" w:rsidRDefault="0099662C" w:rsidP="00607BCD">
      <w:pPr>
        <w:pStyle w:val="Heading3"/>
        <w:spacing w:line="360" w:lineRule="auto"/>
        <w:rPr>
          <w:rFonts w:asciiTheme="minorHAnsi" w:hAnsiTheme="minorHAnsi"/>
          <w:color w:val="000000"/>
          <w:u w:val="single"/>
        </w:rPr>
      </w:pPr>
      <w:r w:rsidRPr="00F4283C">
        <w:rPr>
          <w:rFonts w:asciiTheme="minorHAnsi" w:hAnsiTheme="minorHAnsi"/>
          <w:color w:val="000000"/>
          <w:u w:val="single"/>
        </w:rPr>
        <w:t>Conclusion</w:t>
      </w:r>
    </w:p>
    <w:p w14:paraId="25259649" w14:textId="3DD4B283" w:rsidR="0099662C"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 xml:space="preserve">In conclusion, additional quality assurance </w:t>
      </w:r>
      <w:r w:rsidRPr="00F4283C">
        <w:rPr>
          <w:rFonts w:asciiTheme="minorHAnsi" w:hAnsiTheme="minorHAnsi"/>
          <w:color w:val="000000"/>
        </w:rPr>
        <w:t xml:space="preserve">methods </w:t>
      </w:r>
      <w:r w:rsidRPr="00F4283C">
        <w:rPr>
          <w:rFonts w:asciiTheme="minorHAnsi" w:hAnsiTheme="minorHAnsi"/>
          <w:color w:val="000000"/>
        </w:rPr>
        <w:t>play a vital role in promoting high-quality early years provision beyond statutory requirements. ECERS and NDNA offer valuable but distinct approaches, each contributing to different aspects of quality improvement.</w:t>
      </w:r>
    </w:p>
    <w:p w14:paraId="42909E00" w14:textId="2D4A405C" w:rsidR="00F41F2E" w:rsidRPr="00F4283C" w:rsidRDefault="0099662C" w:rsidP="00607BCD">
      <w:pPr>
        <w:pStyle w:val="NormalWeb"/>
        <w:spacing w:line="360" w:lineRule="auto"/>
        <w:rPr>
          <w:rFonts w:asciiTheme="minorHAnsi" w:hAnsiTheme="minorHAnsi"/>
          <w:color w:val="000000"/>
        </w:rPr>
      </w:pPr>
      <w:r w:rsidRPr="00F4283C">
        <w:rPr>
          <w:rFonts w:asciiTheme="minorHAnsi" w:hAnsiTheme="minorHAnsi"/>
          <w:color w:val="000000"/>
        </w:rPr>
        <w:t>However, their effectiveness depends on leadership. A critical, reflective and values-driven approach is essential to ensure that quality assurance processes lead to meaningful improvements. By integrating multiple methods and fostering an open and positive culture, leaders can move beyond compliance and support genuinely high-quality provision.</w:t>
      </w:r>
    </w:p>
    <w:p w14:paraId="5655A174" w14:textId="77777777" w:rsidR="00F41F2E" w:rsidRDefault="00F41F2E" w:rsidP="00414E7A"/>
    <w:p w14:paraId="0210FBA5" w14:textId="77777777" w:rsidR="00F4283C" w:rsidRDefault="00F4283C" w:rsidP="00414E7A">
      <w:pPr>
        <w:spacing w:before="100" w:beforeAutospacing="1" w:after="100" w:afterAutospacing="1"/>
        <w:outlineLvl w:val="1"/>
        <w:rPr>
          <w:b/>
          <w:bCs/>
          <w:color w:val="000000"/>
          <w:sz w:val="28"/>
          <w:szCs w:val="28"/>
        </w:rPr>
      </w:pPr>
    </w:p>
    <w:p w14:paraId="74DACE47" w14:textId="77777777" w:rsidR="00F4283C" w:rsidRDefault="00F4283C" w:rsidP="00414E7A">
      <w:pPr>
        <w:spacing w:before="100" w:beforeAutospacing="1" w:after="100" w:afterAutospacing="1"/>
        <w:outlineLvl w:val="1"/>
        <w:rPr>
          <w:b/>
          <w:bCs/>
          <w:color w:val="000000"/>
          <w:sz w:val="28"/>
          <w:szCs w:val="28"/>
        </w:rPr>
      </w:pPr>
    </w:p>
    <w:p w14:paraId="7027E574" w14:textId="77777777" w:rsidR="00F4283C" w:rsidRDefault="00F4283C" w:rsidP="00414E7A">
      <w:pPr>
        <w:spacing w:before="100" w:beforeAutospacing="1" w:after="100" w:afterAutospacing="1"/>
        <w:outlineLvl w:val="1"/>
        <w:rPr>
          <w:b/>
          <w:bCs/>
          <w:color w:val="000000"/>
          <w:sz w:val="28"/>
          <w:szCs w:val="28"/>
        </w:rPr>
      </w:pPr>
    </w:p>
    <w:p w14:paraId="54AC18CE" w14:textId="77777777" w:rsidR="00F4283C" w:rsidRDefault="00F4283C" w:rsidP="00414E7A">
      <w:pPr>
        <w:spacing w:before="100" w:beforeAutospacing="1" w:after="100" w:afterAutospacing="1"/>
        <w:outlineLvl w:val="1"/>
        <w:rPr>
          <w:b/>
          <w:bCs/>
          <w:color w:val="000000"/>
          <w:sz w:val="28"/>
          <w:szCs w:val="28"/>
        </w:rPr>
      </w:pPr>
    </w:p>
    <w:p w14:paraId="6A93B2F9" w14:textId="77777777" w:rsidR="00F4283C" w:rsidRDefault="00F4283C" w:rsidP="00414E7A">
      <w:pPr>
        <w:spacing w:before="100" w:beforeAutospacing="1" w:after="100" w:afterAutospacing="1"/>
        <w:outlineLvl w:val="1"/>
        <w:rPr>
          <w:b/>
          <w:bCs/>
          <w:color w:val="000000"/>
          <w:sz w:val="28"/>
          <w:szCs w:val="28"/>
        </w:rPr>
      </w:pPr>
    </w:p>
    <w:p w14:paraId="758C522A" w14:textId="77777777" w:rsidR="00F4283C" w:rsidRDefault="00F4283C" w:rsidP="00414E7A">
      <w:pPr>
        <w:spacing w:before="100" w:beforeAutospacing="1" w:after="100" w:afterAutospacing="1"/>
        <w:outlineLvl w:val="1"/>
        <w:rPr>
          <w:b/>
          <w:bCs/>
          <w:color w:val="000000"/>
          <w:sz w:val="28"/>
          <w:szCs w:val="28"/>
        </w:rPr>
      </w:pPr>
    </w:p>
    <w:p w14:paraId="606EFC3C" w14:textId="77777777" w:rsidR="00F4283C" w:rsidRDefault="00F4283C" w:rsidP="00414E7A">
      <w:pPr>
        <w:spacing w:before="100" w:beforeAutospacing="1" w:after="100" w:afterAutospacing="1"/>
        <w:outlineLvl w:val="1"/>
        <w:rPr>
          <w:b/>
          <w:bCs/>
          <w:color w:val="000000"/>
          <w:sz w:val="28"/>
          <w:szCs w:val="28"/>
        </w:rPr>
      </w:pPr>
    </w:p>
    <w:p w14:paraId="5E89AF37" w14:textId="77777777" w:rsidR="00F4283C" w:rsidRDefault="00F4283C" w:rsidP="00414E7A">
      <w:pPr>
        <w:spacing w:before="100" w:beforeAutospacing="1" w:after="100" w:afterAutospacing="1"/>
        <w:outlineLvl w:val="1"/>
        <w:rPr>
          <w:b/>
          <w:bCs/>
          <w:color w:val="000000"/>
          <w:sz w:val="28"/>
          <w:szCs w:val="28"/>
        </w:rPr>
      </w:pPr>
    </w:p>
    <w:p w14:paraId="098C326A" w14:textId="77777777" w:rsidR="00F4283C" w:rsidRDefault="00F4283C" w:rsidP="00414E7A">
      <w:pPr>
        <w:spacing w:before="100" w:beforeAutospacing="1" w:after="100" w:afterAutospacing="1"/>
        <w:outlineLvl w:val="1"/>
        <w:rPr>
          <w:b/>
          <w:bCs/>
          <w:color w:val="000000"/>
          <w:sz w:val="28"/>
          <w:szCs w:val="28"/>
        </w:rPr>
      </w:pPr>
    </w:p>
    <w:p w14:paraId="01C10BF0" w14:textId="77777777" w:rsidR="00F4283C" w:rsidRDefault="00F4283C" w:rsidP="00414E7A">
      <w:pPr>
        <w:spacing w:before="100" w:beforeAutospacing="1" w:after="100" w:afterAutospacing="1"/>
        <w:outlineLvl w:val="1"/>
        <w:rPr>
          <w:b/>
          <w:bCs/>
          <w:color w:val="000000"/>
          <w:sz w:val="28"/>
          <w:szCs w:val="28"/>
        </w:rPr>
      </w:pPr>
    </w:p>
    <w:p w14:paraId="4E819EC9" w14:textId="77777777" w:rsidR="00F4283C" w:rsidRDefault="00F4283C" w:rsidP="00414E7A">
      <w:pPr>
        <w:spacing w:before="100" w:beforeAutospacing="1" w:after="100" w:afterAutospacing="1"/>
        <w:outlineLvl w:val="1"/>
        <w:rPr>
          <w:b/>
          <w:bCs/>
          <w:color w:val="000000"/>
          <w:sz w:val="28"/>
          <w:szCs w:val="28"/>
        </w:rPr>
      </w:pPr>
    </w:p>
    <w:p w14:paraId="14F60DB7" w14:textId="77777777" w:rsidR="00F4283C" w:rsidRDefault="00F4283C" w:rsidP="00414E7A">
      <w:pPr>
        <w:spacing w:before="100" w:beforeAutospacing="1" w:after="100" w:afterAutospacing="1"/>
        <w:outlineLvl w:val="1"/>
        <w:rPr>
          <w:b/>
          <w:bCs/>
          <w:color w:val="000000"/>
          <w:sz w:val="28"/>
          <w:szCs w:val="28"/>
        </w:rPr>
      </w:pPr>
    </w:p>
    <w:p w14:paraId="5D968FAE" w14:textId="3F24B433" w:rsidR="00414E7A" w:rsidRPr="00414E7A" w:rsidRDefault="00414E7A" w:rsidP="00414E7A">
      <w:pPr>
        <w:spacing w:before="100" w:beforeAutospacing="1" w:after="100" w:afterAutospacing="1"/>
        <w:outlineLvl w:val="1"/>
        <w:rPr>
          <w:b/>
          <w:bCs/>
          <w:color w:val="000000"/>
          <w:sz w:val="28"/>
          <w:szCs w:val="28"/>
        </w:rPr>
      </w:pPr>
      <w:r w:rsidRPr="00414E7A">
        <w:rPr>
          <w:b/>
          <w:bCs/>
          <w:color w:val="000000"/>
          <w:sz w:val="28"/>
          <w:szCs w:val="28"/>
        </w:rPr>
        <w:t xml:space="preserve">Reference List </w:t>
      </w:r>
    </w:p>
    <w:p w14:paraId="569E2D5C" w14:textId="77777777" w:rsidR="0034452F" w:rsidRDefault="0034452F" w:rsidP="0034452F">
      <w:pPr>
        <w:pStyle w:val="NormalWeb"/>
        <w:rPr>
          <w:color w:val="000000"/>
        </w:rPr>
      </w:pPr>
      <w:r>
        <w:rPr>
          <w:color w:val="000000"/>
        </w:rPr>
        <w:t>Alexander, R. (2010)</w:t>
      </w:r>
      <w:r>
        <w:rPr>
          <w:rStyle w:val="apple-converted-space"/>
          <w:rFonts w:eastAsiaTheme="majorEastAsia"/>
          <w:color w:val="000000"/>
        </w:rPr>
        <w:t> </w:t>
      </w:r>
      <w:r>
        <w:rPr>
          <w:rStyle w:val="Emphasis"/>
          <w:rFonts w:eastAsiaTheme="majorEastAsia"/>
          <w:color w:val="000000"/>
        </w:rPr>
        <w:t>Children, their world, their education: Final report and recommendations of the Cambridge Primary Review</w:t>
      </w:r>
      <w:r>
        <w:rPr>
          <w:color w:val="000000"/>
        </w:rPr>
        <w:t>. London: Routledge.</w:t>
      </w:r>
    </w:p>
    <w:p w14:paraId="0D3EF5BF" w14:textId="77777777" w:rsidR="0034452F" w:rsidRDefault="0034452F" w:rsidP="0034452F">
      <w:pPr>
        <w:pStyle w:val="NormalWeb"/>
        <w:rPr>
          <w:color w:val="000000"/>
        </w:rPr>
      </w:pPr>
      <w:r>
        <w:rPr>
          <w:color w:val="000000"/>
        </w:rPr>
        <w:t>Anders, Y. (2015) ‘Literature review on pedagogy’,</w:t>
      </w:r>
      <w:r>
        <w:rPr>
          <w:rStyle w:val="apple-converted-space"/>
          <w:rFonts w:eastAsiaTheme="majorEastAsia"/>
          <w:color w:val="000000"/>
        </w:rPr>
        <w:t> </w:t>
      </w:r>
      <w:r>
        <w:rPr>
          <w:rStyle w:val="Emphasis"/>
          <w:rFonts w:eastAsiaTheme="majorEastAsia"/>
          <w:color w:val="000000"/>
        </w:rPr>
        <w:t>OECD Education Working Papers</w:t>
      </w:r>
      <w:r>
        <w:rPr>
          <w:color w:val="000000"/>
        </w:rPr>
        <w:t>, No. 119. Paris: OECD.</w:t>
      </w:r>
    </w:p>
    <w:p w14:paraId="43665343" w14:textId="77777777" w:rsidR="0034452F" w:rsidRDefault="0034452F" w:rsidP="0034452F">
      <w:pPr>
        <w:pStyle w:val="NormalWeb"/>
        <w:rPr>
          <w:color w:val="000000"/>
        </w:rPr>
      </w:pPr>
      <w:r>
        <w:rPr>
          <w:color w:val="000000"/>
        </w:rPr>
        <w:t>Ball, S.J. (2013)</w:t>
      </w:r>
      <w:r>
        <w:rPr>
          <w:rStyle w:val="apple-converted-space"/>
          <w:rFonts w:eastAsiaTheme="majorEastAsia"/>
          <w:color w:val="000000"/>
        </w:rPr>
        <w:t> </w:t>
      </w:r>
      <w:r>
        <w:rPr>
          <w:rStyle w:val="Emphasis"/>
          <w:rFonts w:eastAsiaTheme="majorEastAsia"/>
          <w:color w:val="000000"/>
        </w:rPr>
        <w:t>The education debate</w:t>
      </w:r>
      <w:r>
        <w:rPr>
          <w:color w:val="000000"/>
        </w:rPr>
        <w:t>. 2nd edn. Bristol: Policy Press.</w:t>
      </w:r>
    </w:p>
    <w:p w14:paraId="479517FE" w14:textId="77777777" w:rsidR="0034452F" w:rsidRDefault="0034452F" w:rsidP="0034452F">
      <w:pPr>
        <w:pStyle w:val="NormalWeb"/>
        <w:rPr>
          <w:color w:val="000000"/>
        </w:rPr>
      </w:pPr>
      <w:r>
        <w:rPr>
          <w:color w:val="000000"/>
        </w:rPr>
        <w:t>Biesta, G. (2015)</w:t>
      </w:r>
      <w:r>
        <w:rPr>
          <w:rStyle w:val="apple-converted-space"/>
          <w:rFonts w:eastAsiaTheme="majorEastAsia"/>
          <w:color w:val="000000"/>
        </w:rPr>
        <w:t> </w:t>
      </w:r>
      <w:r>
        <w:rPr>
          <w:rStyle w:val="Emphasis"/>
          <w:rFonts w:eastAsiaTheme="majorEastAsia"/>
          <w:color w:val="000000"/>
        </w:rPr>
        <w:t>Good education in an age of measurement: Ethics, politics, democracy</w:t>
      </w:r>
      <w:r>
        <w:rPr>
          <w:color w:val="000000"/>
        </w:rPr>
        <w:t>. London: Routledge.</w:t>
      </w:r>
    </w:p>
    <w:p w14:paraId="3DC63F45" w14:textId="77777777" w:rsidR="0034452F" w:rsidRDefault="0034452F" w:rsidP="0034452F">
      <w:pPr>
        <w:pStyle w:val="NormalWeb"/>
        <w:rPr>
          <w:color w:val="000000"/>
        </w:rPr>
      </w:pPr>
      <w:r>
        <w:rPr>
          <w:color w:val="000000"/>
        </w:rPr>
        <w:t>Campbell-Barr, V. and Leeson, C. (2016)</w:t>
      </w:r>
      <w:r>
        <w:rPr>
          <w:rStyle w:val="apple-converted-space"/>
          <w:rFonts w:eastAsiaTheme="majorEastAsia"/>
          <w:color w:val="000000"/>
        </w:rPr>
        <w:t> </w:t>
      </w:r>
      <w:r>
        <w:rPr>
          <w:rStyle w:val="Emphasis"/>
          <w:rFonts w:eastAsiaTheme="majorEastAsia"/>
          <w:color w:val="000000"/>
        </w:rPr>
        <w:t>Quality and leadership in the early years</w:t>
      </w:r>
      <w:r>
        <w:rPr>
          <w:color w:val="000000"/>
        </w:rPr>
        <w:t>. London: SAGE.</w:t>
      </w:r>
    </w:p>
    <w:p w14:paraId="7976054B" w14:textId="77777777" w:rsidR="0034452F" w:rsidRDefault="0034452F" w:rsidP="0034452F">
      <w:pPr>
        <w:pStyle w:val="NormalWeb"/>
        <w:rPr>
          <w:color w:val="000000"/>
        </w:rPr>
      </w:pPr>
      <w:r>
        <w:rPr>
          <w:color w:val="000000"/>
        </w:rPr>
        <w:t>Clark, A. (2017)</w:t>
      </w:r>
      <w:r>
        <w:rPr>
          <w:rStyle w:val="apple-converted-space"/>
          <w:rFonts w:eastAsiaTheme="majorEastAsia"/>
          <w:color w:val="000000"/>
        </w:rPr>
        <w:t> </w:t>
      </w:r>
      <w:r>
        <w:rPr>
          <w:rStyle w:val="Emphasis"/>
          <w:rFonts w:eastAsiaTheme="majorEastAsia"/>
          <w:color w:val="000000"/>
        </w:rPr>
        <w:t>Listening to young children: A guide to understanding and using the mosaic approach</w:t>
      </w:r>
      <w:r>
        <w:rPr>
          <w:color w:val="000000"/>
        </w:rPr>
        <w:t>. 2nd edn. London: Jessica Kingsley.</w:t>
      </w:r>
    </w:p>
    <w:p w14:paraId="3FB5F62C" w14:textId="77777777" w:rsidR="0034452F" w:rsidRDefault="0034452F" w:rsidP="0034452F">
      <w:pPr>
        <w:pStyle w:val="NormalWeb"/>
        <w:rPr>
          <w:color w:val="000000"/>
        </w:rPr>
      </w:pPr>
      <w:r>
        <w:rPr>
          <w:color w:val="000000"/>
        </w:rPr>
        <w:t>Clifford, R.M., Reszka, S.S. and Rossbach, H.G. (2017) ‘Reliability and validity of ECERS’,</w:t>
      </w:r>
      <w:r>
        <w:rPr>
          <w:rStyle w:val="apple-converted-space"/>
          <w:rFonts w:eastAsiaTheme="majorEastAsia"/>
          <w:color w:val="000000"/>
        </w:rPr>
        <w:t> </w:t>
      </w:r>
      <w:r>
        <w:rPr>
          <w:rStyle w:val="Emphasis"/>
          <w:rFonts w:eastAsiaTheme="majorEastAsia"/>
          <w:color w:val="000000"/>
        </w:rPr>
        <w:t>Early Childhood Research Quarterly</w:t>
      </w:r>
      <w:r>
        <w:rPr>
          <w:color w:val="000000"/>
        </w:rPr>
        <w:t>, 40, pp. 1–10.</w:t>
      </w:r>
    </w:p>
    <w:p w14:paraId="42B1CD6D" w14:textId="77777777" w:rsidR="0034452F" w:rsidRDefault="0034452F" w:rsidP="0034452F">
      <w:pPr>
        <w:pStyle w:val="NormalWeb"/>
        <w:rPr>
          <w:color w:val="000000"/>
        </w:rPr>
      </w:pPr>
      <w:r>
        <w:rPr>
          <w:color w:val="000000"/>
        </w:rPr>
        <w:t>Dahlberg, G., Moss, P. and Pence, A. (2013)</w:t>
      </w:r>
      <w:r>
        <w:rPr>
          <w:rStyle w:val="apple-converted-space"/>
          <w:rFonts w:eastAsiaTheme="majorEastAsia"/>
          <w:color w:val="000000"/>
        </w:rPr>
        <w:t> </w:t>
      </w:r>
      <w:r>
        <w:rPr>
          <w:rStyle w:val="Emphasis"/>
          <w:rFonts w:eastAsiaTheme="majorEastAsia"/>
          <w:color w:val="000000"/>
        </w:rPr>
        <w:t>Beyond quality in early childhood education and care: Languages of evaluation</w:t>
      </w:r>
      <w:r>
        <w:rPr>
          <w:color w:val="000000"/>
        </w:rPr>
        <w:t>. 3rd edn. London: Routledge.</w:t>
      </w:r>
    </w:p>
    <w:p w14:paraId="3A22A777" w14:textId="77777777" w:rsidR="0034452F" w:rsidRDefault="0034452F" w:rsidP="0034452F">
      <w:pPr>
        <w:pStyle w:val="NormalWeb"/>
        <w:rPr>
          <w:color w:val="000000"/>
        </w:rPr>
      </w:pPr>
      <w:r>
        <w:rPr>
          <w:color w:val="000000"/>
        </w:rPr>
        <w:t>Department for Education (2021)</w:t>
      </w:r>
      <w:r>
        <w:rPr>
          <w:rStyle w:val="apple-converted-space"/>
          <w:rFonts w:eastAsiaTheme="majorEastAsia"/>
          <w:color w:val="000000"/>
        </w:rPr>
        <w:t> </w:t>
      </w:r>
      <w:r>
        <w:rPr>
          <w:rStyle w:val="Emphasis"/>
          <w:rFonts w:eastAsiaTheme="majorEastAsia"/>
          <w:color w:val="000000"/>
        </w:rPr>
        <w:t>Study of Early Education and Development (SEED): Impact report</w:t>
      </w:r>
      <w:r>
        <w:rPr>
          <w:color w:val="000000"/>
        </w:rPr>
        <w:t>. London: DfE.</w:t>
      </w:r>
    </w:p>
    <w:p w14:paraId="5E7F440A" w14:textId="77777777" w:rsidR="0034452F" w:rsidRDefault="0034452F" w:rsidP="0034452F">
      <w:pPr>
        <w:pStyle w:val="NormalWeb"/>
        <w:rPr>
          <w:color w:val="000000"/>
        </w:rPr>
      </w:pPr>
      <w:r>
        <w:rPr>
          <w:color w:val="000000"/>
        </w:rPr>
        <w:t>Douglass, A. (2019)</w:t>
      </w:r>
      <w:r>
        <w:rPr>
          <w:rStyle w:val="apple-converted-space"/>
          <w:rFonts w:eastAsiaTheme="majorEastAsia"/>
          <w:color w:val="000000"/>
        </w:rPr>
        <w:t> </w:t>
      </w:r>
      <w:r>
        <w:rPr>
          <w:rStyle w:val="Emphasis"/>
          <w:rFonts w:eastAsiaTheme="majorEastAsia"/>
          <w:color w:val="000000"/>
        </w:rPr>
        <w:t>Leading for change in early care and education: Cultivating leadership from within</w:t>
      </w:r>
      <w:r>
        <w:rPr>
          <w:color w:val="000000"/>
        </w:rPr>
        <w:t>. New York: Teachers College Press.</w:t>
      </w:r>
    </w:p>
    <w:p w14:paraId="53621C3B" w14:textId="77777777" w:rsidR="0034452F" w:rsidRDefault="0034452F" w:rsidP="0034452F">
      <w:pPr>
        <w:pStyle w:val="NormalWeb"/>
        <w:rPr>
          <w:color w:val="000000"/>
        </w:rPr>
      </w:pPr>
      <w:r>
        <w:rPr>
          <w:color w:val="000000"/>
        </w:rPr>
        <w:t>Eraut, M. (2004) ‘Informal learning in the workplace’,</w:t>
      </w:r>
      <w:r>
        <w:rPr>
          <w:rStyle w:val="apple-converted-space"/>
          <w:rFonts w:eastAsiaTheme="majorEastAsia"/>
          <w:color w:val="000000"/>
        </w:rPr>
        <w:t> </w:t>
      </w:r>
      <w:r>
        <w:rPr>
          <w:rStyle w:val="Emphasis"/>
          <w:rFonts w:eastAsiaTheme="majorEastAsia"/>
          <w:color w:val="000000"/>
        </w:rPr>
        <w:t>Studies in Continuing Education</w:t>
      </w:r>
      <w:r>
        <w:rPr>
          <w:color w:val="000000"/>
        </w:rPr>
        <w:t>, 26(2), pp. 247–273.</w:t>
      </w:r>
    </w:p>
    <w:p w14:paraId="75E1F326" w14:textId="77777777" w:rsidR="0034452F" w:rsidRDefault="0034452F" w:rsidP="0034452F">
      <w:pPr>
        <w:pStyle w:val="NormalWeb"/>
        <w:rPr>
          <w:color w:val="000000"/>
        </w:rPr>
      </w:pPr>
      <w:r>
        <w:rPr>
          <w:color w:val="000000"/>
        </w:rPr>
        <w:t>Fenech, M. (2011) ‘An analysis of the conceptualisation of “quality” in early childhood education and care empirical research’,</w:t>
      </w:r>
      <w:r>
        <w:rPr>
          <w:rStyle w:val="apple-converted-space"/>
          <w:rFonts w:eastAsiaTheme="majorEastAsia"/>
          <w:color w:val="000000"/>
        </w:rPr>
        <w:t> </w:t>
      </w:r>
      <w:r>
        <w:rPr>
          <w:rStyle w:val="Emphasis"/>
          <w:rFonts w:eastAsiaTheme="majorEastAsia"/>
          <w:color w:val="000000"/>
        </w:rPr>
        <w:t>Contemporary Issues in Early Childhood</w:t>
      </w:r>
      <w:r>
        <w:rPr>
          <w:color w:val="000000"/>
        </w:rPr>
        <w:t>, 12(2), pp. 102–117.</w:t>
      </w:r>
    </w:p>
    <w:p w14:paraId="7839F256" w14:textId="77777777" w:rsidR="0034452F" w:rsidRDefault="0034452F" w:rsidP="0034452F">
      <w:pPr>
        <w:pStyle w:val="NormalWeb"/>
        <w:rPr>
          <w:color w:val="000000"/>
        </w:rPr>
      </w:pPr>
      <w:r>
        <w:rPr>
          <w:color w:val="000000"/>
        </w:rPr>
        <w:t>Hamre, B.K., Hatfield, B.E., Pianta, R.C. and Jamil, F.M. (2014) ‘Evidence for general and domain-specific elements of teacher–child interactions’,</w:t>
      </w:r>
      <w:r>
        <w:rPr>
          <w:rStyle w:val="apple-converted-space"/>
          <w:rFonts w:eastAsiaTheme="majorEastAsia"/>
          <w:color w:val="000000"/>
        </w:rPr>
        <w:t> </w:t>
      </w:r>
      <w:r>
        <w:rPr>
          <w:rStyle w:val="Emphasis"/>
          <w:rFonts w:eastAsiaTheme="majorEastAsia"/>
          <w:color w:val="000000"/>
        </w:rPr>
        <w:t>Child Development</w:t>
      </w:r>
      <w:r>
        <w:rPr>
          <w:color w:val="000000"/>
        </w:rPr>
        <w:t>, 85(3), pp. 1257–1274.</w:t>
      </w:r>
    </w:p>
    <w:p w14:paraId="6212BEE8" w14:textId="77777777" w:rsidR="0034452F" w:rsidRDefault="0034452F" w:rsidP="0034452F">
      <w:pPr>
        <w:pStyle w:val="NormalWeb"/>
        <w:rPr>
          <w:color w:val="000000"/>
        </w:rPr>
      </w:pPr>
      <w:r>
        <w:rPr>
          <w:color w:val="000000"/>
        </w:rPr>
        <w:lastRenderedPageBreak/>
        <w:t>Harms, T., Clifford, R.M. and Cryer, D. (2015)</w:t>
      </w:r>
      <w:r>
        <w:rPr>
          <w:rStyle w:val="apple-converted-space"/>
          <w:rFonts w:eastAsiaTheme="majorEastAsia"/>
          <w:color w:val="000000"/>
        </w:rPr>
        <w:t> </w:t>
      </w:r>
      <w:r>
        <w:rPr>
          <w:rStyle w:val="Emphasis"/>
          <w:rFonts w:eastAsiaTheme="majorEastAsia"/>
          <w:color w:val="000000"/>
        </w:rPr>
        <w:t>Early Childhood Environment Rating Scale (ECERS-3)</w:t>
      </w:r>
      <w:r>
        <w:rPr>
          <w:color w:val="000000"/>
        </w:rPr>
        <w:t>. New York: Teachers College Press.</w:t>
      </w:r>
    </w:p>
    <w:p w14:paraId="0432B941" w14:textId="77777777" w:rsidR="0034452F" w:rsidRDefault="0034452F" w:rsidP="0034452F">
      <w:pPr>
        <w:pStyle w:val="NormalWeb"/>
        <w:rPr>
          <w:color w:val="000000"/>
        </w:rPr>
      </w:pPr>
      <w:r>
        <w:rPr>
          <w:color w:val="000000"/>
        </w:rPr>
        <w:t>Heikka, J. and Waniganayake, M. (2011) ‘Pedagogical leadership from a distributed perspective’,</w:t>
      </w:r>
      <w:r>
        <w:rPr>
          <w:rStyle w:val="apple-converted-space"/>
          <w:rFonts w:eastAsiaTheme="majorEastAsia"/>
          <w:color w:val="000000"/>
        </w:rPr>
        <w:t> </w:t>
      </w:r>
      <w:r>
        <w:rPr>
          <w:rStyle w:val="Emphasis"/>
          <w:rFonts w:eastAsiaTheme="majorEastAsia"/>
          <w:color w:val="000000"/>
        </w:rPr>
        <w:t>International Journal of Leadership in Education</w:t>
      </w:r>
      <w:r>
        <w:rPr>
          <w:color w:val="000000"/>
        </w:rPr>
        <w:t>, 14(4), pp. 499–512.</w:t>
      </w:r>
    </w:p>
    <w:p w14:paraId="28F9A677" w14:textId="77777777" w:rsidR="0034452F" w:rsidRDefault="0034452F" w:rsidP="0034452F">
      <w:pPr>
        <w:pStyle w:val="NormalWeb"/>
        <w:rPr>
          <w:color w:val="000000"/>
        </w:rPr>
      </w:pPr>
      <w:r>
        <w:rPr>
          <w:color w:val="000000"/>
        </w:rPr>
        <w:t>Lundy, L. (2007) ‘“Voice” is not enough’,</w:t>
      </w:r>
      <w:r>
        <w:rPr>
          <w:rStyle w:val="apple-converted-space"/>
          <w:rFonts w:eastAsiaTheme="majorEastAsia"/>
          <w:color w:val="000000"/>
        </w:rPr>
        <w:t> </w:t>
      </w:r>
      <w:r>
        <w:rPr>
          <w:rStyle w:val="Emphasis"/>
          <w:rFonts w:eastAsiaTheme="majorEastAsia"/>
          <w:color w:val="000000"/>
        </w:rPr>
        <w:t>British Educational Research Journal</w:t>
      </w:r>
      <w:r>
        <w:rPr>
          <w:color w:val="000000"/>
        </w:rPr>
        <w:t>, 33(6), pp. 927–942.</w:t>
      </w:r>
    </w:p>
    <w:p w14:paraId="0C73F162" w14:textId="77777777" w:rsidR="0034452F" w:rsidRDefault="0034452F" w:rsidP="0034452F">
      <w:pPr>
        <w:pStyle w:val="NormalWeb"/>
        <w:rPr>
          <w:color w:val="000000"/>
        </w:rPr>
      </w:pPr>
      <w:r>
        <w:rPr>
          <w:color w:val="000000"/>
        </w:rPr>
        <w:t>Mathers, S., Singler, R. and Karemaker, A. (2014)</w:t>
      </w:r>
      <w:r>
        <w:rPr>
          <w:rStyle w:val="apple-converted-space"/>
          <w:rFonts w:eastAsiaTheme="majorEastAsia"/>
          <w:color w:val="000000"/>
        </w:rPr>
        <w:t> </w:t>
      </w:r>
      <w:r>
        <w:rPr>
          <w:rStyle w:val="Emphasis"/>
          <w:rFonts w:eastAsiaTheme="majorEastAsia"/>
          <w:color w:val="000000"/>
        </w:rPr>
        <w:t>Improving quality in the early years: A comparison of perspectives and measures</w:t>
      </w:r>
      <w:r>
        <w:rPr>
          <w:color w:val="000000"/>
        </w:rPr>
        <w:t>. London: Nuffield Foundation.</w:t>
      </w:r>
    </w:p>
    <w:p w14:paraId="57000162" w14:textId="77777777" w:rsidR="0034452F" w:rsidRDefault="0034452F" w:rsidP="0034452F">
      <w:pPr>
        <w:pStyle w:val="NormalWeb"/>
        <w:rPr>
          <w:color w:val="000000"/>
        </w:rPr>
      </w:pPr>
      <w:r>
        <w:rPr>
          <w:color w:val="000000"/>
        </w:rPr>
        <w:t>Melhuish, E., Ereky-Stevens, K., Petrogiannis, K. et al. (2015) ‘A review of research on the effects of early childhood education and care (ECEC) upon child development’, CARE Project Report. Brussels: European Commission.</w:t>
      </w:r>
    </w:p>
    <w:p w14:paraId="36420310" w14:textId="77777777" w:rsidR="0034452F" w:rsidRDefault="0034452F" w:rsidP="0034452F">
      <w:pPr>
        <w:pStyle w:val="NormalWeb"/>
        <w:rPr>
          <w:color w:val="000000"/>
        </w:rPr>
      </w:pPr>
      <w:r>
        <w:rPr>
          <w:color w:val="000000"/>
        </w:rPr>
        <w:t>Moss, P. (2016) ‘Why can’t we get beyond quality?’,</w:t>
      </w:r>
      <w:r>
        <w:rPr>
          <w:rStyle w:val="apple-converted-space"/>
          <w:rFonts w:eastAsiaTheme="majorEastAsia"/>
          <w:color w:val="000000"/>
        </w:rPr>
        <w:t> </w:t>
      </w:r>
      <w:r>
        <w:rPr>
          <w:rStyle w:val="Emphasis"/>
          <w:rFonts w:eastAsiaTheme="majorEastAsia"/>
          <w:color w:val="000000"/>
        </w:rPr>
        <w:t>Contemporary Issues in Early Childhood</w:t>
      </w:r>
      <w:r>
        <w:rPr>
          <w:color w:val="000000"/>
        </w:rPr>
        <w:t>, 17(1), pp. 8–15.</w:t>
      </w:r>
    </w:p>
    <w:p w14:paraId="1D7C5D53" w14:textId="77777777" w:rsidR="0034452F" w:rsidRDefault="0034452F" w:rsidP="0034452F">
      <w:pPr>
        <w:pStyle w:val="NormalWeb"/>
        <w:rPr>
          <w:color w:val="000000"/>
        </w:rPr>
      </w:pPr>
      <w:r>
        <w:rPr>
          <w:color w:val="000000"/>
        </w:rPr>
        <w:t>OECD (2020)</w:t>
      </w:r>
      <w:r>
        <w:rPr>
          <w:rStyle w:val="apple-converted-space"/>
          <w:rFonts w:eastAsiaTheme="majorEastAsia"/>
          <w:color w:val="000000"/>
        </w:rPr>
        <w:t> </w:t>
      </w:r>
      <w:r>
        <w:rPr>
          <w:rStyle w:val="Emphasis"/>
          <w:rFonts w:eastAsiaTheme="majorEastAsia"/>
          <w:color w:val="000000"/>
        </w:rPr>
        <w:t>Early learning and child well-being: A study of five-year-olds in England, Estonia, and the United States</w:t>
      </w:r>
      <w:r>
        <w:rPr>
          <w:color w:val="000000"/>
        </w:rPr>
        <w:t>. Paris: OECD Publishing.</w:t>
      </w:r>
    </w:p>
    <w:p w14:paraId="4714EAD4" w14:textId="77777777" w:rsidR="0034452F" w:rsidRDefault="0034452F" w:rsidP="0034452F">
      <w:pPr>
        <w:pStyle w:val="NormalWeb"/>
        <w:rPr>
          <w:color w:val="000000"/>
        </w:rPr>
      </w:pPr>
      <w:r>
        <w:rPr>
          <w:color w:val="000000"/>
        </w:rPr>
        <w:t>OECD (2022)</w:t>
      </w:r>
      <w:r>
        <w:rPr>
          <w:rStyle w:val="apple-converted-space"/>
          <w:rFonts w:eastAsiaTheme="majorEastAsia"/>
          <w:color w:val="000000"/>
        </w:rPr>
        <w:t> </w:t>
      </w:r>
      <w:r>
        <w:rPr>
          <w:rStyle w:val="Emphasis"/>
          <w:rFonts w:eastAsiaTheme="majorEastAsia"/>
          <w:color w:val="000000"/>
        </w:rPr>
        <w:t>Starting strong VI: Supporting meaningful interactions in early childhood education and care</w:t>
      </w:r>
      <w:r>
        <w:rPr>
          <w:color w:val="000000"/>
        </w:rPr>
        <w:t>. Paris: OECD Publishing.</w:t>
      </w:r>
    </w:p>
    <w:p w14:paraId="0881B145" w14:textId="77777777" w:rsidR="0034452F" w:rsidRDefault="0034452F" w:rsidP="0034452F">
      <w:pPr>
        <w:pStyle w:val="NormalWeb"/>
        <w:rPr>
          <w:color w:val="000000"/>
        </w:rPr>
      </w:pPr>
      <w:r>
        <w:rPr>
          <w:color w:val="000000"/>
        </w:rPr>
        <w:t>Osgood, J. (2021)</w:t>
      </w:r>
      <w:r>
        <w:rPr>
          <w:rStyle w:val="apple-converted-space"/>
          <w:rFonts w:eastAsiaTheme="majorEastAsia"/>
          <w:color w:val="000000"/>
        </w:rPr>
        <w:t> </w:t>
      </w:r>
      <w:r>
        <w:rPr>
          <w:rStyle w:val="Emphasis"/>
          <w:rFonts w:eastAsiaTheme="majorEastAsia"/>
          <w:color w:val="000000"/>
        </w:rPr>
        <w:t>Feminists researching gendered childhoods: Generative entanglements</w:t>
      </w:r>
      <w:r>
        <w:rPr>
          <w:color w:val="000000"/>
        </w:rPr>
        <w:t>. London: Bloomsbury.</w:t>
      </w:r>
    </w:p>
    <w:p w14:paraId="727A46E8" w14:textId="77777777" w:rsidR="0034452F" w:rsidRDefault="0034452F" w:rsidP="0034452F">
      <w:pPr>
        <w:pStyle w:val="NormalWeb"/>
        <w:rPr>
          <w:color w:val="000000"/>
        </w:rPr>
      </w:pPr>
      <w:r>
        <w:rPr>
          <w:color w:val="000000"/>
        </w:rPr>
        <w:t>Pascal, C., Bertram, T. and Rouse, L. (2019)</w:t>
      </w:r>
      <w:r>
        <w:rPr>
          <w:rStyle w:val="apple-converted-space"/>
          <w:rFonts w:eastAsiaTheme="majorEastAsia"/>
          <w:color w:val="000000"/>
        </w:rPr>
        <w:t> </w:t>
      </w:r>
      <w:r>
        <w:rPr>
          <w:rStyle w:val="Emphasis"/>
          <w:rFonts w:eastAsiaTheme="majorEastAsia"/>
          <w:color w:val="000000"/>
        </w:rPr>
        <w:t>Getting it right in the early years foundation stage: A review of the evidence</w:t>
      </w:r>
      <w:r>
        <w:rPr>
          <w:color w:val="000000"/>
        </w:rPr>
        <w:t>. Birmingham: CREC.</w:t>
      </w:r>
    </w:p>
    <w:p w14:paraId="57FF1DE1" w14:textId="77777777" w:rsidR="0034452F" w:rsidRDefault="0034452F" w:rsidP="0034452F">
      <w:pPr>
        <w:pStyle w:val="NormalWeb"/>
        <w:rPr>
          <w:color w:val="000000"/>
        </w:rPr>
      </w:pPr>
      <w:r>
        <w:rPr>
          <w:color w:val="000000"/>
        </w:rPr>
        <w:t>Penn, H. (2011)</w:t>
      </w:r>
      <w:r>
        <w:rPr>
          <w:rStyle w:val="apple-converted-space"/>
          <w:rFonts w:eastAsiaTheme="majorEastAsia"/>
          <w:color w:val="000000"/>
        </w:rPr>
        <w:t> </w:t>
      </w:r>
      <w:r>
        <w:rPr>
          <w:rStyle w:val="Emphasis"/>
          <w:rFonts w:eastAsiaTheme="majorEastAsia"/>
          <w:color w:val="000000"/>
        </w:rPr>
        <w:t>Quality in early childhood services</w:t>
      </w:r>
      <w:r>
        <w:rPr>
          <w:color w:val="000000"/>
        </w:rPr>
        <w:t>. Maidenhead: Open University Press.</w:t>
      </w:r>
    </w:p>
    <w:p w14:paraId="712A1448" w14:textId="77777777" w:rsidR="0034452F" w:rsidRDefault="0034452F" w:rsidP="0034452F">
      <w:pPr>
        <w:pStyle w:val="NormalWeb"/>
        <w:rPr>
          <w:color w:val="000000"/>
        </w:rPr>
      </w:pPr>
      <w:r>
        <w:rPr>
          <w:color w:val="000000"/>
        </w:rPr>
        <w:t>Pianta, R.C., Downer, J.T. and Hamre, B.K. (2016) ‘Quality in early education classrooms’,</w:t>
      </w:r>
      <w:r>
        <w:rPr>
          <w:rStyle w:val="apple-converted-space"/>
          <w:rFonts w:eastAsiaTheme="majorEastAsia"/>
          <w:color w:val="000000"/>
        </w:rPr>
        <w:t> </w:t>
      </w:r>
      <w:r>
        <w:rPr>
          <w:rStyle w:val="Emphasis"/>
          <w:rFonts w:eastAsiaTheme="majorEastAsia"/>
          <w:color w:val="000000"/>
        </w:rPr>
        <w:t>Future of Children</w:t>
      </w:r>
      <w:r>
        <w:rPr>
          <w:color w:val="000000"/>
        </w:rPr>
        <w:t>, 26(2), pp. 119–137.</w:t>
      </w:r>
    </w:p>
    <w:p w14:paraId="7658FC4C" w14:textId="77777777" w:rsidR="0034452F" w:rsidRDefault="0034452F" w:rsidP="0034452F">
      <w:pPr>
        <w:pStyle w:val="NormalWeb"/>
        <w:rPr>
          <w:color w:val="000000"/>
        </w:rPr>
      </w:pPr>
      <w:r>
        <w:rPr>
          <w:color w:val="000000"/>
        </w:rPr>
        <w:t>Schön, D.A. (1983)</w:t>
      </w:r>
      <w:r>
        <w:rPr>
          <w:rStyle w:val="apple-converted-space"/>
          <w:rFonts w:eastAsiaTheme="majorEastAsia"/>
          <w:color w:val="000000"/>
        </w:rPr>
        <w:t> </w:t>
      </w:r>
      <w:r>
        <w:rPr>
          <w:rStyle w:val="Emphasis"/>
          <w:rFonts w:eastAsiaTheme="majorEastAsia"/>
          <w:color w:val="000000"/>
        </w:rPr>
        <w:t>The reflective practitioner</w:t>
      </w:r>
      <w:r>
        <w:rPr>
          <w:color w:val="000000"/>
        </w:rPr>
        <w:t>. New York: Basic Books.</w:t>
      </w:r>
    </w:p>
    <w:p w14:paraId="4ED3F043" w14:textId="77777777" w:rsidR="0034452F" w:rsidRDefault="0034452F" w:rsidP="0034452F">
      <w:pPr>
        <w:pStyle w:val="NormalWeb"/>
        <w:rPr>
          <w:color w:val="000000"/>
        </w:rPr>
      </w:pPr>
      <w:r>
        <w:rPr>
          <w:color w:val="000000"/>
        </w:rPr>
        <w:t>Siraj, I., Kingston, D. and Melhuish, E. (2015)</w:t>
      </w:r>
      <w:r>
        <w:rPr>
          <w:rStyle w:val="apple-converted-space"/>
          <w:rFonts w:eastAsiaTheme="majorEastAsia"/>
          <w:color w:val="000000"/>
        </w:rPr>
        <w:t> </w:t>
      </w:r>
      <w:r>
        <w:rPr>
          <w:rStyle w:val="Emphasis"/>
          <w:rFonts w:eastAsiaTheme="majorEastAsia"/>
          <w:color w:val="000000"/>
        </w:rPr>
        <w:t>Assessing quality in early childhood education and care: Sustained shared thinking and emotional well-being (SSTEW) scale</w:t>
      </w:r>
      <w:r>
        <w:rPr>
          <w:color w:val="000000"/>
        </w:rPr>
        <w:t>. London: UCL Institute of Education Press.</w:t>
      </w:r>
    </w:p>
    <w:p w14:paraId="33B50F89" w14:textId="77777777" w:rsidR="0034452F" w:rsidRDefault="0034452F" w:rsidP="0034452F">
      <w:pPr>
        <w:pStyle w:val="NormalWeb"/>
        <w:rPr>
          <w:color w:val="000000"/>
        </w:rPr>
      </w:pPr>
      <w:r>
        <w:rPr>
          <w:color w:val="000000"/>
        </w:rPr>
        <w:t>Siraj-Blatchford, I. and Manni, L. (2021)</w:t>
      </w:r>
      <w:r>
        <w:rPr>
          <w:rStyle w:val="apple-converted-space"/>
          <w:rFonts w:eastAsiaTheme="majorEastAsia"/>
          <w:color w:val="000000"/>
        </w:rPr>
        <w:t> </w:t>
      </w:r>
      <w:r>
        <w:rPr>
          <w:rStyle w:val="Emphasis"/>
          <w:rFonts w:eastAsiaTheme="majorEastAsia"/>
          <w:color w:val="000000"/>
        </w:rPr>
        <w:t>Effective leadership in the early years sector</w:t>
      </w:r>
      <w:r>
        <w:rPr>
          <w:color w:val="000000"/>
        </w:rPr>
        <w:t>. London: Education Development Trust.</w:t>
      </w:r>
    </w:p>
    <w:p w14:paraId="4421C267" w14:textId="77777777" w:rsidR="0034452F" w:rsidRDefault="0034452F" w:rsidP="0034452F">
      <w:pPr>
        <w:pStyle w:val="NormalWeb"/>
        <w:rPr>
          <w:color w:val="000000"/>
        </w:rPr>
      </w:pPr>
      <w:r>
        <w:rPr>
          <w:color w:val="000000"/>
        </w:rPr>
        <w:t>Sims, M. and Waniganayake, M. (2015) ‘The performance of compliance’,</w:t>
      </w:r>
      <w:r>
        <w:rPr>
          <w:rStyle w:val="apple-converted-space"/>
          <w:rFonts w:eastAsiaTheme="majorEastAsia"/>
          <w:color w:val="000000"/>
        </w:rPr>
        <w:t> </w:t>
      </w:r>
      <w:r>
        <w:rPr>
          <w:rStyle w:val="Emphasis"/>
          <w:rFonts w:eastAsiaTheme="majorEastAsia"/>
          <w:color w:val="000000"/>
        </w:rPr>
        <w:t>Australasian Journal of Early Childhood</w:t>
      </w:r>
      <w:r>
        <w:rPr>
          <w:color w:val="000000"/>
        </w:rPr>
        <w:t>, 40(3), pp. 15–21.</w:t>
      </w:r>
    </w:p>
    <w:p w14:paraId="5E2BB5C5" w14:textId="77777777" w:rsidR="0034452F" w:rsidRDefault="0034452F" w:rsidP="0034452F">
      <w:pPr>
        <w:pStyle w:val="NormalWeb"/>
        <w:rPr>
          <w:color w:val="000000"/>
        </w:rPr>
      </w:pPr>
      <w:r>
        <w:rPr>
          <w:color w:val="000000"/>
        </w:rPr>
        <w:lastRenderedPageBreak/>
        <w:t>Sims, M., Waniganayake, M. and Hadley, F. (2019) ‘Educational leadership: An evolving role in early childhood education’,</w:t>
      </w:r>
      <w:r>
        <w:rPr>
          <w:rStyle w:val="apple-converted-space"/>
          <w:rFonts w:eastAsiaTheme="majorEastAsia"/>
          <w:color w:val="000000"/>
        </w:rPr>
        <w:t> </w:t>
      </w:r>
      <w:r>
        <w:rPr>
          <w:rStyle w:val="Emphasis"/>
          <w:rFonts w:eastAsiaTheme="majorEastAsia"/>
          <w:color w:val="000000"/>
        </w:rPr>
        <w:t>Educational Management Administration &amp; Leadership</w:t>
      </w:r>
      <w:r>
        <w:rPr>
          <w:color w:val="000000"/>
        </w:rPr>
        <w:t>, 47(4), pp. 638–654.</w:t>
      </w:r>
    </w:p>
    <w:p w14:paraId="4DE923ED" w14:textId="77777777" w:rsidR="0034452F" w:rsidRDefault="0034452F" w:rsidP="0034452F">
      <w:pPr>
        <w:pStyle w:val="NormalWeb"/>
        <w:rPr>
          <w:color w:val="000000"/>
        </w:rPr>
      </w:pPr>
      <w:r>
        <w:rPr>
          <w:color w:val="000000"/>
        </w:rPr>
        <w:t>Slot, P.L. (2018) ‘Structural characteristics and process quality in early childhood education and care: A literature review’,</w:t>
      </w:r>
      <w:r>
        <w:rPr>
          <w:rStyle w:val="apple-converted-space"/>
          <w:rFonts w:eastAsiaTheme="majorEastAsia"/>
          <w:color w:val="000000"/>
        </w:rPr>
        <w:t> </w:t>
      </w:r>
      <w:r>
        <w:rPr>
          <w:rStyle w:val="Emphasis"/>
          <w:rFonts w:eastAsiaTheme="majorEastAsia"/>
          <w:color w:val="000000"/>
        </w:rPr>
        <w:t>OECD Education Working Papers</w:t>
      </w:r>
      <w:r>
        <w:rPr>
          <w:color w:val="000000"/>
        </w:rPr>
        <w:t>, No. 176.</w:t>
      </w:r>
    </w:p>
    <w:p w14:paraId="04142161" w14:textId="77777777" w:rsidR="0034452F" w:rsidRDefault="0034452F" w:rsidP="0034452F">
      <w:pPr>
        <w:pStyle w:val="NormalWeb"/>
        <w:rPr>
          <w:color w:val="000000"/>
        </w:rPr>
      </w:pPr>
      <w:r>
        <w:rPr>
          <w:color w:val="000000"/>
        </w:rPr>
        <w:t>Sylva, K., Melhuish, E., Sammons, P., Siraj, I. and Taggart, B. (2018)</w:t>
      </w:r>
      <w:r>
        <w:rPr>
          <w:rStyle w:val="apple-converted-space"/>
          <w:rFonts w:eastAsiaTheme="majorEastAsia"/>
          <w:color w:val="000000"/>
        </w:rPr>
        <w:t> </w:t>
      </w:r>
      <w:r>
        <w:rPr>
          <w:rStyle w:val="Emphasis"/>
          <w:rFonts w:eastAsiaTheme="majorEastAsia"/>
          <w:color w:val="000000"/>
        </w:rPr>
        <w:t>Effective pre-school, primary and secondary education (EPPSE 3–16) project</w:t>
      </w:r>
      <w:r>
        <w:rPr>
          <w:color w:val="000000"/>
        </w:rPr>
        <w:t>. London: DfE.</w:t>
      </w:r>
    </w:p>
    <w:p w14:paraId="13513765" w14:textId="77777777" w:rsidR="0034452F" w:rsidRDefault="0034452F" w:rsidP="0034452F">
      <w:pPr>
        <w:pStyle w:val="NormalWeb"/>
        <w:rPr>
          <w:color w:val="000000"/>
        </w:rPr>
      </w:pPr>
      <w:r>
        <w:rPr>
          <w:color w:val="000000"/>
        </w:rPr>
        <w:t>United Nations (1989)</w:t>
      </w:r>
      <w:r>
        <w:rPr>
          <w:rStyle w:val="apple-converted-space"/>
          <w:rFonts w:eastAsiaTheme="majorEastAsia"/>
          <w:color w:val="000000"/>
        </w:rPr>
        <w:t> </w:t>
      </w:r>
      <w:r>
        <w:rPr>
          <w:rStyle w:val="Emphasis"/>
          <w:rFonts w:eastAsiaTheme="majorEastAsia"/>
          <w:color w:val="000000"/>
        </w:rPr>
        <w:t>Convention on the Rights of the Child</w:t>
      </w:r>
      <w:r>
        <w:rPr>
          <w:color w:val="000000"/>
        </w:rPr>
        <w:t>. New York: UN.</w:t>
      </w:r>
    </w:p>
    <w:p w14:paraId="2DC6D72A" w14:textId="77777777" w:rsidR="0034452F" w:rsidRDefault="0034452F" w:rsidP="0034452F">
      <w:pPr>
        <w:pStyle w:val="NormalWeb"/>
        <w:rPr>
          <w:color w:val="000000"/>
        </w:rPr>
      </w:pPr>
      <w:r>
        <w:rPr>
          <w:color w:val="000000"/>
        </w:rPr>
        <w:t>Urban, M., Vandenbroeck, M., Lazzari, A., Van Laere, K. and Peeters, J. (2019)</w:t>
      </w:r>
      <w:r>
        <w:rPr>
          <w:rStyle w:val="apple-converted-space"/>
          <w:rFonts w:eastAsiaTheme="majorEastAsia"/>
          <w:color w:val="000000"/>
        </w:rPr>
        <w:t> </w:t>
      </w:r>
      <w:r>
        <w:rPr>
          <w:rStyle w:val="Emphasis"/>
          <w:rFonts w:eastAsiaTheme="majorEastAsia"/>
          <w:color w:val="000000"/>
        </w:rPr>
        <w:t>Towards competent systems in early childhood education and care</w:t>
      </w:r>
      <w:r>
        <w:rPr>
          <w:color w:val="000000"/>
        </w:rPr>
        <w:t>. London: Routledge.</w:t>
      </w:r>
    </w:p>
    <w:p w14:paraId="403925F2" w14:textId="77777777" w:rsidR="0034452F" w:rsidRDefault="0034452F" w:rsidP="0034452F">
      <w:pPr>
        <w:pStyle w:val="NormalWeb"/>
        <w:rPr>
          <w:color w:val="000000"/>
        </w:rPr>
      </w:pPr>
      <w:r>
        <w:rPr>
          <w:color w:val="000000"/>
        </w:rPr>
        <w:t>Waniganayake, M., Cheeseman, S., Fenech, M., Hadley, F. and Shepherd, W. (2017)</w:t>
      </w:r>
      <w:r>
        <w:rPr>
          <w:rStyle w:val="apple-converted-space"/>
          <w:rFonts w:eastAsiaTheme="majorEastAsia"/>
          <w:color w:val="000000"/>
        </w:rPr>
        <w:t> </w:t>
      </w:r>
      <w:r>
        <w:rPr>
          <w:rStyle w:val="Emphasis"/>
          <w:rFonts w:eastAsiaTheme="majorEastAsia"/>
          <w:color w:val="000000"/>
        </w:rPr>
        <w:t>Leadership: Contexts and complexities in early childhood education</w:t>
      </w:r>
      <w:r>
        <w:rPr>
          <w:color w:val="000000"/>
        </w:rPr>
        <w:t>. Oxford: Oxford University Press.</w:t>
      </w:r>
    </w:p>
    <w:p w14:paraId="6B719DE3" w14:textId="77777777" w:rsidR="0034452F" w:rsidRDefault="0034452F" w:rsidP="0034452F">
      <w:pPr>
        <w:pStyle w:val="NormalWeb"/>
        <w:rPr>
          <w:color w:val="000000"/>
        </w:rPr>
      </w:pPr>
      <w:r>
        <w:rPr>
          <w:color w:val="000000"/>
        </w:rPr>
        <w:t>Welsh Government (2015)</w:t>
      </w:r>
      <w:r>
        <w:rPr>
          <w:rStyle w:val="apple-converted-space"/>
          <w:rFonts w:eastAsiaTheme="majorEastAsia"/>
          <w:color w:val="000000"/>
        </w:rPr>
        <w:t> </w:t>
      </w:r>
      <w:r>
        <w:rPr>
          <w:rStyle w:val="Emphasis"/>
          <w:rFonts w:eastAsiaTheme="majorEastAsia"/>
          <w:color w:val="000000"/>
        </w:rPr>
        <w:t>Well-being of Future Generations (Wales) Act 2015</w:t>
      </w:r>
      <w:r>
        <w:rPr>
          <w:color w:val="000000"/>
        </w:rPr>
        <w:t>. Cardiff: Welsh Government.</w:t>
      </w:r>
    </w:p>
    <w:p w14:paraId="07F78207" w14:textId="77777777" w:rsidR="006F10E5" w:rsidRDefault="006F10E5"/>
    <w:sectPr w:rsidR="006F10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C038E"/>
    <w:multiLevelType w:val="multilevel"/>
    <w:tmpl w:val="37368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A5C73"/>
    <w:multiLevelType w:val="multilevel"/>
    <w:tmpl w:val="ECC26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E174C3"/>
    <w:multiLevelType w:val="multilevel"/>
    <w:tmpl w:val="45986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B53BF6"/>
    <w:multiLevelType w:val="multilevel"/>
    <w:tmpl w:val="01AC9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397398"/>
    <w:multiLevelType w:val="multilevel"/>
    <w:tmpl w:val="BF943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AC6575"/>
    <w:multiLevelType w:val="multilevel"/>
    <w:tmpl w:val="0DAE3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881286"/>
    <w:multiLevelType w:val="multilevel"/>
    <w:tmpl w:val="958C9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A90B98"/>
    <w:multiLevelType w:val="multilevel"/>
    <w:tmpl w:val="0876E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080FB3"/>
    <w:multiLevelType w:val="multilevel"/>
    <w:tmpl w:val="E2B4C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E1527E"/>
    <w:multiLevelType w:val="multilevel"/>
    <w:tmpl w:val="D4344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28603F"/>
    <w:multiLevelType w:val="multilevel"/>
    <w:tmpl w:val="44C84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FE3F2B"/>
    <w:multiLevelType w:val="multilevel"/>
    <w:tmpl w:val="49A83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5D44CD"/>
    <w:multiLevelType w:val="multilevel"/>
    <w:tmpl w:val="60644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27709C"/>
    <w:multiLevelType w:val="multilevel"/>
    <w:tmpl w:val="D98A4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573927"/>
    <w:multiLevelType w:val="multilevel"/>
    <w:tmpl w:val="A2123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6338CE"/>
    <w:multiLevelType w:val="multilevel"/>
    <w:tmpl w:val="ED602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216396"/>
    <w:multiLevelType w:val="multilevel"/>
    <w:tmpl w:val="6A5A9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645A69"/>
    <w:multiLevelType w:val="multilevel"/>
    <w:tmpl w:val="7408D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970515"/>
    <w:multiLevelType w:val="multilevel"/>
    <w:tmpl w:val="3F948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123696"/>
    <w:multiLevelType w:val="multilevel"/>
    <w:tmpl w:val="9FAC3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485D70"/>
    <w:multiLevelType w:val="multilevel"/>
    <w:tmpl w:val="97B8E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476929"/>
    <w:multiLevelType w:val="multilevel"/>
    <w:tmpl w:val="1C6CB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9091688">
    <w:abstractNumId w:val="18"/>
  </w:num>
  <w:num w:numId="2" w16cid:durableId="188571132">
    <w:abstractNumId w:val="17"/>
  </w:num>
  <w:num w:numId="3" w16cid:durableId="1210991391">
    <w:abstractNumId w:val="15"/>
  </w:num>
  <w:num w:numId="4" w16cid:durableId="1089473335">
    <w:abstractNumId w:val="7"/>
  </w:num>
  <w:num w:numId="5" w16cid:durableId="773087867">
    <w:abstractNumId w:val="20"/>
  </w:num>
  <w:num w:numId="6" w16cid:durableId="1620650413">
    <w:abstractNumId w:val="13"/>
  </w:num>
  <w:num w:numId="7" w16cid:durableId="851534831">
    <w:abstractNumId w:val="21"/>
  </w:num>
  <w:num w:numId="8" w16cid:durableId="1067337324">
    <w:abstractNumId w:val="4"/>
  </w:num>
  <w:num w:numId="9" w16cid:durableId="2137598441">
    <w:abstractNumId w:val="8"/>
  </w:num>
  <w:num w:numId="10" w16cid:durableId="183130476">
    <w:abstractNumId w:val="1"/>
  </w:num>
  <w:num w:numId="11" w16cid:durableId="1997225674">
    <w:abstractNumId w:val="6"/>
  </w:num>
  <w:num w:numId="12" w16cid:durableId="1332444658">
    <w:abstractNumId w:val="2"/>
  </w:num>
  <w:num w:numId="13" w16cid:durableId="1475902693">
    <w:abstractNumId w:val="0"/>
  </w:num>
  <w:num w:numId="14" w16cid:durableId="1456680774">
    <w:abstractNumId w:val="5"/>
  </w:num>
  <w:num w:numId="15" w16cid:durableId="1917670497">
    <w:abstractNumId w:val="10"/>
  </w:num>
  <w:num w:numId="16" w16cid:durableId="1749233035">
    <w:abstractNumId w:val="9"/>
  </w:num>
  <w:num w:numId="17" w16cid:durableId="1693267519">
    <w:abstractNumId w:val="12"/>
  </w:num>
  <w:num w:numId="18" w16cid:durableId="252011902">
    <w:abstractNumId w:val="14"/>
  </w:num>
  <w:num w:numId="19" w16cid:durableId="1116022365">
    <w:abstractNumId w:val="11"/>
  </w:num>
  <w:num w:numId="20" w16cid:durableId="1816869437">
    <w:abstractNumId w:val="16"/>
  </w:num>
  <w:num w:numId="21" w16cid:durableId="1381251339">
    <w:abstractNumId w:val="19"/>
  </w:num>
  <w:num w:numId="22" w16cid:durableId="3184589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E22"/>
    <w:rsid w:val="00000B11"/>
    <w:rsid w:val="00034973"/>
    <w:rsid w:val="00037E31"/>
    <w:rsid w:val="00061120"/>
    <w:rsid w:val="000723F3"/>
    <w:rsid w:val="0007269E"/>
    <w:rsid w:val="001E1246"/>
    <w:rsid w:val="001F105A"/>
    <w:rsid w:val="002669C2"/>
    <w:rsid w:val="002B19E4"/>
    <w:rsid w:val="002D718B"/>
    <w:rsid w:val="00310D13"/>
    <w:rsid w:val="0034452F"/>
    <w:rsid w:val="0035043E"/>
    <w:rsid w:val="00414E7A"/>
    <w:rsid w:val="004D3F88"/>
    <w:rsid w:val="00512941"/>
    <w:rsid w:val="00604B82"/>
    <w:rsid w:val="00607BCD"/>
    <w:rsid w:val="00637DAA"/>
    <w:rsid w:val="006863D2"/>
    <w:rsid w:val="006B11D1"/>
    <w:rsid w:val="006F10E5"/>
    <w:rsid w:val="006F7670"/>
    <w:rsid w:val="007E3D89"/>
    <w:rsid w:val="007F0A07"/>
    <w:rsid w:val="008032A1"/>
    <w:rsid w:val="00806934"/>
    <w:rsid w:val="008633A3"/>
    <w:rsid w:val="00971095"/>
    <w:rsid w:val="00995EEC"/>
    <w:rsid w:val="0099662C"/>
    <w:rsid w:val="009D3382"/>
    <w:rsid w:val="00BB7E85"/>
    <w:rsid w:val="00BF2206"/>
    <w:rsid w:val="00C8058C"/>
    <w:rsid w:val="00CB640E"/>
    <w:rsid w:val="00D1792D"/>
    <w:rsid w:val="00D27A0E"/>
    <w:rsid w:val="00D35E22"/>
    <w:rsid w:val="00D40BD2"/>
    <w:rsid w:val="00EA6569"/>
    <w:rsid w:val="00F41F2E"/>
    <w:rsid w:val="00F4283C"/>
    <w:rsid w:val="00FA3DAA"/>
    <w:rsid w:val="00FE1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0E2BD"/>
  <w15:chartTrackingRefBased/>
  <w15:docId w15:val="{53B16CCA-B749-6340-8802-F21D1C3EE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0E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35E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5E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5E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5E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5E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5E2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5E2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5E2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5E2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E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5E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5E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5E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5E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5E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5E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5E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5E22"/>
    <w:rPr>
      <w:rFonts w:eastAsiaTheme="majorEastAsia" w:cstheme="majorBidi"/>
      <w:color w:val="272727" w:themeColor="text1" w:themeTint="D8"/>
    </w:rPr>
  </w:style>
  <w:style w:type="paragraph" w:styleId="Title">
    <w:name w:val="Title"/>
    <w:basedOn w:val="Normal"/>
    <w:next w:val="Normal"/>
    <w:link w:val="TitleChar"/>
    <w:uiPriority w:val="10"/>
    <w:qFormat/>
    <w:rsid w:val="00D35E2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E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5E2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5E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5E2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35E22"/>
    <w:rPr>
      <w:i/>
      <w:iCs/>
      <w:color w:val="404040" w:themeColor="text1" w:themeTint="BF"/>
    </w:rPr>
  </w:style>
  <w:style w:type="paragraph" w:styleId="ListParagraph">
    <w:name w:val="List Paragraph"/>
    <w:basedOn w:val="Normal"/>
    <w:uiPriority w:val="34"/>
    <w:qFormat/>
    <w:rsid w:val="00D35E22"/>
    <w:pPr>
      <w:ind w:left="720"/>
      <w:contextualSpacing/>
    </w:pPr>
  </w:style>
  <w:style w:type="character" w:styleId="IntenseEmphasis">
    <w:name w:val="Intense Emphasis"/>
    <w:basedOn w:val="DefaultParagraphFont"/>
    <w:uiPriority w:val="21"/>
    <w:qFormat/>
    <w:rsid w:val="00D35E22"/>
    <w:rPr>
      <w:i/>
      <w:iCs/>
      <w:color w:val="0F4761" w:themeColor="accent1" w:themeShade="BF"/>
    </w:rPr>
  </w:style>
  <w:style w:type="paragraph" w:styleId="IntenseQuote">
    <w:name w:val="Intense Quote"/>
    <w:basedOn w:val="Normal"/>
    <w:next w:val="Normal"/>
    <w:link w:val="IntenseQuoteChar"/>
    <w:uiPriority w:val="30"/>
    <w:qFormat/>
    <w:rsid w:val="00D35E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5E22"/>
    <w:rPr>
      <w:i/>
      <w:iCs/>
      <w:color w:val="0F4761" w:themeColor="accent1" w:themeShade="BF"/>
    </w:rPr>
  </w:style>
  <w:style w:type="character" w:styleId="IntenseReference">
    <w:name w:val="Intense Reference"/>
    <w:basedOn w:val="DefaultParagraphFont"/>
    <w:uiPriority w:val="32"/>
    <w:qFormat/>
    <w:rsid w:val="00D35E22"/>
    <w:rPr>
      <w:b/>
      <w:bCs/>
      <w:smallCaps/>
      <w:color w:val="0F4761" w:themeColor="accent1" w:themeShade="BF"/>
      <w:spacing w:val="5"/>
    </w:rPr>
  </w:style>
  <w:style w:type="character" w:styleId="Strong">
    <w:name w:val="Strong"/>
    <w:basedOn w:val="DefaultParagraphFont"/>
    <w:uiPriority w:val="22"/>
    <w:qFormat/>
    <w:rsid w:val="00D40BD2"/>
    <w:rPr>
      <w:b/>
      <w:bCs/>
    </w:rPr>
  </w:style>
  <w:style w:type="paragraph" w:styleId="NormalWeb">
    <w:name w:val="Normal (Web)"/>
    <w:basedOn w:val="Normal"/>
    <w:uiPriority w:val="99"/>
    <w:unhideWhenUsed/>
    <w:rsid w:val="00D40BD2"/>
    <w:pPr>
      <w:spacing w:before="100" w:beforeAutospacing="1" w:after="100" w:afterAutospacing="1"/>
    </w:pPr>
  </w:style>
  <w:style w:type="character" w:customStyle="1" w:styleId="apple-converted-space">
    <w:name w:val="apple-converted-space"/>
    <w:basedOn w:val="DefaultParagraphFont"/>
    <w:rsid w:val="00D40BD2"/>
  </w:style>
  <w:style w:type="character" w:customStyle="1" w:styleId="whitespace-normal">
    <w:name w:val="whitespace-normal"/>
    <w:basedOn w:val="DefaultParagraphFont"/>
    <w:rsid w:val="00D40BD2"/>
  </w:style>
  <w:style w:type="character" w:styleId="Emphasis">
    <w:name w:val="Emphasis"/>
    <w:basedOn w:val="DefaultParagraphFont"/>
    <w:uiPriority w:val="20"/>
    <w:qFormat/>
    <w:rsid w:val="00D40BD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11</Pages>
  <Words>2993</Words>
  <Characters>17063</Characters>
  <Application>Microsoft Office Word</Application>
  <DocSecurity>0</DocSecurity>
  <Lines>142</Lines>
  <Paragraphs>40</Paragraphs>
  <ScaleCrop>false</ScaleCrop>
  <Company/>
  <LinksUpToDate>false</LinksUpToDate>
  <CharactersWithSpaces>20016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38</cp:revision>
  <dcterms:created xsi:type="dcterms:W3CDTF">2026-03-27T12:59:00Z</dcterms:created>
  <dcterms:modified xsi:type="dcterms:W3CDTF">2026-04-02T20:18:00Z</dcterms:modified>
</cp:coreProperties>
</file>