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B5501" w14:textId="77777777" w:rsidR="00860866" w:rsidRPr="00860866" w:rsidRDefault="00860866">
      <w:pPr>
        <w:rPr>
          <w:sz w:val="44"/>
          <w:szCs w:val="44"/>
        </w:rPr>
      </w:pPr>
      <w:r w:rsidRPr="00860866">
        <w:rPr>
          <w:sz w:val="44"/>
          <w:szCs w:val="44"/>
        </w:rPr>
        <w:t xml:space="preserve">Voluntary Manslaughter </w:t>
      </w:r>
    </w:p>
    <w:p w14:paraId="02F964D3" w14:textId="77777777" w:rsidR="00860866" w:rsidRPr="00860866" w:rsidRDefault="00860866">
      <w:pPr>
        <w:rPr>
          <w:b/>
          <w:bCs/>
          <w:color w:val="FF0000"/>
          <w:sz w:val="28"/>
          <w:szCs w:val="28"/>
        </w:rPr>
      </w:pPr>
      <w:r w:rsidRPr="00860866">
        <w:rPr>
          <w:b/>
          <w:bCs/>
          <w:sz w:val="28"/>
          <w:szCs w:val="28"/>
          <w:u w:val="single"/>
        </w:rPr>
        <w:t xml:space="preserve"> The new partial defence of loss of control</w:t>
      </w:r>
      <w:r w:rsidRPr="00860866">
        <w:rPr>
          <w:b/>
          <w:bCs/>
          <w:sz w:val="28"/>
          <w:szCs w:val="28"/>
          <w:u w:val="single"/>
        </w:rPr>
        <w:t>:</w:t>
      </w:r>
      <w:r w:rsidRPr="00860866">
        <w:rPr>
          <w:b/>
          <w:bCs/>
          <w:sz w:val="28"/>
          <w:szCs w:val="28"/>
          <w:u w:val="single"/>
        </w:rPr>
        <w:t xml:space="preserve"> </w:t>
      </w:r>
      <w:r w:rsidRPr="00860866">
        <w:rPr>
          <w:b/>
          <w:bCs/>
          <w:i/>
          <w:iCs/>
          <w:color w:val="FF0000"/>
          <w:sz w:val="28"/>
          <w:szCs w:val="28"/>
        </w:rPr>
        <w:t>Dawson and Dawson [2021] EWCA Crim 40</w:t>
      </w:r>
    </w:p>
    <w:p w14:paraId="215C763F" w14:textId="77777777" w:rsidR="00860866" w:rsidRPr="00860866" w:rsidRDefault="00860866">
      <w:pPr>
        <w:rPr>
          <w:sz w:val="28"/>
          <w:szCs w:val="28"/>
        </w:rPr>
      </w:pPr>
      <w:r w:rsidRPr="00860866">
        <w:rPr>
          <w:sz w:val="28"/>
          <w:szCs w:val="28"/>
        </w:rPr>
        <w:t xml:space="preserve"> Carol Dawson (aged 73) and her son, Scott Dawson (aged 42), were convicted of the murder of V after a brutal and sustained attack. Scott Dawson appealed against his conviction on the basis that the trial judge should have left the defence of loss of control to the jury. Dismissing the appeal, the court concluded that there was an insufficient evidential basis for leaving loss of control to the jury. With the defence of loss of control, the judge must decide whether there is “sufficient evidence” for the defence to be left to the jury. There is a long line of case law which confirms that the judge needs to assess the evidence closely and be satisfied that there is sufficient evidence in respect of each of the elements of the defence. If there is insufficient evidence in respect of at least one element of the defence, the judge should not leave the defence to the jury. On the facts of this case, there was insufficient evidence on all three elements of the defence. </w:t>
      </w:r>
    </w:p>
    <w:p w14:paraId="3EE32587" w14:textId="77777777" w:rsidR="00860866" w:rsidRPr="00860866" w:rsidRDefault="00860866">
      <w:pPr>
        <w:rPr>
          <w:sz w:val="44"/>
          <w:szCs w:val="44"/>
        </w:rPr>
      </w:pPr>
    </w:p>
    <w:p w14:paraId="0D1F01E1" w14:textId="77777777" w:rsidR="00860866" w:rsidRPr="00860866" w:rsidRDefault="00860866">
      <w:pPr>
        <w:rPr>
          <w:sz w:val="44"/>
          <w:szCs w:val="44"/>
        </w:rPr>
      </w:pPr>
      <w:r w:rsidRPr="00860866">
        <w:rPr>
          <w:sz w:val="44"/>
          <w:szCs w:val="44"/>
        </w:rPr>
        <w:t xml:space="preserve">Involuntary Manslaughter </w:t>
      </w:r>
    </w:p>
    <w:p w14:paraId="76346B56" w14:textId="77777777" w:rsidR="00860866" w:rsidRPr="00860866" w:rsidRDefault="00860866">
      <w:pPr>
        <w:rPr>
          <w:b/>
          <w:bCs/>
          <w:sz w:val="28"/>
          <w:szCs w:val="28"/>
          <w:u w:val="single"/>
        </w:rPr>
      </w:pPr>
      <w:r w:rsidRPr="00860866">
        <w:rPr>
          <w:sz w:val="28"/>
          <w:szCs w:val="28"/>
          <w:u w:val="single"/>
        </w:rPr>
        <w:t xml:space="preserve"> </w:t>
      </w:r>
      <w:r w:rsidRPr="00860866">
        <w:rPr>
          <w:b/>
          <w:bCs/>
          <w:sz w:val="28"/>
          <w:szCs w:val="28"/>
          <w:u w:val="single"/>
        </w:rPr>
        <w:t xml:space="preserve">The negligence was gross </w:t>
      </w:r>
    </w:p>
    <w:p w14:paraId="22897F4C" w14:textId="77777777" w:rsidR="00860866" w:rsidRPr="00860866" w:rsidRDefault="00860866">
      <w:pPr>
        <w:rPr>
          <w:sz w:val="28"/>
          <w:szCs w:val="28"/>
        </w:rPr>
      </w:pPr>
      <w:r w:rsidRPr="00860866">
        <w:rPr>
          <w:sz w:val="28"/>
          <w:szCs w:val="28"/>
        </w:rPr>
        <w:t xml:space="preserve">In </w:t>
      </w:r>
      <w:r w:rsidRPr="00860866">
        <w:rPr>
          <w:b/>
          <w:bCs/>
          <w:i/>
          <w:iCs/>
          <w:color w:val="FF0000"/>
          <w:sz w:val="28"/>
          <w:szCs w:val="28"/>
        </w:rPr>
        <w:t>Broughton [2020] EWCA Crim 1093</w:t>
      </w:r>
      <w:r w:rsidRPr="00860866">
        <w:rPr>
          <w:color w:val="FF0000"/>
          <w:sz w:val="28"/>
          <w:szCs w:val="28"/>
        </w:rPr>
        <w:t xml:space="preserve"> </w:t>
      </w:r>
      <w:r w:rsidRPr="00860866">
        <w:rPr>
          <w:sz w:val="28"/>
          <w:szCs w:val="28"/>
        </w:rPr>
        <w:t xml:space="preserve">the defendant appealed against his conviction of gross negligence manslaughter, arguing that the judge should have withdrawn the case from the jury. D, who was V’s boyfriend, had supplied her with Class A drugs at a music festival. V experienced a bad reaction to the drugs and died approximately five hours later. At V’s request, D videoed her while she was feeling unwell. D twice asked someone to get medical assistance but was mistaken as to the location, causing medical staff to be wrongly directed. The prosecution case was that, having supplied the drugs and remained with V, D had owed her a duty of care to secure timely medical assistance as her condition deteriorated to the point where her life was </w:t>
      </w:r>
      <w:r w:rsidRPr="00860866">
        <w:rPr>
          <w:sz w:val="28"/>
          <w:szCs w:val="28"/>
        </w:rPr>
        <w:lastRenderedPageBreak/>
        <w:t>obviously in danger. His failure to do so was said to be a substantial cause of her death. Allowing D’s appeal, the court held that the evidence was not capable of establishing causation and the case should have been withdrawn from the jury. The court made the following points about the rules on causation and the requirement for a serious and obvious risk of death:</w:t>
      </w:r>
    </w:p>
    <w:p w14:paraId="135A2AB6" w14:textId="77777777" w:rsidR="00860866" w:rsidRPr="00860866" w:rsidRDefault="00860866">
      <w:pPr>
        <w:rPr>
          <w:sz w:val="28"/>
          <w:szCs w:val="28"/>
        </w:rPr>
      </w:pPr>
      <w:r w:rsidRPr="00860866">
        <w:rPr>
          <w:sz w:val="28"/>
          <w:szCs w:val="28"/>
        </w:rPr>
        <w:t xml:space="preserve"> • the test for causation in homicide cases was that the prosecution should prove that D’s act or omission was a significant contributory cause of death, rather than the sole or main cause; </w:t>
      </w:r>
    </w:p>
    <w:p w14:paraId="02B66D83" w14:textId="77777777" w:rsidR="00860866" w:rsidRPr="00860866" w:rsidRDefault="00860866">
      <w:pPr>
        <w:rPr>
          <w:sz w:val="28"/>
          <w:szCs w:val="28"/>
        </w:rPr>
      </w:pPr>
      <w:r w:rsidRPr="00860866">
        <w:rPr>
          <w:sz w:val="28"/>
          <w:szCs w:val="28"/>
        </w:rPr>
        <w:t xml:space="preserve">• for D to have been guilty on the facts, the jury must be satisfied that, at the time when V’s condition was such that there was a serious and obvious risk of death, D was grossly negligent in failing to obtain medical assistance and that such assistance would have saved her life; </w:t>
      </w:r>
    </w:p>
    <w:p w14:paraId="658E0EEF" w14:textId="77777777" w:rsidR="00860866" w:rsidRPr="00860866" w:rsidRDefault="00860866">
      <w:pPr>
        <w:rPr>
          <w:sz w:val="28"/>
          <w:szCs w:val="28"/>
        </w:rPr>
      </w:pPr>
      <w:r w:rsidRPr="00860866">
        <w:rPr>
          <w:sz w:val="28"/>
          <w:szCs w:val="28"/>
        </w:rPr>
        <w:t xml:space="preserve">• the prosecution should have focused on the point when V’s condition reached the threshold of serious and obvious risk of death, what D should have done at that time, and the prospects of survival at that point. The prosecution had not done this and had asked the jury to consider events over a five-hour period; </w:t>
      </w:r>
    </w:p>
    <w:p w14:paraId="46D789EF" w14:textId="77777777" w:rsidR="00860866" w:rsidRPr="00860866" w:rsidRDefault="00860866">
      <w:pPr>
        <w:rPr>
          <w:sz w:val="28"/>
          <w:szCs w:val="28"/>
        </w:rPr>
      </w:pPr>
      <w:r w:rsidRPr="00860866">
        <w:rPr>
          <w:sz w:val="28"/>
          <w:szCs w:val="28"/>
        </w:rPr>
        <w:t>• it was not in doubt that the drugs caused the death and that medical intervention could have saved V. There was no evidence of a non-expert nature which could help to answer the question on causation. The only available evidence was the expert medical opinion. The expert opinion was that V had a 9 per cent chance of survival, with medical help, several hours after she reported being unwell. This left a realistic possibility that she would have lived. Thus, the evidence was not capable of establishing causation to the criminal standard and the case should have been withdrawn from the jury. A jury could not be satisfied that D’s breach of duty, at that time, was a significant contributory cause of death.</w:t>
      </w:r>
    </w:p>
    <w:p w14:paraId="171E350B" w14:textId="77777777" w:rsidR="00860866" w:rsidRPr="00860866" w:rsidRDefault="00860866">
      <w:pPr>
        <w:rPr>
          <w:sz w:val="28"/>
          <w:szCs w:val="28"/>
        </w:rPr>
      </w:pPr>
      <w:r w:rsidRPr="00860866">
        <w:rPr>
          <w:sz w:val="28"/>
          <w:szCs w:val="28"/>
        </w:rPr>
        <w:t xml:space="preserve"> </w:t>
      </w:r>
      <w:proofErr w:type="spellStart"/>
      <w:r w:rsidRPr="00860866">
        <w:rPr>
          <w:b/>
          <w:bCs/>
          <w:i/>
          <w:iCs/>
          <w:color w:val="FF0000"/>
          <w:sz w:val="28"/>
          <w:szCs w:val="28"/>
        </w:rPr>
        <w:t>Rebelo</w:t>
      </w:r>
      <w:proofErr w:type="spellEnd"/>
      <w:r w:rsidRPr="00860866">
        <w:rPr>
          <w:b/>
          <w:bCs/>
          <w:i/>
          <w:iCs/>
          <w:color w:val="FF0000"/>
          <w:sz w:val="28"/>
          <w:szCs w:val="28"/>
        </w:rPr>
        <w:t xml:space="preserve"> [2021] EWCA Crim 306</w:t>
      </w:r>
      <w:r w:rsidRPr="00860866">
        <w:rPr>
          <w:color w:val="FF0000"/>
          <w:sz w:val="28"/>
          <w:szCs w:val="28"/>
        </w:rPr>
        <w:t xml:space="preserve"> </w:t>
      </w:r>
      <w:r w:rsidRPr="00860866">
        <w:rPr>
          <w:sz w:val="28"/>
          <w:szCs w:val="28"/>
        </w:rPr>
        <w:t xml:space="preserve">D appealed against his conviction after a retrial for gross negligence manslaughter. D and two co-defendants had established a business selling dinitrophenol (DNP) as a food supplement which was claimed to promote weight loss. Whilst often marketed as a slimming pill, DNP was an </w:t>
      </w:r>
      <w:r w:rsidRPr="00860866">
        <w:rPr>
          <w:sz w:val="28"/>
          <w:szCs w:val="28"/>
        </w:rPr>
        <w:lastRenderedPageBreak/>
        <w:t xml:space="preserve">industrial chemical that was not safe for human consumption. Its toxic effects included kidney failure, liver failure and cardiac arrest. Between February and April 2015 a 21-year-old woman (V) purchased DNP from D’s website. V suffered from an eating disorder, depression and personality disorders, and had a history of self-harming, including overdosing. She became unable to control her use of the pills. On 12 April V went on an eating binge and then took eight DNP capsules over several hours. She later suffered a cardiac arrest and died. D was convicted of gross negligence manslaughter. The prosecution had argued that the supply of the tablets constituted a gross breach of the duty of care owed to V in circumstances which created an obvious and serious risk of death. The defence contended that selling DNP did not cause V’s death, that D bore no responsibility for her ingesting it and that he could not have foreseen that she would take an overdose. On appeal, the gross negligence manslaughter conviction was quashed because the jury direction on causation was defective. The Court of Appeal provided a suggested direction for the judge on retrial, going to the issue of whether V made a “fully free, voluntary and informed” decision which eclipsed D’s gross negligence. On retrial, D was again convicted. D again appealed to the Court of Appeal, arguing that the judge had failed to follow the suggested direction by not directing that even if the jury concluded that V’s decision was not fully free and voluntary, they still had to assess whether the decision to take that amount of DNP was such that it could be said “to eclipse” D’s gross negligence. Dismissing the appeal, the court held that the judge gave a much fuller direction than that suggested. She explained that it was for the prosecution to make the jury sure that V “did not make a fully free, voluntary and informed decision to risk death” by taking the amount of DNP she did, spelling out that if her decision was fully free, voluntary and informed, or might have been, then as a matter of law her death was caused by her free choice because,  in those circumstances, D set the scene for her to make that decision but he did not cause her death. The judge went on to address the matters raised in the second part of the suggested direction with clarity. Capacity was addressed in some depth, as was the amount of DNP which the deceased took. The judge pointed out that whilst the prosecution’s case was that there was no such thing as a safe dose, it was the defence case that V “had conducted substantial research so knew full well </w:t>
      </w:r>
      <w:r w:rsidRPr="00860866">
        <w:rPr>
          <w:sz w:val="28"/>
          <w:szCs w:val="28"/>
        </w:rPr>
        <w:lastRenderedPageBreak/>
        <w:t>what risks she was taking”. There could be no doubt that the jury would have had in mind that it was for them to consider the significance of the fact that the deceased took as much DNP as she did, as part of the balancing exercise which their assessment of the issue of causation required.</w:t>
      </w:r>
    </w:p>
    <w:p w14:paraId="0ECB8C7D" w14:textId="77777777" w:rsidR="00860866" w:rsidRPr="00860866" w:rsidRDefault="00860866">
      <w:pPr>
        <w:rPr>
          <w:sz w:val="28"/>
          <w:szCs w:val="28"/>
        </w:rPr>
      </w:pPr>
      <w:r w:rsidRPr="00860866">
        <w:rPr>
          <w:b/>
          <w:bCs/>
          <w:sz w:val="28"/>
          <w:szCs w:val="28"/>
          <w:u w:val="single"/>
        </w:rPr>
        <w:t xml:space="preserve"> The unlawful act must be a dangerous act</w:t>
      </w:r>
      <w:r w:rsidRPr="00860866">
        <w:rPr>
          <w:sz w:val="28"/>
          <w:szCs w:val="28"/>
        </w:rPr>
        <w:t xml:space="preserve"> </w:t>
      </w:r>
    </w:p>
    <w:p w14:paraId="60849538" w14:textId="7CE5967F" w:rsidR="00860866" w:rsidRPr="00860866" w:rsidRDefault="00860866">
      <w:pPr>
        <w:rPr>
          <w:sz w:val="28"/>
          <w:szCs w:val="28"/>
        </w:rPr>
      </w:pPr>
      <w:r w:rsidRPr="00860866">
        <w:rPr>
          <w:sz w:val="28"/>
          <w:szCs w:val="28"/>
        </w:rPr>
        <w:t xml:space="preserve">In </w:t>
      </w:r>
      <w:r w:rsidRPr="00860866">
        <w:rPr>
          <w:b/>
          <w:bCs/>
          <w:i/>
          <w:iCs/>
          <w:color w:val="FF0000"/>
          <w:sz w:val="28"/>
          <w:szCs w:val="28"/>
        </w:rPr>
        <w:t>Long, Bowers and Cole [2020] EWCA Crim 1729,</w:t>
      </w:r>
      <w:r w:rsidRPr="00860866">
        <w:rPr>
          <w:color w:val="FF0000"/>
          <w:sz w:val="28"/>
          <w:szCs w:val="28"/>
        </w:rPr>
        <w:t xml:space="preserve"> </w:t>
      </w:r>
      <w:r w:rsidRPr="00860866">
        <w:rPr>
          <w:sz w:val="28"/>
          <w:szCs w:val="28"/>
        </w:rPr>
        <w:t xml:space="preserve">the Court of Appeal considered the elements of unlawful act manslaughter. The applicants had stolen a quad bike, which was initially attached to their getaway vehicle by a strap. Cole detached the bike when they were approached by a police vehicle responding to the theft. When one of the officer’s got out of the police vehicle, the applicants, with Long driving, made off at speed. The officer’s feet became caught in the strap. He fell onto the road and was dragged along behind the car for over a mile. Knowing that something was caught in the loop, Long drove from side to side, trying to detach whatever was caught. The police officer died as a result. Bowers and Cole applied for leave to appeal against their convictions for unlawful act manslaughter. Leave was refused, with the court holding that that Bowers and Cole had both been properly convicted of unlawful act manslaughter as secondary parties. The modern foundation of the offence is the decision in Church [1966] which established that “the unlawful act must be such as all sober and reasonable people would inevitably recognise must subject the other person to, at least, the risk of some harm resulting therefrom, albeit not serious harm.” Bowers and Cole argued that theft is not an offence of violence. It cannot give rise to any risk of harm. It is unlawful but not dangerous and could not provide the foundation for an offence of unlawful act manslaughter. In addition, by the time that V’s death was caused, the theft of the quad bike was complete. Any continuing appropriation must have come to an end at the point of the detaching of the quad bike from the strap. The act of escape of itself was not unlawful. Neither Bowers nor Cole were in lawful custody. The unlawful act relied on by the prosecution had to be the dangerous nature of the driving. Driving of itself is a lawful act. It is only rendered unlawful if criminal liability arises in the manner of its commission. These arguments were rejected by the Court of Appeal. Rejecting these arguments, the court referred to the decision in Bristow [2013]. In that case, a </w:t>
      </w:r>
      <w:r w:rsidRPr="00860866">
        <w:rPr>
          <w:sz w:val="28"/>
          <w:szCs w:val="28"/>
        </w:rPr>
        <w:lastRenderedPageBreak/>
        <w:t>group of men conspired to burgle workshops in a relatively remote area of the Sussex countryside. The group went to the workshops late at night in more than one vehicle. The owner of the workshops lived nearby. He heard the noise of the burglars breaking in and went to investigate. The burglars realised that they had been interrupted and made off in their vehicles. In the course of their escape the owner of the workshops was struck by one of the vehicles and suffered fatal injuries. There was evidence entitling the jury to conclude that it was part of the agreement to burgle that, in the event of someone interrupting or confronting the burglars, there would be an escape carried out with speed and determination irrespective of any obstacle. Thus, there was a risk of harm to whoever was in the way. The defendants were convicted of unlawful act manslaughter and conspiracy to burgle. HQ03 © CLS 6 Paragraph 34 of the judgement in Bristow stated: “Whilst burglary of itself is not a dangerous crime, a particular burglary may be dangerous because of the circumstances surrounding its commission. We consider that the features identified by the Crown….[as summarised above]…..were capable of making this burglary dangerous when coupled with foresight of the risk of intervention to prevent escape.” It followed that the theft in Bowers and Cole’s case was a dangerous unlawful act.</w:t>
      </w:r>
    </w:p>
    <w:sectPr w:rsidR="00860866" w:rsidRPr="008608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866"/>
    <w:rsid w:val="004D3199"/>
    <w:rsid w:val="00860866"/>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4BE6"/>
  <w15:chartTrackingRefBased/>
  <w15:docId w15:val="{86F16763-B12A-4207-A0B1-C07C50180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866"/>
  </w:style>
  <w:style w:type="paragraph" w:styleId="Heading1">
    <w:name w:val="heading 1"/>
    <w:basedOn w:val="Normal"/>
    <w:next w:val="Normal"/>
    <w:link w:val="Heading1Char"/>
    <w:uiPriority w:val="9"/>
    <w:qFormat/>
    <w:rsid w:val="0086086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86086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86086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86086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86086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86086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86086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86086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86086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866"/>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86086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86086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86086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86086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86086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86086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86086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86086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860866"/>
    <w:pPr>
      <w:spacing w:line="240" w:lineRule="auto"/>
    </w:pPr>
    <w:rPr>
      <w:b/>
      <w:bCs/>
      <w:smallCaps/>
      <w:color w:val="595959" w:themeColor="text1" w:themeTint="A6"/>
    </w:rPr>
  </w:style>
  <w:style w:type="paragraph" w:styleId="Title">
    <w:name w:val="Title"/>
    <w:basedOn w:val="Normal"/>
    <w:next w:val="Normal"/>
    <w:link w:val="TitleChar"/>
    <w:uiPriority w:val="10"/>
    <w:qFormat/>
    <w:rsid w:val="0086086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6086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6086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60866"/>
    <w:rPr>
      <w:rFonts w:asciiTheme="majorHAnsi" w:eastAsiaTheme="majorEastAsia" w:hAnsiTheme="majorHAnsi" w:cstheme="majorBidi"/>
      <w:sz w:val="30"/>
      <w:szCs w:val="30"/>
    </w:rPr>
  </w:style>
  <w:style w:type="character" w:styleId="Strong">
    <w:name w:val="Strong"/>
    <w:basedOn w:val="DefaultParagraphFont"/>
    <w:uiPriority w:val="22"/>
    <w:qFormat/>
    <w:rsid w:val="00860866"/>
    <w:rPr>
      <w:b/>
      <w:bCs/>
    </w:rPr>
  </w:style>
  <w:style w:type="character" w:styleId="Emphasis">
    <w:name w:val="Emphasis"/>
    <w:basedOn w:val="DefaultParagraphFont"/>
    <w:uiPriority w:val="20"/>
    <w:qFormat/>
    <w:rsid w:val="00860866"/>
    <w:rPr>
      <w:i/>
      <w:iCs/>
      <w:color w:val="70AD47" w:themeColor="accent6"/>
    </w:rPr>
  </w:style>
  <w:style w:type="paragraph" w:styleId="NoSpacing">
    <w:name w:val="No Spacing"/>
    <w:uiPriority w:val="1"/>
    <w:qFormat/>
    <w:rsid w:val="00860866"/>
    <w:pPr>
      <w:spacing w:after="0" w:line="240" w:lineRule="auto"/>
    </w:pPr>
  </w:style>
  <w:style w:type="paragraph" w:styleId="Quote">
    <w:name w:val="Quote"/>
    <w:basedOn w:val="Normal"/>
    <w:next w:val="Normal"/>
    <w:link w:val="QuoteChar"/>
    <w:uiPriority w:val="29"/>
    <w:qFormat/>
    <w:rsid w:val="0086086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60866"/>
    <w:rPr>
      <w:i/>
      <w:iCs/>
      <w:color w:val="262626" w:themeColor="text1" w:themeTint="D9"/>
    </w:rPr>
  </w:style>
  <w:style w:type="paragraph" w:styleId="IntenseQuote">
    <w:name w:val="Intense Quote"/>
    <w:basedOn w:val="Normal"/>
    <w:next w:val="Normal"/>
    <w:link w:val="IntenseQuoteChar"/>
    <w:uiPriority w:val="30"/>
    <w:qFormat/>
    <w:rsid w:val="0086086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86086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860866"/>
    <w:rPr>
      <w:i/>
      <w:iCs/>
    </w:rPr>
  </w:style>
  <w:style w:type="character" w:styleId="IntenseEmphasis">
    <w:name w:val="Intense Emphasis"/>
    <w:basedOn w:val="DefaultParagraphFont"/>
    <w:uiPriority w:val="21"/>
    <w:qFormat/>
    <w:rsid w:val="00860866"/>
    <w:rPr>
      <w:b/>
      <w:bCs/>
      <w:i/>
      <w:iCs/>
    </w:rPr>
  </w:style>
  <w:style w:type="character" w:styleId="SubtleReference">
    <w:name w:val="Subtle Reference"/>
    <w:basedOn w:val="DefaultParagraphFont"/>
    <w:uiPriority w:val="31"/>
    <w:qFormat/>
    <w:rsid w:val="00860866"/>
    <w:rPr>
      <w:smallCaps/>
      <w:color w:val="595959" w:themeColor="text1" w:themeTint="A6"/>
    </w:rPr>
  </w:style>
  <w:style w:type="character" w:styleId="IntenseReference">
    <w:name w:val="Intense Reference"/>
    <w:basedOn w:val="DefaultParagraphFont"/>
    <w:uiPriority w:val="32"/>
    <w:qFormat/>
    <w:rsid w:val="00860866"/>
    <w:rPr>
      <w:b/>
      <w:bCs/>
      <w:smallCaps/>
      <w:color w:val="70AD47" w:themeColor="accent6"/>
    </w:rPr>
  </w:style>
  <w:style w:type="character" w:styleId="BookTitle">
    <w:name w:val="Book Title"/>
    <w:basedOn w:val="DefaultParagraphFont"/>
    <w:uiPriority w:val="33"/>
    <w:qFormat/>
    <w:rsid w:val="00860866"/>
    <w:rPr>
      <w:b/>
      <w:bCs/>
      <w:caps w:val="0"/>
      <w:smallCaps/>
      <w:spacing w:val="7"/>
      <w:sz w:val="21"/>
      <w:szCs w:val="21"/>
    </w:rPr>
  </w:style>
  <w:style w:type="paragraph" w:styleId="TOCHeading">
    <w:name w:val="TOC Heading"/>
    <w:basedOn w:val="Heading1"/>
    <w:next w:val="Normal"/>
    <w:uiPriority w:val="39"/>
    <w:semiHidden/>
    <w:unhideWhenUsed/>
    <w:qFormat/>
    <w:rsid w:val="0086086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1576</Words>
  <Characters>8985</Characters>
  <Application>Microsoft Office Word</Application>
  <DocSecurity>0</DocSecurity>
  <Lines>74</Lines>
  <Paragraphs>21</Paragraphs>
  <ScaleCrop>false</ScaleCrop>
  <Company>University of Wales Trinity Saint David</Company>
  <LinksUpToDate>false</LinksUpToDate>
  <CharactersWithSpaces>10540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2021-10-12T14:33:00Z</dcterms:created>
  <dcterms:modified xsi:type="dcterms:W3CDTF">2021-10-12T14:38:00Z</dcterms:modified>
</cp:coreProperties>
</file>