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4FE7257F" wp14:textId="090B1BBB"/>
    <w:p xmlns:wp14="http://schemas.microsoft.com/office/word/2010/wordml" w:rsidP="6DEF793D" wp14:paraId="2A7E0055" wp14:textId="659DDE1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1EDB879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In recent years, sustainable tourism and sustainable development have become key priorities across the global tourism industry. </w:t>
      </w:r>
      <w:r w:rsidRPr="6DEF793D" w:rsidR="1EDB8798">
        <w:rPr>
          <w:rFonts w:ascii="Arial Nova" w:hAnsi="Arial Nova" w:eastAsia="Arial Nova" w:cs="Arial Nova"/>
          <w:b w:val="0"/>
          <w:bCs w:val="0"/>
          <w:i w:val="0"/>
          <w:iCs w:val="0"/>
          <w:caps w:val="0"/>
          <w:smallCaps w:val="0"/>
          <w:noProof w:val="0"/>
          <w:color w:val="000000" w:themeColor="text1" w:themeTint="FF" w:themeShade="FF"/>
          <w:sz w:val="24"/>
          <w:szCs w:val="24"/>
          <w:lang w:val="en-GB"/>
        </w:rPr>
        <w:t>This assignment will be to present an overview of</w:t>
      </w:r>
      <w:r w:rsidRPr="6DEF793D" w:rsidR="1EDB879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progress of sustainable tourism, focusing on developments in Asia and the role of Corporate Social Responsibility (CSR) in shaping ethical and environmentally conscious tourism practices. This essay will critically review how sustainability has been integrated into tourism policies and strategies across various Asian destinations and assess the effectiveness of these approaches in promoting responsible development and community wellbeing.</w:t>
      </w:r>
    </w:p>
    <w:p xmlns:wp14="http://schemas.microsoft.com/office/word/2010/wordml" w:rsidP="6DEF793D" wp14:paraId="6B342771" wp14:textId="12CB7C79">
      <w:pPr>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Sustainable tourism has become a global priority as destinations </w:t>
      </w:r>
      <w:r w:rsidRPr="6DEF793D" w:rsidR="131C3C89">
        <w:rPr>
          <w:rFonts w:ascii="Arial Nova" w:hAnsi="Arial Nova" w:eastAsia="Arial Nova" w:cs="Arial Nova"/>
          <w:sz w:val="24"/>
          <w:szCs w:val="24"/>
        </w:rPr>
        <w:t xml:space="preserve">relies </w:t>
      </w:r>
      <w:r w:rsidRPr="6DEF793D" w:rsidR="131C3C89">
        <w:rPr>
          <w:rFonts w:ascii="Arial Nova" w:hAnsi="Arial Nova" w:eastAsia="Arial Nova" w:cs="Arial Nova"/>
          <w:sz w:val="24"/>
          <w:szCs w:val="24"/>
        </w:rPr>
        <w:t>on the</w:t>
      </w:r>
      <w:r w:rsidRPr="6DEF793D" w:rsidR="04566A80">
        <w:rPr>
          <w:rFonts w:ascii="Arial Nova" w:hAnsi="Arial Nova" w:eastAsia="Arial Nova" w:cs="Arial Nova"/>
          <w:sz w:val="24"/>
          <w:szCs w:val="24"/>
        </w:rPr>
        <w:t xml:space="preserve"> environmental, </w:t>
      </w:r>
      <w:r w:rsidRPr="6DEF793D" w:rsidR="04566A80">
        <w:rPr>
          <w:rFonts w:ascii="Arial Nova" w:hAnsi="Arial Nova" w:eastAsia="Arial Nova" w:cs="Arial Nova"/>
          <w:sz w:val="24"/>
          <w:szCs w:val="24"/>
        </w:rPr>
        <w:t>social</w:t>
      </w:r>
      <w:r w:rsidRPr="6DEF793D" w:rsidR="04566A80">
        <w:rPr>
          <w:rFonts w:ascii="Arial Nova" w:hAnsi="Arial Nova" w:eastAsia="Arial Nova" w:cs="Arial Nova"/>
          <w:sz w:val="24"/>
          <w:szCs w:val="24"/>
        </w:rPr>
        <w:t xml:space="preserve"> and economic pressures of rapid tourism growth. Before the COVID-19 pandemic, international tourism reached a record 1.5 billion arrivals (UNWTO, 2020) and contributed approximately 10.3% of global GDP (WTTC, 2019). Although numbers declined sharply during the pandemic, by 2023 the tourism sector had recovered to 88% of pre-pandemic levels, reaffirming its critical economic significance (UNWTO, 2023). </w:t>
      </w:r>
    </w:p>
    <w:p xmlns:wp14="http://schemas.microsoft.com/office/word/2010/wordml" w:rsidP="6DEF793D" wp14:paraId="1D6171E7" wp14:textId="459FD951">
      <w:pPr>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Travel and tourism also support more than 330 million jobs worldwide, making the industry vital for poverty reduction, community </w:t>
      </w:r>
      <w:r w:rsidRPr="6DEF793D" w:rsidR="04566A80">
        <w:rPr>
          <w:rFonts w:ascii="Arial Nova" w:hAnsi="Arial Nova" w:eastAsia="Arial Nova" w:cs="Arial Nova"/>
          <w:sz w:val="24"/>
          <w:szCs w:val="24"/>
        </w:rPr>
        <w:t>development</w:t>
      </w:r>
      <w:r w:rsidRPr="6DEF793D" w:rsidR="04566A80">
        <w:rPr>
          <w:rFonts w:ascii="Arial Nova" w:hAnsi="Arial Nova" w:eastAsia="Arial Nova" w:cs="Arial Nova"/>
          <w:sz w:val="24"/>
          <w:szCs w:val="24"/>
        </w:rPr>
        <w:t xml:space="preserve"> and global economic stability (WTTC, 2022). As tourism continues to grow, sustainability has become essential to ensure that social, </w:t>
      </w:r>
      <w:r w:rsidRPr="6DEF793D" w:rsidR="04566A80">
        <w:rPr>
          <w:rFonts w:ascii="Arial Nova" w:hAnsi="Arial Nova" w:eastAsia="Arial Nova" w:cs="Arial Nova"/>
          <w:sz w:val="24"/>
          <w:szCs w:val="24"/>
        </w:rPr>
        <w:t>environmental</w:t>
      </w:r>
      <w:r w:rsidRPr="6DEF793D" w:rsidR="04566A80">
        <w:rPr>
          <w:rFonts w:ascii="Arial Nova" w:hAnsi="Arial Nova" w:eastAsia="Arial Nova" w:cs="Arial Nova"/>
          <w:sz w:val="24"/>
          <w:szCs w:val="24"/>
        </w:rPr>
        <w:t xml:space="preserve"> and cultural assets are preserved for future generations.</w:t>
      </w:r>
    </w:p>
    <w:p xmlns:wp14="http://schemas.microsoft.com/office/word/2010/wordml" w:rsidP="6DEF793D" wp14:paraId="3F627A14" wp14:textId="5ACFC4F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Sustainable tourism is defined by the UNWTO (2022) as an approach that “fully considers its current and future economic, social and environmental impacts,” balancing the needs of visitors, host </w:t>
      </w:r>
      <w:r w:rsidRPr="6DEF793D" w:rsidR="04566A80">
        <w:rPr>
          <w:rFonts w:ascii="Arial Nova" w:hAnsi="Arial Nova" w:eastAsia="Arial Nova" w:cs="Arial Nova"/>
          <w:sz w:val="24"/>
          <w:szCs w:val="24"/>
        </w:rPr>
        <w:t>communities</w:t>
      </w:r>
      <w:r w:rsidRPr="6DEF793D" w:rsidR="04566A80">
        <w:rPr>
          <w:rFonts w:ascii="Arial Nova" w:hAnsi="Arial Nova" w:eastAsia="Arial Nova" w:cs="Arial Nova"/>
          <w:sz w:val="24"/>
          <w:szCs w:val="24"/>
        </w:rPr>
        <w:t xml:space="preserve"> and the environment. The Global Sustainable Tourism Council (2022) similarly emphasises the need to recognise and manage tourism’s positive and negative effects. As global environmental challenges in</w:t>
      </w:r>
      <w:r w:rsidRPr="6DEF793D" w:rsidR="2293790E">
        <w:rPr>
          <w:rFonts w:ascii="Arial Nova" w:hAnsi="Arial Nova" w:eastAsia="Arial Nova" w:cs="Arial Nova"/>
          <w:sz w:val="24"/>
          <w:szCs w:val="24"/>
        </w:rPr>
        <w:t>crease</w:t>
      </w:r>
      <w:r w:rsidRPr="6DEF793D" w:rsidR="026BBF94">
        <w:rPr>
          <w:rFonts w:ascii="Arial Nova" w:hAnsi="Arial Nova" w:eastAsia="Arial Nova" w:cs="Arial Nova"/>
          <w:sz w:val="24"/>
          <w:szCs w:val="24"/>
        </w:rPr>
        <w:t xml:space="preserve"> </w:t>
      </w:r>
      <w:r w:rsidRPr="6DEF793D" w:rsidR="04566A80">
        <w:rPr>
          <w:rFonts w:ascii="Arial Nova" w:hAnsi="Arial Nova" w:eastAsia="Arial Nova" w:cs="Arial Nova"/>
          <w:sz w:val="24"/>
          <w:szCs w:val="24"/>
        </w:rPr>
        <w:t>such as climate change, biodiversity loss and resource depletion</w:t>
      </w:r>
      <w:r w:rsidRPr="6DEF793D" w:rsidR="2EE6A62D">
        <w:rPr>
          <w:rFonts w:ascii="Arial Nova" w:hAnsi="Arial Nova" w:eastAsia="Arial Nova" w:cs="Arial Nova"/>
          <w:sz w:val="24"/>
          <w:szCs w:val="24"/>
        </w:rPr>
        <w:t xml:space="preserve">. </w:t>
      </w:r>
    </w:p>
    <w:p xmlns:wp14="http://schemas.microsoft.com/office/word/2010/wordml" w:rsidP="6DEF793D" wp14:paraId="3F807468" wp14:textId="16F0E9DD">
      <w:pPr>
        <w:pStyle w:val="Normal"/>
        <w:spacing w:line="360" w:lineRule="auto"/>
        <w:jc w:val="both"/>
        <w:rPr>
          <w:rFonts w:ascii="Arial Nova" w:hAnsi="Arial Nova" w:eastAsia="Arial Nova" w:cs="Arial Nova"/>
          <w:sz w:val="24"/>
          <w:szCs w:val="24"/>
        </w:rPr>
      </w:pPr>
      <w:r w:rsidRPr="6DEF793D" w:rsidR="2EE6A62D">
        <w:rPr>
          <w:rFonts w:ascii="Arial Nova" w:hAnsi="Arial Nova" w:eastAsia="Arial Nova" w:cs="Arial Nova"/>
          <w:sz w:val="24"/>
          <w:szCs w:val="24"/>
        </w:rPr>
        <w:t>The</w:t>
      </w:r>
      <w:r w:rsidRPr="6DEF793D" w:rsidR="7F830E84">
        <w:rPr>
          <w:rFonts w:ascii="Arial Nova" w:hAnsi="Arial Nova" w:eastAsia="Arial Nova" w:cs="Arial Nova"/>
          <w:sz w:val="24"/>
          <w:szCs w:val="24"/>
        </w:rPr>
        <w:t xml:space="preserve"> </w:t>
      </w:r>
      <w:r w:rsidRPr="6DEF793D" w:rsidR="04566A80">
        <w:rPr>
          <w:rFonts w:ascii="Arial Nova" w:hAnsi="Arial Nova" w:eastAsia="Arial Nova" w:cs="Arial Nova"/>
          <w:sz w:val="24"/>
          <w:szCs w:val="24"/>
        </w:rPr>
        <w:t>public awareness of sustainability has grown significantly. Surveys from Booking.com (2023) show that 76% of travellers now want to travel more sustainably, compared to 58% in 2015, s</w:t>
      </w:r>
      <w:r w:rsidRPr="6DEF793D" w:rsidR="0881019C">
        <w:rPr>
          <w:rFonts w:ascii="Arial Nova" w:hAnsi="Arial Nova" w:eastAsia="Arial Nova" w:cs="Arial Nova"/>
          <w:sz w:val="24"/>
          <w:szCs w:val="24"/>
        </w:rPr>
        <w:t>howing</w:t>
      </w:r>
      <w:r w:rsidRPr="6DEF793D" w:rsidR="04566A80">
        <w:rPr>
          <w:rFonts w:ascii="Arial Nova" w:hAnsi="Arial Nova" w:eastAsia="Arial Nova" w:cs="Arial Nova"/>
          <w:sz w:val="24"/>
          <w:szCs w:val="24"/>
        </w:rPr>
        <w:t xml:space="preserve"> a major shift in consumer expectation. This rise in environmentally conscious travel illustrates why destinations and tourism businesses increasingly use sustainability frameworks and Corporate Social Responsibility (CSR) as strategic tools to remain competitive and socially responsible.</w:t>
      </w:r>
    </w:p>
    <w:p xmlns:wp14="http://schemas.microsoft.com/office/word/2010/wordml" w:rsidP="6DEF793D" wp14:paraId="3C870860" wp14:textId="106C880B">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project focuses on Asia as the chosen region for comparison due to its diverse and rapidly expanding tourism landscape. Asia </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contains</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some of the world’s fastest</w:t>
      </w:r>
      <w:r w:rsidRPr="6DEF793D" w:rsidR="311E4E0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growing destinations, including highly developed urban centres such as Tokyo, Singapore, and Seoul, alongside culturally rich emerging destinations such as Vietnam, Thailand, and Indonesia. This variation makes Asia an ideal region for examining differences in tourism practices, sustainability strategies, and policy implementation (UNWTO, 2023).</w:t>
      </w:r>
    </w:p>
    <w:p xmlns:wp14="http://schemas.microsoft.com/office/word/2010/wordml" w:rsidP="6DEF793D" wp14:paraId="10D20BAA" wp14:textId="6EC55108">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The rationale for selecting Asia is based on these key factors:</w:t>
      </w:r>
    </w:p>
    <w:p xmlns:wp14="http://schemas.microsoft.com/office/word/2010/wordml" w:rsidP="6DEF793D" wp14:paraId="28D46F4D" wp14:textId="52DEEC00">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High Tourism Growth:</w:t>
      </w:r>
      <w:r>
        <w:br/>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Asia consistently records some of the strongest tourism growth rates globally, driven</w:t>
      </w:r>
      <w:r w:rsidRPr="6DEF793D" w:rsidR="315DFE7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by rising middle-class mobility, investment, and destination competitiveness (OECD, 2022). This makes the region particularly relevant for analysing current tourism trends.</w:t>
      </w:r>
    </w:p>
    <w:p xmlns:wp14="http://schemas.microsoft.com/office/word/2010/wordml" w:rsidP="6DEF793D" wp14:paraId="520B351C" wp14:textId="3C8F9F3D">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Contrasting Development Levels:</w:t>
      </w:r>
      <w:r>
        <w:br/>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The region offers significant contrasts between advanced economies and developing destinations. These differences allow for meaningful comparisons of sustainability approaches, tourism infrastructure, and policy challenges (Hall &amp; Page, 2019).</w:t>
      </w:r>
    </w:p>
    <w:p xmlns:wp14="http://schemas.microsoft.com/office/word/2010/wordml" w:rsidP="6DEF793D" wp14:paraId="329180FC" wp14:textId="1C74DFE4">
      <w:pPr>
        <w:pStyle w:val="ListParagraph"/>
        <w:numPr>
          <w:ilvl w:val="0"/>
          <w:numId w:val="3"/>
        </w:num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1"/>
          <w:bCs w:val="1"/>
          <w:i w:val="0"/>
          <w:iCs w:val="0"/>
          <w:caps w:val="0"/>
          <w:smallCaps w:val="0"/>
          <w:noProof w:val="0"/>
          <w:color w:val="000000" w:themeColor="text1" w:themeTint="FF" w:themeShade="FF"/>
          <w:sz w:val="24"/>
          <w:szCs w:val="24"/>
          <w:lang w:val="en-GB"/>
        </w:rPr>
        <w:t>Leadership in Sustainable Innovation:</w:t>
      </w:r>
      <w:r>
        <w:br/>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Several Asian countries have introduced innovative sustainability strategies in transport, hospitality, and community-based tourism—for example, Japan’s low-carbon mobility systems and Thailand’s community-based ecotourism programmes (</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Gössling</w:t>
      </w: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&amp; Scott, 2021). These examples make Asia a valuable region for evaluating sustainable tourism development.</w:t>
      </w:r>
    </w:p>
    <w:p xmlns:wp14="http://schemas.microsoft.com/office/word/2010/wordml" w:rsidP="6DEF793D" wp14:paraId="282F5AA1" wp14:textId="1BFF96D5">
      <w:pPr>
        <w:spacing w:before="240" w:beforeAutospacing="off" w:after="24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EF793D" w:rsidR="37054E42">
        <w:rPr>
          <w:rFonts w:ascii="Arial Nova" w:hAnsi="Arial Nova" w:eastAsia="Arial Nova" w:cs="Arial Nova"/>
          <w:b w:val="0"/>
          <w:bCs w:val="0"/>
          <w:i w:val="0"/>
          <w:iCs w:val="0"/>
          <w:caps w:val="0"/>
          <w:smallCaps w:val="0"/>
          <w:noProof w:val="0"/>
          <w:color w:val="000000" w:themeColor="text1" w:themeTint="FF" w:themeShade="FF"/>
          <w:sz w:val="24"/>
          <w:szCs w:val="24"/>
          <w:lang w:val="en-GB"/>
        </w:rPr>
        <w:t>By comparing countries across Asia, the research can explore how cultural, economic, and policy variations influence tourism development and sustainability outcomes within the region (Cohen &amp; Cohen, 2015).</w:t>
      </w:r>
    </w:p>
    <w:p xmlns:wp14="http://schemas.microsoft.com/office/word/2010/wordml" w:rsidP="6DEF793D" wp14:paraId="798C346A" wp14:textId="38623797">
      <w:pPr>
        <w:pStyle w:val="Normal"/>
        <w:spacing w:line="360" w:lineRule="auto"/>
        <w:jc w:val="both"/>
        <w:rPr>
          <w:rFonts w:ascii="Arial Nova" w:hAnsi="Arial Nova" w:eastAsia="Arial Nova" w:cs="Arial Nova"/>
          <w:sz w:val="24"/>
          <w:szCs w:val="24"/>
        </w:rPr>
      </w:pPr>
    </w:p>
    <w:p xmlns:wp14="http://schemas.microsoft.com/office/word/2010/wordml" w:rsidP="6DEF793D" wp14:paraId="484F045F" wp14:textId="110BA5C7">
      <w:pPr>
        <w:pStyle w:val="Normal"/>
        <w:spacing w:line="360" w:lineRule="auto"/>
        <w:jc w:val="both"/>
        <w:rPr>
          <w:rFonts w:ascii="Arial Nova" w:hAnsi="Arial Nova" w:eastAsia="Arial Nova" w:cs="Arial Nova"/>
          <w:b w:val="1"/>
          <w:bCs w:val="1"/>
          <w:i w:val="1"/>
          <w:iCs w:val="1"/>
          <w:sz w:val="24"/>
          <w:szCs w:val="24"/>
          <w:u w:val="none"/>
        </w:rPr>
      </w:pPr>
      <w:r w:rsidRPr="6DEF793D" w:rsidR="04566A80">
        <w:rPr>
          <w:rFonts w:ascii="Arial Nova" w:hAnsi="Arial Nova" w:eastAsia="Arial Nova" w:cs="Arial Nova"/>
          <w:b w:val="1"/>
          <w:bCs w:val="1"/>
          <w:i w:val="1"/>
          <w:iCs w:val="1"/>
          <w:sz w:val="24"/>
          <w:szCs w:val="24"/>
          <w:u w:val="none"/>
        </w:rPr>
        <w:t>Regional Case Studies</w:t>
      </w:r>
    </w:p>
    <w:p xmlns:wp14="http://schemas.microsoft.com/office/word/2010/wordml" w:rsidP="6DEF793D" wp14:paraId="26D5F49E" wp14:textId="5A370205">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Case Study 1: Angkor, Cambodia – Heritage Under Pressure</w:t>
      </w:r>
    </w:p>
    <w:p xmlns:wp14="http://schemas.microsoft.com/office/word/2010/wordml" w:rsidP="6DEF793D" wp14:paraId="27F8DA9E" wp14:textId="19A329E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Angkor Wat </w:t>
      </w:r>
      <w:r w:rsidRPr="6DEF793D" w:rsidR="04566A80">
        <w:rPr>
          <w:rFonts w:ascii="Arial Nova" w:hAnsi="Arial Nova" w:eastAsia="Arial Nova" w:cs="Arial Nova"/>
          <w:sz w:val="24"/>
          <w:szCs w:val="24"/>
        </w:rPr>
        <w:t>represents</w:t>
      </w:r>
      <w:r w:rsidRPr="6DEF793D" w:rsidR="04566A80">
        <w:rPr>
          <w:rFonts w:ascii="Arial Nova" w:hAnsi="Arial Nova" w:eastAsia="Arial Nova" w:cs="Arial Nova"/>
          <w:sz w:val="24"/>
          <w:szCs w:val="24"/>
        </w:rPr>
        <w:t xml:space="preserve"> one of Asia’s most prominent examples of overtourism. Attracting over 2.6 million tourists annually, the site has experienced extensive physical degradation, soil erosion, temple erosion and groundwater depletion (UNESCO, 2025). Increased tourism has heightened water consumption by hotels and restaurants, lowering groundwater levels and threatening the temple’s structural integrity. Cultural impacts have also emerged, as overcrowding has diminished the site’s spiritual atmosphere and introduced inappropriate tourist behaviours (Alamineh et al., 2023).</w:t>
      </w:r>
    </w:p>
    <w:p xmlns:wp14="http://schemas.microsoft.com/office/word/2010/wordml" w:rsidP="6DEF793D" wp14:paraId="70D060C1" wp14:textId="11C9C1A2">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To address these challenges, the Cambodian government introduced the Tourism Development Strategic Plan 2012–2020, incorporating conservation-focused interventions such as visitor caps, raised entry fees to fund preservation projects, designated pathways to protect fragile floors and walls, and educational initiatives promoting respectful behaviour (Ministry of Tourism Cambodia, 2020). While these actions align with international sustainability frameworks, enforcement remains inconsistent due to limited financial resources and dependence on tourism revenue (Gössling &amp; Scott, 2021). Consequently, the site continues to face tensions between economic benefit and long-term cultural preservation.</w:t>
      </w:r>
    </w:p>
    <w:p xmlns:wp14="http://schemas.microsoft.com/office/word/2010/wordml" w:rsidP="6DEF793D" wp14:paraId="3EAF5461" wp14:textId="7265AF61">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Case Study 2: Elephant Tourism in Thailand – Ethics, Welfare and CSR</w:t>
      </w:r>
    </w:p>
    <w:p xmlns:wp14="http://schemas.microsoft.com/office/word/2010/wordml" w:rsidP="6DEF793D" wp14:paraId="652D0A71" wp14:textId="69A403F6">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Thailand’s elephant tourism industry exemplifies the ethical dilemmas within wildlife tourism. Traditional attractions such as elephant riding, performances and photo opportunities </w:t>
      </w:r>
      <w:r w:rsidRPr="6DEF793D" w:rsidR="04566A80">
        <w:rPr>
          <w:rFonts w:ascii="Arial Nova" w:hAnsi="Arial Nova" w:eastAsia="Arial Nova" w:cs="Arial Nova"/>
          <w:sz w:val="24"/>
          <w:szCs w:val="24"/>
        </w:rPr>
        <w:t>remain</w:t>
      </w:r>
      <w:r w:rsidRPr="6DEF793D" w:rsidR="04566A80">
        <w:rPr>
          <w:rFonts w:ascii="Arial Nova" w:hAnsi="Arial Nova" w:eastAsia="Arial Nova" w:cs="Arial Nova"/>
          <w:sz w:val="24"/>
          <w:szCs w:val="24"/>
        </w:rPr>
        <w:t xml:space="preserve"> widespread despite </w:t>
      </w:r>
      <w:r w:rsidRPr="6DEF793D" w:rsidR="04566A80">
        <w:rPr>
          <w:rFonts w:ascii="Arial Nova" w:hAnsi="Arial Nova" w:eastAsia="Arial Nova" w:cs="Arial Nova"/>
          <w:sz w:val="24"/>
          <w:szCs w:val="24"/>
        </w:rPr>
        <w:t>clear evidence</w:t>
      </w:r>
      <w:r w:rsidRPr="6DEF793D" w:rsidR="04566A80">
        <w:rPr>
          <w:rFonts w:ascii="Arial Nova" w:hAnsi="Arial Nova" w:eastAsia="Arial Nova" w:cs="Arial Nova"/>
          <w:sz w:val="24"/>
          <w:szCs w:val="24"/>
        </w:rPr>
        <w:t xml:space="preserve"> of animal harm (Schmidt-Burbach, 2017). Training methods such as the “crushing” phase are used to subdue elephants, </w:t>
      </w:r>
      <w:r w:rsidRPr="6DEF793D" w:rsidR="04566A80">
        <w:rPr>
          <w:rFonts w:ascii="Arial Nova" w:hAnsi="Arial Nova" w:eastAsia="Arial Nova" w:cs="Arial Nova"/>
          <w:sz w:val="24"/>
          <w:szCs w:val="24"/>
        </w:rPr>
        <w:t>demonstrating</w:t>
      </w:r>
      <w:r w:rsidRPr="6DEF793D" w:rsidR="04566A80">
        <w:rPr>
          <w:rFonts w:ascii="Arial Nova" w:hAnsi="Arial Nova" w:eastAsia="Arial Nova" w:cs="Arial Nova"/>
          <w:sz w:val="24"/>
          <w:szCs w:val="24"/>
        </w:rPr>
        <w:t xml:space="preserve"> the conflict between economic profit and animal welfare (</w:t>
      </w:r>
      <w:r w:rsidRPr="6DEF793D" w:rsidR="04566A80">
        <w:rPr>
          <w:rFonts w:ascii="Arial Nova" w:hAnsi="Arial Nova" w:eastAsia="Arial Nova" w:cs="Arial Nova"/>
          <w:sz w:val="24"/>
          <w:szCs w:val="24"/>
        </w:rPr>
        <w:t>Chatkupt</w:t>
      </w:r>
      <w:r w:rsidRPr="6DEF793D" w:rsidR="04566A80">
        <w:rPr>
          <w:rFonts w:ascii="Arial Nova" w:hAnsi="Arial Nova" w:eastAsia="Arial Nova" w:cs="Arial Nova"/>
          <w:sz w:val="24"/>
          <w:szCs w:val="24"/>
        </w:rPr>
        <w:t xml:space="preserve"> et al., 1999; </w:t>
      </w:r>
      <w:r w:rsidRPr="6DEF793D" w:rsidR="04566A80">
        <w:rPr>
          <w:rFonts w:ascii="Arial Nova" w:hAnsi="Arial Nova" w:eastAsia="Arial Nova" w:cs="Arial Nova"/>
          <w:sz w:val="24"/>
          <w:szCs w:val="24"/>
        </w:rPr>
        <w:t>Kontogeorgopoulos</w:t>
      </w:r>
      <w:r w:rsidRPr="6DEF793D" w:rsidR="04566A80">
        <w:rPr>
          <w:rFonts w:ascii="Arial Nova" w:hAnsi="Arial Nova" w:eastAsia="Arial Nova" w:cs="Arial Nova"/>
          <w:sz w:val="24"/>
          <w:szCs w:val="24"/>
        </w:rPr>
        <w:t>, 2009). These practices have drawn global criticism, prompting significant scrutiny of tourism businesses and their CSR commitments.</w:t>
      </w:r>
    </w:p>
    <w:p xmlns:wp14="http://schemas.microsoft.com/office/word/2010/wordml" w:rsidP="6DEF793D" wp14:paraId="42B1B9BF" wp14:textId="56A37190">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In response, Thailand has seen the rise of ethical, CSR-driven sanctuaries such as Khao Sok Elephant Sanctuary, which prioritise rehabilitation, enrichment and observation-based tourism (Khao Sok Elephant Sanctuary, n.d.). These models align with SDGs 12 and 15, shifting focus towards conservation, education and welfare (Cater, 2023). While the growth of ethical sanctuaries demonstrates progress, harmful practices persist due to weak regulation, limited enforcement capacity and high tourist demand (SeeTheWild, 2025). This indicates that CSR-driven reforms must be supported by national legislation to ensure industry-wide standards.</w:t>
      </w:r>
    </w:p>
    <w:p xmlns:wp14="http://schemas.microsoft.com/office/word/2010/wordml" w:rsidP="6DEF793D" wp14:paraId="23AB0F53" wp14:textId="65D1165D">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Case Study 3: Phi </w:t>
      </w:r>
      <w:r w:rsidRPr="6DEF793D" w:rsidR="04566A80">
        <w:rPr>
          <w:rFonts w:ascii="Arial Nova" w:hAnsi="Arial Nova" w:eastAsia="Arial Nova" w:cs="Arial Nova"/>
          <w:sz w:val="24"/>
          <w:szCs w:val="24"/>
        </w:rPr>
        <w:t>Phi</w:t>
      </w:r>
      <w:r w:rsidRPr="6DEF793D" w:rsidR="04566A80">
        <w:rPr>
          <w:rFonts w:ascii="Arial Nova" w:hAnsi="Arial Nova" w:eastAsia="Arial Nova" w:cs="Arial Nova"/>
          <w:sz w:val="24"/>
          <w:szCs w:val="24"/>
        </w:rPr>
        <w:t xml:space="preserve"> Islands, Thailand – Environmental Recovery</w:t>
      </w:r>
    </w:p>
    <w:p xmlns:wp14="http://schemas.microsoft.com/office/word/2010/wordml" w:rsidP="6DEF793D" wp14:paraId="5E6A3905" wp14:textId="03CF5D5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The Phi </w:t>
      </w:r>
      <w:r w:rsidRPr="6DEF793D" w:rsidR="04566A80">
        <w:rPr>
          <w:rFonts w:ascii="Arial Nova" w:hAnsi="Arial Nova" w:eastAsia="Arial Nova" w:cs="Arial Nova"/>
          <w:sz w:val="24"/>
          <w:szCs w:val="24"/>
        </w:rPr>
        <w:t>Phi</w:t>
      </w:r>
      <w:r w:rsidRPr="6DEF793D" w:rsidR="04566A80">
        <w:rPr>
          <w:rFonts w:ascii="Arial Nova" w:hAnsi="Arial Nova" w:eastAsia="Arial Nova" w:cs="Arial Nova"/>
          <w:sz w:val="24"/>
          <w:szCs w:val="24"/>
        </w:rPr>
        <w:t xml:space="preserve"> Islands highlight severe environmental consequences of marine and adventure tourism. </w:t>
      </w:r>
      <w:r w:rsidRPr="6DEF793D" w:rsidR="46993FC7">
        <w:rPr>
          <w:rFonts w:ascii="Arial Nova" w:hAnsi="Arial Nova" w:eastAsia="Arial Nova" w:cs="Arial Nova"/>
          <w:sz w:val="24"/>
          <w:szCs w:val="24"/>
        </w:rPr>
        <w:t>This includes o</w:t>
      </w:r>
      <w:r w:rsidRPr="6DEF793D" w:rsidR="04566A80">
        <w:rPr>
          <w:rFonts w:ascii="Arial Nova" w:hAnsi="Arial Nova" w:eastAsia="Arial Nova" w:cs="Arial Nova"/>
          <w:sz w:val="24"/>
          <w:szCs w:val="24"/>
        </w:rPr>
        <w:t xml:space="preserve">vercrowding, coral damage, marine </w:t>
      </w:r>
      <w:r w:rsidRPr="6DEF793D" w:rsidR="04566A80">
        <w:rPr>
          <w:rFonts w:ascii="Arial Nova" w:hAnsi="Arial Nova" w:eastAsia="Arial Nova" w:cs="Arial Nova"/>
          <w:sz w:val="24"/>
          <w:szCs w:val="24"/>
        </w:rPr>
        <w:t>pollution</w:t>
      </w:r>
      <w:r w:rsidRPr="6DEF793D" w:rsidR="04566A80">
        <w:rPr>
          <w:rFonts w:ascii="Arial Nova" w:hAnsi="Arial Nova" w:eastAsia="Arial Nova" w:cs="Arial Nova"/>
          <w:sz w:val="24"/>
          <w:szCs w:val="24"/>
        </w:rPr>
        <w:t xml:space="preserve"> and waste mismanagement</w:t>
      </w:r>
      <w:r w:rsidRPr="6DEF793D" w:rsidR="6697690A">
        <w:rPr>
          <w:rFonts w:ascii="Arial Nova" w:hAnsi="Arial Nova" w:eastAsia="Arial Nova" w:cs="Arial Nova"/>
          <w:sz w:val="24"/>
          <w:szCs w:val="24"/>
        </w:rPr>
        <w:t xml:space="preserve">. </w:t>
      </w:r>
      <w:r w:rsidRPr="6DEF793D" w:rsidR="09EB29BD">
        <w:rPr>
          <w:rFonts w:ascii="Arial Nova" w:hAnsi="Arial Nova" w:eastAsia="Arial Nova" w:cs="Arial Nova"/>
          <w:sz w:val="24"/>
          <w:szCs w:val="24"/>
        </w:rPr>
        <w:t>The Thai</w:t>
      </w:r>
      <w:r w:rsidRPr="6DEF793D" w:rsidR="04566A80">
        <w:rPr>
          <w:rFonts w:ascii="Arial Nova" w:hAnsi="Arial Nova" w:eastAsia="Arial Nova" w:cs="Arial Nova"/>
          <w:sz w:val="24"/>
          <w:szCs w:val="24"/>
        </w:rPr>
        <w:t xml:space="preserve"> </w:t>
      </w:r>
      <w:r w:rsidRPr="6DEF793D" w:rsidR="2EB110EA">
        <w:rPr>
          <w:rFonts w:ascii="Arial Nova" w:hAnsi="Arial Nova" w:eastAsia="Arial Nova" w:cs="Arial Nova"/>
          <w:sz w:val="24"/>
          <w:szCs w:val="24"/>
        </w:rPr>
        <w:t>authorities were</w:t>
      </w:r>
      <w:r w:rsidRPr="6DEF793D" w:rsidR="0D7D3B4B">
        <w:rPr>
          <w:rFonts w:ascii="Arial Nova" w:hAnsi="Arial Nova" w:eastAsia="Arial Nova" w:cs="Arial Nova"/>
          <w:sz w:val="24"/>
          <w:szCs w:val="24"/>
        </w:rPr>
        <w:t xml:space="preserve"> pressured </w:t>
      </w:r>
      <w:r w:rsidRPr="6DEF793D" w:rsidR="04566A80">
        <w:rPr>
          <w:rFonts w:ascii="Arial Nova" w:hAnsi="Arial Nova" w:eastAsia="Arial Nova" w:cs="Arial Nova"/>
          <w:sz w:val="24"/>
          <w:szCs w:val="24"/>
        </w:rPr>
        <w:t xml:space="preserve">to close Maya Bay in 2018 (Department of National Parks Thailand, 2019). During the closure, </w:t>
      </w:r>
      <w:r w:rsidRPr="6DEF793D" w:rsidR="000F68D3">
        <w:rPr>
          <w:rFonts w:ascii="Arial Nova" w:hAnsi="Arial Nova" w:eastAsia="Arial Nova" w:cs="Arial Nova"/>
          <w:sz w:val="24"/>
          <w:szCs w:val="24"/>
        </w:rPr>
        <w:t>they created large-scale reef restoration projects</w:t>
      </w:r>
      <w:r w:rsidRPr="6DEF793D" w:rsidR="04566A80">
        <w:rPr>
          <w:rFonts w:ascii="Arial Nova" w:hAnsi="Arial Nova" w:eastAsia="Arial Nova" w:cs="Arial Nova"/>
          <w:sz w:val="24"/>
          <w:szCs w:val="24"/>
        </w:rPr>
        <w:t xml:space="preserve"> were implemented, and strict visitor regulations were introduced upon reopening, including limits on daily tourist numbers, boat </w:t>
      </w:r>
      <w:r w:rsidRPr="6DEF793D" w:rsidR="04566A80">
        <w:rPr>
          <w:rFonts w:ascii="Arial Nova" w:hAnsi="Arial Nova" w:eastAsia="Arial Nova" w:cs="Arial Nova"/>
          <w:sz w:val="24"/>
          <w:szCs w:val="24"/>
        </w:rPr>
        <w:t>restrictions</w:t>
      </w:r>
      <w:r w:rsidRPr="6DEF793D" w:rsidR="04566A80">
        <w:rPr>
          <w:rFonts w:ascii="Arial Nova" w:hAnsi="Arial Nova" w:eastAsia="Arial Nova" w:cs="Arial Nova"/>
          <w:sz w:val="24"/>
          <w:szCs w:val="24"/>
        </w:rPr>
        <w:t xml:space="preserve"> and </w:t>
      </w:r>
      <w:r w:rsidRPr="6DEF793D" w:rsidR="2018F618">
        <w:rPr>
          <w:rFonts w:ascii="Arial Nova" w:hAnsi="Arial Nova" w:eastAsia="Arial Nova" w:cs="Arial Nova"/>
          <w:sz w:val="24"/>
          <w:szCs w:val="24"/>
        </w:rPr>
        <w:t xml:space="preserve">they </w:t>
      </w:r>
      <w:r w:rsidRPr="6DEF793D" w:rsidR="04566A80">
        <w:rPr>
          <w:rFonts w:ascii="Arial Nova" w:hAnsi="Arial Nova" w:eastAsia="Arial Nova" w:cs="Arial Nova"/>
          <w:sz w:val="24"/>
          <w:szCs w:val="24"/>
        </w:rPr>
        <w:t>improved waste management systems.</w:t>
      </w:r>
    </w:p>
    <w:p xmlns:wp14="http://schemas.microsoft.com/office/word/2010/wordml" w:rsidP="6DEF793D" wp14:paraId="693458DC" wp14:textId="16C5FBC0">
      <w:pPr>
        <w:pStyle w:val="Normal"/>
        <w:spacing w:line="360" w:lineRule="auto"/>
        <w:jc w:val="both"/>
        <w:rPr>
          <w:rFonts w:ascii="Arial Nova" w:hAnsi="Arial Nova" w:eastAsia="Arial Nova" w:cs="Arial Nova"/>
          <w:sz w:val="24"/>
          <w:szCs w:val="24"/>
        </w:rPr>
      </w:pPr>
      <w:r w:rsidRPr="6DEF793D" w:rsidR="04189BD2">
        <w:rPr>
          <w:rFonts w:ascii="Arial Nova" w:hAnsi="Arial Nova" w:eastAsia="Arial Nova" w:cs="Arial Nova"/>
          <w:sz w:val="24"/>
          <w:szCs w:val="24"/>
        </w:rPr>
        <w:t xml:space="preserve">Due to the unfortunate consequences </w:t>
      </w:r>
      <w:r w:rsidRPr="6DEF793D" w:rsidR="53CECD12">
        <w:rPr>
          <w:rFonts w:ascii="Arial Nova" w:hAnsi="Arial Nova" w:eastAsia="Arial Nova" w:cs="Arial Nova"/>
          <w:sz w:val="24"/>
          <w:szCs w:val="24"/>
        </w:rPr>
        <w:t xml:space="preserve">of overtourism it has demonstrated </w:t>
      </w:r>
      <w:r w:rsidRPr="6DEF793D" w:rsidR="04566A80">
        <w:rPr>
          <w:rFonts w:ascii="Arial Nova" w:hAnsi="Arial Nova" w:eastAsia="Arial Nova" w:cs="Arial Nova"/>
          <w:sz w:val="24"/>
          <w:szCs w:val="24"/>
        </w:rPr>
        <w:t xml:space="preserve">the effectiveness of strict government intervention and the potential for ecological recovery. However, regional consistency </w:t>
      </w:r>
      <w:r w:rsidRPr="6DEF793D" w:rsidR="04566A80">
        <w:rPr>
          <w:rFonts w:ascii="Arial Nova" w:hAnsi="Arial Nova" w:eastAsia="Arial Nova" w:cs="Arial Nova"/>
          <w:sz w:val="24"/>
          <w:szCs w:val="24"/>
        </w:rPr>
        <w:t>remains</w:t>
      </w:r>
      <w:r w:rsidRPr="6DEF793D" w:rsidR="04566A80">
        <w:rPr>
          <w:rFonts w:ascii="Arial Nova" w:hAnsi="Arial Nova" w:eastAsia="Arial Nova" w:cs="Arial Nova"/>
          <w:sz w:val="24"/>
          <w:szCs w:val="24"/>
        </w:rPr>
        <w:t xml:space="preserve"> a challenge as many smaller islands lack enforcement capacity, illustrating the uneven application of sustainability policies across Southeast Asia (</w:t>
      </w:r>
      <w:r w:rsidRPr="6DEF793D" w:rsidR="04566A80">
        <w:rPr>
          <w:rFonts w:ascii="Arial Nova" w:hAnsi="Arial Nova" w:eastAsia="Arial Nova" w:cs="Arial Nova"/>
          <w:sz w:val="24"/>
          <w:szCs w:val="24"/>
        </w:rPr>
        <w:t>Gössling</w:t>
      </w:r>
      <w:r w:rsidRPr="6DEF793D" w:rsidR="04566A80">
        <w:rPr>
          <w:rFonts w:ascii="Arial Nova" w:hAnsi="Arial Nova" w:eastAsia="Arial Nova" w:cs="Arial Nova"/>
          <w:sz w:val="24"/>
          <w:szCs w:val="24"/>
        </w:rPr>
        <w:t xml:space="preserve"> et al., 2020).</w:t>
      </w:r>
    </w:p>
    <w:p xmlns:wp14="http://schemas.microsoft.com/office/word/2010/wordml" w:rsidP="6DEF793D" wp14:paraId="0B8BE8A7" wp14:textId="38A6B04D">
      <w:pPr>
        <w:pStyle w:val="Normal"/>
        <w:spacing w:line="360" w:lineRule="auto"/>
        <w:jc w:val="both"/>
        <w:rPr>
          <w:rFonts w:ascii="Arial Nova" w:hAnsi="Arial Nova" w:eastAsia="Arial Nova" w:cs="Arial Nova"/>
          <w:sz w:val="24"/>
          <w:szCs w:val="24"/>
        </w:rPr>
      </w:pPr>
    </w:p>
    <w:p xmlns:wp14="http://schemas.microsoft.com/office/word/2010/wordml" w:rsidP="6DEF793D" wp14:paraId="7A0D4B88" wp14:textId="7099EC52">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Cultural Sensitivity</w:t>
      </w:r>
      <w:r w:rsidRPr="6DEF793D" w:rsidR="669422E9">
        <w:rPr>
          <w:rFonts w:ascii="Arial Nova" w:hAnsi="Arial Nova" w:eastAsia="Arial Nova" w:cs="Arial Nova"/>
          <w:sz w:val="24"/>
          <w:szCs w:val="24"/>
        </w:rPr>
        <w:t xml:space="preserve"> is defined as </w:t>
      </w:r>
    </w:p>
    <w:p xmlns:wp14="http://schemas.microsoft.com/office/word/2010/wordml" w:rsidP="6DEF793D" wp14:paraId="6F557FB4" wp14:textId="02BCBE6C">
      <w:pPr>
        <w:pStyle w:val="Normal"/>
        <w:spacing w:line="360" w:lineRule="auto"/>
        <w:jc w:val="both"/>
        <w:rPr>
          <w:rFonts w:ascii="Arial Nova" w:hAnsi="Arial Nova" w:eastAsia="Arial Nova" w:cs="Arial Nova"/>
          <w:sz w:val="24"/>
          <w:szCs w:val="24"/>
        </w:rPr>
      </w:pPr>
      <w:r w:rsidRPr="6DEF793D" w:rsidR="669422E9">
        <w:rPr>
          <w:rFonts w:ascii="Arial Nova" w:hAnsi="Arial Nova" w:eastAsia="Arial Nova" w:cs="Arial Nova"/>
          <w:sz w:val="24"/>
          <w:szCs w:val="24"/>
        </w:rPr>
        <w:t xml:space="preserve">     “Cultural sensitivity is the ability to recognize, understand, and react appropriately to beliefs, values, norms, and behaviours of persons who belong to a cultural or ethnic group that differs substantially from one's own, without assigning a particular value (positive or negative) to those differences”</w:t>
      </w:r>
      <w:r w:rsidRPr="6DEF793D" w:rsidR="043CAF35">
        <w:rPr>
          <w:rFonts w:ascii="Arial Nova" w:hAnsi="Arial Nova" w:eastAsia="Arial Nova" w:cs="Arial Nova"/>
          <w:sz w:val="24"/>
          <w:szCs w:val="24"/>
        </w:rPr>
        <w:t xml:space="preserve"> </w:t>
      </w:r>
      <w:r w:rsidRPr="6DEF793D" w:rsidR="4ED8B288">
        <w:rPr>
          <w:rFonts w:ascii="Arial Nova" w:hAnsi="Arial Nova" w:eastAsia="Arial Nova" w:cs="Arial Nova"/>
          <w:sz w:val="24"/>
          <w:szCs w:val="24"/>
        </w:rPr>
        <w:t>mentioned by National Library of Medicine.</w:t>
      </w:r>
    </w:p>
    <w:p xmlns:wp14="http://schemas.microsoft.com/office/word/2010/wordml" w:rsidP="6DEF793D" wp14:paraId="2B8143AB" wp14:textId="254CC29D">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Cultural sensitivity is essential to sustainable tourism, particularly in regions where cultural heritage forms a primary tourism attraction. In Asia, cultural identity is deeply embedded in religious values, community </w:t>
      </w:r>
      <w:r w:rsidRPr="6DEF793D" w:rsidR="04566A80">
        <w:rPr>
          <w:rFonts w:ascii="Arial Nova" w:hAnsi="Arial Nova" w:eastAsia="Arial Nova" w:cs="Arial Nova"/>
          <w:sz w:val="24"/>
          <w:szCs w:val="24"/>
        </w:rPr>
        <w:t>traditions</w:t>
      </w:r>
      <w:r w:rsidRPr="6DEF793D" w:rsidR="04566A80">
        <w:rPr>
          <w:rFonts w:ascii="Arial Nova" w:hAnsi="Arial Nova" w:eastAsia="Arial Nova" w:cs="Arial Nova"/>
          <w:sz w:val="24"/>
          <w:szCs w:val="24"/>
        </w:rPr>
        <w:t xml:space="preserve"> and indigenous practices. Tourism can support cultural preservation, yet without careful management, it can lead to stereotyping, </w:t>
      </w:r>
      <w:r w:rsidRPr="6DEF793D" w:rsidR="04566A80">
        <w:rPr>
          <w:rFonts w:ascii="Arial Nova" w:hAnsi="Arial Nova" w:eastAsia="Arial Nova" w:cs="Arial Nova"/>
          <w:sz w:val="24"/>
          <w:szCs w:val="24"/>
        </w:rPr>
        <w:t>commodification</w:t>
      </w:r>
      <w:r w:rsidRPr="6DEF793D" w:rsidR="04566A80">
        <w:rPr>
          <w:rFonts w:ascii="Arial Nova" w:hAnsi="Arial Nova" w:eastAsia="Arial Nova" w:cs="Arial Nova"/>
          <w:sz w:val="24"/>
          <w:szCs w:val="24"/>
        </w:rPr>
        <w:t xml:space="preserve"> and cultural erosion.</w:t>
      </w:r>
    </w:p>
    <w:p xmlns:wp14="http://schemas.microsoft.com/office/word/2010/wordml" w:rsidP="6DEF793D" wp14:paraId="0E8E1531" wp14:textId="0A98A11C">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At Angkor, for example, local communities report concerns about cultural dilution and loss of authenticity as traditional practices are adapted to suit tourist expectations (UNESCO, 2025). The expansion of tourism-related businesses has also led to displacement of </w:t>
      </w:r>
      <w:r w:rsidRPr="6DEF793D" w:rsidR="04566A80">
        <w:rPr>
          <w:rFonts w:ascii="Arial Nova" w:hAnsi="Arial Nova" w:eastAsia="Arial Nova" w:cs="Arial Nova"/>
          <w:sz w:val="24"/>
          <w:szCs w:val="24"/>
        </w:rPr>
        <w:t>local residents</w:t>
      </w:r>
      <w:r w:rsidRPr="6DEF793D" w:rsidR="04566A80">
        <w:rPr>
          <w:rFonts w:ascii="Arial Nova" w:hAnsi="Arial Nova" w:eastAsia="Arial Nova" w:cs="Arial Nova"/>
          <w:sz w:val="24"/>
          <w:szCs w:val="24"/>
        </w:rPr>
        <w:t xml:space="preserve"> from their historic communities (</w:t>
      </w:r>
      <w:r w:rsidRPr="6DEF793D" w:rsidR="04566A80">
        <w:rPr>
          <w:rFonts w:ascii="Arial Nova" w:hAnsi="Arial Nova" w:eastAsia="Arial Nova" w:cs="Arial Nova"/>
          <w:sz w:val="24"/>
          <w:szCs w:val="24"/>
        </w:rPr>
        <w:t>Alamineh</w:t>
      </w:r>
      <w:r w:rsidRPr="6DEF793D" w:rsidR="04566A80">
        <w:rPr>
          <w:rFonts w:ascii="Arial Nova" w:hAnsi="Arial Nova" w:eastAsia="Arial Nova" w:cs="Arial Nova"/>
          <w:sz w:val="24"/>
          <w:szCs w:val="24"/>
        </w:rPr>
        <w:t xml:space="preserve"> et al., 2023).</w:t>
      </w:r>
    </w:p>
    <w:p xmlns:wp14="http://schemas.microsoft.com/office/word/2010/wordml" w:rsidP="6DEF793D" wp14:paraId="52FAB82D" wp14:textId="6EB62E8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In elephant tourism, cultural heritage is similarly complex. Elephants have deep spiritual significance in Thai culture, historically </w:t>
      </w:r>
      <w:r w:rsidRPr="6DEF793D" w:rsidR="04566A80">
        <w:rPr>
          <w:rFonts w:ascii="Arial Nova" w:hAnsi="Arial Nova" w:eastAsia="Arial Nova" w:cs="Arial Nova"/>
          <w:sz w:val="24"/>
          <w:szCs w:val="24"/>
        </w:rPr>
        <w:t>representing</w:t>
      </w:r>
      <w:r w:rsidRPr="6DEF793D" w:rsidR="04566A80">
        <w:rPr>
          <w:rFonts w:ascii="Arial Nova" w:hAnsi="Arial Nova" w:eastAsia="Arial Nova" w:cs="Arial Nova"/>
          <w:sz w:val="24"/>
          <w:szCs w:val="24"/>
        </w:rPr>
        <w:t xml:space="preserve"> strength, </w:t>
      </w:r>
      <w:r w:rsidRPr="6DEF793D" w:rsidR="04566A80">
        <w:rPr>
          <w:rFonts w:ascii="Arial Nova" w:hAnsi="Arial Nova" w:eastAsia="Arial Nova" w:cs="Arial Nova"/>
          <w:sz w:val="24"/>
          <w:szCs w:val="24"/>
        </w:rPr>
        <w:t>wisdom</w:t>
      </w:r>
      <w:r w:rsidRPr="6DEF793D" w:rsidR="04566A80">
        <w:rPr>
          <w:rFonts w:ascii="Arial Nova" w:hAnsi="Arial Nova" w:eastAsia="Arial Nova" w:cs="Arial Nova"/>
          <w:sz w:val="24"/>
          <w:szCs w:val="24"/>
        </w:rPr>
        <w:t xml:space="preserve"> and religious symbolism (Cohen &amp; Cohen, 2015). However, the rise of commercial tourism has altered this relationship. Elephants became commodities for entertainment, undermining traditional cultural values and reflecting broader tensions between cultural heritage and profitability.</w:t>
      </w:r>
    </w:p>
    <w:p xmlns:wp14="http://schemas.microsoft.com/office/word/2010/wordml" w:rsidP="6DEF793D" wp14:paraId="256F24C9" wp14:textId="1BEDB0B3">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Culturally sensitive tourism requires meaningful community participation, respectful visitor behaviour and policies that protect intangible heritage alongside physical assets. These principles align with UNWTO (2022) guidelines, which emphasise the importance of safeguarding cultural identity as a foundation of sustainability.</w:t>
      </w:r>
    </w:p>
    <w:p xmlns:wp14="http://schemas.microsoft.com/office/word/2010/wordml" w:rsidP="6DEF793D" wp14:paraId="4E304725" wp14:textId="4B165BDD">
      <w:pPr>
        <w:pStyle w:val="Normal"/>
        <w:spacing w:line="360" w:lineRule="auto"/>
        <w:jc w:val="both"/>
        <w:rPr>
          <w:rFonts w:ascii="Arial Nova" w:hAnsi="Arial Nova" w:eastAsia="Arial Nova" w:cs="Arial Nova"/>
          <w:sz w:val="24"/>
          <w:szCs w:val="24"/>
        </w:rPr>
      </w:pPr>
      <w:r w:rsidRPr="6DEF793D" w:rsidR="3182B9C9">
        <w:rPr>
          <w:rFonts w:ascii="Arial Nova" w:hAnsi="Arial Nova" w:eastAsia="Arial Nova" w:cs="Arial Nova"/>
          <w:sz w:val="24"/>
          <w:szCs w:val="24"/>
        </w:rPr>
        <w:t>-</w:t>
      </w:r>
      <w:r w:rsidRPr="6DEF793D" w:rsidR="04566A80">
        <w:rPr>
          <w:rFonts w:ascii="Arial Nova" w:hAnsi="Arial Nova" w:eastAsia="Arial Nova" w:cs="Arial Nova"/>
          <w:sz w:val="24"/>
          <w:szCs w:val="24"/>
        </w:rPr>
        <w:t>United Nations Sustainable Development Goals (SDGs)</w:t>
      </w:r>
    </w:p>
    <w:p xmlns:wp14="http://schemas.microsoft.com/office/word/2010/wordml" w:rsidP="6DEF793D" wp14:paraId="13AE8E98" wp14:textId="7296D76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The SDGs provide a comprehensive global framework for sustainability. In tourism, goals such as SDG 8 (decent work), SDG 11 (sustainable communities), SDG 12 (responsible consumption), SDG 14 (life below water</w:t>
      </w:r>
      <w:r w:rsidRPr="6DEF793D" w:rsidR="04566A80">
        <w:rPr>
          <w:rFonts w:ascii="Arial Nova" w:hAnsi="Arial Nova" w:eastAsia="Arial Nova" w:cs="Arial Nova"/>
          <w:sz w:val="24"/>
          <w:szCs w:val="24"/>
        </w:rPr>
        <w:t>)</w:t>
      </w:r>
      <w:r w:rsidRPr="6DEF793D" w:rsidR="04566A80">
        <w:rPr>
          <w:rFonts w:ascii="Arial Nova" w:hAnsi="Arial Nova" w:eastAsia="Arial Nova" w:cs="Arial Nova"/>
          <w:sz w:val="24"/>
          <w:szCs w:val="24"/>
        </w:rPr>
        <w:t xml:space="preserve"> and SDG 15 (life on land) are especially relevant. Cambodia's visitor management at Angkor aligns with SDGs 11 and 12 by emphasising responsible behaviour and heritage conservation (UN, 2025). In Thailand, welfare-focused elephant sanctuaries contribute to SDG 15 through biodiversity protection and ethical treatment of wildlife (Cater, 2023).</w:t>
      </w:r>
    </w:p>
    <w:p xmlns:wp14="http://schemas.microsoft.com/office/word/2010/wordml" w:rsidP="6DEF793D" wp14:paraId="4AC415B1" wp14:textId="458D675C">
      <w:pPr>
        <w:pStyle w:val="Normal"/>
        <w:spacing w:line="360" w:lineRule="auto"/>
        <w:jc w:val="both"/>
        <w:rPr>
          <w:rFonts w:ascii="Arial Nova" w:hAnsi="Arial Nova" w:eastAsia="Arial Nova" w:cs="Arial Nova"/>
          <w:sz w:val="24"/>
          <w:szCs w:val="24"/>
        </w:rPr>
      </w:pPr>
      <w:r w:rsidRPr="6DEF793D" w:rsidR="713D5437">
        <w:rPr>
          <w:rFonts w:ascii="Arial Nova" w:hAnsi="Arial Nova" w:eastAsia="Arial Nova" w:cs="Arial Nova"/>
          <w:sz w:val="24"/>
          <w:szCs w:val="24"/>
        </w:rPr>
        <w:t>-</w:t>
      </w:r>
      <w:r w:rsidRPr="6DEF793D" w:rsidR="04566A80">
        <w:rPr>
          <w:rFonts w:ascii="Arial Nova" w:hAnsi="Arial Nova" w:eastAsia="Arial Nova" w:cs="Arial Nova"/>
          <w:sz w:val="24"/>
          <w:szCs w:val="24"/>
        </w:rPr>
        <w:t>UNWTO Guidelines</w:t>
      </w:r>
    </w:p>
    <w:p xmlns:wp14="http://schemas.microsoft.com/office/word/2010/wordml" w:rsidP="6DEF793D" wp14:paraId="5A0F265E" wp14:textId="79C9CEB0">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UNWTO promotes sustainable destination management through carrying capacity limits, community participation, transparent </w:t>
      </w:r>
      <w:r w:rsidRPr="6DEF793D" w:rsidR="04566A80">
        <w:rPr>
          <w:rFonts w:ascii="Arial Nova" w:hAnsi="Arial Nova" w:eastAsia="Arial Nova" w:cs="Arial Nova"/>
          <w:sz w:val="24"/>
          <w:szCs w:val="24"/>
        </w:rPr>
        <w:t>governance</w:t>
      </w:r>
      <w:r w:rsidRPr="6DEF793D" w:rsidR="04566A80">
        <w:rPr>
          <w:rFonts w:ascii="Arial Nova" w:hAnsi="Arial Nova" w:eastAsia="Arial Nova" w:cs="Arial Nova"/>
          <w:sz w:val="24"/>
          <w:szCs w:val="24"/>
        </w:rPr>
        <w:t xml:space="preserve"> and destination certification schemes (UNWTO, 2022). Asian destinations increasingly recognise these principles, but implementation varies widely. Cambodia and Thailand have introduced policies consistent with UNWTO guidance, yet irregular enforcement and economic dependence on tourism hinder long-term effectiveness.</w:t>
      </w:r>
    </w:p>
    <w:p xmlns:wp14="http://schemas.microsoft.com/office/word/2010/wordml" w:rsidP="6DEF793D" wp14:paraId="46B3CCBC" wp14:textId="5906E081">
      <w:pPr>
        <w:pStyle w:val="Normal"/>
        <w:spacing w:line="360" w:lineRule="auto"/>
        <w:jc w:val="both"/>
        <w:rPr>
          <w:rFonts w:ascii="Arial Nova" w:hAnsi="Arial Nova" w:eastAsia="Arial Nova" w:cs="Arial Nova"/>
          <w:sz w:val="24"/>
          <w:szCs w:val="24"/>
        </w:rPr>
      </w:pPr>
    </w:p>
    <w:p xmlns:wp14="http://schemas.microsoft.com/office/word/2010/wordml" w:rsidP="6DEF793D" wp14:paraId="7C650F55" wp14:textId="60FCE16D">
      <w:pPr>
        <w:pStyle w:val="Normal"/>
        <w:spacing w:line="360" w:lineRule="auto"/>
        <w:jc w:val="both"/>
        <w:rPr>
          <w:rFonts w:ascii="Arial Nova" w:hAnsi="Arial Nova" w:eastAsia="Arial Nova" w:cs="Arial Nova"/>
          <w:sz w:val="24"/>
          <w:szCs w:val="24"/>
        </w:rPr>
      </w:pPr>
      <w:r w:rsidRPr="6DEF793D" w:rsidR="3036EBFF">
        <w:rPr>
          <w:rFonts w:ascii="Arial Nova" w:hAnsi="Arial Nova" w:eastAsia="Arial Nova" w:cs="Arial Nova"/>
          <w:sz w:val="24"/>
          <w:szCs w:val="24"/>
        </w:rPr>
        <w:t>-</w:t>
      </w:r>
      <w:r w:rsidRPr="6DEF793D" w:rsidR="04566A80">
        <w:rPr>
          <w:rFonts w:ascii="Arial Nova" w:hAnsi="Arial Nova" w:eastAsia="Arial Nova" w:cs="Arial Nova"/>
          <w:sz w:val="24"/>
          <w:szCs w:val="24"/>
        </w:rPr>
        <w:t>National and Regional Policies</w:t>
      </w:r>
    </w:p>
    <w:p xmlns:wp14="http://schemas.microsoft.com/office/word/2010/wordml" w:rsidP="6DEF793D" wp14:paraId="1C2212E4" wp14:textId="09014129">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Cambodia's Tourism Strategic Plan supports heritage conservation through zoning, monitoring, educational </w:t>
      </w:r>
      <w:r w:rsidRPr="6DEF793D" w:rsidR="04566A80">
        <w:rPr>
          <w:rFonts w:ascii="Arial Nova" w:hAnsi="Arial Nova" w:eastAsia="Arial Nova" w:cs="Arial Nova"/>
          <w:sz w:val="24"/>
          <w:szCs w:val="24"/>
        </w:rPr>
        <w:t>campaigns</w:t>
      </w:r>
      <w:r w:rsidRPr="6DEF793D" w:rsidR="04566A80">
        <w:rPr>
          <w:rFonts w:ascii="Arial Nova" w:hAnsi="Arial Nova" w:eastAsia="Arial Nova" w:cs="Arial Nova"/>
          <w:sz w:val="24"/>
          <w:szCs w:val="24"/>
        </w:rPr>
        <w:t xml:space="preserve"> and reinvestment of tourism revenues. Thailand’s environmental policies</w:t>
      </w:r>
      <w:r w:rsidRPr="6DEF793D" w:rsidR="3DEB35FA">
        <w:rPr>
          <w:rFonts w:ascii="Arial Nova" w:hAnsi="Arial Nova" w:eastAsia="Arial Nova" w:cs="Arial Nova"/>
          <w:sz w:val="24"/>
          <w:szCs w:val="24"/>
        </w:rPr>
        <w:t xml:space="preserve"> </w:t>
      </w:r>
      <w:r w:rsidRPr="6DEF793D" w:rsidR="2558BFEB">
        <w:rPr>
          <w:rFonts w:ascii="Arial Nova" w:hAnsi="Arial Nova" w:eastAsia="Arial Nova" w:cs="Arial Nova"/>
          <w:sz w:val="24"/>
          <w:szCs w:val="24"/>
        </w:rPr>
        <w:t>include</w:t>
      </w:r>
      <w:r w:rsidRPr="6DEF793D" w:rsidR="04566A80">
        <w:rPr>
          <w:rFonts w:ascii="Arial Nova" w:hAnsi="Arial Nova" w:eastAsia="Arial Nova" w:cs="Arial Nova"/>
          <w:sz w:val="24"/>
          <w:szCs w:val="24"/>
        </w:rPr>
        <w:t xml:space="preserve"> marine conservation laws and wildlife protection regulations—</w:t>
      </w:r>
      <w:r w:rsidRPr="6DEF793D" w:rsidR="04566A80">
        <w:rPr>
          <w:rFonts w:ascii="Arial Nova" w:hAnsi="Arial Nova" w:eastAsia="Arial Nova" w:cs="Arial Nova"/>
          <w:sz w:val="24"/>
          <w:szCs w:val="24"/>
        </w:rPr>
        <w:t>demonstrate</w:t>
      </w:r>
      <w:r w:rsidRPr="6DEF793D" w:rsidR="04566A80">
        <w:rPr>
          <w:rFonts w:ascii="Arial Nova" w:hAnsi="Arial Nova" w:eastAsia="Arial Nova" w:cs="Arial Nova"/>
          <w:sz w:val="24"/>
          <w:szCs w:val="24"/>
        </w:rPr>
        <w:t xml:space="preserve"> proactive measures, although their impact is limited by inconsistent enforcement (Department of National Parks Thailand, 2019). Across Asia, sustainability practices often </w:t>
      </w:r>
      <w:r w:rsidRPr="6DEF793D" w:rsidR="04566A80">
        <w:rPr>
          <w:rFonts w:ascii="Arial Nova" w:hAnsi="Arial Nova" w:eastAsia="Arial Nova" w:cs="Arial Nova"/>
          <w:sz w:val="24"/>
          <w:szCs w:val="24"/>
        </w:rPr>
        <w:t>remain</w:t>
      </w:r>
      <w:r w:rsidRPr="6DEF793D" w:rsidR="04566A80">
        <w:rPr>
          <w:rFonts w:ascii="Arial Nova" w:hAnsi="Arial Nova" w:eastAsia="Arial Nova" w:cs="Arial Nova"/>
          <w:sz w:val="24"/>
          <w:szCs w:val="24"/>
        </w:rPr>
        <w:t xml:space="preserve"> guidelines rather than legally binding obligations.</w:t>
      </w:r>
    </w:p>
    <w:p xmlns:wp14="http://schemas.microsoft.com/office/word/2010/wordml" w:rsidP="6DEF793D" wp14:paraId="25070651" wp14:textId="5B20CD18">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Future Generations Act: A Comparative Lens</w:t>
      </w:r>
    </w:p>
    <w:p xmlns:wp14="http://schemas.microsoft.com/office/word/2010/wordml" w:rsidP="6DEF793D" wp14:paraId="646E6929" wp14:textId="7ABB5B06">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The Welsh Future Generations Act (2015) provides a strong legal model for sustainability by embedding long-term thinking, prevention and collaboration into national policy. Although Asia does not have a comparable legislative framework, the Act illustrates how legally enforced sustainability can strengthen governance and policy consistency. The comparison highlights a structural weakness in Asian tourism governance where sustainability relies on political will rather than legal obligation.</w:t>
      </w:r>
    </w:p>
    <w:p xmlns:wp14="http://schemas.microsoft.com/office/word/2010/wordml" w:rsidP="6DEF793D" wp14:paraId="7B473668" wp14:textId="7B631AA0">
      <w:pPr>
        <w:pStyle w:val="Normal"/>
        <w:spacing w:line="360" w:lineRule="auto"/>
        <w:jc w:val="both"/>
        <w:rPr>
          <w:rFonts w:ascii="Arial Nova" w:hAnsi="Arial Nova" w:eastAsia="Arial Nova" w:cs="Arial Nova"/>
          <w:sz w:val="24"/>
          <w:szCs w:val="24"/>
        </w:rPr>
      </w:pPr>
      <w:r w:rsidRPr="6DEF793D" w:rsidR="7BFA0136">
        <w:rPr>
          <w:rFonts w:ascii="Arial Nova" w:hAnsi="Arial Nova" w:eastAsia="Arial Nova" w:cs="Arial Nova"/>
          <w:sz w:val="24"/>
          <w:szCs w:val="24"/>
        </w:rPr>
        <w:t xml:space="preserve">Crictical </w:t>
      </w:r>
      <w:r w:rsidRPr="6DEF793D" w:rsidR="04566A80">
        <w:rPr>
          <w:rFonts w:ascii="Arial Nova" w:hAnsi="Arial Nova" w:eastAsia="Arial Nova" w:cs="Arial Nova"/>
          <w:sz w:val="24"/>
          <w:szCs w:val="24"/>
        </w:rPr>
        <w:t>Evaluation</w:t>
      </w:r>
    </w:p>
    <w:p xmlns:wp14="http://schemas.microsoft.com/office/word/2010/wordml" w:rsidP="6DEF793D" wp14:paraId="0F265DE0" wp14:textId="58ED18F9">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Sustainable tourism in Asia </w:t>
      </w:r>
      <w:r w:rsidRPr="6DEF793D" w:rsidR="04566A80">
        <w:rPr>
          <w:rFonts w:ascii="Arial Nova" w:hAnsi="Arial Nova" w:eastAsia="Arial Nova" w:cs="Arial Nova"/>
          <w:sz w:val="24"/>
          <w:szCs w:val="24"/>
        </w:rPr>
        <w:t>demonstrates</w:t>
      </w:r>
      <w:r w:rsidRPr="6DEF793D" w:rsidR="04566A80">
        <w:rPr>
          <w:rFonts w:ascii="Arial Nova" w:hAnsi="Arial Nova" w:eastAsia="Arial Nova" w:cs="Arial Nova"/>
          <w:sz w:val="24"/>
          <w:szCs w:val="24"/>
        </w:rPr>
        <w:t xml:space="preserve"> </w:t>
      </w:r>
      <w:r w:rsidRPr="6DEF793D" w:rsidR="04566A80">
        <w:rPr>
          <w:rFonts w:ascii="Arial Nova" w:hAnsi="Arial Nova" w:eastAsia="Arial Nova" w:cs="Arial Nova"/>
          <w:sz w:val="24"/>
          <w:szCs w:val="24"/>
        </w:rPr>
        <w:t>significant progress</w:t>
      </w:r>
      <w:r w:rsidRPr="6DEF793D" w:rsidR="04566A80">
        <w:rPr>
          <w:rFonts w:ascii="Arial Nova" w:hAnsi="Arial Nova" w:eastAsia="Arial Nova" w:cs="Arial Nova"/>
          <w:sz w:val="24"/>
          <w:szCs w:val="24"/>
        </w:rPr>
        <w:t xml:space="preserve"> but also major barriers to effective implementation. Cambodia’s approach at Angkor has improved heritage preservation and raised awareness of responsible visitor behaviour. However, resource limitations and high economic dependency restrict the ability to enact more substantial reforms (</w:t>
      </w:r>
      <w:r w:rsidRPr="6DEF793D" w:rsidR="04566A80">
        <w:rPr>
          <w:rFonts w:ascii="Arial Nova" w:hAnsi="Arial Nova" w:eastAsia="Arial Nova" w:cs="Arial Nova"/>
          <w:sz w:val="24"/>
          <w:szCs w:val="24"/>
        </w:rPr>
        <w:t>Gössling</w:t>
      </w:r>
      <w:r w:rsidRPr="6DEF793D" w:rsidR="04566A80">
        <w:rPr>
          <w:rFonts w:ascii="Arial Nova" w:hAnsi="Arial Nova" w:eastAsia="Arial Nova" w:cs="Arial Nova"/>
          <w:sz w:val="24"/>
          <w:szCs w:val="24"/>
        </w:rPr>
        <w:t xml:space="preserve"> &amp; Scott, 2021). Thailand’s growth in ethical elephant sanctuaries reflects increasing CSR commitment, yet harmful practices </w:t>
      </w:r>
      <w:r w:rsidRPr="6DEF793D" w:rsidR="04566A80">
        <w:rPr>
          <w:rFonts w:ascii="Arial Nova" w:hAnsi="Arial Nova" w:eastAsia="Arial Nova" w:cs="Arial Nova"/>
          <w:sz w:val="24"/>
          <w:szCs w:val="24"/>
        </w:rPr>
        <w:t>remain</w:t>
      </w:r>
      <w:r w:rsidRPr="6DEF793D" w:rsidR="04566A80">
        <w:rPr>
          <w:rFonts w:ascii="Arial Nova" w:hAnsi="Arial Nova" w:eastAsia="Arial Nova" w:cs="Arial Nova"/>
          <w:sz w:val="24"/>
          <w:szCs w:val="24"/>
        </w:rPr>
        <w:t xml:space="preserve"> common due to limited regulatory enforcement and profitability of exploitative attractions (Schmidt-Burbach, 2017).</w:t>
      </w:r>
    </w:p>
    <w:p xmlns:wp14="http://schemas.microsoft.com/office/word/2010/wordml" w:rsidP="6DEF793D" wp14:paraId="27824C1A" wp14:textId="5DD1A638">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Compared to Asia, European destinations often </w:t>
      </w:r>
      <w:r w:rsidRPr="6DEF793D" w:rsidR="04566A80">
        <w:rPr>
          <w:rFonts w:ascii="Arial Nova" w:hAnsi="Arial Nova" w:eastAsia="Arial Nova" w:cs="Arial Nova"/>
          <w:sz w:val="24"/>
          <w:szCs w:val="24"/>
        </w:rPr>
        <w:t>benefit</w:t>
      </w:r>
      <w:r w:rsidRPr="6DEF793D" w:rsidR="04566A80">
        <w:rPr>
          <w:rFonts w:ascii="Arial Nova" w:hAnsi="Arial Nova" w:eastAsia="Arial Nova" w:cs="Arial Nova"/>
          <w:sz w:val="24"/>
          <w:szCs w:val="24"/>
        </w:rPr>
        <w:t xml:space="preserve"> from stronger governance mechanisms. Countries such as Italy, Spain and the UK implement coordinated policies such as visitor taxes, timed entry systems, low-carbon </w:t>
      </w:r>
      <w:r w:rsidRPr="6DEF793D" w:rsidR="04566A80">
        <w:rPr>
          <w:rFonts w:ascii="Arial Nova" w:hAnsi="Arial Nova" w:eastAsia="Arial Nova" w:cs="Arial Nova"/>
          <w:sz w:val="24"/>
          <w:szCs w:val="24"/>
        </w:rPr>
        <w:t>mobility</w:t>
      </w:r>
      <w:r w:rsidRPr="6DEF793D" w:rsidR="04566A80">
        <w:rPr>
          <w:rFonts w:ascii="Arial Nova" w:hAnsi="Arial Nova" w:eastAsia="Arial Nova" w:cs="Arial Nova"/>
          <w:sz w:val="24"/>
          <w:szCs w:val="24"/>
        </w:rPr>
        <w:t xml:space="preserve"> and conservation funding structures that provide long-term sustainability frameworks (OECD, 2022). Europe’s stronger institutional capacity highlights governance gaps in Asia, where sustainability policies are often aspirational rather than mandatory.</w:t>
      </w:r>
    </w:p>
    <w:p xmlns:wp14="http://schemas.microsoft.com/office/word/2010/wordml" w:rsidP="6DEF793D" wp14:paraId="25489F3D" wp14:textId="227F97C7">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Environmental sustainability </w:t>
      </w:r>
      <w:r w:rsidRPr="6DEF793D" w:rsidR="04566A80">
        <w:rPr>
          <w:rFonts w:ascii="Arial Nova" w:hAnsi="Arial Nova" w:eastAsia="Arial Nova" w:cs="Arial Nova"/>
          <w:sz w:val="24"/>
          <w:szCs w:val="24"/>
        </w:rPr>
        <w:t>remains</w:t>
      </w:r>
      <w:r w:rsidRPr="6DEF793D" w:rsidR="04566A80">
        <w:rPr>
          <w:rFonts w:ascii="Arial Nova" w:hAnsi="Arial Nova" w:eastAsia="Arial Nova" w:cs="Arial Nova"/>
          <w:sz w:val="24"/>
          <w:szCs w:val="24"/>
        </w:rPr>
        <w:t xml:space="preserve"> a significant challenge across Asia. Rapid development, mass </w:t>
      </w:r>
      <w:r w:rsidRPr="6DEF793D" w:rsidR="04566A80">
        <w:rPr>
          <w:rFonts w:ascii="Arial Nova" w:hAnsi="Arial Nova" w:eastAsia="Arial Nova" w:cs="Arial Nova"/>
          <w:sz w:val="24"/>
          <w:szCs w:val="24"/>
        </w:rPr>
        <w:t>tourism</w:t>
      </w:r>
      <w:r w:rsidRPr="6DEF793D" w:rsidR="04566A80">
        <w:rPr>
          <w:rFonts w:ascii="Arial Nova" w:hAnsi="Arial Nova" w:eastAsia="Arial Nova" w:cs="Arial Nova"/>
          <w:sz w:val="24"/>
          <w:szCs w:val="24"/>
        </w:rPr>
        <w:t xml:space="preserve"> and inadequate regulation contribute to habitat loss, </w:t>
      </w:r>
      <w:r w:rsidRPr="6DEF793D" w:rsidR="04566A80">
        <w:rPr>
          <w:rFonts w:ascii="Arial Nova" w:hAnsi="Arial Nova" w:eastAsia="Arial Nova" w:cs="Arial Nova"/>
          <w:sz w:val="24"/>
          <w:szCs w:val="24"/>
        </w:rPr>
        <w:t>pollution</w:t>
      </w:r>
      <w:r w:rsidRPr="6DEF793D" w:rsidR="04566A80">
        <w:rPr>
          <w:rFonts w:ascii="Arial Nova" w:hAnsi="Arial Nova" w:eastAsia="Arial Nova" w:cs="Arial Nova"/>
          <w:sz w:val="24"/>
          <w:szCs w:val="24"/>
        </w:rPr>
        <w:t xml:space="preserve"> and biodiversity decline. Social sustainability is mixed: some destinations successfully implement community-based tourism and cultural preservation, while others struggle with local displacement and cultural commodification (</w:t>
      </w:r>
      <w:r w:rsidRPr="6DEF793D" w:rsidR="04566A80">
        <w:rPr>
          <w:rFonts w:ascii="Arial Nova" w:hAnsi="Arial Nova" w:eastAsia="Arial Nova" w:cs="Arial Nova"/>
          <w:sz w:val="24"/>
          <w:szCs w:val="24"/>
        </w:rPr>
        <w:t>Alamineh</w:t>
      </w:r>
      <w:r w:rsidRPr="6DEF793D" w:rsidR="04566A80">
        <w:rPr>
          <w:rFonts w:ascii="Arial Nova" w:hAnsi="Arial Nova" w:eastAsia="Arial Nova" w:cs="Arial Nova"/>
          <w:sz w:val="24"/>
          <w:szCs w:val="24"/>
        </w:rPr>
        <w:t xml:space="preserve"> et al., 2023).</w:t>
      </w:r>
    </w:p>
    <w:p xmlns:wp14="http://schemas.microsoft.com/office/word/2010/wordml" w:rsidP="6DEF793D" wp14:paraId="3B56795D" wp14:textId="0DE90A1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CSR plays an increasingly </w:t>
      </w:r>
      <w:r w:rsidRPr="6DEF793D" w:rsidR="04566A80">
        <w:rPr>
          <w:rFonts w:ascii="Arial Nova" w:hAnsi="Arial Nova" w:eastAsia="Arial Nova" w:cs="Arial Nova"/>
          <w:sz w:val="24"/>
          <w:szCs w:val="24"/>
        </w:rPr>
        <w:t>important role</w:t>
      </w:r>
      <w:r w:rsidRPr="6DEF793D" w:rsidR="04566A80">
        <w:rPr>
          <w:rFonts w:ascii="Arial Nova" w:hAnsi="Arial Nova" w:eastAsia="Arial Nova" w:cs="Arial Nova"/>
          <w:sz w:val="24"/>
          <w:szCs w:val="24"/>
        </w:rPr>
        <w:t xml:space="preserve"> in driving positive change. Ethical wildlife tourism, eco-certified </w:t>
      </w:r>
      <w:r w:rsidRPr="6DEF793D" w:rsidR="04566A80">
        <w:rPr>
          <w:rFonts w:ascii="Arial Nova" w:hAnsi="Arial Nova" w:eastAsia="Arial Nova" w:cs="Arial Nova"/>
          <w:sz w:val="24"/>
          <w:szCs w:val="24"/>
        </w:rPr>
        <w:t>accommodation</w:t>
      </w:r>
      <w:r w:rsidRPr="6DEF793D" w:rsidR="04566A80">
        <w:rPr>
          <w:rFonts w:ascii="Arial Nova" w:hAnsi="Arial Nova" w:eastAsia="Arial Nova" w:cs="Arial Nova"/>
          <w:sz w:val="24"/>
          <w:szCs w:val="24"/>
        </w:rPr>
        <w:t xml:space="preserve"> and community-based models show how private-sector leadership can contribute to sustainability goals. However, greenwashing </w:t>
      </w:r>
      <w:r w:rsidRPr="6DEF793D" w:rsidR="04566A80">
        <w:rPr>
          <w:rFonts w:ascii="Arial Nova" w:hAnsi="Arial Nova" w:eastAsia="Arial Nova" w:cs="Arial Nova"/>
          <w:sz w:val="24"/>
          <w:szCs w:val="24"/>
        </w:rPr>
        <w:t>remains</w:t>
      </w:r>
      <w:r w:rsidRPr="6DEF793D" w:rsidR="04566A80">
        <w:rPr>
          <w:rFonts w:ascii="Arial Nova" w:hAnsi="Arial Nova" w:eastAsia="Arial Nova" w:cs="Arial Nova"/>
          <w:sz w:val="24"/>
          <w:szCs w:val="24"/>
        </w:rPr>
        <w:t xml:space="preserve"> a concern due to inconsistent evaluation standards and the absence of formal accountability frameworks (</w:t>
      </w:r>
      <w:r w:rsidRPr="6DEF793D" w:rsidR="04566A80">
        <w:rPr>
          <w:rFonts w:ascii="Arial Nova" w:hAnsi="Arial Nova" w:eastAsia="Arial Nova" w:cs="Arial Nova"/>
          <w:sz w:val="24"/>
          <w:szCs w:val="24"/>
        </w:rPr>
        <w:t>Gössling</w:t>
      </w:r>
      <w:r w:rsidRPr="6DEF793D" w:rsidR="04566A80">
        <w:rPr>
          <w:rFonts w:ascii="Arial Nova" w:hAnsi="Arial Nova" w:eastAsia="Arial Nova" w:cs="Arial Nova"/>
          <w:sz w:val="24"/>
          <w:szCs w:val="24"/>
        </w:rPr>
        <w:t xml:space="preserve"> et al., 2020). Stronger verification systems, clearer </w:t>
      </w:r>
      <w:r w:rsidRPr="6DEF793D" w:rsidR="04566A80">
        <w:rPr>
          <w:rFonts w:ascii="Arial Nova" w:hAnsi="Arial Nova" w:eastAsia="Arial Nova" w:cs="Arial Nova"/>
          <w:sz w:val="24"/>
          <w:szCs w:val="24"/>
        </w:rPr>
        <w:t>guidelines</w:t>
      </w:r>
      <w:r w:rsidRPr="6DEF793D" w:rsidR="04566A80">
        <w:rPr>
          <w:rFonts w:ascii="Arial Nova" w:hAnsi="Arial Nova" w:eastAsia="Arial Nova" w:cs="Arial Nova"/>
          <w:sz w:val="24"/>
          <w:szCs w:val="24"/>
        </w:rPr>
        <w:t xml:space="preserve"> and transparent reporting are needed to strengthen CSR’s impact.</w:t>
      </w:r>
    </w:p>
    <w:p xmlns:wp14="http://schemas.microsoft.com/office/word/2010/wordml" w:rsidP="6DEF793D" wp14:paraId="45467362" wp14:textId="3659B7BF">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Conclusion and Recommendations</w:t>
      </w:r>
    </w:p>
    <w:p xmlns:wp14="http://schemas.microsoft.com/office/word/2010/wordml" w:rsidP="6DEF793D" wp14:paraId="534D449D" wp14:textId="2C57C86A">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The comparative evaluation reveals that sustainable tourism in Asia has made meaningful progress but </w:t>
      </w:r>
      <w:r w:rsidRPr="6DEF793D" w:rsidR="04566A80">
        <w:rPr>
          <w:rFonts w:ascii="Arial Nova" w:hAnsi="Arial Nova" w:eastAsia="Arial Nova" w:cs="Arial Nova"/>
          <w:sz w:val="24"/>
          <w:szCs w:val="24"/>
        </w:rPr>
        <w:t>remains</w:t>
      </w:r>
      <w:r w:rsidRPr="6DEF793D" w:rsidR="04566A80">
        <w:rPr>
          <w:rFonts w:ascii="Arial Nova" w:hAnsi="Arial Nova" w:eastAsia="Arial Nova" w:cs="Arial Nova"/>
          <w:sz w:val="24"/>
          <w:szCs w:val="24"/>
        </w:rPr>
        <w:t xml:space="preserve"> constrained by governance gaps, enforcement </w:t>
      </w:r>
      <w:r w:rsidRPr="6DEF793D" w:rsidR="04566A80">
        <w:rPr>
          <w:rFonts w:ascii="Arial Nova" w:hAnsi="Arial Nova" w:eastAsia="Arial Nova" w:cs="Arial Nova"/>
          <w:sz w:val="24"/>
          <w:szCs w:val="24"/>
        </w:rPr>
        <w:t>limitations</w:t>
      </w:r>
      <w:r w:rsidRPr="6DEF793D" w:rsidR="04566A80">
        <w:rPr>
          <w:rFonts w:ascii="Arial Nova" w:hAnsi="Arial Nova" w:eastAsia="Arial Nova" w:cs="Arial Nova"/>
          <w:sz w:val="24"/>
          <w:szCs w:val="24"/>
        </w:rPr>
        <w:t xml:space="preserve"> and economic pressures. Cambodia’s heritage management and Thailand’s ethical sanctuaries illustrate promising developments, yet inconsistent implementation and limited oversight continue to undermine long-term sustainability. Compared with Europe’s </w:t>
      </w:r>
      <w:r w:rsidRPr="6DEF793D" w:rsidR="1ABF043E">
        <w:rPr>
          <w:rFonts w:ascii="Arial Nova" w:hAnsi="Arial Nova" w:eastAsia="Arial Nova" w:cs="Arial Nova"/>
          <w:sz w:val="24"/>
          <w:szCs w:val="24"/>
        </w:rPr>
        <w:t>more legal</w:t>
      </w:r>
      <w:r w:rsidRPr="6DEF793D" w:rsidR="04566A80">
        <w:rPr>
          <w:rFonts w:ascii="Arial Nova" w:hAnsi="Arial Nova" w:eastAsia="Arial Nova" w:cs="Arial Nova"/>
          <w:sz w:val="24"/>
          <w:szCs w:val="24"/>
        </w:rPr>
        <w:t xml:space="preserve"> frameworks and coordinated policies, Asia’s sustainability efforts often lack institutional support and rely heavily on voluntary compliance. Nonetheless, Asia shows strong potential through community-led initiatives, conservation-focused tourism models and growing public demand for responsible travel.</w:t>
      </w:r>
    </w:p>
    <w:p xmlns:wp14="http://schemas.microsoft.com/office/word/2010/wordml" w:rsidP="6DEF793D" wp14:paraId="165BCCDE" wp14:textId="7E74E5E4">
      <w:pPr>
        <w:pStyle w:val="Normal"/>
        <w:spacing w:line="360" w:lineRule="auto"/>
        <w:jc w:val="both"/>
        <w:rPr>
          <w:rFonts w:ascii="Arial Nova" w:hAnsi="Arial Nova" w:eastAsia="Arial Nova" w:cs="Arial Nova"/>
          <w:sz w:val="24"/>
          <w:szCs w:val="24"/>
        </w:rPr>
      </w:pPr>
      <w:r w:rsidRPr="6DEF793D" w:rsidR="04566A80">
        <w:rPr>
          <w:rFonts w:ascii="Arial Nova" w:hAnsi="Arial Nova" w:eastAsia="Arial Nova" w:cs="Arial Nova"/>
          <w:sz w:val="24"/>
          <w:szCs w:val="24"/>
        </w:rPr>
        <w:t xml:space="preserve">To support regional improvement, sustainable tourism in Asia must move beyond fragmented policy implementation and toward integrated, long-term strategic planning. Stronger legal frameworks are needed to ensure consistent enforcement of conservation rules, wildlife protection </w:t>
      </w:r>
      <w:r w:rsidRPr="6DEF793D" w:rsidR="04566A80">
        <w:rPr>
          <w:rFonts w:ascii="Arial Nova" w:hAnsi="Arial Nova" w:eastAsia="Arial Nova" w:cs="Arial Nova"/>
          <w:sz w:val="24"/>
          <w:szCs w:val="24"/>
        </w:rPr>
        <w:t>laws</w:t>
      </w:r>
      <w:r w:rsidRPr="6DEF793D" w:rsidR="04566A80">
        <w:rPr>
          <w:rFonts w:ascii="Arial Nova" w:hAnsi="Arial Nova" w:eastAsia="Arial Nova" w:cs="Arial Nova"/>
          <w:sz w:val="24"/>
          <w:szCs w:val="24"/>
        </w:rPr>
        <w:t xml:space="preserve"> and cultural preservation policies. Corporate Social Responsibility must become more transparent and accountable, with national certification systems to prevent greenwashing and ensure that businesses meet clearly defined sustainability standards. Additionally, community participation should be central to tourism planning, ensuring that local people </w:t>
      </w:r>
      <w:r w:rsidRPr="6DEF793D" w:rsidR="04566A80">
        <w:rPr>
          <w:rFonts w:ascii="Arial Nova" w:hAnsi="Arial Nova" w:eastAsia="Arial Nova" w:cs="Arial Nova"/>
          <w:sz w:val="24"/>
          <w:szCs w:val="24"/>
        </w:rPr>
        <w:t>retain</w:t>
      </w:r>
      <w:r w:rsidRPr="6DEF793D" w:rsidR="04566A80">
        <w:rPr>
          <w:rFonts w:ascii="Arial Nova" w:hAnsi="Arial Nova" w:eastAsia="Arial Nova" w:cs="Arial Nova"/>
          <w:sz w:val="24"/>
          <w:szCs w:val="24"/>
        </w:rPr>
        <w:t xml:space="preserve"> cultural ownership while receiving </w:t>
      </w:r>
      <w:r w:rsidRPr="6DEF793D" w:rsidR="04566A80">
        <w:rPr>
          <w:rFonts w:ascii="Arial Nova" w:hAnsi="Arial Nova" w:eastAsia="Arial Nova" w:cs="Arial Nova"/>
          <w:sz w:val="24"/>
          <w:szCs w:val="24"/>
        </w:rPr>
        <w:t>equitable</w:t>
      </w:r>
      <w:r w:rsidRPr="6DEF793D" w:rsidR="04566A80">
        <w:rPr>
          <w:rFonts w:ascii="Arial Nova" w:hAnsi="Arial Nova" w:eastAsia="Arial Nova" w:cs="Arial Nova"/>
          <w:sz w:val="24"/>
          <w:szCs w:val="24"/>
        </w:rPr>
        <w:t xml:space="preserve"> economic benefits. Technological solutions</w:t>
      </w:r>
      <w:r w:rsidRPr="6DEF793D" w:rsidR="395F0791">
        <w:rPr>
          <w:rFonts w:ascii="Arial Nova" w:hAnsi="Arial Nova" w:eastAsia="Arial Nova" w:cs="Arial Nova"/>
          <w:sz w:val="24"/>
          <w:szCs w:val="24"/>
        </w:rPr>
        <w:t xml:space="preserve"> </w:t>
      </w:r>
      <w:r w:rsidRPr="6DEF793D" w:rsidR="04566A80">
        <w:rPr>
          <w:rFonts w:ascii="Arial Nova" w:hAnsi="Arial Nova" w:eastAsia="Arial Nova" w:cs="Arial Nova"/>
          <w:sz w:val="24"/>
          <w:szCs w:val="24"/>
        </w:rPr>
        <w:t>such as timed entry systems, digital visitor monitoring and data-driven carrying capacity assessments</w:t>
      </w:r>
      <w:r w:rsidRPr="6DEF793D" w:rsidR="6E0BA787">
        <w:rPr>
          <w:rFonts w:ascii="Arial Nova" w:hAnsi="Arial Nova" w:eastAsia="Arial Nova" w:cs="Arial Nova"/>
          <w:sz w:val="24"/>
          <w:szCs w:val="24"/>
        </w:rPr>
        <w:t xml:space="preserve"> </w:t>
      </w:r>
      <w:r w:rsidRPr="6DEF793D" w:rsidR="04566A80">
        <w:rPr>
          <w:rFonts w:ascii="Arial Nova" w:hAnsi="Arial Nova" w:eastAsia="Arial Nova" w:cs="Arial Nova"/>
          <w:sz w:val="24"/>
          <w:szCs w:val="24"/>
        </w:rPr>
        <w:t>can reduce overcrowding and protect fragile environments. Finally, ongoing public education campaigns focusing on cultural respect, environmental responsibility and sustainable travel choices can reinforce behavioural change. When these approaches work together, they provide a foundation for long-term resilience and enable Asia to advance as a model of sustainable tourism practice.</w:t>
      </w:r>
    </w:p>
    <w:p xmlns:wp14="http://schemas.microsoft.com/office/word/2010/wordml" w:rsidP="6DEF793D" wp14:paraId="487579E4" wp14:textId="5CA3555A">
      <w:pPr>
        <w:spacing w:before="240" w:beforeAutospacing="off" w:after="240" w:afterAutospacing="off"/>
      </w:pPr>
      <w:r w:rsidRPr="6DEF793D" w:rsidR="1BF90499">
        <w:rPr>
          <w:rFonts w:ascii="Aptos" w:hAnsi="Aptos" w:eastAsia="Aptos" w:cs="Aptos"/>
          <w:noProof w:val="0"/>
          <w:sz w:val="24"/>
          <w:szCs w:val="24"/>
          <w:lang w:val="en-GB"/>
        </w:rPr>
        <w:t xml:space="preserve">Bobel, M.C., Al Hinai, A. &amp; Roslani, A.C., 2022. </w:t>
      </w:r>
      <w:r w:rsidRPr="6DEF793D" w:rsidR="1BF90499">
        <w:rPr>
          <w:rFonts w:ascii="Aptos" w:hAnsi="Aptos" w:eastAsia="Aptos" w:cs="Aptos"/>
          <w:i w:val="1"/>
          <w:iCs w:val="1"/>
          <w:noProof w:val="0"/>
          <w:sz w:val="24"/>
          <w:szCs w:val="24"/>
          <w:lang w:val="en-GB"/>
        </w:rPr>
        <w:t>Cultural sensitivity and ethical considerations.</w:t>
      </w:r>
      <w:r w:rsidRPr="6DEF793D" w:rsidR="1BF90499">
        <w:rPr>
          <w:rFonts w:ascii="Aptos" w:hAnsi="Aptos" w:eastAsia="Aptos" w:cs="Aptos"/>
          <w:noProof w:val="0"/>
          <w:sz w:val="24"/>
          <w:szCs w:val="24"/>
          <w:lang w:val="en-GB"/>
        </w:rPr>
        <w:t xml:space="preserve"> Clinical Colon and Rectal Surgery, 35(5), pp.371–375. Available at: </w:t>
      </w:r>
      <w:hyperlink r:id="R18b4250b14a74887">
        <w:r w:rsidRPr="6DEF793D" w:rsidR="1BF90499">
          <w:rPr>
            <w:rStyle w:val="Hyperlink"/>
            <w:rFonts w:ascii="Aptos" w:hAnsi="Aptos" w:eastAsia="Aptos" w:cs="Aptos"/>
            <w:noProof w:val="0"/>
            <w:sz w:val="24"/>
            <w:szCs w:val="24"/>
            <w:lang w:val="en-GB"/>
          </w:rPr>
          <w:t>https://www.ncbi.nlm.nih.gov/pmc/articles/PMC9470284/</w:t>
        </w:r>
      </w:hyperlink>
      <w:r w:rsidRPr="6DEF793D" w:rsidR="1BF90499">
        <w:rPr>
          <w:rFonts w:ascii="Aptos" w:hAnsi="Aptos" w:eastAsia="Aptos" w:cs="Aptos"/>
          <w:noProof w:val="0"/>
          <w:sz w:val="24"/>
          <w:szCs w:val="24"/>
          <w:lang w:val="en-GB"/>
        </w:rPr>
        <w:t xml:space="preserve"> [Accessed 24 November 2025].</w:t>
      </w:r>
    </w:p>
    <w:p xmlns:wp14="http://schemas.microsoft.com/office/word/2010/wordml" wp14:paraId="5E5787A5" wp14:textId="1A6C5E6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1a03a3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43ad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326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D4093"/>
    <w:rsid w:val="000F68D3"/>
    <w:rsid w:val="01801A8D"/>
    <w:rsid w:val="022D2E04"/>
    <w:rsid w:val="026BBF94"/>
    <w:rsid w:val="04189BD2"/>
    <w:rsid w:val="043CAF35"/>
    <w:rsid w:val="04566A80"/>
    <w:rsid w:val="065D7566"/>
    <w:rsid w:val="0881019C"/>
    <w:rsid w:val="092838AD"/>
    <w:rsid w:val="09EB29BD"/>
    <w:rsid w:val="0B76C793"/>
    <w:rsid w:val="0D2C2B3A"/>
    <w:rsid w:val="0D7D3B4B"/>
    <w:rsid w:val="1002A3E2"/>
    <w:rsid w:val="129A5268"/>
    <w:rsid w:val="131C3C89"/>
    <w:rsid w:val="17C32397"/>
    <w:rsid w:val="195F141D"/>
    <w:rsid w:val="1A446A52"/>
    <w:rsid w:val="1ABF043E"/>
    <w:rsid w:val="1BF90499"/>
    <w:rsid w:val="1E88D4DF"/>
    <w:rsid w:val="1EDB8798"/>
    <w:rsid w:val="2018F618"/>
    <w:rsid w:val="208E4697"/>
    <w:rsid w:val="2293790E"/>
    <w:rsid w:val="231168E0"/>
    <w:rsid w:val="2558BFEB"/>
    <w:rsid w:val="2598DBF0"/>
    <w:rsid w:val="27F1D4FE"/>
    <w:rsid w:val="2EB110EA"/>
    <w:rsid w:val="2EE6A62D"/>
    <w:rsid w:val="2F80F998"/>
    <w:rsid w:val="3036EBFF"/>
    <w:rsid w:val="3108C940"/>
    <w:rsid w:val="311E4E09"/>
    <w:rsid w:val="315DFE70"/>
    <w:rsid w:val="3182B9C9"/>
    <w:rsid w:val="36C08715"/>
    <w:rsid w:val="37054E42"/>
    <w:rsid w:val="395F0791"/>
    <w:rsid w:val="3AFFB2B5"/>
    <w:rsid w:val="3C401F8C"/>
    <w:rsid w:val="3DE92CA0"/>
    <w:rsid w:val="3DEB35FA"/>
    <w:rsid w:val="3FDB7459"/>
    <w:rsid w:val="40F8B26D"/>
    <w:rsid w:val="43CE24BE"/>
    <w:rsid w:val="46993FC7"/>
    <w:rsid w:val="481A9911"/>
    <w:rsid w:val="489D5A20"/>
    <w:rsid w:val="4A8A1B7C"/>
    <w:rsid w:val="4C0C797A"/>
    <w:rsid w:val="4ED8B288"/>
    <w:rsid w:val="4FAE3BE6"/>
    <w:rsid w:val="50B8D685"/>
    <w:rsid w:val="5348DB81"/>
    <w:rsid w:val="53CECD12"/>
    <w:rsid w:val="561B78FE"/>
    <w:rsid w:val="585F3707"/>
    <w:rsid w:val="5A41AE59"/>
    <w:rsid w:val="5B0E8BBD"/>
    <w:rsid w:val="5C0BF131"/>
    <w:rsid w:val="5D2D4093"/>
    <w:rsid w:val="5F76E346"/>
    <w:rsid w:val="601F6CF9"/>
    <w:rsid w:val="632B021C"/>
    <w:rsid w:val="64DD2035"/>
    <w:rsid w:val="65A9B0DE"/>
    <w:rsid w:val="66110867"/>
    <w:rsid w:val="669422E9"/>
    <w:rsid w:val="6696E7F1"/>
    <w:rsid w:val="6697690A"/>
    <w:rsid w:val="69D13ABA"/>
    <w:rsid w:val="6AB1A219"/>
    <w:rsid w:val="6CDCD7FE"/>
    <w:rsid w:val="6DEF793D"/>
    <w:rsid w:val="6E0BA787"/>
    <w:rsid w:val="6E581104"/>
    <w:rsid w:val="713D5437"/>
    <w:rsid w:val="774B930F"/>
    <w:rsid w:val="78E09DAF"/>
    <w:rsid w:val="7BB79351"/>
    <w:rsid w:val="7BF9035D"/>
    <w:rsid w:val="7BFA0136"/>
    <w:rsid w:val="7F830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D4093"/>
  <w15:chartTrackingRefBased/>
  <w15:docId w15:val="{90AD1C48-89EB-41A3-A434-EC24B85049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DEF793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DEF793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EF793D"/>
    <w:pPr>
      <w:spacing/>
      <w:ind w:left="720"/>
      <w:contextualSpacing/>
    </w:pPr>
  </w:style>
  <w:style w:type="character" w:styleId="Hyperlink">
    <w:uiPriority w:val="99"/>
    <w:name w:val="Hyperlink"/>
    <w:basedOn w:val="DefaultParagraphFont"/>
    <w:unhideWhenUsed/>
    <w:rsid w:val="6DEF79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9470284/" TargetMode="External" Id="R18b4250b14a74887" /><Relationship Type="http://schemas.openxmlformats.org/officeDocument/2006/relationships/numbering" Target="/word/numbering.xml" Id="R1d9c26e280bd40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Skidmore (2003395)</dc:creator>
  <keywords/>
  <dc:description/>
  <lastModifiedBy>Kirsty Skidmore (2003395)</lastModifiedBy>
  <revision>2</revision>
  <dcterms:created xsi:type="dcterms:W3CDTF">2025-11-24T10:07:26.9999188Z</dcterms:created>
  <dcterms:modified xsi:type="dcterms:W3CDTF">2025-11-24T12:59:51.6622975Z</dcterms:modified>
</coreProperties>
</file>