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31B1E" w14:textId="77777777" w:rsidR="00AB0203" w:rsidRPr="001D6AA0" w:rsidRDefault="00AB0203" w:rsidP="00AB0203">
      <w:pPr>
        <w:jc w:val="center"/>
        <w:rPr>
          <w:rFonts w:cs="Times New Roman"/>
        </w:rPr>
      </w:pPr>
    </w:p>
    <w:p w14:paraId="35A41143" w14:textId="77777777" w:rsidR="00AB0203" w:rsidRDefault="00AB0203" w:rsidP="00AB0203">
      <w:pPr>
        <w:jc w:val="center"/>
        <w:rPr>
          <w:rFonts w:cs="Times New Roman"/>
          <w:b/>
          <w:sz w:val="28"/>
          <w:szCs w:val="32"/>
        </w:rPr>
      </w:pPr>
      <w:r>
        <w:rPr>
          <w:rFonts w:cs="Times New Roman"/>
          <w:b/>
          <w:sz w:val="28"/>
          <w:szCs w:val="32"/>
        </w:rPr>
        <w:t xml:space="preserve">Module: </w:t>
      </w:r>
      <w:r w:rsidRPr="001D6AA0">
        <w:rPr>
          <w:rFonts w:cs="Times New Roman"/>
          <w:b/>
          <w:sz w:val="28"/>
          <w:szCs w:val="32"/>
        </w:rPr>
        <w:t>International Meetings Management for the Hotel Industry</w:t>
      </w:r>
    </w:p>
    <w:p w14:paraId="7236F621" w14:textId="77777777" w:rsidR="00AB0203" w:rsidRPr="001D6AA0" w:rsidRDefault="00AB0203" w:rsidP="00AB0203">
      <w:pPr>
        <w:jc w:val="center"/>
        <w:rPr>
          <w:rFonts w:cs="Times New Roman"/>
          <w:b/>
          <w:sz w:val="28"/>
          <w:szCs w:val="32"/>
        </w:rPr>
      </w:pPr>
      <w:r>
        <w:rPr>
          <w:rFonts w:cs="Times New Roman"/>
          <w:b/>
          <w:sz w:val="28"/>
          <w:szCs w:val="32"/>
        </w:rPr>
        <w:t xml:space="preserve">Module code: </w:t>
      </w:r>
      <w:r w:rsidRPr="001D6AA0">
        <w:rPr>
          <w:rFonts w:cs="Times New Roman"/>
          <w:b/>
          <w:sz w:val="28"/>
          <w:szCs w:val="32"/>
        </w:rPr>
        <w:t>BMIH6007</w:t>
      </w:r>
    </w:p>
    <w:p w14:paraId="418D3212" w14:textId="77777777" w:rsidR="00AB0203" w:rsidRPr="001D6AA0" w:rsidRDefault="00AB0203" w:rsidP="00AB0203">
      <w:pPr>
        <w:jc w:val="center"/>
        <w:rPr>
          <w:rFonts w:cs="Times New Roman"/>
          <w:b/>
          <w:sz w:val="28"/>
          <w:szCs w:val="32"/>
        </w:rPr>
      </w:pPr>
    </w:p>
    <w:p w14:paraId="60C6AD89" w14:textId="77777777" w:rsidR="00AB0203" w:rsidRPr="001D6AA0" w:rsidRDefault="00AB0203" w:rsidP="00AB0203">
      <w:pPr>
        <w:jc w:val="center"/>
        <w:rPr>
          <w:rFonts w:cs="Times New Roman"/>
          <w:b/>
          <w:sz w:val="28"/>
          <w:szCs w:val="32"/>
        </w:rPr>
      </w:pPr>
      <w:r w:rsidRPr="001D6AA0">
        <w:rPr>
          <w:rFonts w:cs="Times New Roman"/>
          <w:b/>
          <w:sz w:val="28"/>
          <w:szCs w:val="32"/>
        </w:rPr>
        <w:t>Assignment 2: Event Strategic Planning and Delivery Considerations for an International Meeting.</w:t>
      </w:r>
    </w:p>
    <w:p w14:paraId="40FC482C" w14:textId="77777777" w:rsidR="00AB0203" w:rsidRPr="001D6AA0" w:rsidRDefault="00AB0203" w:rsidP="00AB0203">
      <w:pPr>
        <w:jc w:val="center"/>
        <w:rPr>
          <w:rFonts w:cs="Times New Roman"/>
          <w:b/>
          <w:sz w:val="28"/>
          <w:szCs w:val="32"/>
        </w:rPr>
      </w:pPr>
      <w:r w:rsidRPr="001D6AA0">
        <w:rPr>
          <w:rFonts w:cs="Times New Roman"/>
          <w:b/>
          <w:sz w:val="28"/>
          <w:szCs w:val="32"/>
        </w:rPr>
        <w:t>Event Theme: </w:t>
      </w:r>
      <w:r w:rsidRPr="001D6AA0">
        <w:rPr>
          <w:rFonts w:cs="Times New Roman"/>
          <w:b/>
          <w:sz w:val="28"/>
          <w:szCs w:val="32"/>
          <w:lang w:eastAsia="en-GB"/>
        </w:rPr>
        <w:t>Halloween</w:t>
      </w:r>
      <w:r>
        <w:rPr>
          <w:rFonts w:cs="Times New Roman"/>
          <w:b/>
          <w:sz w:val="28"/>
          <w:szCs w:val="32"/>
        </w:rPr>
        <w:t xml:space="preserve"> In </w:t>
      </w:r>
      <w:r w:rsidRPr="001D6AA0">
        <w:rPr>
          <w:rFonts w:cs="Times New Roman"/>
          <w:b/>
          <w:sz w:val="28"/>
          <w:szCs w:val="32"/>
        </w:rPr>
        <w:t>Winter</w:t>
      </w:r>
    </w:p>
    <w:p w14:paraId="29698CF0" w14:textId="77777777" w:rsidR="00AB0203" w:rsidRPr="00D23C97" w:rsidRDefault="00AB0203" w:rsidP="00AB0203">
      <w:pPr>
        <w:jc w:val="center"/>
        <w:rPr>
          <w:rFonts w:cs="Times New Roman"/>
          <w:b/>
          <w:sz w:val="32"/>
          <w:szCs w:val="32"/>
        </w:rPr>
      </w:pPr>
      <w:r w:rsidRPr="00D23C97">
        <w:rPr>
          <w:rFonts w:cs="Times New Roman"/>
          <w:b/>
          <w:sz w:val="32"/>
          <w:szCs w:val="32"/>
        </w:rPr>
        <w:t>Student Name: Mashuda Begum</w:t>
      </w:r>
    </w:p>
    <w:p w14:paraId="51509B91" w14:textId="77777777" w:rsidR="00AB0203" w:rsidRPr="00D23C97" w:rsidRDefault="00AB0203" w:rsidP="00AB0203">
      <w:pPr>
        <w:jc w:val="center"/>
        <w:rPr>
          <w:rFonts w:cs="Times New Roman"/>
          <w:b/>
          <w:sz w:val="32"/>
          <w:szCs w:val="32"/>
        </w:rPr>
      </w:pPr>
      <w:r w:rsidRPr="00D23C97">
        <w:rPr>
          <w:rFonts w:cs="Times New Roman"/>
          <w:b/>
          <w:sz w:val="32"/>
          <w:szCs w:val="32"/>
        </w:rPr>
        <w:t>Student ID:</w:t>
      </w:r>
      <w:r>
        <w:rPr>
          <w:rFonts w:cs="Times New Roman"/>
          <w:b/>
          <w:sz w:val="32"/>
          <w:szCs w:val="32"/>
        </w:rPr>
        <w:t>2119256</w:t>
      </w:r>
    </w:p>
    <w:p w14:paraId="1C6CF55A" w14:textId="77777777" w:rsidR="00AB0203" w:rsidRPr="00D23C97" w:rsidRDefault="00AB0203" w:rsidP="00AB0203">
      <w:pPr>
        <w:jc w:val="center"/>
        <w:rPr>
          <w:rFonts w:cs="Times New Roman"/>
          <w:b/>
          <w:sz w:val="32"/>
          <w:szCs w:val="32"/>
        </w:rPr>
      </w:pPr>
      <w:r w:rsidRPr="00D23C97">
        <w:rPr>
          <w:rFonts w:cs="Times New Roman"/>
          <w:b/>
          <w:sz w:val="32"/>
          <w:szCs w:val="32"/>
        </w:rPr>
        <w:t xml:space="preserve">Lecturer Name: </w:t>
      </w:r>
      <w:r>
        <w:rPr>
          <w:rFonts w:cs="Times New Roman"/>
          <w:b/>
          <w:sz w:val="32"/>
          <w:szCs w:val="32"/>
        </w:rPr>
        <w:t>Kathrine Flynn</w:t>
      </w:r>
    </w:p>
    <w:p w14:paraId="1B0D31D9" w14:textId="77777777" w:rsidR="00AB0203" w:rsidRPr="001D6AA0" w:rsidRDefault="00AB0203" w:rsidP="00AB0203">
      <w:pPr>
        <w:spacing w:line="259" w:lineRule="auto"/>
        <w:jc w:val="left"/>
        <w:rPr>
          <w:rFonts w:cs="Times New Roman"/>
        </w:rPr>
      </w:pPr>
      <w:r w:rsidRPr="001D6AA0">
        <w:rPr>
          <w:rFonts w:cs="Times New Roman"/>
        </w:rPr>
        <w:br w:type="page"/>
      </w:r>
    </w:p>
    <w:p w14:paraId="643E157E" w14:textId="77777777" w:rsidR="00AB0203" w:rsidRPr="001D6AA0" w:rsidRDefault="00AB0203" w:rsidP="00AB0203">
      <w:pPr>
        <w:pStyle w:val="Heading1"/>
        <w:rPr>
          <w:rFonts w:cs="Times New Roman"/>
        </w:rPr>
      </w:pPr>
      <w:bookmarkStart w:id="0" w:name="_Toc181288537"/>
      <w:r w:rsidRPr="001D6AA0">
        <w:rPr>
          <w:rFonts w:cs="Times New Roman"/>
        </w:rPr>
        <w:lastRenderedPageBreak/>
        <w:t>Executive Summary</w:t>
      </w:r>
      <w:bookmarkEnd w:id="0"/>
      <w:r w:rsidRPr="001D6AA0">
        <w:rPr>
          <w:rFonts w:cs="Times New Roman"/>
        </w:rPr>
        <w:t xml:space="preserve"> </w:t>
      </w:r>
    </w:p>
    <w:p w14:paraId="3CCB5D70" w14:textId="77777777" w:rsidR="00AB0203" w:rsidRPr="001D6AA0" w:rsidRDefault="00AB0203" w:rsidP="00AB0203">
      <w:pPr>
        <w:rPr>
          <w:rFonts w:cs="Times New Roman"/>
          <w:lang w:eastAsia="en-GB"/>
        </w:rPr>
      </w:pPr>
      <w:r w:rsidRPr="001D6AA0">
        <w:rPr>
          <w:rFonts w:cs="Times New Roman"/>
          <w:lang w:eastAsia="en-GB"/>
        </w:rPr>
        <w:t xml:space="preserve">The Premier Inn Hotel in Loughborough's winter Halloween celebration plan is described in this report. Immersive décor, themed activities, and interactive entertainment make Halloween entertaining for families. A rigorous feasibility study informed this comprehensive strategy. The report covers the Event Cycle, EMBOK, and event management skills and resources. A thorough budget analysis shows £25,000 in costs and £35,000 in predicted earnings, providing financial stability and profit. The culture emphasises inclusivity and health safety in immersive event planning. SWOT analysis positions the event strategically in the competitive landscape by identifying strengths, weaknesses, opportunities, and threats. This study gives a blueprint for a successful Halloween event that follows market trends and boosts guest engagement and pleasure with clear goals and structure. These initiatives will make the event the region's premier Halloween spot. </w:t>
      </w:r>
      <w:r w:rsidRPr="001D6AA0">
        <w:rPr>
          <w:rFonts w:cs="Times New Roman"/>
          <w:lang w:eastAsia="en-GB"/>
        </w:rPr>
        <w:br/>
      </w:r>
    </w:p>
    <w:p w14:paraId="60CC6348" w14:textId="77777777" w:rsidR="00AB0203" w:rsidRPr="001D6AA0" w:rsidRDefault="00AB0203" w:rsidP="00AB0203">
      <w:pPr>
        <w:rPr>
          <w:rFonts w:cs="Times New Roman"/>
        </w:rPr>
      </w:pPr>
    </w:p>
    <w:p w14:paraId="1C09B9F1" w14:textId="77777777" w:rsidR="00AB0203" w:rsidRPr="001D6AA0" w:rsidRDefault="00AB0203" w:rsidP="00AB0203">
      <w:pPr>
        <w:rPr>
          <w:rFonts w:cs="Times New Roman"/>
        </w:rPr>
      </w:pPr>
    </w:p>
    <w:p w14:paraId="3C2F24E6" w14:textId="77777777" w:rsidR="00AB0203" w:rsidRPr="001D6AA0" w:rsidRDefault="00AB0203" w:rsidP="00AB0203">
      <w:pPr>
        <w:rPr>
          <w:rFonts w:cs="Times New Roman"/>
        </w:rPr>
      </w:pPr>
    </w:p>
    <w:p w14:paraId="77A756EE" w14:textId="77777777" w:rsidR="00AB0203" w:rsidRPr="001D6AA0" w:rsidRDefault="00AB0203" w:rsidP="00AB0203">
      <w:pPr>
        <w:rPr>
          <w:rFonts w:cs="Times New Roman"/>
        </w:rPr>
      </w:pPr>
    </w:p>
    <w:p w14:paraId="69BEDE52" w14:textId="77777777" w:rsidR="00AB0203" w:rsidRPr="001D6AA0" w:rsidRDefault="00AB0203" w:rsidP="00AB0203">
      <w:pPr>
        <w:rPr>
          <w:rFonts w:cs="Times New Roman"/>
        </w:rPr>
      </w:pPr>
    </w:p>
    <w:p w14:paraId="5A63E55A" w14:textId="77777777" w:rsidR="00AB0203" w:rsidRPr="001D6AA0" w:rsidRDefault="00AB0203" w:rsidP="00AB0203">
      <w:pPr>
        <w:rPr>
          <w:rFonts w:cs="Times New Roman"/>
        </w:rPr>
      </w:pPr>
    </w:p>
    <w:p w14:paraId="4562874F" w14:textId="77777777" w:rsidR="00AB0203" w:rsidRPr="001D6AA0" w:rsidRDefault="00AB0203" w:rsidP="00AB0203">
      <w:pPr>
        <w:rPr>
          <w:rFonts w:cs="Times New Roman"/>
        </w:rPr>
      </w:pPr>
    </w:p>
    <w:p w14:paraId="6FEDC4D4" w14:textId="77777777" w:rsidR="00AB0203" w:rsidRPr="001D6AA0" w:rsidRDefault="00AB0203" w:rsidP="00AB0203">
      <w:pPr>
        <w:rPr>
          <w:rFonts w:cs="Times New Roman"/>
        </w:rPr>
      </w:pPr>
    </w:p>
    <w:sdt>
      <w:sdtPr>
        <w:rPr>
          <w:rFonts w:ascii="Times New Roman" w:eastAsiaTheme="minorHAnsi" w:hAnsi="Times New Roman" w:cs="Times New Roman"/>
          <w:color w:val="auto"/>
          <w:sz w:val="24"/>
          <w:szCs w:val="22"/>
          <w:lang w:val="en-GB"/>
        </w:rPr>
        <w:id w:val="313372945"/>
        <w:docPartObj>
          <w:docPartGallery w:val="Table of Contents"/>
          <w:docPartUnique/>
        </w:docPartObj>
      </w:sdtPr>
      <w:sdtEndPr>
        <w:rPr>
          <w:b/>
          <w:bCs/>
          <w:noProof/>
        </w:rPr>
      </w:sdtEndPr>
      <w:sdtContent>
        <w:p w14:paraId="0FA4DEC6" w14:textId="77777777" w:rsidR="00AB0203" w:rsidRPr="001D6AA0" w:rsidRDefault="00AB0203" w:rsidP="00AB0203">
          <w:pPr>
            <w:pStyle w:val="TOCHeading"/>
            <w:rPr>
              <w:rFonts w:ascii="Times New Roman" w:hAnsi="Times New Roman" w:cs="Times New Roman"/>
            </w:rPr>
          </w:pPr>
          <w:r w:rsidRPr="001D6AA0">
            <w:rPr>
              <w:rFonts w:ascii="Times New Roman" w:hAnsi="Times New Roman" w:cs="Times New Roman"/>
            </w:rPr>
            <w:t>Table of Contents</w:t>
          </w:r>
        </w:p>
        <w:p w14:paraId="4302F8D1" w14:textId="77777777" w:rsidR="00AB0203" w:rsidRPr="001D6AA0" w:rsidRDefault="00AB0203" w:rsidP="00AB0203">
          <w:pPr>
            <w:pStyle w:val="TOC1"/>
            <w:tabs>
              <w:tab w:val="right" w:leader="dot" w:pos="9350"/>
            </w:tabs>
            <w:rPr>
              <w:rFonts w:cs="Times New Roman"/>
              <w:noProof/>
            </w:rPr>
          </w:pPr>
          <w:r w:rsidRPr="001D6AA0">
            <w:rPr>
              <w:rFonts w:cs="Times New Roman"/>
            </w:rPr>
            <w:fldChar w:fldCharType="begin"/>
          </w:r>
          <w:r w:rsidRPr="001D6AA0">
            <w:rPr>
              <w:rFonts w:cs="Times New Roman"/>
            </w:rPr>
            <w:instrText xml:space="preserve"> TOC \o "1-3" \h \z \u </w:instrText>
          </w:r>
          <w:r w:rsidRPr="001D6AA0">
            <w:rPr>
              <w:rFonts w:cs="Times New Roman"/>
            </w:rPr>
            <w:fldChar w:fldCharType="separate"/>
          </w:r>
          <w:hyperlink w:anchor="_Toc181288537" w:history="1">
            <w:r w:rsidRPr="001D6AA0">
              <w:rPr>
                <w:rStyle w:val="Hyperlink"/>
                <w:rFonts w:cs="Times New Roman"/>
                <w:noProof/>
              </w:rPr>
              <w:t>Executive Summary</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_Toc181288537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2</w:t>
            </w:r>
            <w:r w:rsidRPr="001D6AA0">
              <w:rPr>
                <w:rFonts w:cs="Times New Roman"/>
                <w:noProof/>
                <w:webHidden/>
              </w:rPr>
              <w:fldChar w:fldCharType="end"/>
            </w:r>
          </w:hyperlink>
        </w:p>
        <w:p w14:paraId="64104E2E" w14:textId="77777777" w:rsidR="00AB0203" w:rsidRPr="001D6AA0" w:rsidRDefault="00AB0203" w:rsidP="00AB0203">
          <w:pPr>
            <w:pStyle w:val="TOC1"/>
            <w:tabs>
              <w:tab w:val="right" w:leader="dot" w:pos="9350"/>
            </w:tabs>
            <w:rPr>
              <w:rFonts w:cs="Times New Roman"/>
              <w:noProof/>
            </w:rPr>
          </w:pPr>
          <w:hyperlink w:anchor="_Toc181288538" w:history="1">
            <w:r w:rsidRPr="001D6AA0">
              <w:rPr>
                <w:rStyle w:val="Hyperlink"/>
                <w:rFonts w:cs="Times New Roman"/>
                <w:noProof/>
              </w:rPr>
              <w:t>Introduction</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_Toc181288538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4</w:t>
            </w:r>
            <w:r w:rsidRPr="001D6AA0">
              <w:rPr>
                <w:rFonts w:cs="Times New Roman"/>
                <w:noProof/>
                <w:webHidden/>
              </w:rPr>
              <w:fldChar w:fldCharType="end"/>
            </w:r>
          </w:hyperlink>
        </w:p>
        <w:p w14:paraId="609415E6" w14:textId="77777777" w:rsidR="00AB0203" w:rsidRPr="001D6AA0" w:rsidRDefault="00AB0203" w:rsidP="00AB0203">
          <w:pPr>
            <w:pStyle w:val="TOC1"/>
            <w:tabs>
              <w:tab w:val="right" w:leader="dot" w:pos="9350"/>
            </w:tabs>
            <w:rPr>
              <w:rFonts w:cs="Times New Roman"/>
              <w:noProof/>
            </w:rPr>
          </w:pPr>
          <w:hyperlink w:anchor="_Toc181288539" w:history="1">
            <w:r w:rsidRPr="001D6AA0">
              <w:rPr>
                <w:rStyle w:val="Hyperlink"/>
                <w:rFonts w:cs="Times New Roman"/>
                <w:noProof/>
              </w:rPr>
              <w:t>The Event Cycle</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_Toc181288539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5</w:t>
            </w:r>
            <w:r w:rsidRPr="001D6AA0">
              <w:rPr>
                <w:rFonts w:cs="Times New Roman"/>
                <w:noProof/>
                <w:webHidden/>
              </w:rPr>
              <w:fldChar w:fldCharType="end"/>
            </w:r>
          </w:hyperlink>
        </w:p>
        <w:p w14:paraId="2C18F491" w14:textId="77777777" w:rsidR="00AB0203" w:rsidRPr="001D6AA0" w:rsidRDefault="00AB0203" w:rsidP="00AB0203">
          <w:pPr>
            <w:pStyle w:val="TOC1"/>
            <w:tabs>
              <w:tab w:val="right" w:leader="dot" w:pos="9350"/>
            </w:tabs>
            <w:rPr>
              <w:rFonts w:cs="Times New Roman"/>
              <w:noProof/>
            </w:rPr>
          </w:pPr>
          <w:hyperlink w:anchor="_Toc181288540" w:history="1">
            <w:r w:rsidRPr="001D6AA0">
              <w:rPr>
                <w:rStyle w:val="Hyperlink"/>
                <w:rFonts w:cs="Times New Roman"/>
                <w:noProof/>
                <w:lang w:eastAsia="en-GB"/>
              </w:rPr>
              <w:t>Event Concept</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_Toc181288540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7</w:t>
            </w:r>
            <w:r w:rsidRPr="001D6AA0">
              <w:rPr>
                <w:rFonts w:cs="Times New Roman"/>
                <w:noProof/>
                <w:webHidden/>
              </w:rPr>
              <w:fldChar w:fldCharType="end"/>
            </w:r>
          </w:hyperlink>
        </w:p>
        <w:p w14:paraId="546B3A9D" w14:textId="77777777" w:rsidR="00AB0203" w:rsidRPr="001D6AA0" w:rsidRDefault="00AB0203" w:rsidP="00AB0203">
          <w:pPr>
            <w:pStyle w:val="TOC1"/>
            <w:tabs>
              <w:tab w:val="right" w:leader="dot" w:pos="9350"/>
            </w:tabs>
            <w:rPr>
              <w:rFonts w:cs="Times New Roman"/>
              <w:noProof/>
            </w:rPr>
          </w:pPr>
          <w:hyperlink w:anchor="_Toc181288541" w:history="1">
            <w:r w:rsidRPr="001D6AA0">
              <w:rPr>
                <w:rStyle w:val="Hyperlink"/>
                <w:rFonts w:cs="Times New Roman"/>
                <w:noProof/>
              </w:rPr>
              <w:t>Aim and Objectives of the Event</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_Toc181288541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9</w:t>
            </w:r>
            <w:r w:rsidRPr="001D6AA0">
              <w:rPr>
                <w:rFonts w:cs="Times New Roman"/>
                <w:noProof/>
                <w:webHidden/>
              </w:rPr>
              <w:fldChar w:fldCharType="end"/>
            </w:r>
          </w:hyperlink>
        </w:p>
        <w:p w14:paraId="30B46E01" w14:textId="77777777" w:rsidR="00AB0203" w:rsidRPr="001D6AA0" w:rsidRDefault="00AB0203" w:rsidP="00AB0203">
          <w:pPr>
            <w:pStyle w:val="TOC1"/>
            <w:tabs>
              <w:tab w:val="right" w:leader="dot" w:pos="9350"/>
            </w:tabs>
            <w:rPr>
              <w:rFonts w:cs="Times New Roman"/>
              <w:noProof/>
            </w:rPr>
          </w:pPr>
          <w:hyperlink w:anchor="_Toc181288542" w:history="1">
            <w:r w:rsidRPr="001D6AA0">
              <w:rPr>
                <w:rStyle w:val="Hyperlink"/>
                <w:rFonts w:cs="Times New Roman"/>
                <w:noProof/>
              </w:rPr>
              <w:t>Event Management</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_Toc181288542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10</w:t>
            </w:r>
            <w:r w:rsidRPr="001D6AA0">
              <w:rPr>
                <w:rFonts w:cs="Times New Roman"/>
                <w:noProof/>
                <w:webHidden/>
              </w:rPr>
              <w:fldChar w:fldCharType="end"/>
            </w:r>
          </w:hyperlink>
        </w:p>
        <w:p w14:paraId="14ECF575" w14:textId="77777777" w:rsidR="00AB0203" w:rsidRPr="001D6AA0" w:rsidRDefault="00AB0203" w:rsidP="00AB0203">
          <w:pPr>
            <w:pStyle w:val="TOC2"/>
            <w:tabs>
              <w:tab w:val="right" w:leader="dot" w:pos="9350"/>
            </w:tabs>
            <w:rPr>
              <w:rFonts w:cs="Times New Roman"/>
              <w:noProof/>
            </w:rPr>
          </w:pPr>
          <w:hyperlink w:anchor="_Toc181288543" w:history="1">
            <w:r w:rsidRPr="001D6AA0">
              <w:rPr>
                <w:rStyle w:val="Hyperlink"/>
                <w:rFonts w:cs="Times New Roman"/>
                <w:noProof/>
              </w:rPr>
              <w:t>Skills and Resources Required</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_Toc181288543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10</w:t>
            </w:r>
            <w:r w:rsidRPr="001D6AA0">
              <w:rPr>
                <w:rFonts w:cs="Times New Roman"/>
                <w:noProof/>
                <w:webHidden/>
              </w:rPr>
              <w:fldChar w:fldCharType="end"/>
            </w:r>
          </w:hyperlink>
        </w:p>
        <w:p w14:paraId="61913BDB" w14:textId="77777777" w:rsidR="00AB0203" w:rsidRPr="001D6AA0" w:rsidRDefault="00AB0203" w:rsidP="00AB0203">
          <w:pPr>
            <w:pStyle w:val="TOC1"/>
            <w:tabs>
              <w:tab w:val="right" w:leader="dot" w:pos="9350"/>
            </w:tabs>
            <w:rPr>
              <w:rFonts w:cs="Times New Roman"/>
              <w:noProof/>
            </w:rPr>
          </w:pPr>
          <w:hyperlink w:anchor="_Toc181288544" w:history="1">
            <w:r w:rsidRPr="001D6AA0">
              <w:rPr>
                <w:rStyle w:val="Hyperlink"/>
                <w:rFonts w:cs="Times New Roman"/>
                <w:noProof/>
              </w:rPr>
              <w:t>Event Budget</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_Toc181288544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13</w:t>
            </w:r>
            <w:r w:rsidRPr="001D6AA0">
              <w:rPr>
                <w:rFonts w:cs="Times New Roman"/>
                <w:noProof/>
                <w:webHidden/>
              </w:rPr>
              <w:fldChar w:fldCharType="end"/>
            </w:r>
          </w:hyperlink>
        </w:p>
        <w:p w14:paraId="1BB21CCC" w14:textId="77777777" w:rsidR="00AB0203" w:rsidRPr="001D6AA0" w:rsidRDefault="00AB0203" w:rsidP="00AB0203">
          <w:pPr>
            <w:pStyle w:val="TOC1"/>
            <w:tabs>
              <w:tab w:val="right" w:leader="dot" w:pos="9350"/>
            </w:tabs>
            <w:rPr>
              <w:rFonts w:cs="Times New Roman"/>
              <w:noProof/>
            </w:rPr>
          </w:pPr>
          <w:hyperlink w:anchor="_Toc181288545" w:history="1">
            <w:r w:rsidRPr="001D6AA0">
              <w:rPr>
                <w:rStyle w:val="Hyperlink"/>
                <w:rFonts w:cs="Times New Roman"/>
                <w:noProof/>
              </w:rPr>
              <w:t>Industry Trends, Issues and Impacts</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_Toc181288545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15</w:t>
            </w:r>
            <w:r w:rsidRPr="001D6AA0">
              <w:rPr>
                <w:rFonts w:cs="Times New Roman"/>
                <w:noProof/>
                <w:webHidden/>
              </w:rPr>
              <w:fldChar w:fldCharType="end"/>
            </w:r>
          </w:hyperlink>
        </w:p>
        <w:p w14:paraId="1B078897" w14:textId="77777777" w:rsidR="00AB0203" w:rsidRPr="001D6AA0" w:rsidRDefault="00AB0203" w:rsidP="00AB0203">
          <w:pPr>
            <w:pStyle w:val="TOC1"/>
            <w:tabs>
              <w:tab w:val="right" w:leader="dot" w:pos="9350"/>
            </w:tabs>
            <w:rPr>
              <w:rFonts w:cs="Times New Roman"/>
              <w:noProof/>
            </w:rPr>
          </w:pPr>
          <w:hyperlink w:anchor="_Toc181288546" w:history="1">
            <w:r w:rsidRPr="001D6AA0">
              <w:rPr>
                <w:rStyle w:val="Hyperlink"/>
                <w:rFonts w:cs="Times New Roman"/>
                <w:noProof/>
              </w:rPr>
              <w:t>Situational and Cultural Considerations</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_Toc181288546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17</w:t>
            </w:r>
            <w:r w:rsidRPr="001D6AA0">
              <w:rPr>
                <w:rFonts w:cs="Times New Roman"/>
                <w:noProof/>
                <w:webHidden/>
              </w:rPr>
              <w:fldChar w:fldCharType="end"/>
            </w:r>
          </w:hyperlink>
        </w:p>
        <w:p w14:paraId="0B0FD177" w14:textId="77777777" w:rsidR="00AB0203" w:rsidRPr="001D6AA0" w:rsidRDefault="00AB0203" w:rsidP="00AB0203">
          <w:pPr>
            <w:pStyle w:val="TOC1"/>
            <w:tabs>
              <w:tab w:val="right" w:leader="dot" w:pos="9350"/>
            </w:tabs>
            <w:rPr>
              <w:rFonts w:cs="Times New Roman"/>
              <w:noProof/>
            </w:rPr>
          </w:pPr>
          <w:hyperlink w:anchor="_Toc181288547" w:history="1">
            <w:r w:rsidRPr="001D6AA0">
              <w:rPr>
                <w:rStyle w:val="Hyperlink"/>
                <w:rFonts w:cs="Times New Roman"/>
                <w:noProof/>
                <w:lang w:eastAsia="en-GB"/>
              </w:rPr>
              <w:t>Conclusion</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_Toc181288547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19</w:t>
            </w:r>
            <w:r w:rsidRPr="001D6AA0">
              <w:rPr>
                <w:rFonts w:cs="Times New Roman"/>
                <w:noProof/>
                <w:webHidden/>
              </w:rPr>
              <w:fldChar w:fldCharType="end"/>
            </w:r>
          </w:hyperlink>
        </w:p>
        <w:p w14:paraId="78E37614" w14:textId="77777777" w:rsidR="00AB0203" w:rsidRPr="001D6AA0" w:rsidRDefault="00AB0203" w:rsidP="00AB0203">
          <w:pPr>
            <w:pStyle w:val="TOC1"/>
            <w:tabs>
              <w:tab w:val="right" w:leader="dot" w:pos="9350"/>
            </w:tabs>
            <w:rPr>
              <w:rFonts w:cs="Times New Roman"/>
              <w:noProof/>
            </w:rPr>
          </w:pPr>
          <w:hyperlink w:anchor="_Toc181288548" w:history="1">
            <w:r w:rsidRPr="001D6AA0">
              <w:rPr>
                <w:rStyle w:val="Hyperlink"/>
                <w:rFonts w:cs="Times New Roman"/>
                <w:noProof/>
              </w:rPr>
              <w:t>References</w:t>
            </w:r>
            <w:r w:rsidRPr="001D6AA0">
              <w:rPr>
                <w:rFonts w:cs="Times New Roman"/>
                <w:noProof/>
                <w:webHidden/>
              </w:rPr>
              <w:tab/>
            </w:r>
            <w:r w:rsidRPr="001D6AA0">
              <w:rPr>
                <w:rFonts w:cs="Times New Roman"/>
                <w:noProof/>
                <w:webHidden/>
              </w:rPr>
              <w:fldChar w:fldCharType="begin"/>
            </w:r>
            <w:r w:rsidRPr="001D6AA0">
              <w:rPr>
                <w:rFonts w:cs="Times New Roman"/>
                <w:noProof/>
                <w:webHidden/>
              </w:rPr>
              <w:instrText xml:space="preserve"> PAGEREF _Toc181288548 \h </w:instrText>
            </w:r>
            <w:r w:rsidRPr="001D6AA0">
              <w:rPr>
                <w:rFonts w:cs="Times New Roman"/>
                <w:noProof/>
                <w:webHidden/>
              </w:rPr>
            </w:r>
            <w:r w:rsidRPr="001D6AA0">
              <w:rPr>
                <w:rFonts w:cs="Times New Roman"/>
                <w:noProof/>
                <w:webHidden/>
              </w:rPr>
              <w:fldChar w:fldCharType="separate"/>
            </w:r>
            <w:r w:rsidRPr="001D6AA0">
              <w:rPr>
                <w:rFonts w:cs="Times New Roman"/>
                <w:noProof/>
                <w:webHidden/>
              </w:rPr>
              <w:t>20</w:t>
            </w:r>
            <w:r w:rsidRPr="001D6AA0">
              <w:rPr>
                <w:rFonts w:cs="Times New Roman"/>
                <w:noProof/>
                <w:webHidden/>
              </w:rPr>
              <w:fldChar w:fldCharType="end"/>
            </w:r>
          </w:hyperlink>
        </w:p>
        <w:p w14:paraId="4935D1C7" w14:textId="77777777" w:rsidR="00AB0203" w:rsidRPr="001D6AA0" w:rsidRDefault="00AB0203" w:rsidP="00AB0203">
          <w:pPr>
            <w:rPr>
              <w:rFonts w:cs="Times New Roman"/>
            </w:rPr>
          </w:pPr>
          <w:r w:rsidRPr="001D6AA0">
            <w:rPr>
              <w:rFonts w:cs="Times New Roman"/>
              <w:b/>
              <w:bCs/>
              <w:noProof/>
            </w:rPr>
            <w:fldChar w:fldCharType="end"/>
          </w:r>
        </w:p>
      </w:sdtContent>
    </w:sdt>
    <w:p w14:paraId="30BDAA84" w14:textId="77777777" w:rsidR="00AB0203" w:rsidRPr="001D6AA0" w:rsidRDefault="00AB0203" w:rsidP="00AB0203">
      <w:pPr>
        <w:rPr>
          <w:rFonts w:cs="Times New Roman"/>
        </w:rPr>
      </w:pPr>
    </w:p>
    <w:p w14:paraId="77436104" w14:textId="77777777" w:rsidR="00AB0203" w:rsidRPr="001D6AA0" w:rsidRDefault="00AB0203" w:rsidP="00AB0203">
      <w:pPr>
        <w:rPr>
          <w:rFonts w:cs="Times New Roman"/>
        </w:rPr>
      </w:pPr>
    </w:p>
    <w:p w14:paraId="6EEDD933" w14:textId="77777777" w:rsidR="00AB0203" w:rsidRPr="001D6AA0" w:rsidRDefault="00AB0203" w:rsidP="00AB0203">
      <w:pPr>
        <w:rPr>
          <w:rFonts w:cs="Times New Roman"/>
        </w:rPr>
      </w:pPr>
    </w:p>
    <w:p w14:paraId="35B27862" w14:textId="77777777" w:rsidR="00AB0203" w:rsidRPr="001D6AA0" w:rsidRDefault="00AB0203" w:rsidP="00AB0203">
      <w:pPr>
        <w:rPr>
          <w:rFonts w:cs="Times New Roman"/>
        </w:rPr>
      </w:pPr>
    </w:p>
    <w:p w14:paraId="1AC10F03" w14:textId="77777777" w:rsidR="00AB0203" w:rsidRPr="001D6AA0" w:rsidRDefault="00AB0203" w:rsidP="00AB0203">
      <w:pPr>
        <w:spacing w:line="259" w:lineRule="auto"/>
        <w:jc w:val="left"/>
        <w:rPr>
          <w:rFonts w:cs="Times New Roman"/>
        </w:rPr>
      </w:pPr>
      <w:r w:rsidRPr="001D6AA0">
        <w:rPr>
          <w:rFonts w:cs="Times New Roman"/>
        </w:rPr>
        <w:br w:type="page"/>
      </w:r>
    </w:p>
    <w:p w14:paraId="7B699D89" w14:textId="77777777" w:rsidR="00AB0203" w:rsidRPr="001D6AA0" w:rsidRDefault="00AB0203" w:rsidP="00AB0203">
      <w:pPr>
        <w:pStyle w:val="Heading1"/>
        <w:rPr>
          <w:rFonts w:cs="Times New Roman"/>
        </w:rPr>
      </w:pPr>
      <w:bookmarkStart w:id="1" w:name="_Toc181288538"/>
      <w:r w:rsidRPr="001D6AA0">
        <w:rPr>
          <w:rFonts w:cs="Times New Roman"/>
        </w:rPr>
        <w:lastRenderedPageBreak/>
        <w:t>Introduction</w:t>
      </w:r>
      <w:bookmarkEnd w:id="1"/>
      <w:r w:rsidRPr="001D6AA0">
        <w:rPr>
          <w:rFonts w:cs="Times New Roman"/>
        </w:rPr>
        <w:t xml:space="preserve"> </w:t>
      </w:r>
    </w:p>
    <w:p w14:paraId="1DCD7A7F" w14:textId="77777777" w:rsidR="00AB0203" w:rsidRPr="001D6AA0" w:rsidRDefault="00AB0203" w:rsidP="00AB0203">
      <w:pPr>
        <w:rPr>
          <w:rFonts w:eastAsia="Times New Roman" w:cs="Times New Roman"/>
          <w:szCs w:val="24"/>
          <w:lang w:eastAsia="en-GB"/>
        </w:rPr>
      </w:pPr>
      <w:r w:rsidRPr="001D6AA0">
        <w:rPr>
          <w:rFonts w:cs="Times New Roman"/>
          <w:lang w:eastAsia="en-GB"/>
        </w:rPr>
        <w:t xml:space="preserve">Halloween is the MICE event which has been chosen for this strategic planning and delivery. Halloween has grown from ancient rituals to costumes, decorations, themed events, and consumer spending. Winter Halloween spending in the UK climbed from £419 million to £776 million in 2023 </w:t>
      </w:r>
      <w:r w:rsidRPr="001D6AA0">
        <w:rPr>
          <w:rFonts w:eastAsia="Times New Roman" w:cs="Times New Roman"/>
          <w:szCs w:val="24"/>
          <w:lang w:eastAsia="en-GB"/>
        </w:rPr>
        <w:t>(Bartholomew, 2024)</w:t>
      </w:r>
      <w:r w:rsidRPr="001D6AA0">
        <w:rPr>
          <w:rFonts w:cs="Times New Roman"/>
          <w:lang w:eastAsia="en-GB"/>
        </w:rPr>
        <w:t xml:space="preserve">. Create an immersive Halloween event to capitalise on increased customer interest. Halloween was chosen to match its popularity and economic potential, giving guests a memorable experience. According to research, over 50% of UK citizens celebrate Halloween, and family and youngster engagement is rising </w:t>
      </w:r>
      <w:r w:rsidRPr="001D6AA0">
        <w:rPr>
          <w:rFonts w:eastAsia="Times New Roman" w:cs="Times New Roman"/>
          <w:szCs w:val="24"/>
          <w:lang w:eastAsia="en-GB"/>
        </w:rPr>
        <w:t>(Edwards, 2024)</w:t>
      </w:r>
      <w:r w:rsidRPr="001D6AA0">
        <w:rPr>
          <w:rFonts w:cs="Times New Roman"/>
          <w:lang w:eastAsia="en-GB"/>
        </w:rPr>
        <w:t xml:space="preserve">. The event's success has bolstered themed experience companies, making Halloween ideal. Assignment 1's initial PowerPoint feasibility analysis showed that a Halloween event is market-driven, logistically, and financially viable. Premier Inn Loughborough is nearby and has a huge group space. Local participants can easily access the Premier Inn Hotel in central Loughborough by public transport. The hotel has huge, adaptable venues for Halloween costume contests, haunted houses, and themed dining. A seamless, engaging, and professionally organised Halloween party will be at this convenient location. The Premier Inn Hotel's reputation boosts event attendance. The feasibility study deemed Premier Inn Hotel, Loughborough, suitable for a high-quality, immersive Halloween event that meets UK seasonal celebration demand. </w:t>
      </w:r>
    </w:p>
    <w:p w14:paraId="6EE11900" w14:textId="77777777" w:rsidR="00AB0203" w:rsidRPr="001D6AA0" w:rsidRDefault="00AB0203" w:rsidP="00AB0203">
      <w:pPr>
        <w:rPr>
          <w:rFonts w:cs="Times New Roman"/>
        </w:rPr>
      </w:pPr>
    </w:p>
    <w:p w14:paraId="4C88FE0D" w14:textId="77777777" w:rsidR="00AB0203" w:rsidRPr="001D6AA0" w:rsidRDefault="00AB0203" w:rsidP="00AB0203">
      <w:pPr>
        <w:rPr>
          <w:rFonts w:cs="Times New Roman"/>
        </w:rPr>
      </w:pPr>
    </w:p>
    <w:p w14:paraId="3E8705AD" w14:textId="77777777" w:rsidR="00AB0203" w:rsidRPr="001D6AA0" w:rsidRDefault="00AB0203" w:rsidP="00AB0203">
      <w:pPr>
        <w:rPr>
          <w:rFonts w:cs="Times New Roman"/>
        </w:rPr>
      </w:pPr>
    </w:p>
    <w:p w14:paraId="5CF1863A" w14:textId="77777777" w:rsidR="00AB0203" w:rsidRPr="001D6AA0" w:rsidRDefault="00AB0203" w:rsidP="00AB0203">
      <w:pPr>
        <w:rPr>
          <w:rFonts w:cs="Times New Roman"/>
        </w:rPr>
      </w:pPr>
    </w:p>
    <w:p w14:paraId="38B74ABE" w14:textId="77777777" w:rsidR="00AB0203" w:rsidRPr="001D6AA0" w:rsidRDefault="00AB0203" w:rsidP="00AB0203">
      <w:pPr>
        <w:rPr>
          <w:rFonts w:cs="Times New Roman"/>
        </w:rPr>
      </w:pPr>
    </w:p>
    <w:p w14:paraId="6ABB3589" w14:textId="77777777" w:rsidR="00AB0203" w:rsidRPr="001D6AA0" w:rsidRDefault="00AB0203" w:rsidP="00AB0203">
      <w:pPr>
        <w:pStyle w:val="Heading1"/>
        <w:rPr>
          <w:rFonts w:cs="Times New Roman"/>
          <w:lang w:eastAsia="en-GB"/>
        </w:rPr>
      </w:pPr>
      <w:bookmarkStart w:id="2" w:name="_Toc181288539"/>
      <w:r w:rsidRPr="001D6AA0">
        <w:rPr>
          <w:rFonts w:cs="Times New Roman"/>
        </w:rPr>
        <w:lastRenderedPageBreak/>
        <w:t>The Event Cycle</w:t>
      </w:r>
      <w:bookmarkEnd w:id="2"/>
      <w:r w:rsidRPr="001D6AA0">
        <w:rPr>
          <w:rFonts w:cs="Times New Roman"/>
        </w:rPr>
        <w:t xml:space="preserve"> </w:t>
      </w:r>
    </w:p>
    <w:p w14:paraId="2B01B2CB" w14:textId="77777777" w:rsidR="00AB0203" w:rsidRPr="001D6AA0" w:rsidRDefault="00AB0203" w:rsidP="00AB0203">
      <w:pPr>
        <w:rPr>
          <w:rFonts w:cs="Times New Roman"/>
          <w:lang w:eastAsia="en-GB"/>
        </w:rPr>
      </w:pPr>
      <w:r w:rsidRPr="001D6AA0">
        <w:rPr>
          <w:rFonts w:cs="Times New Roman"/>
          <w:lang w:eastAsia="en-GB"/>
        </w:rPr>
        <w:t>The Event Cycle assists event planners from idea to evaluation</w:t>
      </w:r>
      <w:r>
        <w:rPr>
          <w:rFonts w:cs="Times New Roman"/>
          <w:lang w:eastAsia="en-GB"/>
        </w:rPr>
        <w:t xml:space="preserve"> </w:t>
      </w:r>
      <w:r w:rsidRPr="001D6AA0">
        <w:rPr>
          <w:rFonts w:eastAsia="Times New Roman" w:cs="Times New Roman"/>
          <w:szCs w:val="24"/>
          <w:lang w:eastAsia="en-GB"/>
        </w:rPr>
        <w:t>(Evans, 2020)</w:t>
      </w:r>
      <w:r w:rsidRPr="001D6AA0">
        <w:rPr>
          <w:rFonts w:cs="Times New Roman"/>
          <w:lang w:eastAsia="en-GB"/>
        </w:rPr>
        <w:t>. Planning, implementation, event, and closure are typical</w:t>
      </w:r>
      <w:r>
        <w:rPr>
          <w:rFonts w:cs="Times New Roman"/>
          <w:lang w:eastAsia="en-GB"/>
        </w:rPr>
        <w:t xml:space="preserve"> stages</w:t>
      </w:r>
      <w:r w:rsidRPr="001D6AA0">
        <w:rPr>
          <w:rFonts w:cs="Times New Roman"/>
          <w:lang w:eastAsia="en-GB"/>
        </w:rPr>
        <w:t xml:space="preserve">. Success depends on each cycle component. The Event Cycle makes Halloween at the Premier Inn Hotel in Loughborough seamless and enjoyable. </w:t>
      </w:r>
    </w:p>
    <w:p w14:paraId="7B34F068" w14:textId="77777777" w:rsidR="00AB0203" w:rsidRPr="001D6AA0" w:rsidRDefault="00AB0203" w:rsidP="00AB0203">
      <w:pPr>
        <w:rPr>
          <w:rFonts w:cs="Times New Roman"/>
          <w:lang w:eastAsia="en-GB"/>
        </w:rPr>
      </w:pPr>
      <w:r w:rsidRPr="001D6AA0">
        <w:rPr>
          <w:rFonts w:cs="Times New Roman"/>
          <w:noProof/>
          <w:lang w:eastAsia="en-GB"/>
        </w:rPr>
        <w:drawing>
          <wp:inline distT="0" distB="0" distL="0" distR="0" wp14:anchorId="0F40A9CA" wp14:editId="3EBE65A7">
            <wp:extent cx="5486400" cy="21812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38F7BDBE" w14:textId="77777777" w:rsidR="00AB0203" w:rsidRPr="001D6AA0" w:rsidRDefault="00AB0203" w:rsidP="00AB0203">
      <w:pPr>
        <w:jc w:val="center"/>
        <w:rPr>
          <w:rFonts w:cs="Times New Roman"/>
          <w:lang w:eastAsia="en-GB"/>
        </w:rPr>
      </w:pPr>
      <w:r w:rsidRPr="001D6AA0">
        <w:rPr>
          <w:rFonts w:cs="Times New Roman"/>
          <w:lang w:eastAsia="en-GB"/>
        </w:rPr>
        <w:t>Figure 1: Event Cycle</w:t>
      </w:r>
    </w:p>
    <w:p w14:paraId="1336F486" w14:textId="77777777" w:rsidR="00AB0203" w:rsidRPr="001D6AA0" w:rsidRDefault="00AB0203" w:rsidP="00AB0203">
      <w:pPr>
        <w:jc w:val="center"/>
        <w:rPr>
          <w:rFonts w:cs="Times New Roman"/>
          <w:lang w:eastAsia="en-GB"/>
        </w:rPr>
      </w:pPr>
      <w:r w:rsidRPr="001D6AA0">
        <w:rPr>
          <w:rFonts w:cs="Times New Roman"/>
          <w:lang w:eastAsia="en-GB"/>
        </w:rPr>
        <w:t xml:space="preserve">Source: </w:t>
      </w:r>
      <w:r w:rsidRPr="001D6AA0">
        <w:rPr>
          <w:rFonts w:eastAsia="Times New Roman" w:cs="Times New Roman"/>
          <w:szCs w:val="24"/>
          <w:lang w:eastAsia="en-GB"/>
        </w:rPr>
        <w:t>(Ziakas, 2021)</w:t>
      </w:r>
    </w:p>
    <w:p w14:paraId="3E4F6BA2" w14:textId="77777777" w:rsidR="00AB0203" w:rsidRPr="001D6AA0" w:rsidRDefault="00AB0203" w:rsidP="00AB0203">
      <w:pPr>
        <w:rPr>
          <w:rFonts w:eastAsia="Times New Roman" w:cs="Times New Roman"/>
          <w:szCs w:val="24"/>
          <w:lang w:eastAsia="en-GB"/>
        </w:rPr>
      </w:pPr>
      <w:r w:rsidRPr="001D6AA0">
        <w:rPr>
          <w:rFonts w:cs="Times New Roman"/>
          <w:b/>
        </w:rPr>
        <w:t>Initiation</w:t>
      </w:r>
      <w:r w:rsidRPr="001D6AA0">
        <w:rPr>
          <w:rFonts w:cs="Times New Roman"/>
        </w:rPr>
        <w:t xml:space="preserve">: </w:t>
      </w:r>
      <w:r w:rsidRPr="001D6AA0">
        <w:rPr>
          <w:rFonts w:cs="Times New Roman"/>
          <w:lang w:eastAsia="en-GB"/>
        </w:rPr>
        <w:t xml:space="preserve">Start with the event idea and viability. This stage entails defining the Halloween event's aim, targeting Halloween-loving families and young adults, and assessing the Premier Inn Hotel, Loughborough. Here, budget, topics, and key activities are chosen </w:t>
      </w:r>
      <w:r w:rsidRPr="001D6AA0">
        <w:rPr>
          <w:rFonts w:eastAsia="Times New Roman" w:cs="Times New Roman"/>
          <w:szCs w:val="24"/>
          <w:lang w:eastAsia="en-GB"/>
        </w:rPr>
        <w:t>(Fox et al., 2014)</w:t>
      </w:r>
      <w:r w:rsidRPr="001D6AA0">
        <w:rPr>
          <w:rFonts w:cs="Times New Roman"/>
          <w:lang w:eastAsia="en-GB"/>
        </w:rPr>
        <w:t xml:space="preserve">. A Halloween event may match strategic goals and seasonal demand, according to the preliminary evaluation PowerPoint feasibility research. </w:t>
      </w:r>
    </w:p>
    <w:p w14:paraId="07E0ED1D" w14:textId="77777777" w:rsidR="00AB0203" w:rsidRPr="001D6AA0" w:rsidRDefault="00AB0203" w:rsidP="00AB0203">
      <w:pPr>
        <w:rPr>
          <w:rFonts w:eastAsia="Times New Roman" w:cs="Times New Roman"/>
          <w:szCs w:val="24"/>
          <w:lang w:eastAsia="en-GB"/>
        </w:rPr>
      </w:pPr>
      <w:r w:rsidRPr="001D6AA0">
        <w:rPr>
          <w:rFonts w:cs="Times New Roman"/>
          <w:b/>
          <w:lang w:eastAsia="en-GB"/>
        </w:rPr>
        <w:t>Planning:</w:t>
      </w:r>
      <w:r w:rsidRPr="001D6AA0">
        <w:rPr>
          <w:rFonts w:cs="Times New Roman"/>
          <w:lang w:eastAsia="en-GB"/>
        </w:rPr>
        <w:t xml:space="preserve"> Post-inception planning organises event logistics, resources, and goals. This phase organises Halloween décor, costumes, catering, and entertainment, as well as suppliers. This stage manages design, logistics, safety, and risk using EMBOK </w:t>
      </w:r>
      <w:r w:rsidRPr="001D6AA0">
        <w:rPr>
          <w:rFonts w:eastAsia="Times New Roman" w:cs="Times New Roman"/>
          <w:szCs w:val="24"/>
          <w:lang w:eastAsia="en-GB"/>
        </w:rPr>
        <w:t>(Getz and Page, 2019)</w:t>
      </w:r>
      <w:r w:rsidRPr="001D6AA0">
        <w:rPr>
          <w:rFonts w:cs="Times New Roman"/>
          <w:lang w:eastAsia="en-GB"/>
        </w:rPr>
        <w:t xml:space="preserve">. Spooky home </w:t>
      </w:r>
      <w:r w:rsidRPr="001D6AA0">
        <w:rPr>
          <w:rFonts w:cs="Times New Roman"/>
          <w:lang w:eastAsia="en-GB"/>
        </w:rPr>
        <w:lastRenderedPageBreak/>
        <w:t xml:space="preserve">tours, themed meals, and costume contests complete the event. Marketing uses the event's unique topic and surroundings to draw consumers across media. </w:t>
      </w:r>
    </w:p>
    <w:p w14:paraId="5AF51B0B" w14:textId="77777777" w:rsidR="00AB0203" w:rsidRPr="001D6AA0" w:rsidRDefault="00AB0203" w:rsidP="00AB0203">
      <w:pPr>
        <w:rPr>
          <w:rFonts w:eastAsia="Times New Roman" w:cs="Times New Roman"/>
          <w:szCs w:val="24"/>
          <w:lang w:eastAsia="en-GB"/>
        </w:rPr>
      </w:pPr>
      <w:r w:rsidRPr="001D6AA0">
        <w:rPr>
          <w:rFonts w:cs="Times New Roman"/>
          <w:b/>
        </w:rPr>
        <w:t>Implementation:</w:t>
      </w:r>
      <w:r w:rsidRPr="001D6AA0">
        <w:rPr>
          <w:rFonts w:cs="Times New Roman"/>
        </w:rPr>
        <w:t xml:space="preserve"> </w:t>
      </w:r>
      <w:r w:rsidRPr="001D6AA0">
        <w:rPr>
          <w:rFonts w:cs="Times New Roman"/>
          <w:lang w:eastAsia="en-GB"/>
        </w:rPr>
        <w:t xml:space="preserve">Event logistics and resources are mobilised during implementation. Finalising vendor contracts, rehearsing, decorating and lighting the Halloween location produces an immersive experience </w:t>
      </w:r>
      <w:r w:rsidRPr="001D6AA0">
        <w:rPr>
          <w:rFonts w:eastAsia="Times New Roman" w:cs="Times New Roman"/>
          <w:szCs w:val="24"/>
          <w:lang w:eastAsia="en-GB"/>
        </w:rPr>
        <w:t>(Ziakas, 2021)</w:t>
      </w:r>
      <w:r w:rsidRPr="001D6AA0">
        <w:rPr>
          <w:rFonts w:cs="Times New Roman"/>
          <w:lang w:eastAsia="en-GB"/>
        </w:rPr>
        <w:t xml:space="preserve">. This step sets up the venue, briefs staff, and prepares everything for seamless execution and satisfying event goals. Safety standards, staffing, and communication routes address event issues. </w:t>
      </w:r>
    </w:p>
    <w:p w14:paraId="081B66F7" w14:textId="77777777" w:rsidR="00AB0203" w:rsidRPr="001D6AA0" w:rsidRDefault="00AB0203" w:rsidP="00AB0203">
      <w:pPr>
        <w:rPr>
          <w:rFonts w:eastAsia="Times New Roman" w:cs="Times New Roman"/>
          <w:szCs w:val="24"/>
          <w:lang w:eastAsia="en-GB"/>
        </w:rPr>
      </w:pPr>
      <w:r w:rsidRPr="001D6AA0">
        <w:rPr>
          <w:rFonts w:cs="Times New Roman"/>
          <w:b/>
        </w:rPr>
        <w:t>Event Day:</w:t>
      </w:r>
      <w:r w:rsidRPr="001D6AA0">
        <w:rPr>
          <w:rFonts w:cs="Times New Roman"/>
        </w:rPr>
        <w:t xml:space="preserve"> </w:t>
      </w:r>
      <w:r w:rsidRPr="001D6AA0">
        <w:rPr>
          <w:rFonts w:cs="Times New Roman"/>
          <w:lang w:eastAsia="en-GB"/>
        </w:rPr>
        <w:t xml:space="preserve">All scheduled events are executed on event day, offering spectators a Halloween experience. Real-time event management includes customer service, crowd control, and activity coordination </w:t>
      </w:r>
      <w:r w:rsidRPr="001D6AA0">
        <w:rPr>
          <w:rFonts w:eastAsia="Times New Roman" w:cs="Times New Roman"/>
          <w:szCs w:val="24"/>
          <w:lang w:eastAsia="en-GB"/>
        </w:rPr>
        <w:t>(Evans, 2020)</w:t>
      </w:r>
      <w:r w:rsidRPr="001D6AA0">
        <w:rPr>
          <w:rFonts w:cs="Times New Roman"/>
          <w:lang w:eastAsia="en-GB"/>
        </w:rPr>
        <w:t xml:space="preserve">. The program states staff offer interactive terrifying attractions, themed meals, and live entertainment. To satisfy guests, rectify issues, or optimise activities, real-time modifications may be needed. Communication tools and pre-assigned tasks let staff help guests promptly, making the experience seamless and enjoyable. </w:t>
      </w:r>
    </w:p>
    <w:p w14:paraId="1E49CFC6" w14:textId="77777777" w:rsidR="00AB0203" w:rsidRPr="001D6AA0" w:rsidRDefault="00AB0203" w:rsidP="00AB0203">
      <w:pPr>
        <w:rPr>
          <w:rFonts w:cs="Times New Roman"/>
          <w:lang w:eastAsia="en-GB"/>
        </w:rPr>
      </w:pPr>
      <w:r w:rsidRPr="001D6AA0">
        <w:rPr>
          <w:rFonts w:cs="Times New Roman"/>
          <w:b/>
        </w:rPr>
        <w:t>Closure:</w:t>
      </w:r>
      <w:r w:rsidRPr="001D6AA0">
        <w:rPr>
          <w:rFonts w:cs="Times New Roman"/>
        </w:rPr>
        <w:t xml:space="preserve"> </w:t>
      </w:r>
      <w:r w:rsidRPr="001D6AA0">
        <w:rPr>
          <w:rFonts w:cs="Times New Roman"/>
          <w:lang w:eastAsia="en-GB"/>
        </w:rPr>
        <w:t xml:space="preserve">Venue clean-up and reviews follow the event. To evaluate event activities, satisfaction, and changes, attendee feedback is collected. Debriefing personnel assess event successes and challenges. Financial results are compared to expected and actual revenue and expenses to adjust plans. In the end, participants assess Halloween's impact and improve techniques. </w:t>
      </w:r>
    </w:p>
    <w:p w14:paraId="10B4A1B2" w14:textId="77777777" w:rsidR="00AB0203" w:rsidRPr="001D6AA0" w:rsidRDefault="00AB0203" w:rsidP="00AB0203">
      <w:pPr>
        <w:rPr>
          <w:rFonts w:eastAsia="Times New Roman" w:cs="Times New Roman"/>
          <w:szCs w:val="24"/>
          <w:lang w:eastAsia="en-GB"/>
        </w:rPr>
      </w:pPr>
      <w:r w:rsidRPr="001D6AA0">
        <w:rPr>
          <w:rFonts w:cs="Times New Roman"/>
          <w:lang w:eastAsia="en-GB"/>
        </w:rPr>
        <w:t xml:space="preserve">Premier Inn Hotel, Loughborough, Halloween event elements are organised and executed using the Event Cycle. The cycle follows EMBOK best practices: vision, planning, execution, event management, and closure </w:t>
      </w:r>
      <w:r w:rsidRPr="001D6AA0">
        <w:rPr>
          <w:rFonts w:eastAsia="Times New Roman" w:cs="Times New Roman"/>
          <w:szCs w:val="24"/>
          <w:lang w:eastAsia="en-GB"/>
        </w:rPr>
        <w:t>(Edwards, 2024)</w:t>
      </w:r>
      <w:r w:rsidRPr="001D6AA0">
        <w:rPr>
          <w:rFonts w:cs="Times New Roman"/>
          <w:lang w:eastAsia="en-GB"/>
        </w:rPr>
        <w:t xml:space="preserve">. This cycle ensures the Halloween event's logistical, operational, and experiential success, offering guests a memorable season. Each phase's strategic planning improves operational readiness and guest happiness, making Halloween unforgettable. </w:t>
      </w:r>
    </w:p>
    <w:p w14:paraId="7CABD711" w14:textId="77777777" w:rsidR="00AB0203" w:rsidRPr="001D6AA0" w:rsidRDefault="00AB0203" w:rsidP="00AB0203">
      <w:pPr>
        <w:pStyle w:val="Heading1"/>
        <w:rPr>
          <w:rFonts w:cs="Times New Roman"/>
          <w:lang w:eastAsia="en-GB"/>
        </w:rPr>
      </w:pPr>
      <w:bookmarkStart w:id="3" w:name="_Toc181288540"/>
      <w:r w:rsidRPr="001D6AA0">
        <w:rPr>
          <w:rFonts w:cs="Times New Roman"/>
          <w:lang w:eastAsia="en-GB"/>
        </w:rPr>
        <w:lastRenderedPageBreak/>
        <w:t>Event Concept</w:t>
      </w:r>
      <w:bookmarkEnd w:id="3"/>
      <w:r w:rsidRPr="001D6AA0">
        <w:rPr>
          <w:rFonts w:cs="Times New Roman"/>
          <w:lang w:eastAsia="en-GB"/>
        </w:rPr>
        <w:t xml:space="preserve"> </w:t>
      </w:r>
    </w:p>
    <w:p w14:paraId="6766AA39" w14:textId="77777777" w:rsidR="00AB0203" w:rsidRPr="001D6AA0" w:rsidRDefault="00AB0203" w:rsidP="00AB0203">
      <w:pPr>
        <w:rPr>
          <w:rFonts w:eastAsia="Times New Roman" w:cs="Times New Roman"/>
          <w:szCs w:val="24"/>
          <w:lang w:eastAsia="en-GB"/>
        </w:rPr>
      </w:pPr>
      <w:r w:rsidRPr="001D6AA0">
        <w:rPr>
          <w:rFonts w:cs="Times New Roman"/>
          <w:lang w:eastAsia="en-GB"/>
        </w:rPr>
        <w:t xml:space="preserve">Halloween-themed Premier Inn Hotel Loughborough event will draw people. Family, young adults, and Halloween fans will enjoy interactive Halloween activities at the event </w:t>
      </w:r>
      <w:r w:rsidRPr="001D6AA0">
        <w:rPr>
          <w:rFonts w:eastAsia="Times New Roman" w:cs="Times New Roman"/>
          <w:szCs w:val="24"/>
          <w:lang w:eastAsia="en-GB"/>
        </w:rPr>
        <w:t>(Kenourgios and Samios, 2021)</w:t>
      </w:r>
      <w:r w:rsidRPr="001D6AA0">
        <w:rPr>
          <w:rFonts w:cs="Times New Roman"/>
          <w:lang w:eastAsia="en-GB"/>
        </w:rPr>
        <w:t xml:space="preserve">. Halloween's magic, joy, and excitement will permeate decor and entertainment. A full itinerary of the event is shown below:  </w:t>
      </w:r>
    </w:p>
    <w:p w14:paraId="689D4112" w14:textId="77777777" w:rsidR="00AB0203" w:rsidRPr="001D6AA0" w:rsidRDefault="00AB0203" w:rsidP="00AB0203">
      <w:pPr>
        <w:rPr>
          <w:rFonts w:eastAsia="Times New Roman" w:cs="Times New Roman"/>
          <w:szCs w:val="24"/>
          <w:lang w:eastAsia="en-GB"/>
        </w:rPr>
      </w:pPr>
      <w:r w:rsidRPr="001D6AA0">
        <w:rPr>
          <w:rFonts w:cs="Times New Roman"/>
          <w:b/>
        </w:rPr>
        <w:t>Guest Arrival and Registration (</w:t>
      </w:r>
      <w:r w:rsidRPr="001D6AA0">
        <w:rPr>
          <w:rFonts w:cs="Times New Roman"/>
          <w:b/>
          <w:lang w:eastAsia="en-GB"/>
        </w:rPr>
        <w:t>5:00 PM):</w:t>
      </w:r>
      <w:r w:rsidRPr="001D6AA0">
        <w:rPr>
          <w:rFonts w:cs="Times New Roman"/>
          <w:lang w:eastAsia="en-GB"/>
        </w:rPr>
        <w:t xml:space="preserve"> Halloween guests enter a dark foyer with carved pumpkins, spider webs, and LED candles. Visit the entrance to register for event programs, activity wristbands, and kiddie “Trick-or-Treat” bags </w:t>
      </w:r>
      <w:r w:rsidRPr="001D6AA0">
        <w:rPr>
          <w:rFonts w:eastAsia="Times New Roman" w:cs="Times New Roman"/>
          <w:szCs w:val="24"/>
          <w:lang w:eastAsia="en-GB"/>
        </w:rPr>
        <w:t>(Silva, Ntounis and Paiva, 2024)</w:t>
      </w:r>
      <w:r w:rsidRPr="001D6AA0">
        <w:rPr>
          <w:rFonts w:cs="Times New Roman"/>
          <w:lang w:eastAsia="en-GB"/>
        </w:rPr>
        <w:t xml:space="preserve">. Costumed workers will greet clients, adding atmosphere. </w:t>
      </w:r>
    </w:p>
    <w:p w14:paraId="73D62CBF" w14:textId="77777777" w:rsidR="00AB0203" w:rsidRPr="001D6AA0" w:rsidRDefault="00AB0203" w:rsidP="00AB0203">
      <w:pPr>
        <w:rPr>
          <w:rFonts w:cs="Times New Roman"/>
          <w:lang w:eastAsia="en-GB"/>
        </w:rPr>
      </w:pPr>
      <w:r w:rsidRPr="001D6AA0">
        <w:rPr>
          <w:rFonts w:cs="Times New Roman"/>
          <w:b/>
        </w:rPr>
        <w:t>Welcome Reception in the Haunted Lounge (</w:t>
      </w:r>
      <w:r w:rsidRPr="001D6AA0">
        <w:rPr>
          <w:rFonts w:cs="Times New Roman"/>
          <w:b/>
          <w:lang w:eastAsia="en-GB"/>
        </w:rPr>
        <w:t>5:30 PM):</w:t>
      </w:r>
      <w:r w:rsidRPr="001D6AA0">
        <w:rPr>
          <w:rFonts w:cs="Times New Roman"/>
          <w:lang w:eastAsia="en-GB"/>
        </w:rPr>
        <w:t xml:space="preserve"> Haunted Lounge will invite guests. The eerie mansion offers non-alcoholic “witches’ brews” and terrifying finger snacks for kids. Music, sound effects, and gloomy lighting evoke mystery. Halloween-themed photo booths are unforgettable. </w:t>
      </w:r>
    </w:p>
    <w:p w14:paraId="7A7F9A16" w14:textId="77777777" w:rsidR="00AB0203" w:rsidRPr="001D6AA0" w:rsidRDefault="00AB0203" w:rsidP="00AB0203">
      <w:pPr>
        <w:rPr>
          <w:rFonts w:eastAsia="Times New Roman" w:cs="Times New Roman"/>
          <w:szCs w:val="24"/>
          <w:lang w:eastAsia="en-GB"/>
        </w:rPr>
      </w:pPr>
      <w:r w:rsidRPr="001D6AA0">
        <w:rPr>
          <w:rFonts w:cs="Times New Roman"/>
          <w:b/>
        </w:rPr>
        <w:t>Family-Friendly Halloween Games and Activities (6:00 PM):</w:t>
      </w:r>
      <w:r w:rsidRPr="001D6AA0">
        <w:rPr>
          <w:rFonts w:cs="Times New Roman"/>
        </w:rPr>
        <w:t xml:space="preserve"> </w:t>
      </w:r>
      <w:r w:rsidRPr="001D6AA0">
        <w:rPr>
          <w:rFonts w:cs="Times New Roman"/>
          <w:lang w:eastAsia="en-GB"/>
        </w:rPr>
        <w:t xml:space="preserve">Halloween family events include a “Monster Mash” dance-off, pumpkin painting stations, and a “Witch Hat Ring Toss.” Costumed personnel will lead these activities for kids and families </w:t>
      </w:r>
      <w:r w:rsidRPr="001D6AA0">
        <w:rPr>
          <w:rFonts w:eastAsia="Times New Roman" w:cs="Times New Roman"/>
          <w:szCs w:val="24"/>
          <w:lang w:eastAsia="en-GB"/>
        </w:rPr>
        <w:t>(Baker, 2024)</w:t>
      </w:r>
      <w:r w:rsidRPr="001D6AA0">
        <w:rPr>
          <w:rFonts w:cs="Times New Roman"/>
          <w:lang w:eastAsia="en-GB"/>
        </w:rPr>
        <w:t xml:space="preserve">. The organisers will give mini Halloween prizes. </w:t>
      </w:r>
    </w:p>
    <w:p w14:paraId="0C474431" w14:textId="77777777" w:rsidR="00AB0203" w:rsidRPr="001D6AA0" w:rsidRDefault="00AB0203" w:rsidP="00AB0203">
      <w:pPr>
        <w:rPr>
          <w:rFonts w:cs="Times New Roman"/>
          <w:lang w:eastAsia="en-GB"/>
        </w:rPr>
      </w:pPr>
      <w:r w:rsidRPr="001D6AA0">
        <w:rPr>
          <w:rFonts w:cs="Times New Roman"/>
          <w:b/>
        </w:rPr>
        <w:t>Haunted House Experience (</w:t>
      </w:r>
      <w:r w:rsidRPr="001D6AA0">
        <w:rPr>
          <w:rFonts w:cs="Times New Roman"/>
          <w:b/>
          <w:lang w:eastAsia="en-GB"/>
        </w:rPr>
        <w:t>7:00 PM):</w:t>
      </w:r>
      <w:r w:rsidRPr="001D6AA0">
        <w:rPr>
          <w:rFonts w:cs="Times New Roman"/>
          <w:lang w:eastAsia="en-GB"/>
        </w:rPr>
        <w:t xml:space="preserve"> A custom-built haunted mansion has live performers, immersive soundscapes, and interactive experiences. Staff make sure younger children enjoy a less dramatic version of this guided experience, which balances suspense and pleasure. </w:t>
      </w:r>
    </w:p>
    <w:p w14:paraId="250FCB91" w14:textId="77777777" w:rsidR="00AB0203" w:rsidRPr="001D6AA0" w:rsidRDefault="00AB0203" w:rsidP="00AB0203">
      <w:pPr>
        <w:rPr>
          <w:rFonts w:eastAsia="Times New Roman" w:cs="Times New Roman"/>
          <w:szCs w:val="24"/>
          <w:lang w:eastAsia="en-GB"/>
        </w:rPr>
      </w:pPr>
      <w:r w:rsidRPr="001D6AA0">
        <w:rPr>
          <w:rFonts w:cs="Times New Roman"/>
          <w:b/>
        </w:rPr>
        <w:t>Halloween-Themed Dinner Buffet (</w:t>
      </w:r>
      <w:r w:rsidRPr="001D6AA0">
        <w:rPr>
          <w:rFonts w:cs="Times New Roman"/>
          <w:b/>
          <w:lang w:eastAsia="en-GB"/>
        </w:rPr>
        <w:t xml:space="preserve">8:00 PM): </w:t>
      </w:r>
      <w:r w:rsidRPr="001D6AA0">
        <w:rPr>
          <w:rFonts w:cs="Times New Roman"/>
          <w:lang w:eastAsia="en-GB"/>
        </w:rPr>
        <w:t xml:space="preserve">The dining hall will host a Halloween banquet with pumpkins, fall foliage and gloomy lighting </w:t>
      </w:r>
      <w:r w:rsidRPr="001D6AA0">
        <w:rPr>
          <w:rFonts w:eastAsia="Times New Roman" w:cs="Times New Roman"/>
          <w:szCs w:val="24"/>
          <w:lang w:eastAsia="en-GB"/>
        </w:rPr>
        <w:t>(Chaudhari, 2020)</w:t>
      </w:r>
      <w:r w:rsidRPr="001D6AA0">
        <w:rPr>
          <w:rFonts w:cs="Times New Roman"/>
          <w:lang w:eastAsia="en-GB"/>
        </w:rPr>
        <w:t xml:space="preserve">. The buffet will include </w:t>
      </w:r>
      <w:r w:rsidRPr="001D6AA0">
        <w:rPr>
          <w:rFonts w:cs="Times New Roman"/>
          <w:lang w:eastAsia="en-GB"/>
        </w:rPr>
        <w:lastRenderedPageBreak/>
        <w:t xml:space="preserve">“Mummy Meatballs,” “Pumpkin Soup,” “Vampire’s Pasta,” and “Ghostly Desserts.” Halloween background music increases dining. </w:t>
      </w:r>
    </w:p>
    <w:p w14:paraId="6A014341" w14:textId="77777777" w:rsidR="00AB0203" w:rsidRPr="001D6AA0" w:rsidRDefault="00AB0203" w:rsidP="00AB0203">
      <w:pPr>
        <w:rPr>
          <w:rFonts w:cs="Times New Roman"/>
          <w:lang w:eastAsia="en-GB"/>
        </w:rPr>
      </w:pPr>
      <w:r w:rsidRPr="001D6AA0">
        <w:rPr>
          <w:rFonts w:cs="Times New Roman"/>
          <w:b/>
          <w:lang w:eastAsia="en-GB"/>
        </w:rPr>
        <w:t>Costume Contest (9:00 PM):</w:t>
      </w:r>
      <w:r w:rsidRPr="001D6AA0">
        <w:rPr>
          <w:rFonts w:cs="Times New Roman"/>
          <w:lang w:eastAsia="en-GB"/>
        </w:rPr>
        <w:t xml:space="preserve"> All ages can enter a Halloween costume contest after supper. There will be “Best Family Costume,” “Scariest Costume,” and “Most Creative Costume.” There will be gift certificates and Halloween exclusives. </w:t>
      </w:r>
    </w:p>
    <w:p w14:paraId="4D7DFCB0" w14:textId="77777777" w:rsidR="00AB0203" w:rsidRPr="001D6AA0" w:rsidRDefault="00AB0203" w:rsidP="00AB0203">
      <w:pPr>
        <w:rPr>
          <w:rFonts w:eastAsia="Times New Roman" w:cs="Times New Roman"/>
          <w:szCs w:val="24"/>
          <w:lang w:eastAsia="en-GB"/>
        </w:rPr>
      </w:pPr>
      <w:r w:rsidRPr="001D6AA0">
        <w:rPr>
          <w:rFonts w:cs="Times New Roman"/>
          <w:b/>
        </w:rPr>
        <w:t>Live Entertainment and Dance Party (</w:t>
      </w:r>
      <w:r w:rsidRPr="001D6AA0">
        <w:rPr>
          <w:rFonts w:cs="Times New Roman"/>
          <w:b/>
          <w:lang w:eastAsia="en-GB"/>
        </w:rPr>
        <w:t>9:45 PM):</w:t>
      </w:r>
      <w:r w:rsidRPr="001D6AA0">
        <w:rPr>
          <w:rFonts w:cs="Times New Roman"/>
          <w:lang w:eastAsia="en-GB"/>
        </w:rPr>
        <w:t xml:space="preserve"> A live band plays Halloween tunes, and then a DJ plays hits. An enthusiastic dance party will close the night and relax guests </w:t>
      </w:r>
      <w:r w:rsidRPr="001D6AA0">
        <w:rPr>
          <w:rFonts w:eastAsia="Times New Roman" w:cs="Times New Roman"/>
          <w:szCs w:val="24"/>
          <w:lang w:eastAsia="en-GB"/>
        </w:rPr>
        <w:t>(Balci and Berberoglu, 2022)</w:t>
      </w:r>
      <w:r w:rsidRPr="001D6AA0">
        <w:rPr>
          <w:rFonts w:cs="Times New Roman"/>
          <w:lang w:eastAsia="en-GB"/>
        </w:rPr>
        <w:t xml:space="preserve">. Strobe lighting, fog machines, and decorations illuminate celebratory dance floors. </w:t>
      </w:r>
    </w:p>
    <w:p w14:paraId="7553D13D" w14:textId="77777777" w:rsidR="00AB0203" w:rsidRPr="001D6AA0" w:rsidRDefault="00AB0203" w:rsidP="00AB0203">
      <w:pPr>
        <w:rPr>
          <w:rFonts w:eastAsia="Times New Roman" w:cs="Times New Roman"/>
          <w:szCs w:val="24"/>
          <w:lang w:eastAsia="en-GB"/>
        </w:rPr>
      </w:pPr>
      <w:r w:rsidRPr="001D6AA0">
        <w:rPr>
          <w:rFonts w:cs="Times New Roman"/>
          <w:b/>
        </w:rPr>
        <w:t>Event Closing and Gift Distribution (</w:t>
      </w:r>
      <w:r w:rsidRPr="001D6AA0">
        <w:rPr>
          <w:rFonts w:cs="Times New Roman"/>
          <w:b/>
          <w:lang w:eastAsia="en-GB"/>
        </w:rPr>
        <w:t>11:00 PM):</w:t>
      </w:r>
      <w:r w:rsidRPr="001D6AA0">
        <w:rPr>
          <w:rFonts w:cs="Times New Roman"/>
          <w:lang w:eastAsia="en-GB"/>
        </w:rPr>
        <w:t xml:space="preserve"> After the event, attendees will get tiny Halloween gift bags with refreshments, souvenirs, and Premier Inn discount coupons for future events </w:t>
      </w:r>
      <w:r w:rsidRPr="001D6AA0">
        <w:rPr>
          <w:rFonts w:eastAsia="Times New Roman" w:cs="Times New Roman"/>
          <w:szCs w:val="24"/>
          <w:lang w:eastAsia="en-GB"/>
        </w:rPr>
        <w:t>(Golz and Johnston, 2024)</w:t>
      </w:r>
      <w:r w:rsidRPr="001D6AA0">
        <w:rPr>
          <w:rFonts w:cs="Times New Roman"/>
          <w:lang w:eastAsia="en-GB"/>
        </w:rPr>
        <w:t xml:space="preserve">. This goodbye is meant to make the Halloween event attendees' experience memorable. </w:t>
      </w:r>
    </w:p>
    <w:p w14:paraId="2B8F012E" w14:textId="77777777" w:rsidR="00AB0203" w:rsidRPr="001D6AA0" w:rsidRDefault="00AB0203" w:rsidP="00AB0203">
      <w:pPr>
        <w:rPr>
          <w:rFonts w:cs="Times New Roman"/>
        </w:rPr>
      </w:pPr>
      <w:r w:rsidRPr="001D6AA0">
        <w:rPr>
          <w:rFonts w:cs="Times New Roman"/>
        </w:rPr>
        <w:t>A well-paced program and interesting games will combine Halloween themes with modern, interactive features to make the evening fun. Halloween is fun from the welcome to the last dance.</w:t>
      </w:r>
    </w:p>
    <w:p w14:paraId="282D0A78" w14:textId="77777777" w:rsidR="00AB0203" w:rsidRPr="001D6AA0" w:rsidRDefault="00AB0203" w:rsidP="00AB0203">
      <w:pPr>
        <w:rPr>
          <w:rFonts w:cs="Times New Roman"/>
        </w:rPr>
      </w:pPr>
    </w:p>
    <w:p w14:paraId="62F75F61" w14:textId="77777777" w:rsidR="00AB0203" w:rsidRPr="001D6AA0" w:rsidRDefault="00AB0203" w:rsidP="00AB0203">
      <w:pPr>
        <w:rPr>
          <w:rFonts w:cs="Times New Roman"/>
        </w:rPr>
      </w:pPr>
    </w:p>
    <w:p w14:paraId="4712F882" w14:textId="77777777" w:rsidR="00AB0203" w:rsidRPr="001D6AA0" w:rsidRDefault="00AB0203" w:rsidP="00AB0203">
      <w:pPr>
        <w:rPr>
          <w:rFonts w:cs="Times New Roman"/>
        </w:rPr>
      </w:pPr>
    </w:p>
    <w:p w14:paraId="3DD47F20" w14:textId="77777777" w:rsidR="00AB0203" w:rsidRPr="001D6AA0" w:rsidRDefault="00AB0203" w:rsidP="00AB0203">
      <w:pPr>
        <w:rPr>
          <w:rFonts w:cs="Times New Roman"/>
        </w:rPr>
      </w:pPr>
    </w:p>
    <w:p w14:paraId="1C1DB7AF" w14:textId="77777777" w:rsidR="00AB0203" w:rsidRPr="001D6AA0" w:rsidRDefault="00AB0203" w:rsidP="00AB0203">
      <w:pPr>
        <w:rPr>
          <w:rFonts w:cs="Times New Roman"/>
        </w:rPr>
      </w:pPr>
    </w:p>
    <w:p w14:paraId="3B1C6BDF" w14:textId="77777777" w:rsidR="00AB0203" w:rsidRPr="001D6AA0" w:rsidRDefault="00AB0203" w:rsidP="00AB0203">
      <w:pPr>
        <w:rPr>
          <w:rFonts w:cs="Times New Roman"/>
        </w:rPr>
      </w:pPr>
    </w:p>
    <w:p w14:paraId="4C6325CC" w14:textId="77777777" w:rsidR="00AB0203" w:rsidRPr="001D6AA0" w:rsidRDefault="00AB0203" w:rsidP="00AB0203">
      <w:pPr>
        <w:pStyle w:val="Heading1"/>
        <w:rPr>
          <w:rFonts w:cs="Times New Roman"/>
        </w:rPr>
      </w:pPr>
      <w:bookmarkStart w:id="4" w:name="_Toc181288541"/>
      <w:r w:rsidRPr="001D6AA0">
        <w:rPr>
          <w:rFonts w:cs="Times New Roman"/>
        </w:rPr>
        <w:lastRenderedPageBreak/>
        <w:t>Aim and Objectives of the Event</w:t>
      </w:r>
      <w:bookmarkEnd w:id="4"/>
    </w:p>
    <w:p w14:paraId="12ADF082" w14:textId="77777777" w:rsidR="00AB0203" w:rsidRPr="001D6AA0" w:rsidRDefault="00AB0203" w:rsidP="00AB0203">
      <w:pPr>
        <w:rPr>
          <w:rFonts w:cs="Times New Roman"/>
          <w:b/>
        </w:rPr>
      </w:pPr>
      <w:r w:rsidRPr="001D6AA0">
        <w:rPr>
          <w:rFonts w:cs="Times New Roman"/>
          <w:b/>
        </w:rPr>
        <w:t xml:space="preserve">Aim: </w:t>
      </w:r>
      <w:r w:rsidRPr="001D6AA0">
        <w:rPr>
          <w:rFonts w:cs="Times New Roman"/>
        </w:rPr>
        <w:t>The aim of the Halloween event is to create an immersive, fa</w:t>
      </w:r>
      <w:r>
        <w:rPr>
          <w:rFonts w:cs="Times New Roman"/>
        </w:rPr>
        <w:t>mily-friendly experience maximis</w:t>
      </w:r>
      <w:r w:rsidRPr="001D6AA0">
        <w:rPr>
          <w:rFonts w:cs="Times New Roman"/>
        </w:rPr>
        <w:t>ing guest enjoyment.</w:t>
      </w:r>
    </w:p>
    <w:p w14:paraId="35F06632" w14:textId="77777777" w:rsidR="00AB0203" w:rsidRPr="001D6AA0" w:rsidRDefault="00AB0203" w:rsidP="00AB0203">
      <w:pPr>
        <w:rPr>
          <w:rFonts w:cs="Times New Roman"/>
          <w:b/>
        </w:rPr>
      </w:pPr>
      <w:r w:rsidRPr="001D6AA0">
        <w:rPr>
          <w:rFonts w:cs="Times New Roman"/>
          <w:b/>
        </w:rPr>
        <w:t xml:space="preserve">SMART Objectives </w:t>
      </w:r>
    </w:p>
    <w:tbl>
      <w:tblPr>
        <w:tblStyle w:val="GridTable4-Accent6"/>
        <w:tblW w:w="5000" w:type="pct"/>
        <w:tblLook w:val="04A0" w:firstRow="1" w:lastRow="0" w:firstColumn="1" w:lastColumn="0" w:noHBand="0" w:noVBand="1"/>
      </w:tblPr>
      <w:tblGrid>
        <w:gridCol w:w="1447"/>
        <w:gridCol w:w="1578"/>
        <w:gridCol w:w="1483"/>
        <w:gridCol w:w="1567"/>
        <w:gridCol w:w="1947"/>
        <w:gridCol w:w="1328"/>
      </w:tblGrid>
      <w:tr w:rsidR="00AB0203" w:rsidRPr="001D6AA0" w14:paraId="6247745F" w14:textId="77777777" w:rsidTr="007160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4" w:type="pct"/>
            <w:hideMark/>
          </w:tcPr>
          <w:p w14:paraId="628D6421" w14:textId="77777777" w:rsidR="00AB0203" w:rsidRPr="001D6AA0" w:rsidRDefault="00AB0203" w:rsidP="00716051">
            <w:pPr>
              <w:jc w:val="center"/>
              <w:rPr>
                <w:rFonts w:cs="Times New Roman"/>
                <w:color w:val="auto"/>
              </w:rPr>
            </w:pPr>
            <w:r w:rsidRPr="001D6AA0">
              <w:rPr>
                <w:rFonts w:cs="Times New Roman"/>
                <w:color w:val="auto"/>
              </w:rPr>
              <w:t>Objective</w:t>
            </w:r>
          </w:p>
        </w:tc>
        <w:tc>
          <w:tcPr>
            <w:tcW w:w="844" w:type="pct"/>
            <w:hideMark/>
          </w:tcPr>
          <w:p w14:paraId="65472944" w14:textId="77777777" w:rsidR="00AB0203" w:rsidRPr="001D6AA0" w:rsidRDefault="00AB0203" w:rsidP="00716051">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1D6AA0">
              <w:rPr>
                <w:rFonts w:cs="Times New Roman"/>
                <w:color w:val="auto"/>
              </w:rPr>
              <w:t>Specific</w:t>
            </w:r>
          </w:p>
        </w:tc>
        <w:tc>
          <w:tcPr>
            <w:tcW w:w="793" w:type="pct"/>
            <w:hideMark/>
          </w:tcPr>
          <w:p w14:paraId="76070964" w14:textId="77777777" w:rsidR="00AB0203" w:rsidRPr="001D6AA0" w:rsidRDefault="00AB0203" w:rsidP="00716051">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1D6AA0">
              <w:rPr>
                <w:rFonts w:cs="Times New Roman"/>
                <w:color w:val="auto"/>
              </w:rPr>
              <w:t>Measurable</w:t>
            </w:r>
          </w:p>
        </w:tc>
        <w:tc>
          <w:tcPr>
            <w:tcW w:w="838" w:type="pct"/>
            <w:hideMark/>
          </w:tcPr>
          <w:p w14:paraId="07002C8E" w14:textId="77777777" w:rsidR="00AB0203" w:rsidRPr="001D6AA0" w:rsidRDefault="00AB0203" w:rsidP="00716051">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1D6AA0">
              <w:rPr>
                <w:rFonts w:cs="Times New Roman"/>
                <w:color w:val="auto"/>
              </w:rPr>
              <w:t>Achievable</w:t>
            </w:r>
          </w:p>
        </w:tc>
        <w:tc>
          <w:tcPr>
            <w:tcW w:w="1041" w:type="pct"/>
            <w:hideMark/>
          </w:tcPr>
          <w:p w14:paraId="2CB9F45E" w14:textId="77777777" w:rsidR="00AB0203" w:rsidRPr="001D6AA0" w:rsidRDefault="00AB0203" w:rsidP="00716051">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1D6AA0">
              <w:rPr>
                <w:rFonts w:cs="Times New Roman"/>
                <w:color w:val="auto"/>
              </w:rPr>
              <w:t>Relevant</w:t>
            </w:r>
          </w:p>
        </w:tc>
        <w:tc>
          <w:tcPr>
            <w:tcW w:w="711" w:type="pct"/>
            <w:hideMark/>
          </w:tcPr>
          <w:p w14:paraId="74E07723" w14:textId="77777777" w:rsidR="00AB0203" w:rsidRPr="001D6AA0" w:rsidRDefault="00AB0203" w:rsidP="00716051">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1D6AA0">
              <w:rPr>
                <w:rFonts w:cs="Times New Roman"/>
                <w:color w:val="auto"/>
              </w:rPr>
              <w:t>Time-bound</w:t>
            </w:r>
          </w:p>
        </w:tc>
      </w:tr>
      <w:tr w:rsidR="00AB0203" w:rsidRPr="001D6AA0" w14:paraId="5CCB868C" w14:textId="77777777" w:rsidTr="00716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4" w:type="pct"/>
            <w:hideMark/>
          </w:tcPr>
          <w:p w14:paraId="6A4847B0" w14:textId="77777777" w:rsidR="00AB0203" w:rsidRPr="001D6AA0" w:rsidRDefault="00AB0203" w:rsidP="00716051">
            <w:pPr>
              <w:rPr>
                <w:rFonts w:cs="Times New Roman"/>
                <w:b w:val="0"/>
              </w:rPr>
            </w:pPr>
            <w:r w:rsidRPr="001D6AA0">
              <w:rPr>
                <w:rFonts w:cs="Times New Roman"/>
                <w:b w:val="0"/>
              </w:rPr>
              <w:t>Attract 280 guests through targeted marketing.</w:t>
            </w:r>
          </w:p>
        </w:tc>
        <w:tc>
          <w:tcPr>
            <w:tcW w:w="844" w:type="pct"/>
            <w:hideMark/>
          </w:tcPr>
          <w:p w14:paraId="71F30958"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Design a campaign targeting local families.</w:t>
            </w:r>
          </w:p>
        </w:tc>
        <w:tc>
          <w:tcPr>
            <w:tcW w:w="793" w:type="pct"/>
            <w:hideMark/>
          </w:tcPr>
          <w:p w14:paraId="13BA7014"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Track ticket sales</w:t>
            </w:r>
          </w:p>
        </w:tc>
        <w:tc>
          <w:tcPr>
            <w:tcW w:w="838" w:type="pct"/>
            <w:hideMark/>
          </w:tcPr>
          <w:p w14:paraId="726A7386"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Use digital and local promotions</w:t>
            </w:r>
          </w:p>
        </w:tc>
        <w:tc>
          <w:tcPr>
            <w:tcW w:w="1041" w:type="pct"/>
            <w:hideMark/>
          </w:tcPr>
          <w:p w14:paraId="78DEC7B9"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Enhances guest engagement at Premier Inn Loughborough</w:t>
            </w:r>
          </w:p>
        </w:tc>
        <w:tc>
          <w:tcPr>
            <w:tcW w:w="711" w:type="pct"/>
            <w:hideMark/>
          </w:tcPr>
          <w:p w14:paraId="15A101B7"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Achieve by event start date</w:t>
            </w:r>
          </w:p>
        </w:tc>
      </w:tr>
      <w:tr w:rsidR="00AB0203" w:rsidRPr="001D6AA0" w14:paraId="01877EAA" w14:textId="77777777" w:rsidTr="00716051">
        <w:tc>
          <w:tcPr>
            <w:cnfStyle w:val="001000000000" w:firstRow="0" w:lastRow="0" w:firstColumn="1" w:lastColumn="0" w:oddVBand="0" w:evenVBand="0" w:oddHBand="0" w:evenHBand="0" w:firstRowFirstColumn="0" w:firstRowLastColumn="0" w:lastRowFirstColumn="0" w:lastRowLastColumn="0"/>
            <w:tcW w:w="774" w:type="pct"/>
            <w:hideMark/>
          </w:tcPr>
          <w:p w14:paraId="06F58420" w14:textId="77777777" w:rsidR="00AB0203" w:rsidRPr="001D6AA0" w:rsidRDefault="00AB0203" w:rsidP="00716051">
            <w:pPr>
              <w:rPr>
                <w:rFonts w:cs="Times New Roman"/>
                <w:b w:val="0"/>
              </w:rPr>
            </w:pPr>
            <w:r w:rsidRPr="001D6AA0">
              <w:rPr>
                <w:rFonts w:cs="Times New Roman"/>
                <w:b w:val="0"/>
              </w:rPr>
              <w:t>Achieve 90% positive feedback from attendees.</w:t>
            </w:r>
          </w:p>
        </w:tc>
        <w:tc>
          <w:tcPr>
            <w:tcW w:w="844" w:type="pct"/>
            <w:hideMark/>
          </w:tcPr>
          <w:p w14:paraId="13DA7C3F" w14:textId="77777777" w:rsidR="00AB0203" w:rsidRPr="001D6AA0" w:rsidRDefault="00AB0203" w:rsidP="00716051">
            <w:pPr>
              <w:cnfStyle w:val="000000000000" w:firstRow="0" w:lastRow="0" w:firstColumn="0" w:lastColumn="0" w:oddVBand="0" w:evenVBand="0" w:oddHBand="0" w:evenHBand="0" w:firstRowFirstColumn="0" w:firstRowLastColumn="0" w:lastRowFirstColumn="0" w:lastRowLastColumn="0"/>
              <w:rPr>
                <w:rFonts w:cs="Times New Roman"/>
              </w:rPr>
            </w:pPr>
            <w:r w:rsidRPr="001D6AA0">
              <w:rPr>
                <w:rFonts w:cs="Times New Roman"/>
              </w:rPr>
              <w:t>Gather guest feedback post-event</w:t>
            </w:r>
          </w:p>
        </w:tc>
        <w:tc>
          <w:tcPr>
            <w:tcW w:w="793" w:type="pct"/>
            <w:hideMark/>
          </w:tcPr>
          <w:p w14:paraId="3FDD2E57" w14:textId="77777777" w:rsidR="00AB0203" w:rsidRPr="001D6AA0" w:rsidRDefault="00AB0203" w:rsidP="00716051">
            <w:pPr>
              <w:cnfStyle w:val="000000000000" w:firstRow="0" w:lastRow="0" w:firstColumn="0" w:lastColumn="0" w:oddVBand="0" w:evenVBand="0" w:oddHBand="0" w:evenHBand="0" w:firstRowFirstColumn="0" w:firstRowLastColumn="0" w:lastRowFirstColumn="0" w:lastRowLastColumn="0"/>
              <w:rPr>
                <w:rFonts w:cs="Times New Roman"/>
              </w:rPr>
            </w:pPr>
            <w:r w:rsidRPr="001D6AA0">
              <w:rPr>
                <w:rFonts w:cs="Times New Roman"/>
              </w:rPr>
              <w:t>Use surveys and feedback</w:t>
            </w:r>
          </w:p>
        </w:tc>
        <w:tc>
          <w:tcPr>
            <w:tcW w:w="838" w:type="pct"/>
            <w:hideMark/>
          </w:tcPr>
          <w:p w14:paraId="234794F3" w14:textId="77777777" w:rsidR="00AB0203" w:rsidRPr="001D6AA0" w:rsidRDefault="00AB0203" w:rsidP="00716051">
            <w:pPr>
              <w:cnfStyle w:val="000000000000" w:firstRow="0" w:lastRow="0" w:firstColumn="0" w:lastColumn="0" w:oddVBand="0" w:evenVBand="0" w:oddHBand="0" w:evenHBand="0" w:firstRowFirstColumn="0" w:firstRowLastColumn="0" w:lastRowFirstColumn="0" w:lastRowLastColumn="0"/>
              <w:rPr>
                <w:rFonts w:cs="Times New Roman"/>
              </w:rPr>
            </w:pPr>
            <w:r w:rsidRPr="001D6AA0">
              <w:rPr>
                <w:rFonts w:cs="Times New Roman"/>
              </w:rPr>
              <w:t>Based on previous successful events</w:t>
            </w:r>
          </w:p>
        </w:tc>
        <w:tc>
          <w:tcPr>
            <w:tcW w:w="1041" w:type="pct"/>
            <w:hideMark/>
          </w:tcPr>
          <w:p w14:paraId="0C2A03D9" w14:textId="77777777" w:rsidR="00AB0203" w:rsidRPr="001D6AA0" w:rsidRDefault="00AB0203" w:rsidP="00716051">
            <w:pPr>
              <w:cnfStyle w:val="000000000000" w:firstRow="0" w:lastRow="0" w:firstColumn="0" w:lastColumn="0" w:oddVBand="0" w:evenVBand="0" w:oddHBand="0" w:evenHBand="0" w:firstRowFirstColumn="0" w:firstRowLastColumn="0" w:lastRowFirstColumn="0" w:lastRowLastColumn="0"/>
              <w:rPr>
                <w:rFonts w:cs="Times New Roman"/>
              </w:rPr>
            </w:pPr>
            <w:r w:rsidRPr="001D6AA0">
              <w:rPr>
                <w:rFonts w:cs="Times New Roman"/>
              </w:rPr>
              <w:t>Ensures high-quality, enjoyable experience</w:t>
            </w:r>
          </w:p>
        </w:tc>
        <w:tc>
          <w:tcPr>
            <w:tcW w:w="711" w:type="pct"/>
            <w:hideMark/>
          </w:tcPr>
          <w:p w14:paraId="42E25FF1" w14:textId="77777777" w:rsidR="00AB0203" w:rsidRPr="001D6AA0" w:rsidRDefault="00AB0203" w:rsidP="00716051">
            <w:pPr>
              <w:cnfStyle w:val="000000000000" w:firstRow="0" w:lastRow="0" w:firstColumn="0" w:lastColumn="0" w:oddVBand="0" w:evenVBand="0" w:oddHBand="0" w:evenHBand="0" w:firstRowFirstColumn="0" w:firstRowLastColumn="0" w:lastRowFirstColumn="0" w:lastRowLastColumn="0"/>
              <w:rPr>
                <w:rFonts w:cs="Times New Roman"/>
              </w:rPr>
            </w:pPr>
            <w:r w:rsidRPr="001D6AA0">
              <w:rPr>
                <w:rFonts w:cs="Times New Roman"/>
              </w:rPr>
              <w:t>Complete within 1 week post-event</w:t>
            </w:r>
          </w:p>
        </w:tc>
      </w:tr>
      <w:tr w:rsidR="00AB0203" w:rsidRPr="001D6AA0" w14:paraId="2EE2C3FB" w14:textId="77777777" w:rsidTr="00716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4" w:type="pct"/>
            <w:hideMark/>
          </w:tcPr>
          <w:p w14:paraId="4612F8A1" w14:textId="77777777" w:rsidR="00AB0203" w:rsidRPr="001D6AA0" w:rsidRDefault="00AB0203" w:rsidP="00716051">
            <w:pPr>
              <w:rPr>
                <w:rFonts w:cs="Times New Roman"/>
                <w:b w:val="0"/>
              </w:rPr>
            </w:pPr>
            <w:r w:rsidRPr="001D6AA0">
              <w:rPr>
                <w:rFonts w:cs="Times New Roman"/>
                <w:b w:val="0"/>
              </w:rPr>
              <w:t>Generate £35,000 in revenue.</w:t>
            </w:r>
          </w:p>
        </w:tc>
        <w:tc>
          <w:tcPr>
            <w:tcW w:w="844" w:type="pct"/>
            <w:hideMark/>
          </w:tcPr>
          <w:p w14:paraId="60D90D28"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Set ticket prices and sponsorship packages.</w:t>
            </w:r>
          </w:p>
        </w:tc>
        <w:tc>
          <w:tcPr>
            <w:tcW w:w="793" w:type="pct"/>
            <w:hideMark/>
          </w:tcPr>
          <w:p w14:paraId="01DAA694"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Track ticket and sponsor income</w:t>
            </w:r>
          </w:p>
        </w:tc>
        <w:tc>
          <w:tcPr>
            <w:tcW w:w="838" w:type="pct"/>
            <w:hideMark/>
          </w:tcPr>
          <w:p w14:paraId="3C353696"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Ensure sponsorship and ticket sales goals</w:t>
            </w:r>
          </w:p>
        </w:tc>
        <w:tc>
          <w:tcPr>
            <w:tcW w:w="1041" w:type="pct"/>
            <w:hideMark/>
          </w:tcPr>
          <w:p w14:paraId="607BE286"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Supports financial feasibility</w:t>
            </w:r>
          </w:p>
        </w:tc>
        <w:tc>
          <w:tcPr>
            <w:tcW w:w="711" w:type="pct"/>
            <w:hideMark/>
          </w:tcPr>
          <w:p w14:paraId="0BAE0AD8" w14:textId="77777777" w:rsidR="00AB0203" w:rsidRPr="001D6AA0" w:rsidRDefault="00AB0203" w:rsidP="00716051">
            <w:pPr>
              <w:cnfStyle w:val="000000100000" w:firstRow="0" w:lastRow="0" w:firstColumn="0" w:lastColumn="0" w:oddVBand="0" w:evenVBand="0" w:oddHBand="1" w:evenHBand="0" w:firstRowFirstColumn="0" w:firstRowLastColumn="0" w:lastRowFirstColumn="0" w:lastRowLastColumn="0"/>
              <w:rPr>
                <w:rFonts w:cs="Times New Roman"/>
              </w:rPr>
            </w:pPr>
            <w:r w:rsidRPr="001D6AA0">
              <w:rPr>
                <w:rFonts w:cs="Times New Roman"/>
              </w:rPr>
              <w:t>Reach target by event date</w:t>
            </w:r>
          </w:p>
        </w:tc>
      </w:tr>
    </w:tbl>
    <w:p w14:paraId="4C8540E9" w14:textId="77777777" w:rsidR="00AB0203" w:rsidRPr="001D6AA0" w:rsidRDefault="00AB0203" w:rsidP="00AB0203">
      <w:pPr>
        <w:rPr>
          <w:rFonts w:cs="Times New Roman"/>
        </w:rPr>
      </w:pPr>
    </w:p>
    <w:p w14:paraId="2F18047C" w14:textId="77777777" w:rsidR="00AB0203" w:rsidRPr="001D6AA0" w:rsidRDefault="00AB0203" w:rsidP="00AB0203">
      <w:pPr>
        <w:pStyle w:val="Heading1"/>
        <w:rPr>
          <w:rFonts w:cs="Times New Roman"/>
        </w:rPr>
      </w:pPr>
      <w:bookmarkStart w:id="5" w:name="_Toc181288542"/>
      <w:r w:rsidRPr="001D6AA0">
        <w:rPr>
          <w:rFonts w:cs="Times New Roman"/>
        </w:rPr>
        <w:lastRenderedPageBreak/>
        <w:t>Event Management</w:t>
      </w:r>
      <w:bookmarkEnd w:id="5"/>
    </w:p>
    <w:p w14:paraId="4770DAB8" w14:textId="77777777" w:rsidR="00AB0203" w:rsidRPr="001D6AA0" w:rsidRDefault="00AB0203" w:rsidP="00AB0203">
      <w:pPr>
        <w:rPr>
          <w:rFonts w:cs="Times New Roman"/>
          <w:lang w:eastAsia="en-GB"/>
        </w:rPr>
      </w:pPr>
      <w:r w:rsidRPr="001D6AA0">
        <w:rPr>
          <w:rFonts w:cs="Times New Roman"/>
          <w:lang w:eastAsia="en-GB"/>
        </w:rPr>
        <w:t xml:space="preserve">Successful Premier Inn, Loughborough Halloween events require good management. To maintain industry standards, the EMBOK model was used throughout planning. EMBOK's strategic planning, operational requirements, marketing strategies, risk assessment, and logistics help Halloween events </w:t>
      </w:r>
      <w:r w:rsidRPr="001D6AA0">
        <w:rPr>
          <w:rFonts w:eastAsia="Times New Roman" w:cs="Times New Roman"/>
          <w:szCs w:val="24"/>
          <w:lang w:eastAsia="en-GB"/>
        </w:rPr>
        <w:t>(Allen et al., 2022)</w:t>
      </w:r>
      <w:r w:rsidRPr="001D6AA0">
        <w:rPr>
          <w:rFonts w:cs="Times New Roman"/>
          <w:lang w:eastAsia="en-GB"/>
        </w:rPr>
        <w:t xml:space="preserve">. This Halloween event uses EMBOK's principles to plan and execute successfully, assessing and managing all aspects. </w:t>
      </w:r>
    </w:p>
    <w:p w14:paraId="4F839E3C" w14:textId="77777777" w:rsidR="00AB0203" w:rsidRPr="001D6AA0" w:rsidRDefault="00AB0203" w:rsidP="00AB0203">
      <w:pPr>
        <w:jc w:val="center"/>
        <w:rPr>
          <w:rFonts w:eastAsia="Times New Roman" w:cs="Times New Roman"/>
          <w:szCs w:val="24"/>
          <w:lang w:eastAsia="en-GB"/>
        </w:rPr>
      </w:pPr>
      <w:r w:rsidRPr="001D6AA0">
        <w:rPr>
          <w:rFonts w:cs="Times New Roman"/>
          <w:noProof/>
          <w:lang w:eastAsia="en-GB"/>
        </w:rPr>
        <w:drawing>
          <wp:inline distT="0" distB="0" distL="0" distR="0" wp14:anchorId="294E8525" wp14:editId="4456AF3D">
            <wp:extent cx="4610100" cy="2428875"/>
            <wp:effectExtent l="0" t="0" r="0" b="9525"/>
            <wp:docPr id="2" name="Picture 2"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0" cy="2428875"/>
                    </a:xfrm>
                    <a:prstGeom prst="rect">
                      <a:avLst/>
                    </a:prstGeom>
                    <a:noFill/>
                    <a:ln>
                      <a:noFill/>
                    </a:ln>
                  </pic:spPr>
                </pic:pic>
              </a:graphicData>
            </a:graphic>
          </wp:inline>
        </w:drawing>
      </w:r>
    </w:p>
    <w:p w14:paraId="075A3207" w14:textId="77777777" w:rsidR="00AB0203" w:rsidRPr="001D6AA0" w:rsidRDefault="00AB0203" w:rsidP="00AB0203">
      <w:pPr>
        <w:jc w:val="center"/>
        <w:rPr>
          <w:rFonts w:cs="Times New Roman"/>
          <w:lang w:eastAsia="en-GB"/>
        </w:rPr>
      </w:pPr>
      <w:r w:rsidRPr="001D6AA0">
        <w:rPr>
          <w:rFonts w:eastAsia="Times New Roman" w:cs="Times New Roman"/>
          <w:szCs w:val="24"/>
          <w:lang w:eastAsia="en-GB"/>
        </w:rPr>
        <w:t xml:space="preserve">Figure 2: </w:t>
      </w:r>
      <w:r w:rsidRPr="001D6AA0">
        <w:rPr>
          <w:rFonts w:cs="Times New Roman"/>
          <w:lang w:eastAsia="en-GB"/>
        </w:rPr>
        <w:t>EMBOK model</w:t>
      </w:r>
    </w:p>
    <w:p w14:paraId="2A3DDBEF" w14:textId="77777777" w:rsidR="00AB0203" w:rsidRPr="001D6AA0" w:rsidRDefault="00AB0203" w:rsidP="00AB0203">
      <w:pPr>
        <w:jc w:val="center"/>
        <w:rPr>
          <w:rFonts w:eastAsia="Times New Roman" w:cs="Times New Roman"/>
          <w:szCs w:val="24"/>
          <w:lang w:eastAsia="en-GB"/>
        </w:rPr>
      </w:pPr>
      <w:r w:rsidRPr="001D6AA0">
        <w:rPr>
          <w:rFonts w:cs="Times New Roman"/>
          <w:lang w:eastAsia="en-GB"/>
        </w:rPr>
        <w:t xml:space="preserve">Source: </w:t>
      </w:r>
      <w:r w:rsidRPr="001D6AA0">
        <w:rPr>
          <w:rFonts w:eastAsia="Times New Roman" w:cs="Times New Roman"/>
          <w:szCs w:val="24"/>
          <w:lang w:eastAsia="en-GB"/>
        </w:rPr>
        <w:t>(Allen et al., 2022)</w:t>
      </w:r>
    </w:p>
    <w:p w14:paraId="222B2BCE" w14:textId="77777777" w:rsidR="00AB0203" w:rsidRPr="001D6AA0" w:rsidRDefault="00AB0203" w:rsidP="00AB0203">
      <w:pPr>
        <w:pStyle w:val="Heading2"/>
        <w:rPr>
          <w:rFonts w:cs="Times New Roman"/>
          <w:lang w:eastAsia="en-GB"/>
        </w:rPr>
      </w:pPr>
      <w:bookmarkStart w:id="6" w:name="_Toc181288543"/>
      <w:r w:rsidRPr="001D6AA0">
        <w:rPr>
          <w:rFonts w:cs="Times New Roman"/>
        </w:rPr>
        <w:t>Skills and Resources Required</w:t>
      </w:r>
      <w:bookmarkEnd w:id="6"/>
    </w:p>
    <w:p w14:paraId="6D3C385A" w14:textId="77777777" w:rsidR="00AB0203" w:rsidRPr="001D6AA0" w:rsidRDefault="00AB0203" w:rsidP="00AB0203">
      <w:pPr>
        <w:rPr>
          <w:rFonts w:cs="Times New Roman"/>
          <w:lang w:eastAsia="en-GB"/>
        </w:rPr>
      </w:pPr>
      <w:r w:rsidRPr="001D6AA0">
        <w:rPr>
          <w:rFonts w:cs="Times New Roman"/>
          <w:lang w:eastAsia="en-GB"/>
        </w:rPr>
        <w:t xml:space="preserve">Effective talent and resource allocation across operational, planning, and marketing objectives creates great Halloween experiences. All details improve the guest experience while saving money and resources. </w:t>
      </w:r>
    </w:p>
    <w:p w14:paraId="3A4ACF94" w14:textId="77777777" w:rsidR="00AB0203" w:rsidRPr="001D6AA0" w:rsidRDefault="00AB0203" w:rsidP="00AB0203">
      <w:pPr>
        <w:rPr>
          <w:rFonts w:cs="Times New Roman"/>
          <w:lang w:eastAsia="en-GB"/>
        </w:rPr>
      </w:pPr>
      <w:r w:rsidRPr="001D6AA0">
        <w:rPr>
          <w:rFonts w:cs="Times New Roman"/>
          <w:b/>
          <w:lang w:eastAsia="en-GB"/>
        </w:rPr>
        <w:t>Operating Activities:</w:t>
      </w:r>
      <w:r w:rsidRPr="001D6AA0">
        <w:rPr>
          <w:rFonts w:cs="Times New Roman"/>
          <w:lang w:eastAsia="en-GB"/>
        </w:rPr>
        <w:t xml:space="preserve"> Successful event delivery involves operations. Daily event logistics, teamwork, safety, and technology management are needed. For Halloween lighting, decorations, and sound effects, the Premier Inn event area needs some talented decorators </w:t>
      </w:r>
      <w:r w:rsidRPr="001D6AA0">
        <w:rPr>
          <w:rFonts w:eastAsia="Times New Roman" w:cs="Times New Roman"/>
          <w:szCs w:val="24"/>
          <w:lang w:eastAsia="en-GB"/>
        </w:rPr>
        <w:t>(Madray, 2020)</w:t>
      </w:r>
      <w:r w:rsidRPr="001D6AA0">
        <w:rPr>
          <w:rFonts w:cs="Times New Roman"/>
          <w:lang w:eastAsia="en-GB"/>
        </w:rPr>
        <w:t xml:space="preserve">. </w:t>
      </w:r>
      <w:r w:rsidRPr="001D6AA0">
        <w:rPr>
          <w:rFonts w:cs="Times New Roman"/>
          <w:lang w:eastAsia="en-GB"/>
        </w:rPr>
        <w:lastRenderedPageBreak/>
        <w:t xml:space="preserve">Immersion is provided via Halloween lights, fog, and audio. An experienced caterer must promptly and well provide Halloween dinners. Excellent caterers, Halloween cuisine, and catering supplies make dining special. Since the event is family-friendly, certified security and safety personnel will keep guests safe, especially in high-traffic areas and interactive attractions like the haunted house </w:t>
      </w:r>
      <w:r w:rsidRPr="001D6AA0">
        <w:rPr>
          <w:rFonts w:eastAsia="Times New Roman" w:cs="Times New Roman"/>
          <w:szCs w:val="24"/>
          <w:lang w:eastAsia="en-GB"/>
        </w:rPr>
        <w:t>(Werner, Junek and Wang, 2021)</w:t>
      </w:r>
      <w:r w:rsidRPr="001D6AA0">
        <w:rPr>
          <w:rFonts w:cs="Times New Roman"/>
          <w:lang w:eastAsia="en-GB"/>
        </w:rPr>
        <w:t xml:space="preserve">. There will be fire safety and first aid stations. Audio-visual technicians plan lighting, music, and effects. Audio-visual, microphone, and lighting controls are used for event setup and enjoyment. </w:t>
      </w:r>
    </w:p>
    <w:p w14:paraId="630A3668" w14:textId="77777777" w:rsidR="00AB0203" w:rsidRPr="001D6AA0" w:rsidRDefault="00AB0203" w:rsidP="00AB0203">
      <w:pPr>
        <w:rPr>
          <w:rFonts w:eastAsia="Times New Roman" w:cs="Times New Roman"/>
          <w:szCs w:val="24"/>
          <w:lang w:eastAsia="en-GB"/>
        </w:rPr>
      </w:pPr>
      <w:r w:rsidRPr="001D6AA0">
        <w:rPr>
          <w:rFonts w:cs="Times New Roman"/>
          <w:b/>
        </w:rPr>
        <w:t>Planning Activities</w:t>
      </w:r>
      <w:r w:rsidRPr="001D6AA0">
        <w:rPr>
          <w:rFonts w:cs="Times New Roman"/>
          <w:b/>
          <w:lang w:eastAsia="en-GB"/>
        </w:rPr>
        <w:t>:</w:t>
      </w:r>
      <w:r w:rsidRPr="001D6AA0">
        <w:rPr>
          <w:rFonts w:cs="Times New Roman"/>
          <w:lang w:eastAsia="en-GB"/>
        </w:rPr>
        <w:t xml:space="preserve"> This Halloween event's strategic planning includes scheduling, finances, compliance, and teamwork. Schedule and event coordinator project managers must organise décor, entertainment, and breakdown. Planning and project management software helps schedules. Financial experts are vital for event budgeting income and cost control. Budgets, spreadsheets, and financial records are crucial </w:t>
      </w:r>
      <w:r w:rsidRPr="001D6AA0">
        <w:rPr>
          <w:rFonts w:eastAsia="Times New Roman" w:cs="Times New Roman"/>
          <w:szCs w:val="24"/>
          <w:lang w:eastAsia="en-GB"/>
        </w:rPr>
        <w:t>(Ushakov et al., 2020)</w:t>
      </w:r>
      <w:r w:rsidRPr="001D6AA0">
        <w:rPr>
          <w:rFonts w:cs="Times New Roman"/>
          <w:lang w:eastAsia="en-GB"/>
        </w:rPr>
        <w:t xml:space="preserve">. Monitoring ticket sales and sponsorships will help the event meet financial goals. Locally knowledgeable health and safety and licence coordinators are sought. Safety inspections, compliance checklists, and permit application software exist. HR managers must allocate and manage event volunteers. Staff training and scheduling help employees comprehend and collaborate. </w:t>
      </w:r>
    </w:p>
    <w:p w14:paraId="19D6253A" w14:textId="77777777" w:rsidR="00AB0203" w:rsidRPr="001D6AA0" w:rsidRDefault="00AB0203" w:rsidP="00AB0203">
      <w:pPr>
        <w:rPr>
          <w:rFonts w:eastAsia="Times New Roman" w:cs="Times New Roman"/>
          <w:szCs w:val="24"/>
          <w:lang w:eastAsia="en-GB"/>
        </w:rPr>
      </w:pPr>
      <w:r w:rsidRPr="001D6AA0">
        <w:rPr>
          <w:rFonts w:cs="Times New Roman"/>
          <w:b/>
        </w:rPr>
        <w:t>Marketing Activities</w:t>
      </w:r>
      <w:r w:rsidRPr="001D6AA0">
        <w:rPr>
          <w:rFonts w:cs="Times New Roman"/>
          <w:b/>
          <w:lang w:eastAsia="en-GB"/>
        </w:rPr>
        <w:t>:</w:t>
      </w:r>
      <w:r w:rsidRPr="001D6AA0">
        <w:rPr>
          <w:rFonts w:cs="Times New Roman"/>
          <w:lang w:eastAsia="en-GB"/>
        </w:rPr>
        <w:t xml:space="preserve"> Strong event marketing attracts and excites guests. Digital, PR, and social media management matter. Advertising, local alliances, and the Internet are needed for marketing. Event promotion via targeted ads and social media involves SEO and internet advertising experts. Resources include ads, social media, and engagement metrics </w:t>
      </w:r>
      <w:r w:rsidRPr="001D6AA0">
        <w:rPr>
          <w:rFonts w:eastAsia="Times New Roman" w:cs="Times New Roman"/>
          <w:szCs w:val="24"/>
          <w:lang w:eastAsia="en-GB"/>
        </w:rPr>
        <w:t>(Priyangika, Perera and Karunaratne, 2019)</w:t>
      </w:r>
      <w:r w:rsidRPr="001D6AA0">
        <w:rPr>
          <w:rFonts w:cs="Times New Roman"/>
          <w:lang w:eastAsia="en-GB"/>
        </w:rPr>
        <w:t xml:space="preserve">. PR professionals can promote the event to local media and influencers. Press releases, event listings, and media kits boost local visibility. Potential participants will be engaged on Instagram, Facebook, and Twitter by social media managers. Countdowns, teases, and </w:t>
      </w:r>
      <w:r w:rsidRPr="001D6AA0">
        <w:rPr>
          <w:rFonts w:cs="Times New Roman"/>
          <w:lang w:eastAsia="en-GB"/>
        </w:rPr>
        <w:lastRenderedPageBreak/>
        <w:t xml:space="preserve">interactive updates thrill. Content releases are managed using graphic design and scheduling software. Event planners will partner with local businesses to fundraise. Partnerships, sponsorship, and promotion will enhance the event. </w:t>
      </w:r>
    </w:p>
    <w:p w14:paraId="475ED5B2" w14:textId="77777777" w:rsidR="00AB0203" w:rsidRPr="001D6AA0" w:rsidRDefault="00AB0203" w:rsidP="00AB0203">
      <w:pPr>
        <w:rPr>
          <w:rFonts w:cs="Times New Roman"/>
        </w:rPr>
      </w:pPr>
    </w:p>
    <w:p w14:paraId="1C38ED46" w14:textId="77777777" w:rsidR="00AB0203" w:rsidRPr="001D6AA0" w:rsidRDefault="00AB0203" w:rsidP="00AB0203">
      <w:pPr>
        <w:rPr>
          <w:rFonts w:cs="Times New Roman"/>
        </w:rPr>
      </w:pPr>
    </w:p>
    <w:p w14:paraId="4EF36794" w14:textId="77777777" w:rsidR="00AB0203" w:rsidRPr="001D6AA0" w:rsidRDefault="00AB0203" w:rsidP="00AB0203">
      <w:pPr>
        <w:rPr>
          <w:rFonts w:cs="Times New Roman"/>
        </w:rPr>
      </w:pPr>
    </w:p>
    <w:p w14:paraId="6AD967BD" w14:textId="77777777" w:rsidR="00AB0203" w:rsidRPr="001D6AA0" w:rsidRDefault="00AB0203" w:rsidP="00AB0203">
      <w:pPr>
        <w:rPr>
          <w:rFonts w:cs="Times New Roman"/>
        </w:rPr>
      </w:pPr>
    </w:p>
    <w:p w14:paraId="316DA8BC" w14:textId="77777777" w:rsidR="00AB0203" w:rsidRPr="001D6AA0" w:rsidRDefault="00AB0203" w:rsidP="00AB0203">
      <w:pPr>
        <w:rPr>
          <w:rFonts w:cs="Times New Roman"/>
        </w:rPr>
      </w:pPr>
    </w:p>
    <w:p w14:paraId="56EEFD80" w14:textId="77777777" w:rsidR="00AB0203" w:rsidRPr="001D6AA0" w:rsidRDefault="00AB0203" w:rsidP="00AB0203">
      <w:pPr>
        <w:rPr>
          <w:rFonts w:cs="Times New Roman"/>
        </w:rPr>
      </w:pPr>
    </w:p>
    <w:p w14:paraId="29800319" w14:textId="77777777" w:rsidR="00AB0203" w:rsidRPr="001D6AA0" w:rsidRDefault="00AB0203" w:rsidP="00AB0203">
      <w:pPr>
        <w:rPr>
          <w:rFonts w:cs="Times New Roman"/>
        </w:rPr>
      </w:pPr>
    </w:p>
    <w:p w14:paraId="2F03A9A1" w14:textId="77777777" w:rsidR="00AB0203" w:rsidRPr="001D6AA0" w:rsidRDefault="00AB0203" w:rsidP="00AB0203">
      <w:pPr>
        <w:rPr>
          <w:rFonts w:cs="Times New Roman"/>
        </w:rPr>
      </w:pPr>
    </w:p>
    <w:p w14:paraId="3A8F4D45" w14:textId="77777777" w:rsidR="00AB0203" w:rsidRPr="001D6AA0" w:rsidRDefault="00AB0203" w:rsidP="00AB0203">
      <w:pPr>
        <w:rPr>
          <w:rFonts w:cs="Times New Roman"/>
        </w:rPr>
      </w:pPr>
    </w:p>
    <w:p w14:paraId="26942A5B" w14:textId="77777777" w:rsidR="00AB0203" w:rsidRPr="001D6AA0" w:rsidRDefault="00AB0203" w:rsidP="00AB0203">
      <w:pPr>
        <w:rPr>
          <w:rFonts w:cs="Times New Roman"/>
        </w:rPr>
      </w:pPr>
    </w:p>
    <w:p w14:paraId="1D29BA2E" w14:textId="77777777" w:rsidR="00AB0203" w:rsidRPr="001D6AA0" w:rsidRDefault="00AB0203" w:rsidP="00AB0203">
      <w:pPr>
        <w:rPr>
          <w:rFonts w:cs="Times New Roman"/>
        </w:rPr>
      </w:pPr>
    </w:p>
    <w:p w14:paraId="64D8375F" w14:textId="77777777" w:rsidR="00AB0203" w:rsidRPr="001D6AA0" w:rsidRDefault="00AB0203" w:rsidP="00AB0203">
      <w:pPr>
        <w:rPr>
          <w:rFonts w:cs="Times New Roman"/>
        </w:rPr>
      </w:pPr>
    </w:p>
    <w:p w14:paraId="55D12E59" w14:textId="77777777" w:rsidR="00AB0203" w:rsidRPr="001D6AA0" w:rsidRDefault="00AB0203" w:rsidP="00AB0203">
      <w:pPr>
        <w:rPr>
          <w:rFonts w:cs="Times New Roman"/>
        </w:rPr>
      </w:pPr>
    </w:p>
    <w:p w14:paraId="54EBE951" w14:textId="77777777" w:rsidR="00AB0203" w:rsidRPr="001D6AA0" w:rsidRDefault="00AB0203" w:rsidP="00AB0203">
      <w:pPr>
        <w:rPr>
          <w:rFonts w:cs="Times New Roman"/>
        </w:rPr>
      </w:pPr>
    </w:p>
    <w:p w14:paraId="7962B239" w14:textId="77777777" w:rsidR="00AB0203" w:rsidRPr="001D6AA0" w:rsidRDefault="00AB0203" w:rsidP="00AB0203">
      <w:pPr>
        <w:rPr>
          <w:rFonts w:cs="Times New Roman"/>
        </w:rPr>
      </w:pPr>
    </w:p>
    <w:p w14:paraId="5A5C20D4" w14:textId="77777777" w:rsidR="00AB0203" w:rsidRPr="001D6AA0" w:rsidRDefault="00AB0203" w:rsidP="00AB0203">
      <w:pPr>
        <w:pStyle w:val="Heading1"/>
        <w:rPr>
          <w:rFonts w:cs="Times New Roman"/>
        </w:rPr>
      </w:pPr>
      <w:bookmarkStart w:id="7" w:name="_Toc181288544"/>
      <w:r w:rsidRPr="001D6AA0">
        <w:rPr>
          <w:rFonts w:cs="Times New Roman"/>
        </w:rPr>
        <w:lastRenderedPageBreak/>
        <w:t>Event Budget</w:t>
      </w:r>
      <w:bookmarkEnd w:id="7"/>
    </w:p>
    <w:p w14:paraId="1B64430E" w14:textId="77777777" w:rsidR="00AB0203" w:rsidRPr="001D6AA0" w:rsidRDefault="00AB0203" w:rsidP="00AB0203">
      <w:pPr>
        <w:rPr>
          <w:rFonts w:cs="Times New Roman"/>
        </w:rPr>
      </w:pPr>
      <w:r w:rsidRPr="001D6AA0">
        <w:rPr>
          <w:rFonts w:cs="Times New Roman"/>
          <w:lang w:eastAsia="en-GB"/>
        </w:rPr>
        <w:t xml:space="preserve">Premier Inn, Loughborough's Halloween budget is outlined for cost transparency and resource efficiency. Ticket sales and sponsorships will make the event profitable and exciting. Costs, income, and revenue are estimated for each category. </w:t>
      </w:r>
    </w:p>
    <w:tbl>
      <w:tblPr>
        <w:tblW w:w="5000" w:type="pct"/>
        <w:tblCellMar>
          <w:left w:w="0" w:type="dxa"/>
          <w:right w:w="0" w:type="dxa"/>
        </w:tblCellMar>
        <w:tblLook w:val="04A0" w:firstRow="1" w:lastRow="0" w:firstColumn="1" w:lastColumn="0" w:noHBand="0" w:noVBand="1"/>
      </w:tblPr>
      <w:tblGrid>
        <w:gridCol w:w="2337"/>
        <w:gridCol w:w="2337"/>
        <w:gridCol w:w="2338"/>
        <w:gridCol w:w="2338"/>
      </w:tblGrid>
      <w:tr w:rsidR="00AB0203" w:rsidRPr="001D6AA0" w14:paraId="6FD20666" w14:textId="77777777" w:rsidTr="00716051">
        <w:trPr>
          <w:trHeight w:val="595"/>
        </w:trPr>
        <w:tc>
          <w:tcPr>
            <w:tcW w:w="1250" w:type="pct"/>
            <w:tcBorders>
              <w:top w:val="single" w:sz="4" w:space="0" w:color="4472C4"/>
              <w:left w:val="single" w:sz="4" w:space="0" w:color="4472C4"/>
              <w:bottom w:val="single" w:sz="8" w:space="0" w:color="FFFFFF"/>
              <w:right w:val="nil"/>
            </w:tcBorders>
            <w:shd w:val="clear" w:color="auto" w:fill="4472C4"/>
            <w:tcMar>
              <w:top w:w="15" w:type="dxa"/>
              <w:left w:w="108" w:type="dxa"/>
              <w:bottom w:w="0" w:type="dxa"/>
              <w:right w:w="108" w:type="dxa"/>
            </w:tcMar>
            <w:hideMark/>
          </w:tcPr>
          <w:p w14:paraId="706D21FC" w14:textId="77777777" w:rsidR="00AB0203" w:rsidRPr="001D6AA0" w:rsidRDefault="00AB0203" w:rsidP="00716051">
            <w:pPr>
              <w:rPr>
                <w:rFonts w:cs="Times New Roman"/>
              </w:rPr>
            </w:pPr>
            <w:r w:rsidRPr="001D6AA0">
              <w:rPr>
                <w:rFonts w:cs="Times New Roman"/>
                <w:b/>
                <w:bCs/>
              </w:rPr>
              <w:t>Cost</w:t>
            </w:r>
          </w:p>
        </w:tc>
        <w:tc>
          <w:tcPr>
            <w:tcW w:w="1250" w:type="pct"/>
            <w:tcBorders>
              <w:top w:val="single" w:sz="4" w:space="0" w:color="4472C4"/>
              <w:left w:val="nil"/>
              <w:bottom w:val="single" w:sz="8" w:space="0" w:color="FFFFFF"/>
              <w:right w:val="nil"/>
            </w:tcBorders>
            <w:shd w:val="clear" w:color="auto" w:fill="4472C4"/>
            <w:tcMar>
              <w:top w:w="15" w:type="dxa"/>
              <w:left w:w="108" w:type="dxa"/>
              <w:bottom w:w="0" w:type="dxa"/>
              <w:right w:w="108" w:type="dxa"/>
            </w:tcMar>
            <w:hideMark/>
          </w:tcPr>
          <w:p w14:paraId="25BDBFB4" w14:textId="77777777" w:rsidR="00AB0203" w:rsidRPr="001D6AA0" w:rsidRDefault="00AB0203" w:rsidP="00716051">
            <w:pPr>
              <w:rPr>
                <w:rFonts w:cs="Times New Roman"/>
              </w:rPr>
            </w:pPr>
            <w:r w:rsidRPr="001D6AA0">
              <w:rPr>
                <w:rFonts w:cs="Times New Roman"/>
                <w:b/>
                <w:bCs/>
              </w:rPr>
              <w:t>Estimated Cost (£)</w:t>
            </w:r>
          </w:p>
        </w:tc>
        <w:tc>
          <w:tcPr>
            <w:tcW w:w="1250" w:type="pct"/>
            <w:tcBorders>
              <w:top w:val="single" w:sz="4" w:space="0" w:color="4472C4"/>
              <w:left w:val="nil"/>
              <w:bottom w:val="single" w:sz="8" w:space="0" w:color="FFFFFF"/>
              <w:right w:val="nil"/>
            </w:tcBorders>
            <w:shd w:val="clear" w:color="auto" w:fill="4472C4"/>
            <w:tcMar>
              <w:top w:w="15" w:type="dxa"/>
              <w:left w:w="108" w:type="dxa"/>
              <w:bottom w:w="0" w:type="dxa"/>
              <w:right w:w="108" w:type="dxa"/>
            </w:tcMar>
            <w:hideMark/>
          </w:tcPr>
          <w:p w14:paraId="7B70194E" w14:textId="77777777" w:rsidR="00AB0203" w:rsidRPr="001D6AA0" w:rsidRDefault="00AB0203" w:rsidP="00716051">
            <w:pPr>
              <w:rPr>
                <w:rFonts w:cs="Times New Roman"/>
              </w:rPr>
            </w:pPr>
            <w:r w:rsidRPr="001D6AA0">
              <w:rPr>
                <w:rFonts w:cs="Times New Roman"/>
                <w:b/>
                <w:bCs/>
              </w:rPr>
              <w:t>Revenue Sources</w:t>
            </w:r>
          </w:p>
        </w:tc>
        <w:tc>
          <w:tcPr>
            <w:tcW w:w="1250" w:type="pct"/>
            <w:tcBorders>
              <w:top w:val="single" w:sz="4" w:space="0" w:color="4472C4"/>
              <w:left w:val="nil"/>
              <w:bottom w:val="single" w:sz="8" w:space="0" w:color="FFFFFF"/>
              <w:right w:val="single" w:sz="4" w:space="0" w:color="4472C4"/>
            </w:tcBorders>
            <w:shd w:val="clear" w:color="auto" w:fill="4472C4"/>
            <w:tcMar>
              <w:top w:w="15" w:type="dxa"/>
              <w:left w:w="108" w:type="dxa"/>
              <w:bottom w:w="0" w:type="dxa"/>
              <w:right w:w="108" w:type="dxa"/>
            </w:tcMar>
            <w:hideMark/>
          </w:tcPr>
          <w:p w14:paraId="1687B907" w14:textId="77777777" w:rsidR="00AB0203" w:rsidRPr="001D6AA0" w:rsidRDefault="00AB0203" w:rsidP="00716051">
            <w:pPr>
              <w:rPr>
                <w:rFonts w:cs="Times New Roman"/>
              </w:rPr>
            </w:pPr>
            <w:r w:rsidRPr="001D6AA0">
              <w:rPr>
                <w:rFonts w:cs="Times New Roman"/>
                <w:b/>
                <w:bCs/>
              </w:rPr>
              <w:t>Estimated revenue</w:t>
            </w:r>
          </w:p>
        </w:tc>
      </w:tr>
      <w:tr w:rsidR="00AB0203" w:rsidRPr="001D6AA0" w14:paraId="045C7914" w14:textId="77777777" w:rsidTr="00716051">
        <w:trPr>
          <w:trHeight w:val="595"/>
        </w:trPr>
        <w:tc>
          <w:tcPr>
            <w:tcW w:w="1250" w:type="pct"/>
            <w:tcBorders>
              <w:top w:val="single" w:sz="8" w:space="0" w:color="FFFFFF"/>
              <w:left w:val="single" w:sz="4" w:space="0" w:color="4472C4"/>
              <w:bottom w:val="single" w:sz="4" w:space="0" w:color="4472C4"/>
              <w:right w:val="single" w:sz="8" w:space="0" w:color="4472C4"/>
            </w:tcBorders>
            <w:shd w:val="clear" w:color="auto" w:fill="CFD5EA"/>
            <w:tcMar>
              <w:top w:w="15" w:type="dxa"/>
              <w:left w:w="108" w:type="dxa"/>
              <w:bottom w:w="0" w:type="dxa"/>
              <w:right w:w="108" w:type="dxa"/>
            </w:tcMar>
            <w:hideMark/>
          </w:tcPr>
          <w:p w14:paraId="674C747C" w14:textId="77777777" w:rsidR="00AB0203" w:rsidRPr="001D6AA0" w:rsidRDefault="00AB0203" w:rsidP="00716051">
            <w:pPr>
              <w:rPr>
                <w:rFonts w:cs="Times New Roman"/>
              </w:rPr>
            </w:pPr>
            <w:r w:rsidRPr="001D6AA0">
              <w:rPr>
                <w:rFonts w:cs="Times New Roman"/>
                <w:b/>
                <w:bCs/>
              </w:rPr>
              <w:t>Venue Hire</w:t>
            </w:r>
          </w:p>
        </w:tc>
        <w:tc>
          <w:tcPr>
            <w:tcW w:w="1250" w:type="pct"/>
            <w:tcBorders>
              <w:top w:val="single" w:sz="8" w:space="0" w:color="FFFFFF"/>
              <w:left w:val="single" w:sz="8"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7B1D9594" w14:textId="77777777" w:rsidR="00AB0203" w:rsidRPr="001D6AA0" w:rsidRDefault="00AB0203" w:rsidP="00716051">
            <w:pPr>
              <w:rPr>
                <w:rFonts w:cs="Times New Roman"/>
              </w:rPr>
            </w:pPr>
            <w:r w:rsidRPr="001D6AA0">
              <w:rPr>
                <w:rFonts w:cs="Times New Roman"/>
              </w:rPr>
              <w:t>£5,000</w:t>
            </w:r>
          </w:p>
        </w:tc>
        <w:tc>
          <w:tcPr>
            <w:tcW w:w="1250" w:type="pct"/>
            <w:tcBorders>
              <w:top w:val="single" w:sz="8" w:space="0" w:color="FFFFFF"/>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39005B7B" w14:textId="77777777" w:rsidR="00AB0203" w:rsidRPr="001D6AA0" w:rsidRDefault="00AB0203" w:rsidP="00716051">
            <w:pPr>
              <w:rPr>
                <w:rFonts w:cs="Times New Roman"/>
              </w:rPr>
            </w:pPr>
            <w:r w:rsidRPr="001D6AA0">
              <w:rPr>
                <w:rFonts w:cs="Times New Roman"/>
              </w:rPr>
              <w:t>Ticket sales</w:t>
            </w:r>
          </w:p>
        </w:tc>
        <w:tc>
          <w:tcPr>
            <w:tcW w:w="1250" w:type="pct"/>
            <w:tcBorders>
              <w:top w:val="single" w:sz="8" w:space="0" w:color="FFFFFF"/>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5DC25C51" w14:textId="77777777" w:rsidR="00AB0203" w:rsidRPr="001D6AA0" w:rsidRDefault="00AB0203" w:rsidP="00716051">
            <w:pPr>
              <w:rPr>
                <w:rFonts w:cs="Times New Roman"/>
              </w:rPr>
            </w:pPr>
            <w:r w:rsidRPr="001D6AA0">
              <w:rPr>
                <w:rFonts w:cs="Times New Roman"/>
              </w:rPr>
              <w:t>£28000</w:t>
            </w:r>
          </w:p>
        </w:tc>
      </w:tr>
      <w:tr w:rsidR="00AB0203" w:rsidRPr="001D6AA0" w14:paraId="40B87E38"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auto"/>
            <w:tcMar>
              <w:top w:w="15" w:type="dxa"/>
              <w:left w:w="108" w:type="dxa"/>
              <w:bottom w:w="0" w:type="dxa"/>
              <w:right w:w="108" w:type="dxa"/>
            </w:tcMar>
            <w:hideMark/>
          </w:tcPr>
          <w:p w14:paraId="6A9DAC16" w14:textId="77777777" w:rsidR="00AB0203" w:rsidRPr="001D6AA0" w:rsidRDefault="00AB0203" w:rsidP="00716051">
            <w:pPr>
              <w:rPr>
                <w:rFonts w:cs="Times New Roman"/>
              </w:rPr>
            </w:pPr>
            <w:r w:rsidRPr="001D6AA0">
              <w:rPr>
                <w:rFonts w:cs="Times New Roman"/>
                <w:b/>
                <w:bCs/>
              </w:rPr>
              <w:t>Catering</w:t>
            </w:r>
          </w:p>
        </w:tc>
        <w:tc>
          <w:tcPr>
            <w:tcW w:w="1250" w:type="pct"/>
            <w:tcBorders>
              <w:top w:val="single" w:sz="4" w:space="0" w:color="4472C4"/>
              <w:left w:val="single" w:sz="8"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3DDFAE32" w14:textId="77777777" w:rsidR="00AB0203" w:rsidRPr="001D6AA0" w:rsidRDefault="00AB0203" w:rsidP="00716051">
            <w:pPr>
              <w:rPr>
                <w:rFonts w:cs="Times New Roman"/>
              </w:rPr>
            </w:pPr>
            <w:r w:rsidRPr="001D6AA0">
              <w:rPr>
                <w:rFonts w:cs="Times New Roman"/>
              </w:rPr>
              <w:t>£10,000</w:t>
            </w: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492A84B6" w14:textId="77777777" w:rsidR="00AB0203" w:rsidRPr="001D6AA0" w:rsidRDefault="00AB0203" w:rsidP="00716051">
            <w:pPr>
              <w:rPr>
                <w:rFonts w:cs="Times New Roman"/>
              </w:rPr>
            </w:pPr>
            <w:r w:rsidRPr="001D6AA0">
              <w:rPr>
                <w:rFonts w:cs="Times New Roman"/>
              </w:rPr>
              <w:t>Sponsorship</w:t>
            </w: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7F321E11" w14:textId="77777777" w:rsidR="00AB0203" w:rsidRPr="001D6AA0" w:rsidRDefault="00AB0203" w:rsidP="00716051">
            <w:pPr>
              <w:rPr>
                <w:rFonts w:cs="Times New Roman"/>
              </w:rPr>
            </w:pPr>
            <w:r w:rsidRPr="001D6AA0">
              <w:rPr>
                <w:rFonts w:cs="Times New Roman"/>
              </w:rPr>
              <w:t>£7000</w:t>
            </w:r>
          </w:p>
        </w:tc>
      </w:tr>
      <w:tr w:rsidR="00AB0203" w:rsidRPr="001D6AA0" w14:paraId="52827394"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CFD5EA"/>
            <w:tcMar>
              <w:top w:w="15" w:type="dxa"/>
              <w:left w:w="108" w:type="dxa"/>
              <w:bottom w:w="0" w:type="dxa"/>
              <w:right w:w="108" w:type="dxa"/>
            </w:tcMar>
            <w:hideMark/>
          </w:tcPr>
          <w:p w14:paraId="00CEF08E" w14:textId="77777777" w:rsidR="00AB0203" w:rsidRPr="001D6AA0" w:rsidRDefault="00AB0203" w:rsidP="00716051">
            <w:pPr>
              <w:rPr>
                <w:rFonts w:cs="Times New Roman"/>
              </w:rPr>
            </w:pPr>
            <w:r w:rsidRPr="001D6AA0">
              <w:rPr>
                <w:rFonts w:cs="Times New Roman"/>
                <w:b/>
                <w:bCs/>
              </w:rPr>
              <w:t>Entertainment</w:t>
            </w:r>
          </w:p>
        </w:tc>
        <w:tc>
          <w:tcPr>
            <w:tcW w:w="1250" w:type="pct"/>
            <w:tcBorders>
              <w:top w:val="single" w:sz="4" w:space="0" w:color="4472C4"/>
              <w:left w:val="single" w:sz="8"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1DEF32A2" w14:textId="77777777" w:rsidR="00AB0203" w:rsidRPr="001D6AA0" w:rsidRDefault="00AB0203" w:rsidP="00716051">
            <w:pPr>
              <w:rPr>
                <w:rFonts w:cs="Times New Roman"/>
              </w:rPr>
            </w:pPr>
            <w:r w:rsidRPr="001D6AA0">
              <w:rPr>
                <w:rFonts w:cs="Times New Roman"/>
              </w:rPr>
              <w:t>£4,000</w:t>
            </w:r>
          </w:p>
        </w:tc>
        <w:tc>
          <w:tcPr>
            <w:tcW w:w="1250" w:type="pct"/>
            <w:tcBorders>
              <w:top w:val="single" w:sz="4" w:space="0" w:color="4472C4"/>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7C76296C" w14:textId="77777777" w:rsidR="00AB0203" w:rsidRPr="001D6AA0" w:rsidRDefault="00AB0203" w:rsidP="00716051">
            <w:pPr>
              <w:rPr>
                <w:rFonts w:cs="Times New Roman"/>
              </w:rPr>
            </w:pPr>
          </w:p>
        </w:tc>
        <w:tc>
          <w:tcPr>
            <w:tcW w:w="1250" w:type="pct"/>
            <w:tcBorders>
              <w:top w:val="single" w:sz="4" w:space="0" w:color="4472C4"/>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5C1FFEE5" w14:textId="77777777" w:rsidR="00AB0203" w:rsidRPr="001D6AA0" w:rsidRDefault="00AB0203" w:rsidP="00716051">
            <w:pPr>
              <w:rPr>
                <w:rFonts w:cs="Times New Roman"/>
              </w:rPr>
            </w:pPr>
            <w:r w:rsidRPr="001D6AA0">
              <w:rPr>
                <w:rFonts w:cs="Times New Roman"/>
              </w:rPr>
              <w:t> </w:t>
            </w:r>
          </w:p>
        </w:tc>
      </w:tr>
      <w:tr w:rsidR="00AB0203" w:rsidRPr="001D6AA0" w14:paraId="726BC61E"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auto"/>
            <w:tcMar>
              <w:top w:w="15" w:type="dxa"/>
              <w:left w:w="108" w:type="dxa"/>
              <w:bottom w:w="0" w:type="dxa"/>
              <w:right w:w="108" w:type="dxa"/>
            </w:tcMar>
            <w:hideMark/>
          </w:tcPr>
          <w:p w14:paraId="7198CD2E" w14:textId="77777777" w:rsidR="00AB0203" w:rsidRPr="001D6AA0" w:rsidRDefault="00AB0203" w:rsidP="00716051">
            <w:pPr>
              <w:rPr>
                <w:rFonts w:cs="Times New Roman"/>
              </w:rPr>
            </w:pPr>
            <w:r w:rsidRPr="001D6AA0">
              <w:rPr>
                <w:rFonts w:cs="Times New Roman"/>
                <w:b/>
                <w:bCs/>
              </w:rPr>
              <w:t>Marketing</w:t>
            </w:r>
          </w:p>
        </w:tc>
        <w:tc>
          <w:tcPr>
            <w:tcW w:w="1250" w:type="pct"/>
            <w:tcBorders>
              <w:top w:val="single" w:sz="4" w:space="0" w:color="4472C4"/>
              <w:left w:val="single" w:sz="8"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0E044471" w14:textId="77777777" w:rsidR="00AB0203" w:rsidRPr="001D6AA0" w:rsidRDefault="00AB0203" w:rsidP="00716051">
            <w:pPr>
              <w:rPr>
                <w:rFonts w:cs="Times New Roman"/>
              </w:rPr>
            </w:pPr>
            <w:r w:rsidRPr="001D6AA0">
              <w:rPr>
                <w:rFonts w:cs="Times New Roman"/>
              </w:rPr>
              <w:t>£2,000</w:t>
            </w: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54C257B9" w14:textId="77777777" w:rsidR="00AB0203" w:rsidRPr="001D6AA0" w:rsidRDefault="00AB0203" w:rsidP="00716051">
            <w:pPr>
              <w:rPr>
                <w:rFonts w:cs="Times New Roman"/>
              </w:rPr>
            </w:pP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3EAC48A5" w14:textId="77777777" w:rsidR="00AB0203" w:rsidRPr="001D6AA0" w:rsidRDefault="00AB0203" w:rsidP="00716051">
            <w:pPr>
              <w:rPr>
                <w:rFonts w:cs="Times New Roman"/>
              </w:rPr>
            </w:pPr>
            <w:r w:rsidRPr="001D6AA0">
              <w:rPr>
                <w:rFonts w:cs="Times New Roman"/>
              </w:rPr>
              <w:t> </w:t>
            </w:r>
          </w:p>
        </w:tc>
      </w:tr>
      <w:tr w:rsidR="00AB0203" w:rsidRPr="001D6AA0" w14:paraId="5A0FBE40"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CFD5EA"/>
            <w:tcMar>
              <w:top w:w="15" w:type="dxa"/>
              <w:left w:w="108" w:type="dxa"/>
              <w:bottom w:w="0" w:type="dxa"/>
              <w:right w:w="108" w:type="dxa"/>
            </w:tcMar>
            <w:hideMark/>
          </w:tcPr>
          <w:p w14:paraId="2B9C677C" w14:textId="77777777" w:rsidR="00AB0203" w:rsidRPr="001D6AA0" w:rsidRDefault="00AB0203" w:rsidP="00716051">
            <w:pPr>
              <w:rPr>
                <w:rFonts w:cs="Times New Roman"/>
              </w:rPr>
            </w:pPr>
            <w:r w:rsidRPr="001D6AA0">
              <w:rPr>
                <w:rFonts w:cs="Times New Roman"/>
                <w:b/>
                <w:bCs/>
              </w:rPr>
              <w:t>Decorations</w:t>
            </w:r>
          </w:p>
        </w:tc>
        <w:tc>
          <w:tcPr>
            <w:tcW w:w="1250" w:type="pct"/>
            <w:tcBorders>
              <w:top w:val="single" w:sz="4" w:space="0" w:color="4472C4"/>
              <w:left w:val="single" w:sz="8"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2A3AB9D1" w14:textId="77777777" w:rsidR="00AB0203" w:rsidRPr="001D6AA0" w:rsidRDefault="00AB0203" w:rsidP="00716051">
            <w:pPr>
              <w:rPr>
                <w:rFonts w:cs="Times New Roman"/>
              </w:rPr>
            </w:pPr>
            <w:r w:rsidRPr="001D6AA0">
              <w:rPr>
                <w:rFonts w:cs="Times New Roman"/>
              </w:rPr>
              <w:t>£1,500</w:t>
            </w:r>
          </w:p>
        </w:tc>
        <w:tc>
          <w:tcPr>
            <w:tcW w:w="1250" w:type="pct"/>
            <w:tcBorders>
              <w:top w:val="single" w:sz="4" w:space="0" w:color="4472C4"/>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29F7627D" w14:textId="77777777" w:rsidR="00AB0203" w:rsidRPr="001D6AA0" w:rsidRDefault="00AB0203" w:rsidP="00716051">
            <w:pPr>
              <w:rPr>
                <w:rFonts w:cs="Times New Roman"/>
              </w:rPr>
            </w:pPr>
          </w:p>
        </w:tc>
        <w:tc>
          <w:tcPr>
            <w:tcW w:w="1250" w:type="pct"/>
            <w:tcBorders>
              <w:top w:val="single" w:sz="4" w:space="0" w:color="4472C4"/>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128A2DE7" w14:textId="77777777" w:rsidR="00AB0203" w:rsidRPr="001D6AA0" w:rsidRDefault="00AB0203" w:rsidP="00716051">
            <w:pPr>
              <w:rPr>
                <w:rFonts w:cs="Times New Roman"/>
              </w:rPr>
            </w:pPr>
            <w:r w:rsidRPr="001D6AA0">
              <w:rPr>
                <w:rFonts w:cs="Times New Roman"/>
              </w:rPr>
              <w:t> </w:t>
            </w:r>
          </w:p>
        </w:tc>
      </w:tr>
      <w:tr w:rsidR="00AB0203" w:rsidRPr="001D6AA0" w14:paraId="268022B8"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auto"/>
            <w:tcMar>
              <w:top w:w="15" w:type="dxa"/>
              <w:left w:w="108" w:type="dxa"/>
              <w:bottom w:w="0" w:type="dxa"/>
              <w:right w:w="108" w:type="dxa"/>
            </w:tcMar>
            <w:hideMark/>
          </w:tcPr>
          <w:p w14:paraId="29027418" w14:textId="77777777" w:rsidR="00AB0203" w:rsidRPr="001D6AA0" w:rsidRDefault="00AB0203" w:rsidP="00716051">
            <w:pPr>
              <w:rPr>
                <w:rFonts w:cs="Times New Roman"/>
              </w:rPr>
            </w:pPr>
            <w:r w:rsidRPr="001D6AA0">
              <w:rPr>
                <w:rFonts w:cs="Times New Roman"/>
                <w:b/>
                <w:bCs/>
              </w:rPr>
              <w:t>Staff Wages</w:t>
            </w:r>
          </w:p>
        </w:tc>
        <w:tc>
          <w:tcPr>
            <w:tcW w:w="1250" w:type="pct"/>
            <w:tcBorders>
              <w:top w:val="single" w:sz="4" w:space="0" w:color="4472C4"/>
              <w:left w:val="single" w:sz="8"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5E2C8433" w14:textId="77777777" w:rsidR="00AB0203" w:rsidRPr="001D6AA0" w:rsidRDefault="00AB0203" w:rsidP="00716051">
            <w:pPr>
              <w:rPr>
                <w:rFonts w:cs="Times New Roman"/>
              </w:rPr>
            </w:pPr>
            <w:r w:rsidRPr="001D6AA0">
              <w:rPr>
                <w:rFonts w:cs="Times New Roman"/>
              </w:rPr>
              <w:t>£2,500</w:t>
            </w: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6CD87D4E" w14:textId="77777777" w:rsidR="00AB0203" w:rsidRPr="001D6AA0" w:rsidRDefault="00AB0203" w:rsidP="00716051">
            <w:pPr>
              <w:rPr>
                <w:rFonts w:cs="Times New Roman"/>
              </w:rPr>
            </w:pP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484BFEF0" w14:textId="77777777" w:rsidR="00AB0203" w:rsidRPr="001D6AA0" w:rsidRDefault="00AB0203" w:rsidP="00716051">
            <w:pPr>
              <w:rPr>
                <w:rFonts w:cs="Times New Roman"/>
              </w:rPr>
            </w:pPr>
            <w:r w:rsidRPr="001D6AA0">
              <w:rPr>
                <w:rFonts w:cs="Times New Roman"/>
              </w:rPr>
              <w:t> </w:t>
            </w:r>
          </w:p>
        </w:tc>
      </w:tr>
      <w:tr w:rsidR="00AB0203" w:rsidRPr="001D6AA0" w14:paraId="1EED2FF8"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CFD5EA"/>
            <w:tcMar>
              <w:top w:w="15" w:type="dxa"/>
              <w:left w:w="108" w:type="dxa"/>
              <w:bottom w:w="0" w:type="dxa"/>
              <w:right w:w="108" w:type="dxa"/>
            </w:tcMar>
            <w:hideMark/>
          </w:tcPr>
          <w:p w14:paraId="1CC0A50B" w14:textId="77777777" w:rsidR="00AB0203" w:rsidRPr="001D6AA0" w:rsidRDefault="00AB0203" w:rsidP="00716051">
            <w:pPr>
              <w:rPr>
                <w:rFonts w:cs="Times New Roman"/>
              </w:rPr>
            </w:pPr>
            <w:r w:rsidRPr="001D6AA0">
              <w:rPr>
                <w:rFonts w:cs="Times New Roman"/>
                <w:b/>
                <w:bCs/>
              </w:rPr>
              <w:t>Miscellaneous</w:t>
            </w:r>
          </w:p>
        </w:tc>
        <w:tc>
          <w:tcPr>
            <w:tcW w:w="1250" w:type="pct"/>
            <w:tcBorders>
              <w:top w:val="single" w:sz="4" w:space="0" w:color="4472C4"/>
              <w:left w:val="single" w:sz="8"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25885351" w14:textId="77777777" w:rsidR="00AB0203" w:rsidRPr="001D6AA0" w:rsidRDefault="00AB0203" w:rsidP="00716051">
            <w:pPr>
              <w:rPr>
                <w:rFonts w:cs="Times New Roman"/>
              </w:rPr>
            </w:pPr>
            <w:r w:rsidRPr="001D6AA0">
              <w:rPr>
                <w:rFonts w:cs="Times New Roman"/>
              </w:rPr>
              <w:t>£1,000</w:t>
            </w:r>
          </w:p>
        </w:tc>
        <w:tc>
          <w:tcPr>
            <w:tcW w:w="1250" w:type="pct"/>
            <w:tcBorders>
              <w:top w:val="single" w:sz="4" w:space="0" w:color="4472C4"/>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79F1065D" w14:textId="77777777" w:rsidR="00AB0203" w:rsidRPr="001D6AA0" w:rsidRDefault="00AB0203" w:rsidP="00716051">
            <w:pPr>
              <w:rPr>
                <w:rFonts w:cs="Times New Roman"/>
              </w:rPr>
            </w:pPr>
          </w:p>
        </w:tc>
        <w:tc>
          <w:tcPr>
            <w:tcW w:w="1250" w:type="pct"/>
            <w:tcBorders>
              <w:top w:val="single" w:sz="4" w:space="0" w:color="4472C4"/>
              <w:left w:val="single" w:sz="4" w:space="0" w:color="4472C4"/>
              <w:bottom w:val="single" w:sz="4" w:space="0" w:color="4472C4"/>
              <w:right w:val="single" w:sz="4" w:space="0" w:color="4472C4"/>
            </w:tcBorders>
            <w:shd w:val="clear" w:color="auto" w:fill="CFD5EA"/>
            <w:tcMar>
              <w:top w:w="15" w:type="dxa"/>
              <w:left w:w="108" w:type="dxa"/>
              <w:bottom w:w="0" w:type="dxa"/>
              <w:right w:w="108" w:type="dxa"/>
            </w:tcMar>
            <w:hideMark/>
          </w:tcPr>
          <w:p w14:paraId="2E8E29FA" w14:textId="77777777" w:rsidR="00AB0203" w:rsidRPr="001D6AA0" w:rsidRDefault="00AB0203" w:rsidP="00716051">
            <w:pPr>
              <w:rPr>
                <w:rFonts w:cs="Times New Roman"/>
              </w:rPr>
            </w:pPr>
            <w:r w:rsidRPr="001D6AA0">
              <w:rPr>
                <w:rFonts w:cs="Times New Roman"/>
              </w:rPr>
              <w:t> </w:t>
            </w:r>
          </w:p>
        </w:tc>
      </w:tr>
      <w:tr w:rsidR="00AB0203" w:rsidRPr="001D6AA0" w14:paraId="15E0E1A6"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auto"/>
            <w:tcMar>
              <w:top w:w="15" w:type="dxa"/>
              <w:left w:w="108" w:type="dxa"/>
              <w:bottom w:w="0" w:type="dxa"/>
              <w:right w:w="108" w:type="dxa"/>
            </w:tcMar>
            <w:hideMark/>
          </w:tcPr>
          <w:p w14:paraId="0C55EFE6" w14:textId="77777777" w:rsidR="00AB0203" w:rsidRPr="001D6AA0" w:rsidRDefault="00AB0203" w:rsidP="00716051">
            <w:pPr>
              <w:rPr>
                <w:rFonts w:cs="Times New Roman"/>
              </w:rPr>
            </w:pPr>
            <w:r w:rsidRPr="001D6AA0">
              <w:rPr>
                <w:rFonts w:cs="Times New Roman"/>
                <w:b/>
                <w:bCs/>
              </w:rPr>
              <w:t>Total Costs</w:t>
            </w:r>
          </w:p>
        </w:tc>
        <w:tc>
          <w:tcPr>
            <w:tcW w:w="1250" w:type="pct"/>
            <w:tcBorders>
              <w:top w:val="single" w:sz="4" w:space="0" w:color="4472C4"/>
              <w:left w:val="single" w:sz="8"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57E103E0" w14:textId="77777777" w:rsidR="00AB0203" w:rsidRPr="001D6AA0" w:rsidRDefault="00AB0203" w:rsidP="00716051">
            <w:pPr>
              <w:rPr>
                <w:rFonts w:cs="Times New Roman"/>
              </w:rPr>
            </w:pPr>
            <w:r w:rsidRPr="001D6AA0">
              <w:rPr>
                <w:rFonts w:cs="Times New Roman"/>
              </w:rPr>
              <w:t>£25,000</w:t>
            </w: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6E5E807D" w14:textId="77777777" w:rsidR="00AB0203" w:rsidRPr="001D6AA0" w:rsidRDefault="00AB0203" w:rsidP="00716051">
            <w:pPr>
              <w:rPr>
                <w:rFonts w:cs="Times New Roman"/>
              </w:rPr>
            </w:pPr>
            <w:r w:rsidRPr="001D6AA0">
              <w:rPr>
                <w:rFonts w:cs="Times New Roman"/>
                <w:b/>
                <w:bCs/>
              </w:rPr>
              <w:t>Total Revenue</w:t>
            </w:r>
          </w:p>
        </w:tc>
        <w:tc>
          <w:tcPr>
            <w:tcW w:w="1250" w:type="pct"/>
            <w:tcBorders>
              <w:top w:val="single" w:sz="4" w:space="0" w:color="4472C4"/>
              <w:left w:val="single" w:sz="4" w:space="0" w:color="4472C4"/>
              <w:bottom w:val="single" w:sz="4" w:space="0" w:color="4472C4"/>
              <w:right w:val="single" w:sz="4" w:space="0" w:color="4472C4"/>
            </w:tcBorders>
            <w:shd w:val="clear" w:color="auto" w:fill="auto"/>
            <w:tcMar>
              <w:top w:w="15" w:type="dxa"/>
              <w:left w:w="108" w:type="dxa"/>
              <w:bottom w:w="0" w:type="dxa"/>
              <w:right w:w="108" w:type="dxa"/>
            </w:tcMar>
            <w:hideMark/>
          </w:tcPr>
          <w:p w14:paraId="3A742CA1" w14:textId="77777777" w:rsidR="00AB0203" w:rsidRPr="001D6AA0" w:rsidRDefault="00AB0203" w:rsidP="00716051">
            <w:pPr>
              <w:rPr>
                <w:rFonts w:cs="Times New Roman"/>
              </w:rPr>
            </w:pPr>
            <w:r w:rsidRPr="001D6AA0">
              <w:rPr>
                <w:rFonts w:cs="Times New Roman"/>
                <w:b/>
                <w:bCs/>
              </w:rPr>
              <w:t>£35,000</w:t>
            </w:r>
          </w:p>
        </w:tc>
      </w:tr>
      <w:tr w:rsidR="00AB0203" w:rsidRPr="001D6AA0" w14:paraId="6CF9335A" w14:textId="77777777" w:rsidTr="00716051">
        <w:trPr>
          <w:trHeight w:val="595"/>
        </w:trPr>
        <w:tc>
          <w:tcPr>
            <w:tcW w:w="1250" w:type="pct"/>
            <w:tcBorders>
              <w:top w:val="single" w:sz="4" w:space="0" w:color="4472C4"/>
              <w:left w:val="single" w:sz="4" w:space="0" w:color="4472C4"/>
              <w:bottom w:val="single" w:sz="4" w:space="0" w:color="4472C4"/>
              <w:right w:val="single" w:sz="8" w:space="0" w:color="4472C4"/>
            </w:tcBorders>
            <w:shd w:val="clear" w:color="auto" w:fill="CFD5EA"/>
            <w:tcMar>
              <w:top w:w="15" w:type="dxa"/>
              <w:left w:w="108" w:type="dxa"/>
              <w:bottom w:w="0" w:type="dxa"/>
              <w:right w:w="108" w:type="dxa"/>
            </w:tcMar>
            <w:hideMark/>
          </w:tcPr>
          <w:p w14:paraId="6F3D69E1" w14:textId="77777777" w:rsidR="00AB0203" w:rsidRPr="001D6AA0" w:rsidRDefault="00AB0203" w:rsidP="00716051">
            <w:pPr>
              <w:rPr>
                <w:rFonts w:cs="Times New Roman"/>
              </w:rPr>
            </w:pPr>
            <w:r w:rsidRPr="001D6AA0">
              <w:rPr>
                <w:rFonts w:cs="Times New Roman"/>
                <w:b/>
                <w:bCs/>
              </w:rPr>
              <w:t>Profit</w:t>
            </w:r>
          </w:p>
        </w:tc>
        <w:tc>
          <w:tcPr>
            <w:tcW w:w="3750" w:type="pct"/>
            <w:gridSpan w:val="3"/>
            <w:tcBorders>
              <w:top w:val="single" w:sz="4" w:space="0" w:color="4472C4"/>
              <w:left w:val="single" w:sz="8" w:space="0" w:color="4472C4"/>
              <w:bottom w:val="single" w:sz="8" w:space="0" w:color="4472C4"/>
              <w:right w:val="single" w:sz="4" w:space="0" w:color="4472C4"/>
            </w:tcBorders>
            <w:shd w:val="clear" w:color="auto" w:fill="CFD5EA"/>
            <w:tcMar>
              <w:top w:w="15" w:type="dxa"/>
              <w:left w:w="108" w:type="dxa"/>
              <w:bottom w:w="0" w:type="dxa"/>
              <w:right w:w="108" w:type="dxa"/>
            </w:tcMar>
            <w:hideMark/>
          </w:tcPr>
          <w:p w14:paraId="2213CF02" w14:textId="77777777" w:rsidR="00AB0203" w:rsidRPr="001D6AA0" w:rsidRDefault="00AB0203" w:rsidP="00716051">
            <w:pPr>
              <w:rPr>
                <w:rFonts w:cs="Times New Roman"/>
              </w:rPr>
            </w:pPr>
            <w:r w:rsidRPr="001D6AA0">
              <w:rPr>
                <w:rFonts w:cs="Times New Roman"/>
                <w:b/>
                <w:bCs/>
                <w:u w:val="single"/>
              </w:rPr>
              <w:t>£10,000</w:t>
            </w:r>
          </w:p>
        </w:tc>
      </w:tr>
      <w:tr w:rsidR="00AB0203" w:rsidRPr="001D6AA0" w14:paraId="74A3F87B" w14:textId="77777777" w:rsidTr="00716051">
        <w:trPr>
          <w:trHeight w:val="595"/>
        </w:trPr>
        <w:tc>
          <w:tcPr>
            <w:tcW w:w="5000" w:type="pct"/>
            <w:gridSpan w:val="4"/>
            <w:tcBorders>
              <w:top w:val="single" w:sz="4" w:space="0" w:color="4472C4"/>
              <w:left w:val="single" w:sz="4" w:space="0" w:color="4472C4"/>
              <w:bottom w:val="single" w:sz="4" w:space="0" w:color="4472C4"/>
              <w:right w:val="single" w:sz="8" w:space="0" w:color="4472C4"/>
            </w:tcBorders>
            <w:shd w:val="clear" w:color="auto" w:fill="auto"/>
            <w:tcMar>
              <w:top w:w="15" w:type="dxa"/>
              <w:left w:w="108" w:type="dxa"/>
              <w:bottom w:w="0" w:type="dxa"/>
              <w:right w:w="108" w:type="dxa"/>
            </w:tcMar>
            <w:hideMark/>
          </w:tcPr>
          <w:p w14:paraId="2F33E34E" w14:textId="77777777" w:rsidR="00AB0203" w:rsidRPr="001D6AA0" w:rsidRDefault="00AB0203" w:rsidP="00716051">
            <w:pPr>
              <w:rPr>
                <w:rFonts w:cs="Times New Roman"/>
              </w:rPr>
            </w:pPr>
            <w:r w:rsidRPr="001D6AA0">
              <w:rPr>
                <w:rFonts w:cs="Times New Roman"/>
                <w:b/>
                <w:bCs/>
              </w:rPr>
              <w:t xml:space="preserve">Funding: Ticket Sales and Sponsorship </w:t>
            </w:r>
          </w:p>
        </w:tc>
      </w:tr>
    </w:tbl>
    <w:p w14:paraId="51807C05" w14:textId="77777777" w:rsidR="00AB0203" w:rsidRPr="001D6AA0" w:rsidRDefault="00AB0203" w:rsidP="00AB0203">
      <w:pPr>
        <w:rPr>
          <w:rFonts w:cs="Times New Roman"/>
        </w:rPr>
      </w:pPr>
    </w:p>
    <w:p w14:paraId="4922B70A" w14:textId="77777777" w:rsidR="00AB0203" w:rsidRPr="001D6AA0" w:rsidRDefault="00AB0203" w:rsidP="00AB0203">
      <w:pPr>
        <w:rPr>
          <w:rFonts w:eastAsia="Times New Roman" w:cs="Times New Roman"/>
          <w:szCs w:val="24"/>
          <w:lang w:eastAsia="en-GB"/>
        </w:rPr>
      </w:pPr>
      <w:r w:rsidRPr="001D6AA0">
        <w:rPr>
          <w:rFonts w:cs="Times New Roman"/>
          <w:lang w:eastAsia="en-GB"/>
        </w:rPr>
        <w:t xml:space="preserve">Competitive prices and 280 guests should produce £28,000 in ticket sales. Tickets will be affordable and Halloween-worthy. Local business partnerships might receive £7,000 per sponsorship. Sponsors benefit from venue displays, event marketing, and social media </w:t>
      </w:r>
      <w:r w:rsidRPr="001D6AA0">
        <w:rPr>
          <w:rFonts w:eastAsia="Times New Roman" w:cs="Times New Roman"/>
          <w:szCs w:val="24"/>
          <w:lang w:eastAsia="en-GB"/>
        </w:rPr>
        <w:t xml:space="preserve">(Ziakas, </w:t>
      </w:r>
      <w:r w:rsidRPr="001D6AA0">
        <w:rPr>
          <w:rFonts w:eastAsia="Times New Roman" w:cs="Times New Roman"/>
          <w:szCs w:val="24"/>
          <w:lang w:eastAsia="en-GB"/>
        </w:rPr>
        <w:lastRenderedPageBreak/>
        <w:t>2021)</w:t>
      </w:r>
      <w:r w:rsidRPr="001D6AA0">
        <w:rPr>
          <w:rFonts w:cs="Times New Roman"/>
          <w:lang w:eastAsia="en-GB"/>
        </w:rPr>
        <w:t xml:space="preserve">. Halloween event budgets satisfy guests and save money. Premier Inn, Loughborough's biggest upfront cost is venue hire. Safe and friendly events are guaranteed by this investment. The event's expensive catering and entertainment reflect its Halloween theme. There will be live performances, a DJ, lighting effects, and Halloween-themed food and drinks. Funded digital advertising, social networking, and local business partnerships boost exposure cheaply. Budgeted props, lighting, and mood match the concept </w:t>
      </w:r>
      <w:r w:rsidRPr="001D6AA0">
        <w:rPr>
          <w:rFonts w:eastAsia="Times New Roman" w:cs="Times New Roman"/>
          <w:szCs w:val="24"/>
          <w:lang w:eastAsia="en-GB"/>
        </w:rPr>
        <w:t>(Getz and Page, 2019)</w:t>
      </w:r>
      <w:r w:rsidRPr="001D6AA0">
        <w:rPr>
          <w:rFonts w:cs="Times New Roman"/>
          <w:lang w:eastAsia="en-GB"/>
        </w:rPr>
        <w:t xml:space="preserve">. Staff compensation assures a well-coordinated event, while a miscellaneous category covers unexpected costs. Halloween event budgets balance necessary expenses with sensible revenue streams to succeed. </w:t>
      </w:r>
    </w:p>
    <w:p w14:paraId="53D4D1B3" w14:textId="77777777" w:rsidR="00AB0203" w:rsidRPr="001D6AA0" w:rsidRDefault="00AB0203" w:rsidP="00AB0203">
      <w:pPr>
        <w:rPr>
          <w:rFonts w:cs="Times New Roman"/>
        </w:rPr>
      </w:pPr>
    </w:p>
    <w:p w14:paraId="267D9C6A" w14:textId="77777777" w:rsidR="00AB0203" w:rsidRPr="001D6AA0" w:rsidRDefault="00AB0203" w:rsidP="00AB0203">
      <w:pPr>
        <w:rPr>
          <w:rFonts w:cs="Times New Roman"/>
        </w:rPr>
      </w:pPr>
    </w:p>
    <w:p w14:paraId="3BE666EC" w14:textId="77777777" w:rsidR="00AB0203" w:rsidRPr="001D6AA0" w:rsidRDefault="00AB0203" w:rsidP="00AB0203">
      <w:pPr>
        <w:rPr>
          <w:rFonts w:cs="Times New Roman"/>
        </w:rPr>
      </w:pPr>
    </w:p>
    <w:p w14:paraId="11075277" w14:textId="77777777" w:rsidR="00AB0203" w:rsidRPr="001D6AA0" w:rsidRDefault="00AB0203" w:rsidP="00AB0203">
      <w:pPr>
        <w:rPr>
          <w:rFonts w:cs="Times New Roman"/>
        </w:rPr>
      </w:pPr>
    </w:p>
    <w:p w14:paraId="60F353D4" w14:textId="77777777" w:rsidR="00AB0203" w:rsidRPr="001D6AA0" w:rsidRDefault="00AB0203" w:rsidP="00AB0203">
      <w:pPr>
        <w:rPr>
          <w:rFonts w:cs="Times New Roman"/>
        </w:rPr>
      </w:pPr>
    </w:p>
    <w:p w14:paraId="71E3D97C" w14:textId="77777777" w:rsidR="00AB0203" w:rsidRPr="001D6AA0" w:rsidRDefault="00AB0203" w:rsidP="00AB0203">
      <w:pPr>
        <w:rPr>
          <w:rFonts w:cs="Times New Roman"/>
        </w:rPr>
      </w:pPr>
    </w:p>
    <w:p w14:paraId="4D1B5259" w14:textId="77777777" w:rsidR="00AB0203" w:rsidRPr="001D6AA0" w:rsidRDefault="00AB0203" w:rsidP="00AB0203">
      <w:pPr>
        <w:rPr>
          <w:rFonts w:cs="Times New Roman"/>
        </w:rPr>
      </w:pPr>
    </w:p>
    <w:p w14:paraId="2C32F42E" w14:textId="77777777" w:rsidR="00AB0203" w:rsidRPr="001D6AA0" w:rsidRDefault="00AB0203" w:rsidP="00AB0203">
      <w:pPr>
        <w:rPr>
          <w:rFonts w:cs="Times New Roman"/>
        </w:rPr>
      </w:pPr>
    </w:p>
    <w:p w14:paraId="39CE4601" w14:textId="77777777" w:rsidR="00AB0203" w:rsidRPr="001D6AA0" w:rsidRDefault="00AB0203" w:rsidP="00AB0203">
      <w:pPr>
        <w:rPr>
          <w:rFonts w:cs="Times New Roman"/>
        </w:rPr>
      </w:pPr>
    </w:p>
    <w:p w14:paraId="39605E2B" w14:textId="77777777" w:rsidR="00AB0203" w:rsidRPr="001D6AA0" w:rsidRDefault="00AB0203" w:rsidP="00AB0203">
      <w:pPr>
        <w:rPr>
          <w:rFonts w:cs="Times New Roman"/>
        </w:rPr>
      </w:pPr>
    </w:p>
    <w:p w14:paraId="41096E3D" w14:textId="77777777" w:rsidR="00AB0203" w:rsidRPr="001D6AA0" w:rsidRDefault="00AB0203" w:rsidP="00AB0203">
      <w:pPr>
        <w:rPr>
          <w:rFonts w:cs="Times New Roman"/>
        </w:rPr>
      </w:pPr>
    </w:p>
    <w:p w14:paraId="21D6F31A" w14:textId="77777777" w:rsidR="00AB0203" w:rsidRPr="001D6AA0" w:rsidRDefault="00AB0203" w:rsidP="00AB0203">
      <w:pPr>
        <w:rPr>
          <w:rFonts w:cs="Times New Roman"/>
        </w:rPr>
      </w:pPr>
    </w:p>
    <w:p w14:paraId="4E38F739" w14:textId="77777777" w:rsidR="00AB0203" w:rsidRPr="001D6AA0" w:rsidRDefault="00AB0203" w:rsidP="00AB0203">
      <w:pPr>
        <w:pStyle w:val="Heading1"/>
        <w:rPr>
          <w:rFonts w:cs="Times New Roman"/>
        </w:rPr>
      </w:pPr>
      <w:bookmarkStart w:id="8" w:name="_Toc181288545"/>
      <w:r w:rsidRPr="001D6AA0">
        <w:rPr>
          <w:rFonts w:cs="Times New Roman"/>
        </w:rPr>
        <w:lastRenderedPageBreak/>
        <w:t>Industry Trends, Issues and Impacts</w:t>
      </w:r>
      <w:bookmarkEnd w:id="8"/>
    </w:p>
    <w:p w14:paraId="7A712A2F" w14:textId="77777777" w:rsidR="00AB0203" w:rsidRPr="001D6AA0" w:rsidRDefault="00AB0203" w:rsidP="00AB0203">
      <w:pPr>
        <w:rPr>
          <w:rFonts w:cs="Times New Roman"/>
          <w:lang w:eastAsia="en-GB"/>
        </w:rPr>
      </w:pPr>
      <w:r w:rsidRPr="001D6AA0">
        <w:rPr>
          <w:rFonts w:cs="Times New Roman"/>
          <w:lang w:eastAsia="en-GB"/>
        </w:rPr>
        <w:t xml:space="preserve">Trends, challenges, and consequences affect Halloween event consumer behaviour and implementation. Successful planning and implementation need to recognise these challenges. </w:t>
      </w:r>
    </w:p>
    <w:p w14:paraId="626C3D2A" w14:textId="77777777" w:rsidR="00AB0203" w:rsidRPr="001D6AA0" w:rsidRDefault="00AB0203" w:rsidP="00AB0203">
      <w:pPr>
        <w:rPr>
          <w:rFonts w:eastAsia="Times New Roman" w:cs="Times New Roman"/>
          <w:szCs w:val="24"/>
          <w:lang w:eastAsia="en-GB"/>
        </w:rPr>
      </w:pPr>
      <w:r w:rsidRPr="001D6AA0">
        <w:rPr>
          <w:rStyle w:val="Strong"/>
          <w:rFonts w:cs="Times New Roman"/>
        </w:rPr>
        <w:t>Increased Popularity of Themed Events</w:t>
      </w:r>
      <w:r w:rsidRPr="001D6AA0">
        <w:rPr>
          <w:rFonts w:cs="Times New Roman"/>
        </w:rPr>
        <w:t xml:space="preserve">: </w:t>
      </w:r>
      <w:r w:rsidRPr="001D6AA0">
        <w:rPr>
          <w:rFonts w:cs="Times New Roman"/>
          <w:lang w:eastAsia="en-GB"/>
        </w:rPr>
        <w:t>After the COVID-19 epidemic, people want unique experiences, therefore themed events are flourishing. In 2023, 72% of event planners saw themed events rise (</w:t>
      </w:r>
      <w:r w:rsidRPr="001D6AA0">
        <w:rPr>
          <w:rFonts w:eastAsia="Times New Roman" w:cs="Times New Roman"/>
          <w:szCs w:val="24"/>
          <w:lang w:eastAsia="en-GB"/>
        </w:rPr>
        <w:t>Ybrea.co.uk, 2024)</w:t>
      </w:r>
      <w:r w:rsidRPr="001D6AA0">
        <w:rPr>
          <w:rFonts w:cs="Times New Roman"/>
          <w:lang w:eastAsia="en-GB"/>
        </w:rPr>
        <w:t xml:space="preserve">. Halloween revellers like immersive, communal activities, therefore themed parties are popular. New ideas and experiences draw people to this style. </w:t>
      </w:r>
    </w:p>
    <w:p w14:paraId="6D736A44" w14:textId="77777777" w:rsidR="00AB0203" w:rsidRPr="001D6AA0" w:rsidRDefault="00AB0203" w:rsidP="00AB0203">
      <w:pPr>
        <w:rPr>
          <w:rFonts w:eastAsia="Times New Roman" w:cs="Times New Roman"/>
          <w:szCs w:val="24"/>
          <w:lang w:eastAsia="en-GB"/>
        </w:rPr>
      </w:pPr>
      <w:r w:rsidRPr="001D6AA0">
        <w:rPr>
          <w:rStyle w:val="Strong"/>
          <w:rFonts w:cs="Times New Roman"/>
        </w:rPr>
        <w:t>Rise in Experiential Marketing</w:t>
      </w:r>
      <w:r w:rsidRPr="001D6AA0">
        <w:rPr>
          <w:rFonts w:cs="Times New Roman"/>
        </w:rPr>
        <w:t>:</w:t>
      </w:r>
      <w:r w:rsidRPr="001D6AA0">
        <w:rPr>
          <w:rFonts w:cs="Times New Roman"/>
          <w:lang w:eastAsia="en-GB"/>
        </w:rPr>
        <w:t xml:space="preserve"> Event experiential marketing is booming. </w:t>
      </w:r>
      <w:r w:rsidRPr="001D6AA0">
        <w:rPr>
          <w:rFonts w:eastAsia="Times New Roman" w:cs="Times New Roman"/>
          <w:szCs w:val="24"/>
          <w:lang w:eastAsia="en-GB"/>
        </w:rPr>
        <w:t>Becky (2024)</w:t>
      </w:r>
      <w:r w:rsidRPr="001D6AA0">
        <w:rPr>
          <w:rFonts w:cs="Times New Roman"/>
          <w:lang w:eastAsia="en-GB"/>
        </w:rPr>
        <w:t xml:space="preserve"> reported in 2023 that 79% of marketer’s feel experiential marketing engages clients. Halloween events are great for experiential marketing because brands can engage individuals. Interactions, immersive installations, and social media boost event promotion and guest response. </w:t>
      </w:r>
    </w:p>
    <w:p w14:paraId="7FC0B620" w14:textId="77777777" w:rsidR="00AB0203" w:rsidRPr="001D6AA0" w:rsidRDefault="00AB0203" w:rsidP="00AB0203">
      <w:pPr>
        <w:rPr>
          <w:rFonts w:eastAsia="Times New Roman" w:cs="Times New Roman"/>
          <w:szCs w:val="24"/>
          <w:lang w:eastAsia="en-GB"/>
        </w:rPr>
      </w:pPr>
      <w:r w:rsidRPr="001D6AA0">
        <w:rPr>
          <w:rStyle w:val="Strong"/>
          <w:rFonts w:cs="Times New Roman"/>
        </w:rPr>
        <w:t>Emphasis on Sustainability</w:t>
      </w:r>
      <w:r w:rsidRPr="001D6AA0">
        <w:rPr>
          <w:rFonts w:cs="Times New Roman"/>
        </w:rPr>
        <w:t xml:space="preserve">: </w:t>
      </w:r>
      <w:r w:rsidRPr="001D6AA0">
        <w:rPr>
          <w:rFonts w:cs="Times New Roman"/>
          <w:lang w:eastAsia="en-GB"/>
        </w:rPr>
        <w:t xml:space="preserve">60% of the 2023 Sustainable Event Alliance polled event organisers’ prioritised green approaches </w:t>
      </w:r>
      <w:r w:rsidRPr="001D6AA0">
        <w:rPr>
          <w:rFonts w:eastAsia="Times New Roman" w:cs="Times New Roman"/>
          <w:szCs w:val="24"/>
          <w:lang w:eastAsia="en-GB"/>
        </w:rPr>
        <w:t>(Smith, 2024)</w:t>
      </w:r>
      <w:r w:rsidRPr="001D6AA0">
        <w:rPr>
          <w:rFonts w:cs="Times New Roman"/>
          <w:lang w:eastAsia="en-GB"/>
        </w:rPr>
        <w:t xml:space="preserve">. Halloween parties now feature biodegradable decorations, food waste reduction, and local cuisine. More environmentally conscious attendees demand responsible event managers. This reduces events' environmental effects and boosts the company's reputation among eco-conscious consumers. </w:t>
      </w:r>
    </w:p>
    <w:p w14:paraId="1F17DA8B" w14:textId="77777777" w:rsidR="00AB0203" w:rsidRPr="001D6AA0" w:rsidRDefault="00AB0203" w:rsidP="00AB0203">
      <w:pPr>
        <w:rPr>
          <w:rFonts w:eastAsia="Times New Roman" w:cs="Times New Roman"/>
          <w:szCs w:val="24"/>
          <w:lang w:eastAsia="en-GB"/>
        </w:rPr>
      </w:pPr>
      <w:r w:rsidRPr="001D6AA0">
        <w:rPr>
          <w:rFonts w:cs="Times New Roman"/>
          <w:b/>
          <w:lang w:eastAsia="en-GB"/>
        </w:rPr>
        <w:t>Technological Integration:</w:t>
      </w:r>
      <w:r w:rsidRPr="001D6AA0">
        <w:rPr>
          <w:rFonts w:cs="Times New Roman"/>
          <w:lang w:eastAsia="en-GB"/>
        </w:rPr>
        <w:t xml:space="preserve"> </w:t>
      </w:r>
      <w:r w:rsidRPr="001D6AA0">
        <w:rPr>
          <w:rFonts w:eastAsia="Times New Roman" w:cs="Times New Roman"/>
          <w:szCs w:val="24"/>
          <w:lang w:eastAsia="en-GB"/>
        </w:rPr>
        <w:t xml:space="preserve">Hewitson (2024) </w:t>
      </w:r>
      <w:r w:rsidRPr="001D6AA0">
        <w:rPr>
          <w:rFonts w:cs="Times New Roman"/>
          <w:lang w:eastAsia="en-GB"/>
        </w:rPr>
        <w:t xml:space="preserve">found that 85% of 2023 event planners use technology to enhance attendee experiences. Examples includes AR experiences, smartphone apps for event navigation, and live streaming for faraway Halloween guests. These technologies make experiences more accessible and engaging, promoting audience participation. Technology's real-time feedback and involvement show attendance habits. </w:t>
      </w:r>
    </w:p>
    <w:p w14:paraId="7127D624" w14:textId="77777777" w:rsidR="00AB0203" w:rsidRPr="001D6AA0" w:rsidRDefault="00AB0203" w:rsidP="00AB0203">
      <w:pPr>
        <w:rPr>
          <w:rFonts w:cs="Times New Roman"/>
          <w:lang w:eastAsia="en-GB"/>
        </w:rPr>
      </w:pPr>
      <w:r w:rsidRPr="001D6AA0">
        <w:rPr>
          <w:rStyle w:val="Strong"/>
          <w:rFonts w:cs="Times New Roman"/>
        </w:rPr>
        <w:lastRenderedPageBreak/>
        <w:t>Health and Safety Considerations</w:t>
      </w:r>
      <w:r w:rsidRPr="001D6AA0">
        <w:rPr>
          <w:rFonts w:cs="Times New Roman"/>
        </w:rPr>
        <w:t xml:space="preserve">: </w:t>
      </w:r>
      <w:r w:rsidRPr="001D6AA0">
        <w:rPr>
          <w:rFonts w:cs="Times New Roman"/>
          <w:lang w:eastAsia="en-GB"/>
        </w:rPr>
        <w:t xml:space="preserve">COVID-19 has refocused events on safety. The International Live Events Association estimated in 2023 that 73% of eventers respect safety </w:t>
      </w:r>
      <w:r w:rsidRPr="001D6AA0">
        <w:rPr>
          <w:rFonts w:eastAsia="Times New Roman" w:cs="Times New Roman"/>
          <w:szCs w:val="24"/>
          <w:lang w:eastAsia="en-GB"/>
        </w:rPr>
        <w:t>(Wybrow, 2024)</w:t>
      </w:r>
      <w:r w:rsidRPr="001D6AA0">
        <w:rPr>
          <w:rFonts w:cs="Times New Roman"/>
          <w:lang w:eastAsia="en-GB"/>
        </w:rPr>
        <w:t xml:space="preserve">. Halloween event planners must handle crowds, sanitation, and contactless ticketing. Safe attendees build trust and experience. </w:t>
      </w:r>
    </w:p>
    <w:p w14:paraId="204F2681" w14:textId="77777777" w:rsidR="00AB0203" w:rsidRPr="001D6AA0" w:rsidRDefault="00AB0203" w:rsidP="00AB0203">
      <w:pPr>
        <w:rPr>
          <w:rFonts w:eastAsia="Times New Roman" w:cs="Times New Roman"/>
          <w:szCs w:val="24"/>
          <w:lang w:eastAsia="en-GB"/>
        </w:rPr>
      </w:pPr>
      <w:r w:rsidRPr="001D6AA0">
        <w:rPr>
          <w:rFonts w:eastAsia="Times New Roman" w:cs="Times New Roman"/>
          <w:noProof/>
          <w:szCs w:val="24"/>
          <w:lang w:eastAsia="en-GB"/>
        </w:rPr>
        <w:drawing>
          <wp:inline distT="0" distB="0" distL="0" distR="0" wp14:anchorId="4C8D85FC" wp14:editId="6C59F1AE">
            <wp:extent cx="5486400" cy="3200400"/>
            <wp:effectExtent l="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784ED6B" w14:textId="77777777" w:rsidR="00AB0203" w:rsidRPr="001D6AA0" w:rsidRDefault="00AB0203" w:rsidP="00AB0203">
      <w:pPr>
        <w:jc w:val="center"/>
        <w:rPr>
          <w:rFonts w:cs="Times New Roman"/>
        </w:rPr>
      </w:pPr>
      <w:r w:rsidRPr="001D6AA0">
        <w:rPr>
          <w:rFonts w:eastAsia="Times New Roman" w:cs="Times New Roman"/>
          <w:szCs w:val="24"/>
          <w:lang w:eastAsia="en-GB"/>
        </w:rPr>
        <w:t xml:space="preserve">Figure 3: </w:t>
      </w:r>
      <w:r w:rsidRPr="001D6AA0">
        <w:rPr>
          <w:rFonts w:cs="Times New Roman"/>
        </w:rPr>
        <w:t>Industry Trends, Issues and Impacts</w:t>
      </w:r>
    </w:p>
    <w:p w14:paraId="6194F171" w14:textId="77777777" w:rsidR="00AB0203" w:rsidRPr="001D6AA0" w:rsidRDefault="00AB0203" w:rsidP="00AB0203">
      <w:pPr>
        <w:jc w:val="center"/>
        <w:rPr>
          <w:rFonts w:eastAsia="Times New Roman" w:cs="Times New Roman"/>
          <w:szCs w:val="24"/>
          <w:lang w:eastAsia="en-GB"/>
        </w:rPr>
      </w:pPr>
      <w:r w:rsidRPr="001D6AA0">
        <w:rPr>
          <w:rFonts w:eastAsia="Times New Roman" w:cs="Times New Roman"/>
          <w:szCs w:val="24"/>
          <w:lang w:eastAsia="en-GB"/>
        </w:rPr>
        <w:t>Source: (Smith, 2024)</w:t>
      </w:r>
    </w:p>
    <w:p w14:paraId="29FF7882" w14:textId="77777777" w:rsidR="00AB0203" w:rsidRPr="001D6AA0" w:rsidRDefault="00AB0203" w:rsidP="00AB0203">
      <w:pPr>
        <w:rPr>
          <w:rFonts w:eastAsia="Times New Roman" w:cs="Times New Roman"/>
          <w:szCs w:val="24"/>
          <w:lang w:eastAsia="en-GB"/>
        </w:rPr>
      </w:pPr>
      <w:r w:rsidRPr="001D6AA0">
        <w:rPr>
          <w:rFonts w:cs="Times New Roman"/>
          <w:lang w:eastAsia="en-GB"/>
        </w:rPr>
        <w:t xml:space="preserve">The foregoing trends heavily impact Premier Inn, Loughborough Halloween event planning and implementation. Unique events are popular, and experience marketing may boost attendance. The event may attract eco-conscious attendees and upgrade with sustainable methods </w:t>
      </w:r>
      <w:r w:rsidRPr="001D6AA0">
        <w:rPr>
          <w:rFonts w:eastAsia="Times New Roman" w:cs="Times New Roman"/>
          <w:szCs w:val="24"/>
          <w:lang w:eastAsia="en-GB"/>
        </w:rPr>
        <w:t>(Golz, 2022)</w:t>
      </w:r>
      <w:r w:rsidRPr="001D6AA0">
        <w:rPr>
          <w:rFonts w:cs="Times New Roman"/>
          <w:lang w:eastAsia="en-GB"/>
        </w:rPr>
        <w:t xml:space="preserve">. Captivating experiences requires technology. AR, mobile apps, and interactive games can increase Halloween socialisation. Finally, to calm attendees and assure safety, prioritise health and safety. Health and safety best practices boost guest satisfaction and event perception. </w:t>
      </w:r>
    </w:p>
    <w:p w14:paraId="48BEE1C0" w14:textId="77777777" w:rsidR="00AB0203" w:rsidRPr="001D6AA0" w:rsidRDefault="00AB0203" w:rsidP="00AB0203">
      <w:pPr>
        <w:pStyle w:val="Heading1"/>
        <w:rPr>
          <w:rFonts w:cs="Times New Roman"/>
        </w:rPr>
      </w:pPr>
      <w:bookmarkStart w:id="9" w:name="_Toc181288546"/>
      <w:r w:rsidRPr="001D6AA0">
        <w:rPr>
          <w:rFonts w:cs="Times New Roman"/>
        </w:rPr>
        <w:lastRenderedPageBreak/>
        <w:t>Situational and Cultural Considerations</w:t>
      </w:r>
      <w:bookmarkEnd w:id="9"/>
      <w:r w:rsidRPr="001D6AA0">
        <w:rPr>
          <w:rFonts w:cs="Times New Roman"/>
        </w:rPr>
        <w:t xml:space="preserve"> </w:t>
      </w:r>
    </w:p>
    <w:p w14:paraId="5DE76A60" w14:textId="77777777" w:rsidR="00AB0203" w:rsidRPr="001D6AA0" w:rsidRDefault="00AB0203" w:rsidP="00AB0203">
      <w:pPr>
        <w:rPr>
          <w:rFonts w:cs="Times New Roman"/>
          <w:lang w:eastAsia="en-GB"/>
        </w:rPr>
      </w:pPr>
      <w:r w:rsidRPr="001D6AA0">
        <w:rPr>
          <w:rFonts w:cs="Times New Roman"/>
          <w:lang w:eastAsia="en-GB"/>
        </w:rPr>
        <w:t xml:space="preserve">Situational and cultural knowledge are needed for Halloween event planning. Five factors and SWOT analysis show them. </w:t>
      </w:r>
    </w:p>
    <w:p w14:paraId="11E8C6BC" w14:textId="77777777" w:rsidR="00AB0203" w:rsidRPr="001D6AA0" w:rsidRDefault="00AB0203" w:rsidP="00AB0203">
      <w:pPr>
        <w:rPr>
          <w:rFonts w:eastAsia="Times New Roman" w:cs="Times New Roman"/>
          <w:szCs w:val="24"/>
          <w:lang w:eastAsia="en-GB"/>
        </w:rPr>
      </w:pPr>
      <w:r w:rsidRPr="001D6AA0">
        <w:rPr>
          <w:rFonts w:cs="Times New Roman"/>
          <w:b/>
        </w:rPr>
        <w:t>Cultural Significance of Halloween:</w:t>
      </w:r>
      <w:r w:rsidRPr="001D6AA0">
        <w:rPr>
          <w:rFonts w:cs="Times New Roman"/>
        </w:rPr>
        <w:t xml:space="preserve"> </w:t>
      </w:r>
      <w:r w:rsidRPr="001D6AA0">
        <w:rPr>
          <w:rFonts w:cs="Times New Roman"/>
          <w:lang w:eastAsia="en-GB"/>
        </w:rPr>
        <w:t xml:space="preserve">Halloween is widespread in the West. The event, décor, and theme design can match attendance expectations by understanding the holiday's significance. Traditional costumes, trick-or-treating, and themed activities enhance authenticity </w:t>
      </w:r>
      <w:r w:rsidRPr="001D6AA0">
        <w:rPr>
          <w:rFonts w:eastAsia="Times New Roman" w:cs="Times New Roman"/>
          <w:szCs w:val="24"/>
          <w:lang w:eastAsia="en-GB"/>
        </w:rPr>
        <w:t>(Wyatt, 2024)</w:t>
      </w:r>
      <w:r w:rsidRPr="001D6AA0">
        <w:rPr>
          <w:rFonts w:cs="Times New Roman"/>
          <w:lang w:eastAsia="en-GB"/>
        </w:rPr>
        <w:t xml:space="preserve">. Cultural significance boosts Halloween's appeal and community spirit, a SWOT analysis strength. These cultural features help rivals draw greater crowds, inspiring others to follow suit. </w:t>
      </w:r>
    </w:p>
    <w:p w14:paraId="2A1CD651" w14:textId="77777777" w:rsidR="00AB0203" w:rsidRPr="001D6AA0" w:rsidRDefault="00AB0203" w:rsidP="00AB0203">
      <w:pPr>
        <w:rPr>
          <w:rFonts w:eastAsia="Times New Roman" w:cs="Times New Roman"/>
          <w:szCs w:val="24"/>
          <w:lang w:eastAsia="en-GB"/>
        </w:rPr>
      </w:pPr>
      <w:r w:rsidRPr="001D6AA0">
        <w:rPr>
          <w:rFonts w:cs="Times New Roman"/>
          <w:b/>
        </w:rPr>
        <w:t>Diversity of Attendees:</w:t>
      </w:r>
      <w:r w:rsidRPr="001D6AA0">
        <w:rPr>
          <w:rFonts w:cs="Times New Roman"/>
        </w:rPr>
        <w:t xml:space="preserve"> </w:t>
      </w:r>
      <w:r w:rsidRPr="001D6AA0">
        <w:rPr>
          <w:rFonts w:cs="Times New Roman"/>
          <w:lang w:eastAsia="en-GB"/>
        </w:rPr>
        <w:t xml:space="preserve">Visitor diversity is growing. Different civilisations celebrate Halloween passionately or apathetically. SWOT analysis shows this diversity allows culturally diverse action. Multilingual and culturally relevant entertainment can boost attendance </w:t>
      </w:r>
      <w:r w:rsidRPr="001D6AA0">
        <w:rPr>
          <w:rFonts w:eastAsia="Times New Roman" w:cs="Times New Roman"/>
          <w:szCs w:val="24"/>
          <w:lang w:eastAsia="en-GB"/>
        </w:rPr>
        <w:t>(Rossetti, Wyatt and Ali, 2023)</w:t>
      </w:r>
      <w:r w:rsidRPr="001D6AA0">
        <w:rPr>
          <w:rFonts w:cs="Times New Roman"/>
          <w:lang w:eastAsia="en-GB"/>
        </w:rPr>
        <w:t xml:space="preserve">. Inclusivity is crucial because broad-appeal competitors may steal market share. </w:t>
      </w:r>
    </w:p>
    <w:p w14:paraId="2F56A7DC" w14:textId="77777777" w:rsidR="00AB0203" w:rsidRPr="001D6AA0" w:rsidRDefault="00AB0203" w:rsidP="00AB0203">
      <w:pPr>
        <w:rPr>
          <w:rFonts w:eastAsia="Times New Roman"/>
          <w:szCs w:val="24"/>
          <w:lang w:eastAsia="en-GB"/>
        </w:rPr>
      </w:pPr>
      <w:r w:rsidRPr="001D6AA0">
        <w:rPr>
          <w:b/>
        </w:rPr>
        <w:t>Health and Safety Regulations:</w:t>
      </w:r>
      <w:r w:rsidRPr="001D6AA0">
        <w:t xml:space="preserve"> </w:t>
      </w:r>
      <w:r w:rsidRPr="001D6AA0">
        <w:rPr>
          <w:lang w:eastAsia="en-GB"/>
        </w:rPr>
        <w:t xml:space="preserve">COVID-19 has made safety essential. The SWOT analysis shows that municipal sanitation, social distance, and crowd management limits threaten event planning. </w:t>
      </w:r>
      <w:r w:rsidRPr="00F16AC6">
        <w:t>Publicity and legal issues from violating these rules may affect attendance and success (Chaudhari, 2020).</w:t>
      </w:r>
      <w:r w:rsidRPr="001D6AA0">
        <w:rPr>
          <w:lang w:eastAsia="en-GB"/>
        </w:rPr>
        <w:t xml:space="preserve"> Strict health standards may help competitors recruit safety-conscious attendees. Putting safety first eliminates these risks and makes the experience great for everyone. </w:t>
      </w:r>
    </w:p>
    <w:p w14:paraId="2A7272DF" w14:textId="77777777" w:rsidR="00AB0203" w:rsidRPr="001D6AA0" w:rsidRDefault="00AB0203" w:rsidP="00AB0203">
      <w:pPr>
        <w:rPr>
          <w:rFonts w:eastAsia="Times New Roman" w:cs="Times New Roman"/>
          <w:szCs w:val="24"/>
          <w:lang w:eastAsia="en-GB"/>
        </w:rPr>
      </w:pPr>
      <w:r w:rsidRPr="001D6AA0">
        <w:rPr>
          <w:rFonts w:cs="Times New Roman"/>
          <w:b/>
        </w:rPr>
        <w:t>Local Competitors and Unique Selling Propositions (USPs):</w:t>
      </w:r>
      <w:r w:rsidRPr="001D6AA0">
        <w:rPr>
          <w:rFonts w:cs="Times New Roman"/>
        </w:rPr>
        <w:t xml:space="preserve"> </w:t>
      </w:r>
      <w:r w:rsidRPr="001D6AA0">
        <w:rPr>
          <w:rFonts w:cs="Times New Roman"/>
          <w:lang w:eastAsia="en-GB"/>
        </w:rPr>
        <w:t xml:space="preserve">Understanding the competition helps find event USPs. SWOT analysis may reveal a weakness if local competitors offer Halloween events that attract the target population </w:t>
      </w:r>
      <w:r w:rsidRPr="001D6AA0">
        <w:rPr>
          <w:rFonts w:eastAsia="Times New Roman" w:cs="Times New Roman"/>
          <w:szCs w:val="24"/>
          <w:lang w:eastAsia="en-GB"/>
        </w:rPr>
        <w:t>(Werner, Junek and Wang, 2021)</w:t>
      </w:r>
      <w:r w:rsidRPr="001D6AA0">
        <w:rPr>
          <w:rFonts w:cs="Times New Roman"/>
          <w:lang w:eastAsia="en-GB"/>
        </w:rPr>
        <w:t>. Analysing competitors' strengths and weaknesses creates a unique offering strategy. Premier Inn's family-</w:t>
      </w:r>
      <w:r w:rsidRPr="001D6AA0">
        <w:rPr>
          <w:rFonts w:cs="Times New Roman"/>
          <w:lang w:eastAsia="en-GB"/>
        </w:rPr>
        <w:lastRenderedPageBreak/>
        <w:t>friendly setting allows them to offer activities for all ages. Differentiation may make an event more enticing and competitive.</w:t>
      </w:r>
    </w:p>
    <w:p w14:paraId="03ADA796" w14:textId="77777777" w:rsidR="00AB0203" w:rsidRPr="001D6AA0" w:rsidRDefault="00AB0203" w:rsidP="00AB0203">
      <w:pPr>
        <w:rPr>
          <w:rFonts w:eastAsia="Times New Roman"/>
          <w:szCs w:val="24"/>
          <w:lang w:eastAsia="en-GB"/>
        </w:rPr>
      </w:pPr>
      <w:r w:rsidRPr="001D6AA0">
        <w:rPr>
          <w:b/>
        </w:rPr>
        <w:t>Market Trends and Attendee Preferences:</w:t>
      </w:r>
      <w:r w:rsidRPr="001D6AA0">
        <w:t xml:space="preserve"> </w:t>
      </w:r>
      <w:r w:rsidRPr="001D6AA0">
        <w:rPr>
          <w:lang w:eastAsia="en-GB"/>
        </w:rPr>
        <w:t xml:space="preserve">Market and guest preferences must be monitored by event planners. Recent trends reveal attendees want interactive events, a SWOT opportunity. These Halloween cravings can be satisfied by live performances, themed photo booths, and hands-on </w:t>
      </w:r>
      <w:r w:rsidRPr="00F16AC6">
        <w:t>games (Ushakov et al., 2020). Interactive storytelling and haunted places draw visitors. Utilising</w:t>
      </w:r>
      <w:r w:rsidRPr="001D6AA0">
        <w:rPr>
          <w:lang w:eastAsia="en-GB"/>
        </w:rPr>
        <w:t xml:space="preserve"> these trends may make Halloween special. </w:t>
      </w:r>
    </w:p>
    <w:p w14:paraId="3802DF6A" w14:textId="77777777" w:rsidR="00AB0203" w:rsidRPr="001D6AA0" w:rsidRDefault="00AB0203" w:rsidP="00AB0203">
      <w:pPr>
        <w:rPr>
          <w:rFonts w:eastAsia="Times New Roman" w:cs="Times New Roman"/>
          <w:szCs w:val="24"/>
          <w:lang w:eastAsia="en-GB"/>
        </w:rPr>
      </w:pPr>
      <w:r w:rsidRPr="001D6AA0">
        <w:rPr>
          <w:rFonts w:cs="Times New Roman"/>
          <w:lang w:eastAsia="en-GB"/>
        </w:rPr>
        <w:t xml:space="preserve">Addressing these social and cultural components will help Halloween succeed. Cultural relevance, variety, market trends, health rules, and competition hazards can draw and interest huge crowds. SWOT-based planning boosts event goals and viability </w:t>
      </w:r>
      <w:r w:rsidRPr="001D6AA0">
        <w:rPr>
          <w:rFonts w:eastAsia="Times New Roman" w:cs="Times New Roman"/>
          <w:szCs w:val="24"/>
          <w:lang w:eastAsia="en-GB"/>
        </w:rPr>
        <w:t>(Silva, Ntounis and Paiva, 2024)</w:t>
      </w:r>
      <w:r w:rsidRPr="001D6AA0">
        <w:rPr>
          <w:rFonts w:cs="Times New Roman"/>
          <w:lang w:eastAsia="en-GB"/>
        </w:rPr>
        <w:t xml:space="preserve">. Knowing this will make Halloween at Premier Inn Loughborough unique. </w:t>
      </w:r>
      <w:r w:rsidRPr="001D6AA0">
        <w:rPr>
          <w:rFonts w:cs="Times New Roman"/>
          <w:lang w:eastAsia="en-GB"/>
        </w:rPr>
        <w:br/>
      </w:r>
    </w:p>
    <w:p w14:paraId="6141A8A4" w14:textId="77777777" w:rsidR="00AB0203" w:rsidRPr="001D6AA0" w:rsidRDefault="00AB0203" w:rsidP="00AB0203">
      <w:pPr>
        <w:rPr>
          <w:rFonts w:cs="Times New Roman"/>
          <w:lang w:eastAsia="en-GB"/>
        </w:rPr>
      </w:pPr>
    </w:p>
    <w:p w14:paraId="2EEF9231" w14:textId="77777777" w:rsidR="00AB0203" w:rsidRPr="001D6AA0" w:rsidRDefault="00AB0203" w:rsidP="00AB0203">
      <w:pPr>
        <w:rPr>
          <w:rFonts w:cs="Times New Roman"/>
          <w:lang w:eastAsia="en-GB"/>
        </w:rPr>
      </w:pPr>
    </w:p>
    <w:p w14:paraId="37C829E2" w14:textId="77777777" w:rsidR="00AB0203" w:rsidRPr="001D6AA0" w:rsidRDefault="00AB0203" w:rsidP="00AB0203">
      <w:pPr>
        <w:rPr>
          <w:rFonts w:cs="Times New Roman"/>
          <w:lang w:eastAsia="en-GB"/>
        </w:rPr>
      </w:pPr>
    </w:p>
    <w:p w14:paraId="14FB92E7" w14:textId="77777777" w:rsidR="00AB0203" w:rsidRPr="001D6AA0" w:rsidRDefault="00AB0203" w:rsidP="00AB0203">
      <w:pPr>
        <w:rPr>
          <w:rFonts w:cs="Times New Roman"/>
          <w:lang w:eastAsia="en-GB"/>
        </w:rPr>
      </w:pPr>
    </w:p>
    <w:p w14:paraId="123F6C8E" w14:textId="77777777" w:rsidR="00AB0203" w:rsidRPr="001D6AA0" w:rsidRDefault="00AB0203" w:rsidP="00AB0203">
      <w:pPr>
        <w:rPr>
          <w:rFonts w:cs="Times New Roman"/>
          <w:lang w:eastAsia="en-GB"/>
        </w:rPr>
      </w:pPr>
    </w:p>
    <w:p w14:paraId="263445C0" w14:textId="77777777" w:rsidR="00AB0203" w:rsidRPr="001D6AA0" w:rsidRDefault="00AB0203" w:rsidP="00AB0203">
      <w:pPr>
        <w:rPr>
          <w:rFonts w:cs="Times New Roman"/>
          <w:lang w:eastAsia="en-GB"/>
        </w:rPr>
      </w:pPr>
    </w:p>
    <w:p w14:paraId="3E649923" w14:textId="77777777" w:rsidR="00AB0203" w:rsidRPr="001D6AA0" w:rsidRDefault="00AB0203" w:rsidP="00AB0203">
      <w:pPr>
        <w:rPr>
          <w:rFonts w:cs="Times New Roman"/>
          <w:lang w:eastAsia="en-GB"/>
        </w:rPr>
      </w:pPr>
    </w:p>
    <w:p w14:paraId="3453AB02" w14:textId="77777777" w:rsidR="00AB0203" w:rsidRPr="001D6AA0" w:rsidRDefault="00AB0203" w:rsidP="00AB0203">
      <w:pPr>
        <w:rPr>
          <w:rFonts w:cs="Times New Roman"/>
          <w:lang w:eastAsia="en-GB"/>
        </w:rPr>
      </w:pPr>
    </w:p>
    <w:p w14:paraId="08D436A9" w14:textId="77777777" w:rsidR="00AB0203" w:rsidRPr="001D6AA0" w:rsidRDefault="00AB0203" w:rsidP="00AB0203">
      <w:pPr>
        <w:pStyle w:val="Heading1"/>
        <w:rPr>
          <w:rFonts w:cs="Times New Roman"/>
          <w:lang w:eastAsia="en-GB"/>
        </w:rPr>
      </w:pPr>
      <w:bookmarkStart w:id="10" w:name="_Toc181288547"/>
      <w:r w:rsidRPr="001D6AA0">
        <w:rPr>
          <w:rFonts w:cs="Times New Roman"/>
          <w:lang w:eastAsia="en-GB"/>
        </w:rPr>
        <w:lastRenderedPageBreak/>
        <w:t>Conclusion</w:t>
      </w:r>
      <w:bookmarkEnd w:id="10"/>
      <w:r w:rsidRPr="001D6AA0">
        <w:rPr>
          <w:rFonts w:cs="Times New Roman"/>
          <w:lang w:eastAsia="en-GB"/>
        </w:rPr>
        <w:t xml:space="preserve"> </w:t>
      </w:r>
    </w:p>
    <w:p w14:paraId="50419715" w14:textId="77777777" w:rsidR="00AB0203" w:rsidRPr="001D6AA0" w:rsidRDefault="00AB0203" w:rsidP="00AB0203">
      <w:pPr>
        <w:rPr>
          <w:rFonts w:cs="Times New Roman"/>
          <w:lang w:eastAsia="en-GB"/>
        </w:rPr>
      </w:pPr>
      <w:r w:rsidRPr="001D6AA0">
        <w:rPr>
          <w:rFonts w:cs="Times New Roman"/>
          <w:lang w:eastAsia="en-GB"/>
        </w:rPr>
        <w:t xml:space="preserve">This project designs a Halloween event at the Premier Inn Hotel in Loughborough using theoretical and practical frameworks. A thorough budget analysis assures financial stability, the EMBOK model manages events, and an industry trend study fits seasonal celebrations. The SWOT analysis assesses strengths, weaknesses, opportunities, and threats for market positioning and risk mitigation. The event has defined goals and thorough organisation to impress families and young adults. Nice activities and a decent setting draw a diverse population and boost event attractiveness. The Premier Inn Hotel's Halloween event is deliberately placed and supported by industry data to boost visitor pleasure, financial goals, and themed experience demand. Event strategy is key to a successful and sustainable Halloween celebration that meets consumer and operational goals. </w:t>
      </w:r>
    </w:p>
    <w:p w14:paraId="7F4DE87A" w14:textId="77777777" w:rsidR="00AB0203" w:rsidRPr="001D6AA0" w:rsidRDefault="00AB0203" w:rsidP="00AB0203">
      <w:pPr>
        <w:rPr>
          <w:rFonts w:cs="Times New Roman"/>
          <w:lang w:eastAsia="en-GB"/>
        </w:rPr>
      </w:pPr>
    </w:p>
    <w:p w14:paraId="6ADC8714" w14:textId="77777777" w:rsidR="00AB0203" w:rsidRPr="001D6AA0" w:rsidRDefault="00AB0203" w:rsidP="00AB0203">
      <w:pPr>
        <w:rPr>
          <w:rFonts w:cs="Times New Roman"/>
          <w:lang w:eastAsia="en-GB"/>
        </w:rPr>
      </w:pPr>
    </w:p>
    <w:p w14:paraId="293706B9" w14:textId="77777777" w:rsidR="00AB0203" w:rsidRPr="001D6AA0" w:rsidRDefault="00AB0203" w:rsidP="00AB0203">
      <w:pPr>
        <w:rPr>
          <w:rFonts w:cs="Times New Roman"/>
        </w:rPr>
      </w:pPr>
    </w:p>
    <w:p w14:paraId="3F09B5CF" w14:textId="77777777" w:rsidR="00AB0203" w:rsidRPr="001D6AA0" w:rsidRDefault="00AB0203" w:rsidP="00AB0203">
      <w:pPr>
        <w:rPr>
          <w:rFonts w:cs="Times New Roman"/>
        </w:rPr>
      </w:pPr>
    </w:p>
    <w:p w14:paraId="72908E6D" w14:textId="77777777" w:rsidR="00AB0203" w:rsidRPr="001D6AA0" w:rsidRDefault="00AB0203" w:rsidP="00AB0203">
      <w:pPr>
        <w:rPr>
          <w:rFonts w:cs="Times New Roman"/>
        </w:rPr>
      </w:pPr>
    </w:p>
    <w:p w14:paraId="2EB4EFB3" w14:textId="77777777" w:rsidR="00AB0203" w:rsidRPr="001D6AA0" w:rsidRDefault="00AB0203" w:rsidP="00AB0203">
      <w:pPr>
        <w:rPr>
          <w:rFonts w:cs="Times New Roman"/>
        </w:rPr>
      </w:pPr>
    </w:p>
    <w:p w14:paraId="6E5C627E" w14:textId="77777777" w:rsidR="00AB0203" w:rsidRPr="001D6AA0" w:rsidRDefault="00AB0203" w:rsidP="00AB0203">
      <w:pPr>
        <w:rPr>
          <w:rFonts w:cs="Times New Roman"/>
        </w:rPr>
      </w:pPr>
    </w:p>
    <w:p w14:paraId="693B6C04" w14:textId="77777777" w:rsidR="00AB0203" w:rsidRPr="001D6AA0" w:rsidRDefault="00AB0203" w:rsidP="00AB0203">
      <w:pPr>
        <w:rPr>
          <w:rFonts w:cs="Times New Roman"/>
        </w:rPr>
      </w:pPr>
    </w:p>
    <w:p w14:paraId="27ABB331" w14:textId="77777777" w:rsidR="00AB0203" w:rsidRPr="001D6AA0" w:rsidRDefault="00AB0203" w:rsidP="00AB0203">
      <w:pPr>
        <w:rPr>
          <w:rFonts w:cs="Times New Roman"/>
        </w:rPr>
      </w:pPr>
    </w:p>
    <w:p w14:paraId="01061B32" w14:textId="77777777" w:rsidR="00AB0203" w:rsidRPr="001D6AA0" w:rsidRDefault="00AB0203" w:rsidP="00AB0203">
      <w:pPr>
        <w:pStyle w:val="Heading1"/>
        <w:rPr>
          <w:rFonts w:cs="Times New Roman"/>
        </w:rPr>
      </w:pPr>
      <w:bookmarkStart w:id="11" w:name="_Toc181288548"/>
      <w:r w:rsidRPr="001D6AA0">
        <w:rPr>
          <w:rFonts w:cs="Times New Roman"/>
        </w:rPr>
        <w:lastRenderedPageBreak/>
        <w:t>References</w:t>
      </w:r>
      <w:bookmarkEnd w:id="11"/>
    </w:p>
    <w:p w14:paraId="624E1013" w14:textId="77777777" w:rsidR="00AB0203" w:rsidRPr="001D6AA0" w:rsidRDefault="00AB0203" w:rsidP="00AB0203">
      <w:pPr>
        <w:pStyle w:val="NormalWeb"/>
        <w:spacing w:before="0" w:beforeAutospacing="0" w:after="240" w:afterAutospacing="0" w:line="480" w:lineRule="auto"/>
        <w:jc w:val="both"/>
      </w:pPr>
      <w:r w:rsidRPr="001D6AA0">
        <w:t xml:space="preserve">Allen, J., O’Toole, W., Harris, R. and McDonnell, I. (2022). </w:t>
      </w:r>
      <w:r w:rsidRPr="001D6AA0">
        <w:rPr>
          <w:i/>
          <w:iCs/>
        </w:rPr>
        <w:t>Festival &amp; special event management</w:t>
      </w:r>
      <w:r w:rsidRPr="001D6AA0">
        <w:t>. 8th ed. Milton, Qld: John Wiley &amp; Sons Australia, Ltd.</w:t>
      </w:r>
    </w:p>
    <w:p w14:paraId="67CB8A9C" w14:textId="77777777" w:rsidR="00AB0203" w:rsidRPr="001D6AA0" w:rsidRDefault="00AB0203" w:rsidP="00AB0203">
      <w:pPr>
        <w:pStyle w:val="NormalWeb"/>
        <w:spacing w:before="0" w:beforeAutospacing="0" w:after="240" w:afterAutospacing="0" w:line="480" w:lineRule="auto"/>
        <w:jc w:val="both"/>
      </w:pPr>
      <w:r w:rsidRPr="001D6AA0">
        <w:t xml:space="preserve">Baker, C. (2024). Three-dimensional fear: the presence of narrative in theme park Halloween festivals. </w:t>
      </w:r>
      <w:r w:rsidRPr="001D6AA0">
        <w:rPr>
          <w:i/>
          <w:iCs/>
        </w:rPr>
        <w:t>Event Management</w:t>
      </w:r>
      <w:r w:rsidRPr="001D6AA0">
        <w:t>. doi:https://doi.org/10.3727/152599524x17077053867665.</w:t>
      </w:r>
    </w:p>
    <w:p w14:paraId="06916295" w14:textId="77777777" w:rsidR="00AB0203" w:rsidRPr="001D6AA0" w:rsidRDefault="00AB0203" w:rsidP="00AB0203">
      <w:pPr>
        <w:pStyle w:val="NormalWeb"/>
        <w:spacing w:before="0" w:beforeAutospacing="0" w:after="240" w:afterAutospacing="0" w:line="480" w:lineRule="auto"/>
        <w:jc w:val="both"/>
      </w:pPr>
      <w:r w:rsidRPr="001D6AA0">
        <w:t xml:space="preserve">Balci, E. and Berberoglu, B. (2022). Wasted pumpkins: a real Halloween horror story. </w:t>
      </w:r>
      <w:r w:rsidRPr="001D6AA0">
        <w:rPr>
          <w:i/>
          <w:iCs/>
        </w:rPr>
        <w:t>British Food Journal</w:t>
      </w:r>
      <w:r w:rsidRPr="001D6AA0">
        <w:t>, ahead-of-print(ahead-of-print). doi:https://doi.org/10.1108/bfj-07-2021-0823.</w:t>
      </w:r>
    </w:p>
    <w:p w14:paraId="127FB4CA" w14:textId="77777777" w:rsidR="00AB0203" w:rsidRPr="001D6AA0" w:rsidRDefault="00AB0203" w:rsidP="00AB0203">
      <w:pPr>
        <w:pStyle w:val="NormalWeb"/>
        <w:spacing w:before="0" w:beforeAutospacing="0" w:after="240" w:afterAutospacing="0" w:line="480" w:lineRule="auto"/>
        <w:jc w:val="both"/>
      </w:pPr>
      <w:r w:rsidRPr="001D6AA0">
        <w:t xml:space="preserve">Bartholomew, J. (2024). </w:t>
      </w:r>
      <w:r w:rsidRPr="001D6AA0">
        <w:rPr>
          <w:i/>
          <w:iCs/>
        </w:rPr>
        <w:t>‘It helps foster a sense of community’: Britons on rising popularity of Halloween</w:t>
      </w:r>
      <w:r w:rsidRPr="001D6AA0">
        <w:t xml:space="preserve">. [online] the Guardian. Available at: https://www.theguardian.com/lifeandstyle/2024/oct/30/britons-on-rising-popularity-halloween [Accessed </w:t>
      </w:r>
      <w:r>
        <w:t>28</w:t>
      </w:r>
      <w:r w:rsidRPr="001D6AA0">
        <w:t xml:space="preserve"> Oct. 2024].</w:t>
      </w:r>
    </w:p>
    <w:p w14:paraId="484767DF" w14:textId="77777777" w:rsidR="00AB0203" w:rsidRPr="001D6AA0" w:rsidRDefault="00AB0203" w:rsidP="00AB0203">
      <w:pPr>
        <w:pStyle w:val="NormalWeb"/>
        <w:spacing w:before="0" w:beforeAutospacing="0" w:after="240" w:afterAutospacing="0" w:line="480" w:lineRule="auto"/>
        <w:jc w:val="both"/>
      </w:pPr>
      <w:r w:rsidRPr="001D6AA0">
        <w:t xml:space="preserve">Becky, M. (2024). </w:t>
      </w:r>
      <w:r w:rsidRPr="001D6AA0">
        <w:rPr>
          <w:i/>
          <w:iCs/>
        </w:rPr>
        <w:t>The 14 Best Halloween Events in the UK 2024 | Experiencegift</w:t>
      </w:r>
      <w:r w:rsidRPr="001D6AA0">
        <w:t>. [online] Experiencegift. Available at: https://www.experiencegift.com/en/blog/best-halloween-events-in-the-uk/ [Accessed 3</w:t>
      </w:r>
      <w:r>
        <w:t>0</w:t>
      </w:r>
      <w:r w:rsidRPr="001D6AA0">
        <w:t xml:space="preserve"> Oct. 2024].</w:t>
      </w:r>
    </w:p>
    <w:p w14:paraId="7668C294" w14:textId="77777777" w:rsidR="00AB0203" w:rsidRPr="001D6AA0" w:rsidRDefault="00AB0203" w:rsidP="00AB0203">
      <w:pPr>
        <w:pStyle w:val="NormalWeb"/>
        <w:spacing w:before="0" w:beforeAutospacing="0" w:after="240" w:afterAutospacing="0" w:line="480" w:lineRule="auto"/>
        <w:jc w:val="both"/>
      </w:pPr>
      <w:r w:rsidRPr="001D6AA0">
        <w:t xml:space="preserve">Bladen, C., Kennell, J., Abson, E. and Wilde, N. (2018). </w:t>
      </w:r>
      <w:r w:rsidRPr="001D6AA0">
        <w:rPr>
          <w:i/>
          <w:iCs/>
        </w:rPr>
        <w:t>Events Management : an Introduction</w:t>
      </w:r>
      <w:r w:rsidRPr="001D6AA0">
        <w:t>. 2nd ed. Abingdon, Oxon ; New York, Ny: Routledge.</w:t>
      </w:r>
    </w:p>
    <w:p w14:paraId="2BFDAF8A" w14:textId="77777777" w:rsidR="00AB0203" w:rsidRPr="001D6AA0" w:rsidRDefault="00AB0203" w:rsidP="00AB0203">
      <w:pPr>
        <w:pStyle w:val="NormalWeb"/>
        <w:spacing w:before="0" w:beforeAutospacing="0" w:after="240" w:afterAutospacing="0" w:line="480" w:lineRule="auto"/>
        <w:jc w:val="both"/>
      </w:pPr>
      <w:r w:rsidRPr="001D6AA0">
        <w:t xml:space="preserve">Chaudhari, V. (2020). Business Model Development Towards Event Management in Manchester, UK. </w:t>
      </w:r>
      <w:r w:rsidRPr="001D6AA0">
        <w:rPr>
          <w:i/>
          <w:iCs/>
        </w:rPr>
        <w:t>Theseus.fi</w:t>
      </w:r>
      <w:r w:rsidRPr="001D6AA0">
        <w:t>. [online] doi:http://www.theseus.fi/handle/10024/344136.</w:t>
      </w:r>
    </w:p>
    <w:p w14:paraId="3E43F9B4" w14:textId="77777777" w:rsidR="00AB0203" w:rsidRPr="001D6AA0" w:rsidRDefault="00AB0203" w:rsidP="00AB0203">
      <w:pPr>
        <w:pStyle w:val="NormalWeb"/>
        <w:spacing w:before="0" w:beforeAutospacing="0" w:after="240" w:afterAutospacing="0" w:line="480" w:lineRule="auto"/>
        <w:jc w:val="both"/>
      </w:pPr>
      <w:r w:rsidRPr="001D6AA0">
        <w:t xml:space="preserve">Edwards, L. (2024). </w:t>
      </w:r>
      <w:r w:rsidRPr="001D6AA0">
        <w:rPr>
          <w:i/>
          <w:iCs/>
        </w:rPr>
        <w:t>Halloween statistics 2023: How much will the UK spend?</w:t>
      </w:r>
      <w:r w:rsidRPr="001D6AA0">
        <w:t xml:space="preserve"> [online] Finder UK. Available at: https://www.finder.com/uk/banking/halloween-statistics.</w:t>
      </w:r>
    </w:p>
    <w:p w14:paraId="50CF4D8D" w14:textId="77777777" w:rsidR="00AB0203" w:rsidRPr="001D6AA0" w:rsidRDefault="00AB0203" w:rsidP="00AB0203">
      <w:pPr>
        <w:pStyle w:val="NormalWeb"/>
        <w:spacing w:before="0" w:beforeAutospacing="0" w:after="240" w:afterAutospacing="0" w:line="480" w:lineRule="auto"/>
        <w:jc w:val="both"/>
      </w:pPr>
      <w:r w:rsidRPr="001D6AA0">
        <w:lastRenderedPageBreak/>
        <w:t xml:space="preserve">Evans, N. (2020). </w:t>
      </w:r>
      <w:r w:rsidRPr="001D6AA0">
        <w:rPr>
          <w:i/>
          <w:iCs/>
        </w:rPr>
        <w:t>Strategic management for tourism, hospitality and events</w:t>
      </w:r>
      <w:r w:rsidRPr="001D6AA0">
        <w:t>. New York: Routledge.</w:t>
      </w:r>
    </w:p>
    <w:p w14:paraId="3BDEE7ED" w14:textId="77777777" w:rsidR="00AB0203" w:rsidRPr="001D6AA0" w:rsidRDefault="00AB0203" w:rsidP="00AB0203">
      <w:pPr>
        <w:pStyle w:val="NormalWeb"/>
        <w:spacing w:before="0" w:beforeAutospacing="0" w:after="240" w:afterAutospacing="0" w:line="480" w:lineRule="auto"/>
        <w:jc w:val="both"/>
      </w:pPr>
      <w:r w:rsidRPr="001D6AA0">
        <w:t xml:space="preserve">Fox, D., Gouthro, M.B., Morakabati, Y. and Brackstone, J. (2014). </w:t>
      </w:r>
      <w:r w:rsidRPr="001D6AA0">
        <w:rPr>
          <w:i/>
          <w:iCs/>
        </w:rPr>
        <w:t>Doing events research : from theory to practice</w:t>
      </w:r>
      <w:r w:rsidRPr="001D6AA0">
        <w:t>. London: Routledge, Taylor &amp; Francis Group.</w:t>
      </w:r>
    </w:p>
    <w:p w14:paraId="7174306F" w14:textId="77777777" w:rsidR="00AB0203" w:rsidRPr="001D6AA0" w:rsidRDefault="00AB0203" w:rsidP="00AB0203">
      <w:pPr>
        <w:pStyle w:val="NormalWeb"/>
        <w:spacing w:before="0" w:beforeAutospacing="0" w:after="240" w:afterAutospacing="0" w:line="480" w:lineRule="auto"/>
        <w:jc w:val="both"/>
      </w:pPr>
      <w:r w:rsidRPr="001D6AA0">
        <w:t xml:space="preserve">Getz, D. and Page, S.J. (2019). </w:t>
      </w:r>
      <w:r w:rsidRPr="001D6AA0">
        <w:rPr>
          <w:i/>
          <w:iCs/>
        </w:rPr>
        <w:t>Event Studies : theory, Research and Policy for Planned Events</w:t>
      </w:r>
      <w:r w:rsidRPr="001D6AA0">
        <w:t>. 4th ed. London: Routledge.</w:t>
      </w:r>
    </w:p>
    <w:p w14:paraId="1172FB27" w14:textId="77777777" w:rsidR="00AB0203" w:rsidRPr="001D6AA0" w:rsidRDefault="00AB0203" w:rsidP="00AB0203">
      <w:pPr>
        <w:pStyle w:val="NormalWeb"/>
        <w:spacing w:before="0" w:beforeAutospacing="0" w:after="240" w:afterAutospacing="0" w:line="480" w:lineRule="auto"/>
        <w:jc w:val="both"/>
      </w:pPr>
      <w:r w:rsidRPr="001D6AA0">
        <w:t xml:space="preserve">Golz, L. (2022). Co-creation of experiences at dark tourism festivals. </w:t>
      </w:r>
      <w:r w:rsidRPr="001D6AA0">
        <w:rPr>
          <w:i/>
          <w:iCs/>
        </w:rPr>
        <w:t>International Conference on Tourism Research</w:t>
      </w:r>
      <w:r w:rsidRPr="001D6AA0">
        <w:t>, 15(1), pp.584–587. doi:https://doi.org/10.34190/ictr.15.1.121.</w:t>
      </w:r>
    </w:p>
    <w:p w14:paraId="0319BF25" w14:textId="77777777" w:rsidR="00AB0203" w:rsidRPr="001D6AA0" w:rsidRDefault="00AB0203" w:rsidP="00AB0203">
      <w:pPr>
        <w:pStyle w:val="NormalWeb"/>
        <w:spacing w:before="0" w:beforeAutospacing="0" w:after="240" w:afterAutospacing="0" w:line="480" w:lineRule="auto"/>
        <w:jc w:val="both"/>
      </w:pPr>
      <w:r w:rsidRPr="001D6AA0">
        <w:t xml:space="preserve">Golz, L. and Johnston, T. (2024). ‘We’re not all into death and doom … it’s more an appreciation of the macabre.’ Exploring brand success at dark tourism festivals. </w:t>
      </w:r>
      <w:r w:rsidRPr="001D6AA0">
        <w:rPr>
          <w:i/>
          <w:iCs/>
        </w:rPr>
        <w:t>Journal of Tourism and Cultural Change</w:t>
      </w:r>
      <w:r w:rsidRPr="001D6AA0">
        <w:t>, 22(4), pp.456–473. doi:https://doi.org/10.1080/14766825.2024.2405939.</w:t>
      </w:r>
    </w:p>
    <w:p w14:paraId="0DC695DB" w14:textId="77777777" w:rsidR="00AB0203" w:rsidRPr="001D6AA0" w:rsidRDefault="00AB0203" w:rsidP="00AB0203">
      <w:pPr>
        <w:pStyle w:val="NormalWeb"/>
        <w:spacing w:before="0" w:beforeAutospacing="0" w:after="240" w:afterAutospacing="0" w:line="480" w:lineRule="auto"/>
        <w:jc w:val="both"/>
      </w:pPr>
      <w:r w:rsidRPr="001D6AA0">
        <w:t xml:space="preserve">Hewitson, R. (2024). </w:t>
      </w:r>
      <w:r w:rsidRPr="001D6AA0">
        <w:rPr>
          <w:i/>
          <w:iCs/>
        </w:rPr>
        <w:t>Halloween in London 2024: Spooky Activities To Celebrate</w:t>
      </w:r>
      <w:r w:rsidRPr="001D6AA0">
        <w:t xml:space="preserve">. [online] Time Out London. Available at: https://www.timeout.com/london/things-to-do/halloween-in-london [Accessed </w:t>
      </w:r>
      <w:r>
        <w:t>26</w:t>
      </w:r>
      <w:r w:rsidRPr="001D6AA0">
        <w:t xml:space="preserve"> Oct. 2024].</w:t>
      </w:r>
    </w:p>
    <w:p w14:paraId="166FBADF" w14:textId="77777777" w:rsidR="00AB0203" w:rsidRPr="001D6AA0" w:rsidRDefault="00AB0203" w:rsidP="00AB0203">
      <w:pPr>
        <w:pStyle w:val="NormalWeb"/>
        <w:spacing w:before="0" w:beforeAutospacing="0" w:after="240" w:afterAutospacing="0" w:line="480" w:lineRule="auto"/>
        <w:jc w:val="both"/>
      </w:pPr>
      <w:r w:rsidRPr="001D6AA0">
        <w:t xml:space="preserve">Kenourgios, D. and Samios, Y. (2021). Halloween effect and active fund management. </w:t>
      </w:r>
      <w:r w:rsidRPr="001D6AA0">
        <w:rPr>
          <w:i/>
          <w:iCs/>
        </w:rPr>
        <w:t>The Quarterly Review of Economics and Finance</w:t>
      </w:r>
      <w:r w:rsidRPr="001D6AA0">
        <w:t>, 80, pp.534–544. doi:https://doi.org/10.1016/j.qref.2021.04.006.</w:t>
      </w:r>
    </w:p>
    <w:p w14:paraId="5760ABFE" w14:textId="77777777" w:rsidR="00AB0203" w:rsidRPr="001D6AA0" w:rsidRDefault="00AB0203" w:rsidP="00AB0203">
      <w:pPr>
        <w:pStyle w:val="NormalWeb"/>
        <w:spacing w:before="0" w:beforeAutospacing="0" w:after="240" w:afterAutospacing="0" w:line="480" w:lineRule="auto"/>
        <w:jc w:val="both"/>
      </w:pPr>
      <w:r w:rsidRPr="001D6AA0">
        <w:t xml:space="preserve">Madray, J.S. (2020). </w:t>
      </w:r>
      <w:r w:rsidRPr="001D6AA0">
        <w:rPr>
          <w:i/>
          <w:iCs/>
        </w:rPr>
        <w:t>The Impact of COVID-19 on Event Management Industry</w:t>
      </w:r>
      <w:r w:rsidRPr="001D6AA0">
        <w:t>. [online] papers.ssrn.com. Available at: https://papers.ssrn.com/sol3/papers.cfm?abstract_id=3689499.</w:t>
      </w:r>
    </w:p>
    <w:p w14:paraId="32B304D8" w14:textId="77777777" w:rsidR="00AB0203" w:rsidRPr="001D6AA0" w:rsidRDefault="00AB0203" w:rsidP="00AB0203">
      <w:pPr>
        <w:pStyle w:val="NormalWeb"/>
        <w:spacing w:before="0" w:beforeAutospacing="0" w:after="240" w:afterAutospacing="0" w:line="480" w:lineRule="auto"/>
        <w:jc w:val="both"/>
      </w:pPr>
      <w:r w:rsidRPr="001D6AA0">
        <w:lastRenderedPageBreak/>
        <w:t xml:space="preserve">Priyangika, K.D.T., Perera, B.A.K.S. and Karunaratne, T.L. (2019). Facilities Management Roles in the Hotel Industry: The Skills and Competencies Required. </w:t>
      </w:r>
      <w:r w:rsidRPr="001D6AA0">
        <w:rPr>
          <w:i/>
          <w:iCs/>
        </w:rPr>
        <w:t>Journal of Quality Assurance in Hospitality &amp; Tourism</w:t>
      </w:r>
      <w:r w:rsidRPr="001D6AA0">
        <w:t>, pp.1–20. doi:https://doi.org/10.1080/1528008x.2019.1679060.</w:t>
      </w:r>
    </w:p>
    <w:p w14:paraId="18CD9695" w14:textId="77777777" w:rsidR="00AB0203" w:rsidRPr="001D6AA0" w:rsidRDefault="00AB0203" w:rsidP="00AB0203">
      <w:pPr>
        <w:pStyle w:val="NormalWeb"/>
        <w:spacing w:before="0" w:beforeAutospacing="0" w:after="240" w:afterAutospacing="0" w:line="480" w:lineRule="auto"/>
        <w:jc w:val="both"/>
      </w:pPr>
      <w:r w:rsidRPr="001D6AA0">
        <w:t xml:space="preserve">Rossetti, G., Wyatt, B. and Ali, J. (2023). </w:t>
      </w:r>
      <w:r w:rsidRPr="001D6AA0">
        <w:rPr>
          <w:i/>
          <w:iCs/>
        </w:rPr>
        <w:t>Festivals and Edutainment</w:t>
      </w:r>
      <w:r w:rsidRPr="001D6AA0">
        <w:t>. Routledge.</w:t>
      </w:r>
    </w:p>
    <w:p w14:paraId="221689E1" w14:textId="77777777" w:rsidR="00AB0203" w:rsidRPr="001D6AA0" w:rsidRDefault="00AB0203" w:rsidP="00AB0203">
      <w:pPr>
        <w:pStyle w:val="NormalWeb"/>
        <w:spacing w:before="0" w:beforeAutospacing="0" w:after="240" w:afterAutospacing="0" w:line="480" w:lineRule="auto"/>
        <w:jc w:val="both"/>
      </w:pPr>
      <w:r w:rsidRPr="001D6AA0">
        <w:t>Silva, D.G., Ntounis and Paiva, D. (2024). Hauntological and Dissonant Atmospheres of the UK High Street: Consuming Manchester’s Halloween in the City. [online] doi:https://doi.org/10.2139/ssrn.4871777.</w:t>
      </w:r>
    </w:p>
    <w:p w14:paraId="55B4359C" w14:textId="77777777" w:rsidR="00AB0203" w:rsidRPr="001D6AA0" w:rsidRDefault="00AB0203" w:rsidP="00AB0203">
      <w:pPr>
        <w:pStyle w:val="NormalWeb"/>
        <w:spacing w:before="0" w:beforeAutospacing="0" w:after="240" w:afterAutospacing="0" w:line="480" w:lineRule="auto"/>
        <w:jc w:val="both"/>
      </w:pPr>
      <w:r w:rsidRPr="001D6AA0">
        <w:t xml:space="preserve">Smith, E. (2024). </w:t>
      </w:r>
      <w:r w:rsidRPr="001D6AA0">
        <w:rPr>
          <w:i/>
          <w:iCs/>
        </w:rPr>
        <w:t>Frightening Cinema Festivals</w:t>
      </w:r>
      <w:r w:rsidRPr="001D6AA0">
        <w:t>. [online] TrendHunter.com. Available at: https://www.trendhunter.com/trends/special-halloween-event [Accessed 3</w:t>
      </w:r>
      <w:r>
        <w:t>0</w:t>
      </w:r>
      <w:r w:rsidRPr="001D6AA0">
        <w:t xml:space="preserve"> Oct. 2024].</w:t>
      </w:r>
    </w:p>
    <w:p w14:paraId="7D797656" w14:textId="77777777" w:rsidR="00AB0203" w:rsidRPr="001D6AA0" w:rsidRDefault="00AB0203" w:rsidP="00AB0203">
      <w:pPr>
        <w:pStyle w:val="NormalWeb"/>
        <w:spacing w:before="0" w:beforeAutospacing="0" w:after="240" w:afterAutospacing="0" w:line="480" w:lineRule="auto"/>
        <w:jc w:val="both"/>
      </w:pPr>
      <w:r w:rsidRPr="001D6AA0">
        <w:t xml:space="preserve">Ushakov, R.N., KRYUKOVA, E.M., KHETAGUROVA, V.S., MUKHOMOROVA, I.V. and ZELENOV, V.V. (2020). Efficiency of Hotel Management. Training of Specialists in Hotel Industry Field. </w:t>
      </w:r>
      <w:r w:rsidRPr="001D6AA0">
        <w:rPr>
          <w:i/>
          <w:iCs/>
        </w:rPr>
        <w:t>Journal of Environmental Management and Tourism</w:t>
      </w:r>
      <w:r w:rsidRPr="001D6AA0">
        <w:t>, 11(2), p.388. doi:https://doi.org/10.14505//jemt.11.2(42).17.</w:t>
      </w:r>
    </w:p>
    <w:p w14:paraId="37BDCB30" w14:textId="77777777" w:rsidR="00AB0203" w:rsidRPr="001D6AA0" w:rsidRDefault="00AB0203" w:rsidP="00AB0203">
      <w:pPr>
        <w:pStyle w:val="NormalWeb"/>
        <w:spacing w:before="0" w:beforeAutospacing="0" w:after="240" w:afterAutospacing="0" w:line="480" w:lineRule="auto"/>
        <w:jc w:val="both"/>
      </w:pPr>
      <w:r w:rsidRPr="001D6AA0">
        <w:t xml:space="preserve">Werner, K., Junek, O. and Wang, C. (2021). Event Management Skills in the post COVID-19 World: Insights from UK, China, Germany and Australia. </w:t>
      </w:r>
      <w:r w:rsidRPr="001D6AA0">
        <w:rPr>
          <w:i/>
          <w:iCs/>
        </w:rPr>
        <w:t>Event Management</w:t>
      </w:r>
      <w:r w:rsidRPr="001D6AA0">
        <w:t>, 26(4), pp.867–882. doi:https://doi.org/10.3727/152599521x16288665119558.</w:t>
      </w:r>
    </w:p>
    <w:p w14:paraId="0728B35A" w14:textId="77777777" w:rsidR="00AB0203" w:rsidRPr="001D6AA0" w:rsidRDefault="00AB0203" w:rsidP="00AB0203">
      <w:pPr>
        <w:pStyle w:val="NormalWeb"/>
        <w:spacing w:before="0" w:beforeAutospacing="0" w:after="240" w:afterAutospacing="0" w:line="480" w:lineRule="auto"/>
        <w:jc w:val="both"/>
      </w:pPr>
      <w:r w:rsidRPr="001D6AA0">
        <w:t xml:space="preserve">Wyatt, B. (2024). Storytelling for festival experiences: A teaching and learning note for the Special Issue, Festivals and Storytelling. </w:t>
      </w:r>
      <w:r w:rsidRPr="001D6AA0">
        <w:rPr>
          <w:i/>
          <w:iCs/>
        </w:rPr>
        <w:t>Event Management</w:t>
      </w:r>
      <w:r w:rsidRPr="001D6AA0">
        <w:t>, [online] 28(4), pp.661–671. doi:https://doi.org/10.3727/152599524x17126315131386.</w:t>
      </w:r>
    </w:p>
    <w:p w14:paraId="3F753F0A" w14:textId="77777777" w:rsidR="00AB0203" w:rsidRPr="001D6AA0" w:rsidRDefault="00AB0203" w:rsidP="00AB0203">
      <w:pPr>
        <w:pStyle w:val="NormalWeb"/>
        <w:spacing w:before="0" w:beforeAutospacing="0" w:after="240" w:afterAutospacing="0" w:line="480" w:lineRule="auto"/>
        <w:jc w:val="both"/>
      </w:pPr>
      <w:r w:rsidRPr="001D6AA0">
        <w:lastRenderedPageBreak/>
        <w:t xml:space="preserve">Wybrow, L. (2024). </w:t>
      </w:r>
      <w:r w:rsidRPr="001D6AA0">
        <w:rPr>
          <w:i/>
          <w:iCs/>
        </w:rPr>
        <w:t>Best Halloween events across the UK: the spookiest castles to scare mazes</w:t>
      </w:r>
      <w:r w:rsidRPr="001D6AA0">
        <w:t>. [online] Radio Times. Available at: https://www.radiotimes.com/going-out/best-halloween-events-uk/ [Accessed 2</w:t>
      </w:r>
      <w:r>
        <w:t>7 Oct</w:t>
      </w:r>
      <w:r w:rsidRPr="001D6AA0">
        <w:t>. 2024].</w:t>
      </w:r>
    </w:p>
    <w:p w14:paraId="10003715" w14:textId="77777777" w:rsidR="00AB0203" w:rsidRPr="001D6AA0" w:rsidRDefault="00AB0203" w:rsidP="00AB0203">
      <w:pPr>
        <w:pStyle w:val="NormalWeb"/>
        <w:spacing w:before="0" w:beforeAutospacing="0" w:after="240" w:afterAutospacing="0" w:line="480" w:lineRule="auto"/>
        <w:jc w:val="both"/>
      </w:pPr>
      <w:r w:rsidRPr="001D6AA0">
        <w:t xml:space="preserve">Ybrea.co.uk (2024). </w:t>
      </w:r>
      <w:r w:rsidRPr="001D6AA0">
        <w:rPr>
          <w:i/>
          <w:iCs/>
        </w:rPr>
        <w:t>Halloween Trends in England 2024: A Spooky Spectacle</w:t>
      </w:r>
      <w:r w:rsidRPr="001D6AA0">
        <w:t>. [online] Ybrea.co.uk. Available at: https://www.ybrea.co.uk/news/halloween-trends-in-england-2024-a-spooky-spectacle [Accessed 31 Oct. 2024].</w:t>
      </w:r>
    </w:p>
    <w:p w14:paraId="734DC8F0" w14:textId="77777777" w:rsidR="00AB0203" w:rsidRPr="001D6AA0" w:rsidRDefault="00AB0203" w:rsidP="00AB0203">
      <w:pPr>
        <w:pStyle w:val="NormalWeb"/>
        <w:spacing w:before="0" w:beforeAutospacing="0" w:after="240" w:afterAutospacing="0" w:line="480" w:lineRule="auto"/>
        <w:jc w:val="both"/>
      </w:pPr>
      <w:r w:rsidRPr="001D6AA0">
        <w:t xml:space="preserve">Ziakas, V. (2021). </w:t>
      </w:r>
      <w:r w:rsidRPr="001D6AA0">
        <w:rPr>
          <w:i/>
          <w:iCs/>
        </w:rPr>
        <w:t>Strategic event leveraging : models, practices and prospects</w:t>
      </w:r>
      <w:r w:rsidRPr="001D6AA0">
        <w:t>. Boston, Ma: Cab International.</w:t>
      </w:r>
    </w:p>
    <w:p w14:paraId="0A2294C1" w14:textId="77777777" w:rsidR="00AB0203" w:rsidRPr="001D6AA0" w:rsidRDefault="00AB0203" w:rsidP="00AB0203">
      <w:pPr>
        <w:rPr>
          <w:rFonts w:cs="Times New Roman"/>
          <w:lang w:eastAsia="en-GB"/>
        </w:rPr>
      </w:pPr>
      <w:r w:rsidRPr="001D6AA0">
        <w:rPr>
          <w:rFonts w:cs="Times New Roman"/>
          <w:lang w:eastAsia="en-GB"/>
        </w:rPr>
        <w:br/>
      </w:r>
      <w:r w:rsidRPr="001D6AA0">
        <w:rPr>
          <w:rFonts w:cs="Times New Roman"/>
          <w:lang w:eastAsia="en-GB"/>
        </w:rPr>
        <w:br/>
      </w:r>
      <w:r w:rsidRPr="001D6AA0">
        <w:rPr>
          <w:rFonts w:cs="Times New Roman"/>
          <w:lang w:eastAsia="en-GB"/>
        </w:rPr>
        <w:br/>
      </w:r>
      <w:r w:rsidRPr="001D6AA0">
        <w:rPr>
          <w:rFonts w:cs="Times New Roman"/>
          <w:lang w:eastAsia="en-GB"/>
        </w:rPr>
        <w:br/>
      </w:r>
      <w:r w:rsidRPr="001D6AA0">
        <w:rPr>
          <w:rFonts w:cs="Times New Roman"/>
          <w:lang w:eastAsia="en-GB"/>
        </w:rPr>
        <w:br/>
      </w:r>
    </w:p>
    <w:p w14:paraId="6BB16370" w14:textId="77777777" w:rsidR="00AB0203" w:rsidRPr="001D6AA0" w:rsidRDefault="00AB0203" w:rsidP="00AB0203">
      <w:pPr>
        <w:rPr>
          <w:rFonts w:cs="Times New Roman"/>
        </w:rPr>
      </w:pPr>
    </w:p>
    <w:p w14:paraId="4D02F2A5" w14:textId="7FBFBF82" w:rsidR="00422A17" w:rsidRDefault="00422A17"/>
    <w:sectPr w:rsidR="00422A17" w:rsidSect="00AB0203">
      <w:footerReference w:type="default" r:id="rI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6165347"/>
      <w:docPartObj>
        <w:docPartGallery w:val="Page Numbers (Bottom of Page)"/>
        <w:docPartUnique/>
      </w:docPartObj>
    </w:sdtPr>
    <w:sdtEndPr>
      <w:rPr>
        <w:noProof/>
      </w:rPr>
    </w:sdtEndPr>
    <w:sdtContent>
      <w:p w14:paraId="519997F2" w14:textId="77777777" w:rsidR="00000000" w:rsidRDefault="00000000">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0C6702F2"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C9D"/>
    <w:rsid w:val="00242C9D"/>
    <w:rsid w:val="002E5EBE"/>
    <w:rsid w:val="00422A17"/>
    <w:rsid w:val="007B169C"/>
    <w:rsid w:val="007C77D1"/>
    <w:rsid w:val="00AB0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B43BD"/>
  <w15:chartTrackingRefBased/>
  <w15:docId w15:val="{05F3549C-E25E-46F9-93F5-400715F9F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03"/>
    <w:pPr>
      <w:spacing w:line="48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242C9D"/>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242C9D"/>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42C9D"/>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42C9D"/>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242C9D"/>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242C9D"/>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242C9D"/>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242C9D"/>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242C9D"/>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2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2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C9D"/>
    <w:rPr>
      <w:rFonts w:eastAsiaTheme="majorEastAsia" w:cstheme="majorBidi"/>
      <w:color w:val="272727" w:themeColor="text1" w:themeTint="D8"/>
    </w:rPr>
  </w:style>
  <w:style w:type="paragraph" w:styleId="Title">
    <w:name w:val="Title"/>
    <w:basedOn w:val="Normal"/>
    <w:next w:val="Normal"/>
    <w:link w:val="TitleChar"/>
    <w:uiPriority w:val="10"/>
    <w:qFormat/>
    <w:rsid w:val="00242C9D"/>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42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C9D"/>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42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C9D"/>
    <w:pPr>
      <w:spacing w:before="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242C9D"/>
    <w:rPr>
      <w:i/>
      <w:iCs/>
      <w:color w:val="404040" w:themeColor="text1" w:themeTint="BF"/>
    </w:rPr>
  </w:style>
  <w:style w:type="paragraph" w:styleId="ListParagraph">
    <w:name w:val="List Paragraph"/>
    <w:basedOn w:val="Normal"/>
    <w:uiPriority w:val="34"/>
    <w:qFormat/>
    <w:rsid w:val="00242C9D"/>
    <w:pPr>
      <w:spacing w:line="259" w:lineRule="auto"/>
      <w:ind w:left="720"/>
      <w:contextualSpacing/>
      <w:jc w:val="left"/>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242C9D"/>
    <w:rPr>
      <w:i/>
      <w:iCs/>
      <w:color w:val="0F4761" w:themeColor="accent1" w:themeShade="BF"/>
    </w:rPr>
  </w:style>
  <w:style w:type="paragraph" w:styleId="IntenseQuote">
    <w:name w:val="Intense Quote"/>
    <w:basedOn w:val="Normal"/>
    <w:next w:val="Normal"/>
    <w:link w:val="IntenseQuoteChar"/>
    <w:uiPriority w:val="30"/>
    <w:qFormat/>
    <w:rsid w:val="00242C9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242C9D"/>
    <w:rPr>
      <w:i/>
      <w:iCs/>
      <w:color w:val="0F4761" w:themeColor="accent1" w:themeShade="BF"/>
    </w:rPr>
  </w:style>
  <w:style w:type="character" w:styleId="IntenseReference">
    <w:name w:val="Intense Reference"/>
    <w:basedOn w:val="DefaultParagraphFont"/>
    <w:uiPriority w:val="32"/>
    <w:qFormat/>
    <w:rsid w:val="00242C9D"/>
    <w:rPr>
      <w:b/>
      <w:bCs/>
      <w:smallCaps/>
      <w:color w:val="0F4761" w:themeColor="accent1" w:themeShade="BF"/>
      <w:spacing w:val="5"/>
    </w:rPr>
  </w:style>
  <w:style w:type="paragraph" w:styleId="NormalWeb">
    <w:name w:val="Normal (Web)"/>
    <w:basedOn w:val="Normal"/>
    <w:uiPriority w:val="99"/>
    <w:semiHidden/>
    <w:unhideWhenUsed/>
    <w:rsid w:val="00AB0203"/>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AB0203"/>
    <w:rPr>
      <w:b/>
      <w:bCs/>
    </w:rPr>
  </w:style>
  <w:style w:type="table" w:styleId="GridTable4-Accent6">
    <w:name w:val="Grid Table 4 Accent 6"/>
    <w:basedOn w:val="TableNormal"/>
    <w:uiPriority w:val="49"/>
    <w:rsid w:val="00AB0203"/>
    <w:pPr>
      <w:spacing w:after="0" w:line="240" w:lineRule="auto"/>
    </w:pPr>
    <w:rPr>
      <w:kern w:val="0"/>
      <w:lang w:val="en-US"/>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Footer">
    <w:name w:val="footer"/>
    <w:basedOn w:val="Normal"/>
    <w:link w:val="FooterChar"/>
    <w:uiPriority w:val="99"/>
    <w:unhideWhenUsed/>
    <w:rsid w:val="00AB02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203"/>
    <w:rPr>
      <w:rFonts w:ascii="Times New Roman" w:hAnsi="Times New Roman"/>
      <w:kern w:val="0"/>
      <w:sz w:val="24"/>
      <w14:ligatures w14:val="none"/>
    </w:rPr>
  </w:style>
  <w:style w:type="paragraph" w:styleId="TOCHeading">
    <w:name w:val="TOC Heading"/>
    <w:basedOn w:val="Heading1"/>
    <w:next w:val="Normal"/>
    <w:uiPriority w:val="39"/>
    <w:unhideWhenUsed/>
    <w:qFormat/>
    <w:rsid w:val="00AB020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B0203"/>
    <w:pPr>
      <w:spacing w:after="100"/>
    </w:pPr>
  </w:style>
  <w:style w:type="paragraph" w:styleId="TOC2">
    <w:name w:val="toc 2"/>
    <w:basedOn w:val="Normal"/>
    <w:next w:val="Normal"/>
    <w:autoRedefine/>
    <w:uiPriority w:val="39"/>
    <w:unhideWhenUsed/>
    <w:rsid w:val="00AB0203"/>
    <w:pPr>
      <w:spacing w:after="100"/>
      <w:ind w:left="240"/>
    </w:pPr>
  </w:style>
  <w:style w:type="character" w:styleId="Hyperlink">
    <w:name w:val="Hyperlink"/>
    <w:basedOn w:val="DefaultParagraphFont"/>
    <w:uiPriority w:val="99"/>
    <w:unhideWhenUsed/>
    <w:rsid w:val="00AB020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openxmlformats.org/officeDocument/2006/relationships/diagramColors" Target="diagrams/colors2.xm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diagramQuickStyle" Target="diagrams/quickStyle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diagramLayout" Target="diagrams/layout2.xml"/><Relationship Id="rId5" Type="http://schemas.openxmlformats.org/officeDocument/2006/relationships/diagramLayout" Target="diagrams/layout1.xml"/><Relationship Id="rId15" Type="http://schemas.openxmlformats.org/officeDocument/2006/relationships/footer" Target="footer1.xml"/><Relationship Id="rId10" Type="http://schemas.openxmlformats.org/officeDocument/2006/relationships/diagramData" Target="diagrams/data2.xml"/><Relationship Id="rId4" Type="http://schemas.openxmlformats.org/officeDocument/2006/relationships/diagramData" Target="diagrams/data1.xml"/><Relationship Id="rId9" Type="http://schemas.openxmlformats.org/officeDocument/2006/relationships/image" Target="media/image1.gif"/><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69F42F-1993-4D2F-B166-73FC2DD97581}" type="doc">
      <dgm:prSet loTypeId="urn:microsoft.com/office/officeart/2005/8/layout/bProcess3" loCatId="process" qsTypeId="urn:microsoft.com/office/officeart/2005/8/quickstyle/simple1" qsCatId="simple" csTypeId="urn:microsoft.com/office/officeart/2005/8/colors/colorful5" csCatId="colorful" phldr="1"/>
      <dgm:spPr/>
      <dgm:t>
        <a:bodyPr/>
        <a:lstStyle/>
        <a:p>
          <a:endParaRPr lang="en-GB"/>
        </a:p>
      </dgm:t>
    </dgm:pt>
    <dgm:pt modelId="{08CF9F23-D8B3-42F7-80B8-3D97796F07DB}">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Initiation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76A88776-5ABC-4542-A260-77083B39C14B}" type="parTrans" cxnId="{F5C11170-BA18-4C5A-BBD6-F3460CFFD285}">
      <dgm:prSet/>
      <dgm:spPr/>
      <dgm:t>
        <a:bodyPr/>
        <a:lstStyle/>
        <a:p>
          <a:endParaRPr lang="en-GB"/>
        </a:p>
      </dgm:t>
    </dgm:pt>
    <dgm:pt modelId="{7A4AFB40-BBCB-40EB-BE07-7495EA233052}" type="sibTrans" cxnId="{F5C11170-BA18-4C5A-BBD6-F3460CFFD285}">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226E51CC-8F4E-4CC4-94B1-5E23EA749173}">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Planning</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9AF1E0EA-977C-40FF-ACE9-9BE5F715A7BC}" type="parTrans" cxnId="{CECBC932-DE60-4C52-BCB6-6B691496ED9B}">
      <dgm:prSet/>
      <dgm:spPr/>
      <dgm:t>
        <a:bodyPr/>
        <a:lstStyle/>
        <a:p>
          <a:endParaRPr lang="en-GB"/>
        </a:p>
      </dgm:t>
    </dgm:pt>
    <dgm:pt modelId="{7A37D756-18C6-40AE-BBF9-7C18AAE62A21}" type="sibTrans" cxnId="{CECBC932-DE60-4C52-BCB6-6B691496ED9B}">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2D56DBDF-2D5A-4995-A7BF-81809437B7C3}">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Implementation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D614ACE1-D279-4F8F-8A1F-E5F1B58D0EAA}" type="parTrans" cxnId="{21071DB3-61CD-4B03-8391-1242DD00C738}">
      <dgm:prSet/>
      <dgm:spPr/>
      <dgm:t>
        <a:bodyPr/>
        <a:lstStyle/>
        <a:p>
          <a:endParaRPr lang="en-GB"/>
        </a:p>
      </dgm:t>
    </dgm:pt>
    <dgm:pt modelId="{0023DB75-8D5D-44D2-91FB-4E3F21E17AC2}" type="sibTrans" cxnId="{21071DB3-61CD-4B03-8391-1242DD00C738}">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E7EF09FC-2300-4FD4-97D8-D06F2F22D87D}">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Closure</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ACD9ECB2-F99E-4898-A123-6CD2F68122C0}" type="parTrans" cxnId="{C55D41ED-FE41-46D1-A4C9-847AA27A3C22}">
      <dgm:prSet/>
      <dgm:spPr/>
      <dgm:t>
        <a:bodyPr/>
        <a:lstStyle/>
        <a:p>
          <a:endParaRPr lang="en-GB"/>
        </a:p>
      </dgm:t>
    </dgm:pt>
    <dgm:pt modelId="{D42F222D-1A5E-4E88-AE11-99A7C9DA12EF}" type="sibTrans" cxnId="{C55D41ED-FE41-46D1-A4C9-847AA27A3C22}">
      <dgm:prSet/>
      <dgm:spPr/>
      <dgm:t>
        <a:bodyPr/>
        <a:lstStyle/>
        <a:p>
          <a:endParaRPr lang="en-GB"/>
        </a:p>
      </dgm:t>
    </dgm:pt>
    <dgm:pt modelId="{1C873E8C-9748-4DF4-82D3-847BE29150C6}">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Event Day</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A4E0FD5E-B11D-43A1-8A1A-293396EF9F25}" type="parTrans" cxnId="{C4076D42-6217-4868-B510-5C44A94A9A7D}">
      <dgm:prSet/>
      <dgm:spPr/>
      <dgm:t>
        <a:bodyPr/>
        <a:lstStyle/>
        <a:p>
          <a:endParaRPr lang="en-GB"/>
        </a:p>
      </dgm:t>
    </dgm:pt>
    <dgm:pt modelId="{17204D23-F207-493B-9F47-10112FE0A50D}" type="sibTrans" cxnId="{C4076D42-6217-4868-B510-5C44A94A9A7D}">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37E3C291-4E61-490B-A495-D42C25283E02}" type="pres">
      <dgm:prSet presAssocID="{FF69F42F-1993-4D2F-B166-73FC2DD97581}" presName="Name0" presStyleCnt="0">
        <dgm:presLayoutVars>
          <dgm:dir/>
          <dgm:resizeHandles val="exact"/>
        </dgm:presLayoutVars>
      </dgm:prSet>
      <dgm:spPr/>
    </dgm:pt>
    <dgm:pt modelId="{916F1589-D2C1-48F5-BCBE-B4EB6CBC93FB}" type="pres">
      <dgm:prSet presAssocID="{08CF9F23-D8B3-42F7-80B8-3D97796F07DB}" presName="node" presStyleLbl="node1" presStyleIdx="0" presStyleCnt="5">
        <dgm:presLayoutVars>
          <dgm:bulletEnabled val="1"/>
        </dgm:presLayoutVars>
      </dgm:prSet>
      <dgm:spPr/>
    </dgm:pt>
    <dgm:pt modelId="{2FB3FDED-A4CE-46B0-8F56-A4CD58F955BD}" type="pres">
      <dgm:prSet presAssocID="{7A4AFB40-BBCB-40EB-BE07-7495EA233052}" presName="sibTrans" presStyleLbl="sibTrans1D1" presStyleIdx="0" presStyleCnt="4"/>
      <dgm:spPr/>
    </dgm:pt>
    <dgm:pt modelId="{F15D1476-4543-465C-AC80-CB1F9DFF14B3}" type="pres">
      <dgm:prSet presAssocID="{7A4AFB40-BBCB-40EB-BE07-7495EA233052}" presName="connectorText" presStyleLbl="sibTrans1D1" presStyleIdx="0" presStyleCnt="4"/>
      <dgm:spPr/>
    </dgm:pt>
    <dgm:pt modelId="{54680CD7-3B12-4BC3-AAA7-8C6A95CE7607}" type="pres">
      <dgm:prSet presAssocID="{226E51CC-8F4E-4CC4-94B1-5E23EA749173}" presName="node" presStyleLbl="node1" presStyleIdx="1" presStyleCnt="5">
        <dgm:presLayoutVars>
          <dgm:bulletEnabled val="1"/>
        </dgm:presLayoutVars>
      </dgm:prSet>
      <dgm:spPr/>
    </dgm:pt>
    <dgm:pt modelId="{862B4485-3034-4304-982A-AF9055705DF5}" type="pres">
      <dgm:prSet presAssocID="{7A37D756-18C6-40AE-BBF9-7C18AAE62A21}" presName="sibTrans" presStyleLbl="sibTrans1D1" presStyleIdx="1" presStyleCnt="4"/>
      <dgm:spPr/>
    </dgm:pt>
    <dgm:pt modelId="{6C5D0818-29A2-4750-9675-7B9073AC4EA9}" type="pres">
      <dgm:prSet presAssocID="{7A37D756-18C6-40AE-BBF9-7C18AAE62A21}" presName="connectorText" presStyleLbl="sibTrans1D1" presStyleIdx="1" presStyleCnt="4"/>
      <dgm:spPr/>
    </dgm:pt>
    <dgm:pt modelId="{CEE63CA6-0E61-49A1-AC86-1F53330FF1E3}" type="pres">
      <dgm:prSet presAssocID="{2D56DBDF-2D5A-4995-A7BF-81809437B7C3}" presName="node" presStyleLbl="node1" presStyleIdx="2" presStyleCnt="5">
        <dgm:presLayoutVars>
          <dgm:bulletEnabled val="1"/>
        </dgm:presLayoutVars>
      </dgm:prSet>
      <dgm:spPr/>
    </dgm:pt>
    <dgm:pt modelId="{BF99BE6E-29C8-4F62-ADD0-A4AA997C87CE}" type="pres">
      <dgm:prSet presAssocID="{0023DB75-8D5D-44D2-91FB-4E3F21E17AC2}" presName="sibTrans" presStyleLbl="sibTrans1D1" presStyleIdx="2" presStyleCnt="4"/>
      <dgm:spPr/>
    </dgm:pt>
    <dgm:pt modelId="{CDFFBE00-16FD-4C72-9076-3671C2384716}" type="pres">
      <dgm:prSet presAssocID="{0023DB75-8D5D-44D2-91FB-4E3F21E17AC2}" presName="connectorText" presStyleLbl="sibTrans1D1" presStyleIdx="2" presStyleCnt="4"/>
      <dgm:spPr/>
    </dgm:pt>
    <dgm:pt modelId="{4AA81967-C658-4100-B98F-5DEC2A128D51}" type="pres">
      <dgm:prSet presAssocID="{1C873E8C-9748-4DF4-82D3-847BE29150C6}" presName="node" presStyleLbl="node1" presStyleIdx="3" presStyleCnt="5">
        <dgm:presLayoutVars>
          <dgm:bulletEnabled val="1"/>
        </dgm:presLayoutVars>
      </dgm:prSet>
      <dgm:spPr/>
    </dgm:pt>
    <dgm:pt modelId="{B7A48455-A02B-44D3-B2A8-EDEFB9EC45C6}" type="pres">
      <dgm:prSet presAssocID="{17204D23-F207-493B-9F47-10112FE0A50D}" presName="sibTrans" presStyleLbl="sibTrans1D1" presStyleIdx="3" presStyleCnt="4"/>
      <dgm:spPr/>
    </dgm:pt>
    <dgm:pt modelId="{679897E9-C8CF-4C89-9BFC-93812C6EB2F4}" type="pres">
      <dgm:prSet presAssocID="{17204D23-F207-493B-9F47-10112FE0A50D}" presName="connectorText" presStyleLbl="sibTrans1D1" presStyleIdx="3" presStyleCnt="4"/>
      <dgm:spPr/>
    </dgm:pt>
    <dgm:pt modelId="{796DE624-EB57-467E-AA6B-107EE3B5FC0A}" type="pres">
      <dgm:prSet presAssocID="{E7EF09FC-2300-4FD4-97D8-D06F2F22D87D}" presName="node" presStyleLbl="node1" presStyleIdx="4" presStyleCnt="5">
        <dgm:presLayoutVars>
          <dgm:bulletEnabled val="1"/>
        </dgm:presLayoutVars>
      </dgm:prSet>
      <dgm:spPr/>
    </dgm:pt>
  </dgm:ptLst>
  <dgm:cxnLst>
    <dgm:cxn modelId="{62E5FF12-53B0-49C7-92DE-7380E17096B7}" type="presOf" srcId="{1C873E8C-9748-4DF4-82D3-847BE29150C6}" destId="{4AA81967-C658-4100-B98F-5DEC2A128D51}" srcOrd="0" destOrd="0" presId="urn:microsoft.com/office/officeart/2005/8/layout/bProcess3"/>
    <dgm:cxn modelId="{CECBC932-DE60-4C52-BCB6-6B691496ED9B}" srcId="{FF69F42F-1993-4D2F-B166-73FC2DD97581}" destId="{226E51CC-8F4E-4CC4-94B1-5E23EA749173}" srcOrd="1" destOrd="0" parTransId="{9AF1E0EA-977C-40FF-ACE9-9BE5F715A7BC}" sibTransId="{7A37D756-18C6-40AE-BBF9-7C18AAE62A21}"/>
    <dgm:cxn modelId="{D6AB013A-EB0D-47CA-A18A-CF357CF63AF9}" type="presOf" srcId="{08CF9F23-D8B3-42F7-80B8-3D97796F07DB}" destId="{916F1589-D2C1-48F5-BCBE-B4EB6CBC93FB}" srcOrd="0" destOrd="0" presId="urn:microsoft.com/office/officeart/2005/8/layout/bProcess3"/>
    <dgm:cxn modelId="{E5BE2460-E2C7-4D4F-8D74-360DB981D6A5}" type="presOf" srcId="{7A4AFB40-BBCB-40EB-BE07-7495EA233052}" destId="{F15D1476-4543-465C-AC80-CB1F9DFF14B3}" srcOrd="1" destOrd="0" presId="urn:microsoft.com/office/officeart/2005/8/layout/bProcess3"/>
    <dgm:cxn modelId="{63733E41-2772-404E-A286-911FDF3ACEA7}" type="presOf" srcId="{2D56DBDF-2D5A-4995-A7BF-81809437B7C3}" destId="{CEE63CA6-0E61-49A1-AC86-1F53330FF1E3}" srcOrd="0" destOrd="0" presId="urn:microsoft.com/office/officeart/2005/8/layout/bProcess3"/>
    <dgm:cxn modelId="{C4076D42-6217-4868-B510-5C44A94A9A7D}" srcId="{FF69F42F-1993-4D2F-B166-73FC2DD97581}" destId="{1C873E8C-9748-4DF4-82D3-847BE29150C6}" srcOrd="3" destOrd="0" parTransId="{A4E0FD5E-B11D-43A1-8A1A-293396EF9F25}" sibTransId="{17204D23-F207-493B-9F47-10112FE0A50D}"/>
    <dgm:cxn modelId="{F5C11170-BA18-4C5A-BBD6-F3460CFFD285}" srcId="{FF69F42F-1993-4D2F-B166-73FC2DD97581}" destId="{08CF9F23-D8B3-42F7-80B8-3D97796F07DB}" srcOrd="0" destOrd="0" parTransId="{76A88776-5ABC-4542-A260-77083B39C14B}" sibTransId="{7A4AFB40-BBCB-40EB-BE07-7495EA233052}"/>
    <dgm:cxn modelId="{75995972-89DE-4C89-94F4-9F2271B20913}" type="presOf" srcId="{0023DB75-8D5D-44D2-91FB-4E3F21E17AC2}" destId="{CDFFBE00-16FD-4C72-9076-3671C2384716}" srcOrd="1" destOrd="0" presId="urn:microsoft.com/office/officeart/2005/8/layout/bProcess3"/>
    <dgm:cxn modelId="{480B3456-3047-4CE8-9B0E-4F50E8B9304E}" type="presOf" srcId="{FF69F42F-1993-4D2F-B166-73FC2DD97581}" destId="{37E3C291-4E61-490B-A495-D42C25283E02}" srcOrd="0" destOrd="0" presId="urn:microsoft.com/office/officeart/2005/8/layout/bProcess3"/>
    <dgm:cxn modelId="{4855DE85-637C-4D84-BA72-21D575CF46F9}" type="presOf" srcId="{7A37D756-18C6-40AE-BBF9-7C18AAE62A21}" destId="{862B4485-3034-4304-982A-AF9055705DF5}" srcOrd="0" destOrd="0" presId="urn:microsoft.com/office/officeart/2005/8/layout/bProcess3"/>
    <dgm:cxn modelId="{EC0CA19D-0FC4-4B19-9C77-B6699E42E314}" type="presOf" srcId="{17204D23-F207-493B-9F47-10112FE0A50D}" destId="{B7A48455-A02B-44D3-B2A8-EDEFB9EC45C6}" srcOrd="0" destOrd="0" presId="urn:microsoft.com/office/officeart/2005/8/layout/bProcess3"/>
    <dgm:cxn modelId="{4125479F-207B-4AD3-A156-0C37BDBF5B29}" type="presOf" srcId="{17204D23-F207-493B-9F47-10112FE0A50D}" destId="{679897E9-C8CF-4C89-9BFC-93812C6EB2F4}" srcOrd="1" destOrd="0" presId="urn:microsoft.com/office/officeart/2005/8/layout/bProcess3"/>
    <dgm:cxn modelId="{E75F6BA0-15E7-42D1-B3E0-F7661A066596}" type="presOf" srcId="{226E51CC-8F4E-4CC4-94B1-5E23EA749173}" destId="{54680CD7-3B12-4BC3-AAA7-8C6A95CE7607}" srcOrd="0" destOrd="0" presId="urn:microsoft.com/office/officeart/2005/8/layout/bProcess3"/>
    <dgm:cxn modelId="{F4FB8BA6-B26A-42EE-B34D-61865BB3950A}" type="presOf" srcId="{E7EF09FC-2300-4FD4-97D8-D06F2F22D87D}" destId="{796DE624-EB57-467E-AA6B-107EE3B5FC0A}" srcOrd="0" destOrd="0" presId="urn:microsoft.com/office/officeart/2005/8/layout/bProcess3"/>
    <dgm:cxn modelId="{21071DB3-61CD-4B03-8391-1242DD00C738}" srcId="{FF69F42F-1993-4D2F-B166-73FC2DD97581}" destId="{2D56DBDF-2D5A-4995-A7BF-81809437B7C3}" srcOrd="2" destOrd="0" parTransId="{D614ACE1-D279-4F8F-8A1F-E5F1B58D0EAA}" sibTransId="{0023DB75-8D5D-44D2-91FB-4E3F21E17AC2}"/>
    <dgm:cxn modelId="{A26DF3B9-AF5A-4289-BD72-F5958B21FEB2}" type="presOf" srcId="{0023DB75-8D5D-44D2-91FB-4E3F21E17AC2}" destId="{BF99BE6E-29C8-4F62-ADD0-A4AA997C87CE}" srcOrd="0" destOrd="0" presId="urn:microsoft.com/office/officeart/2005/8/layout/bProcess3"/>
    <dgm:cxn modelId="{24C8C7DC-F5DF-47E9-9C3A-0DE88E448948}" type="presOf" srcId="{7A4AFB40-BBCB-40EB-BE07-7495EA233052}" destId="{2FB3FDED-A4CE-46B0-8F56-A4CD58F955BD}" srcOrd="0" destOrd="0" presId="urn:microsoft.com/office/officeart/2005/8/layout/bProcess3"/>
    <dgm:cxn modelId="{E8E704E6-49B8-4F35-BBFC-55E9AC7F8D27}" type="presOf" srcId="{7A37D756-18C6-40AE-BBF9-7C18AAE62A21}" destId="{6C5D0818-29A2-4750-9675-7B9073AC4EA9}" srcOrd="1" destOrd="0" presId="urn:microsoft.com/office/officeart/2005/8/layout/bProcess3"/>
    <dgm:cxn modelId="{C55D41ED-FE41-46D1-A4C9-847AA27A3C22}" srcId="{FF69F42F-1993-4D2F-B166-73FC2DD97581}" destId="{E7EF09FC-2300-4FD4-97D8-D06F2F22D87D}" srcOrd="4" destOrd="0" parTransId="{ACD9ECB2-F99E-4898-A123-6CD2F68122C0}" sibTransId="{D42F222D-1A5E-4E88-AE11-99A7C9DA12EF}"/>
    <dgm:cxn modelId="{58593C96-59CA-4E04-85C7-33590C6514B4}" type="presParOf" srcId="{37E3C291-4E61-490B-A495-D42C25283E02}" destId="{916F1589-D2C1-48F5-BCBE-B4EB6CBC93FB}" srcOrd="0" destOrd="0" presId="urn:microsoft.com/office/officeart/2005/8/layout/bProcess3"/>
    <dgm:cxn modelId="{93EC6878-A19E-4AFD-A4A4-5E02983769CF}" type="presParOf" srcId="{37E3C291-4E61-490B-A495-D42C25283E02}" destId="{2FB3FDED-A4CE-46B0-8F56-A4CD58F955BD}" srcOrd="1" destOrd="0" presId="urn:microsoft.com/office/officeart/2005/8/layout/bProcess3"/>
    <dgm:cxn modelId="{696B7173-447C-4BAA-B611-D957AFB67F05}" type="presParOf" srcId="{2FB3FDED-A4CE-46B0-8F56-A4CD58F955BD}" destId="{F15D1476-4543-465C-AC80-CB1F9DFF14B3}" srcOrd="0" destOrd="0" presId="urn:microsoft.com/office/officeart/2005/8/layout/bProcess3"/>
    <dgm:cxn modelId="{CC8FA841-19C3-44F5-BEB1-772F976C15E9}" type="presParOf" srcId="{37E3C291-4E61-490B-A495-D42C25283E02}" destId="{54680CD7-3B12-4BC3-AAA7-8C6A95CE7607}" srcOrd="2" destOrd="0" presId="urn:microsoft.com/office/officeart/2005/8/layout/bProcess3"/>
    <dgm:cxn modelId="{92796D3A-3929-4264-8444-BBA7DD33A920}" type="presParOf" srcId="{37E3C291-4E61-490B-A495-D42C25283E02}" destId="{862B4485-3034-4304-982A-AF9055705DF5}" srcOrd="3" destOrd="0" presId="urn:microsoft.com/office/officeart/2005/8/layout/bProcess3"/>
    <dgm:cxn modelId="{EE49A4F1-BF33-4246-8D85-2B64AAEF3C74}" type="presParOf" srcId="{862B4485-3034-4304-982A-AF9055705DF5}" destId="{6C5D0818-29A2-4750-9675-7B9073AC4EA9}" srcOrd="0" destOrd="0" presId="urn:microsoft.com/office/officeart/2005/8/layout/bProcess3"/>
    <dgm:cxn modelId="{F4F3237D-03F7-409B-AFBE-25BB73002894}" type="presParOf" srcId="{37E3C291-4E61-490B-A495-D42C25283E02}" destId="{CEE63CA6-0E61-49A1-AC86-1F53330FF1E3}" srcOrd="4" destOrd="0" presId="urn:microsoft.com/office/officeart/2005/8/layout/bProcess3"/>
    <dgm:cxn modelId="{7D67CD19-8E60-418F-B89A-EC5979E56B5E}" type="presParOf" srcId="{37E3C291-4E61-490B-A495-D42C25283E02}" destId="{BF99BE6E-29C8-4F62-ADD0-A4AA997C87CE}" srcOrd="5" destOrd="0" presId="urn:microsoft.com/office/officeart/2005/8/layout/bProcess3"/>
    <dgm:cxn modelId="{453F493D-428A-4906-9FA3-79C4AB3DE70F}" type="presParOf" srcId="{BF99BE6E-29C8-4F62-ADD0-A4AA997C87CE}" destId="{CDFFBE00-16FD-4C72-9076-3671C2384716}" srcOrd="0" destOrd="0" presId="urn:microsoft.com/office/officeart/2005/8/layout/bProcess3"/>
    <dgm:cxn modelId="{CD4C6A4A-DE16-4345-BD16-C6CC93C19399}" type="presParOf" srcId="{37E3C291-4E61-490B-A495-D42C25283E02}" destId="{4AA81967-C658-4100-B98F-5DEC2A128D51}" srcOrd="6" destOrd="0" presId="urn:microsoft.com/office/officeart/2005/8/layout/bProcess3"/>
    <dgm:cxn modelId="{4F6BE9AF-605C-47DE-8211-B28A16AB1153}" type="presParOf" srcId="{37E3C291-4E61-490B-A495-D42C25283E02}" destId="{B7A48455-A02B-44D3-B2A8-EDEFB9EC45C6}" srcOrd="7" destOrd="0" presId="urn:microsoft.com/office/officeart/2005/8/layout/bProcess3"/>
    <dgm:cxn modelId="{0948642D-9118-47BB-927C-6458D480194D}" type="presParOf" srcId="{B7A48455-A02B-44D3-B2A8-EDEFB9EC45C6}" destId="{679897E9-C8CF-4C89-9BFC-93812C6EB2F4}" srcOrd="0" destOrd="0" presId="urn:microsoft.com/office/officeart/2005/8/layout/bProcess3"/>
    <dgm:cxn modelId="{29AD7C64-CE53-465F-9C31-788D6CC78233}" type="presParOf" srcId="{37E3C291-4E61-490B-A495-D42C25283E02}" destId="{796DE624-EB57-467E-AA6B-107EE3B5FC0A}" srcOrd="8" destOrd="0" presId="urn:microsoft.com/office/officeart/2005/8/layout/bProcess3"/>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6811968-7731-40D5-A84B-F03213568C4E}"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GB"/>
        </a:p>
      </dgm:t>
    </dgm:pt>
    <dgm:pt modelId="{8F090D6E-5702-4947-AD72-934ACDD717EE}">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Rise in Experiential Marketing</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94B5DE0D-246E-467C-8C1F-98C69AD66345}" type="parTrans" cxnId="{3361A2B4-B69A-4EF2-8E6B-8AE842E11505}">
      <dgm:prSet/>
      <dgm:spPr/>
      <dgm:t>
        <a:bodyPr/>
        <a:lstStyle/>
        <a:p>
          <a:endParaRPr lang="en-GB"/>
        </a:p>
      </dgm:t>
    </dgm:pt>
    <dgm:pt modelId="{464EE2BC-D744-48A2-9017-6D276376F2D3}" type="sibTrans" cxnId="{3361A2B4-B69A-4EF2-8E6B-8AE842E11505}">
      <dgm:prSet/>
      <dgm:spPr/>
      <dgm:t>
        <a:bodyPr/>
        <a:lstStyle/>
        <a:p>
          <a:endParaRPr lang="en-GB"/>
        </a:p>
      </dgm:t>
    </dgm:pt>
    <dgm:pt modelId="{C2814E58-AFF8-4D7B-A39B-D11B98FD37FF}">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Emphasis on Sustainability</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6B86DA45-76AA-410D-8FBC-3FE6D90EFD47}" type="parTrans" cxnId="{FD28ECBC-5081-4AEE-86F6-53ED0E8ED072}">
      <dgm:prSet/>
      <dgm:spPr/>
      <dgm:t>
        <a:bodyPr/>
        <a:lstStyle/>
        <a:p>
          <a:endParaRPr lang="en-GB"/>
        </a:p>
      </dgm:t>
    </dgm:pt>
    <dgm:pt modelId="{FB0D1DEC-75DA-41EA-8929-EC47FCEAF1E8}" type="sibTrans" cxnId="{FD28ECBC-5081-4AEE-86F6-53ED0E8ED072}">
      <dgm:prSet/>
      <dgm:spPr/>
      <dgm:t>
        <a:bodyPr/>
        <a:lstStyle/>
        <a:p>
          <a:endParaRPr lang="en-GB"/>
        </a:p>
      </dgm:t>
    </dgm:pt>
    <dgm:pt modelId="{8A51C110-4F2D-41E1-B2EB-C41B5C4E2655}">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Health and Safety Considerations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233C242A-5E40-4F0C-8F22-9249D1E70D50}" type="parTrans" cxnId="{6E860189-F39E-4283-B6FC-7AFCFD3D10EC}">
      <dgm:prSet/>
      <dgm:spPr/>
      <dgm:t>
        <a:bodyPr/>
        <a:lstStyle/>
        <a:p>
          <a:endParaRPr lang="en-GB"/>
        </a:p>
      </dgm:t>
    </dgm:pt>
    <dgm:pt modelId="{B9F74F0A-43FB-467D-A125-976E3E24C168}" type="sibTrans" cxnId="{6E860189-F39E-4283-B6FC-7AFCFD3D10EC}">
      <dgm:prSet/>
      <dgm:spPr/>
      <dgm:t>
        <a:bodyPr/>
        <a:lstStyle/>
        <a:p>
          <a:endParaRPr lang="en-GB"/>
        </a:p>
      </dgm:t>
    </dgm:pt>
    <dgm:pt modelId="{F8A8F142-B4CF-47BF-AF79-18C859760239}">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Technological Integration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28705478-E432-49DD-8232-2718925DB76F}" type="parTrans" cxnId="{B8A06DC9-03D4-41F3-9CF1-642FFA2F76D7}">
      <dgm:prSet/>
      <dgm:spPr/>
      <dgm:t>
        <a:bodyPr/>
        <a:lstStyle/>
        <a:p>
          <a:endParaRPr lang="en-GB"/>
        </a:p>
      </dgm:t>
    </dgm:pt>
    <dgm:pt modelId="{01928665-3B34-4224-B875-E9124CF84B28}" type="sibTrans" cxnId="{B8A06DC9-03D4-41F3-9CF1-642FFA2F76D7}">
      <dgm:prSet/>
      <dgm:spPr/>
      <dgm:t>
        <a:bodyPr/>
        <a:lstStyle/>
        <a:p>
          <a:endParaRPr lang="en-GB"/>
        </a:p>
      </dgm:t>
    </dgm:pt>
    <dgm:pt modelId="{B3EF11CA-FBB6-4143-88F3-6390F76F5D98}">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Increased Popularity of Themed Events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888B9EB5-7965-49EA-8FA7-95B12EDF9963}" type="parTrans" cxnId="{0910A5BE-B25C-4A49-9C17-84A20E0E2BF2}">
      <dgm:prSet/>
      <dgm:spPr/>
      <dgm:t>
        <a:bodyPr/>
        <a:lstStyle/>
        <a:p>
          <a:endParaRPr lang="en-GB"/>
        </a:p>
      </dgm:t>
    </dgm:pt>
    <dgm:pt modelId="{EB46275A-D7B8-4DA0-9467-E93F902A5EFF}" type="sibTrans" cxnId="{0910A5BE-B25C-4A49-9C17-84A20E0E2BF2}">
      <dgm:prSet/>
      <dgm:spPr/>
      <dgm:t>
        <a:bodyPr/>
        <a:lstStyle/>
        <a:p>
          <a:endParaRPr lang="en-GB"/>
        </a:p>
      </dgm:t>
    </dgm:pt>
    <dgm:pt modelId="{959EC438-EFB9-46F6-9C40-7CF45CA96E54}" type="pres">
      <dgm:prSet presAssocID="{C6811968-7731-40D5-A84B-F03213568C4E}" presName="linear" presStyleCnt="0">
        <dgm:presLayoutVars>
          <dgm:dir/>
          <dgm:animLvl val="lvl"/>
          <dgm:resizeHandles val="exact"/>
        </dgm:presLayoutVars>
      </dgm:prSet>
      <dgm:spPr/>
    </dgm:pt>
    <dgm:pt modelId="{AADCE179-DF9E-4BEE-B4EE-614633DA8F59}" type="pres">
      <dgm:prSet presAssocID="{B3EF11CA-FBB6-4143-88F3-6390F76F5D98}" presName="parentLin" presStyleCnt="0"/>
      <dgm:spPr/>
    </dgm:pt>
    <dgm:pt modelId="{E137EDDB-79C7-4357-A315-37F52D0AA5FD}" type="pres">
      <dgm:prSet presAssocID="{B3EF11CA-FBB6-4143-88F3-6390F76F5D98}" presName="parentLeftMargin" presStyleLbl="node1" presStyleIdx="0" presStyleCnt="5"/>
      <dgm:spPr/>
    </dgm:pt>
    <dgm:pt modelId="{7566E095-A7A5-4E25-BCDE-3C01250E1459}" type="pres">
      <dgm:prSet presAssocID="{B3EF11CA-FBB6-4143-88F3-6390F76F5D98}" presName="parentText" presStyleLbl="node1" presStyleIdx="0" presStyleCnt="5">
        <dgm:presLayoutVars>
          <dgm:chMax val="0"/>
          <dgm:bulletEnabled val="1"/>
        </dgm:presLayoutVars>
      </dgm:prSet>
      <dgm:spPr/>
    </dgm:pt>
    <dgm:pt modelId="{DF943B4B-335B-44B8-A017-D89C8C7596B6}" type="pres">
      <dgm:prSet presAssocID="{B3EF11CA-FBB6-4143-88F3-6390F76F5D98}" presName="negativeSpace" presStyleCnt="0"/>
      <dgm:spPr/>
    </dgm:pt>
    <dgm:pt modelId="{083EC8B3-2CC9-4239-89A3-3F69A43D1215}" type="pres">
      <dgm:prSet presAssocID="{B3EF11CA-FBB6-4143-88F3-6390F76F5D98}" presName="childText" presStyleLbl="conFgAcc1" presStyleIdx="0" presStyleCnt="5">
        <dgm:presLayoutVars>
          <dgm:bulletEnabled val="1"/>
        </dgm:presLayoutVars>
      </dgm:prSet>
      <dgm:spPr/>
    </dgm:pt>
    <dgm:pt modelId="{65EFF86E-62BB-4713-86E0-8C12EA8B6578}" type="pres">
      <dgm:prSet presAssocID="{EB46275A-D7B8-4DA0-9467-E93F902A5EFF}" presName="spaceBetweenRectangles" presStyleCnt="0"/>
      <dgm:spPr/>
    </dgm:pt>
    <dgm:pt modelId="{D31BF828-957F-401E-ACD2-CCABEC75B579}" type="pres">
      <dgm:prSet presAssocID="{8F090D6E-5702-4947-AD72-934ACDD717EE}" presName="parentLin" presStyleCnt="0"/>
      <dgm:spPr/>
    </dgm:pt>
    <dgm:pt modelId="{05C8CBE9-5F2F-4398-B48A-5D7294D55A07}" type="pres">
      <dgm:prSet presAssocID="{8F090D6E-5702-4947-AD72-934ACDD717EE}" presName="parentLeftMargin" presStyleLbl="node1" presStyleIdx="0" presStyleCnt="5"/>
      <dgm:spPr/>
    </dgm:pt>
    <dgm:pt modelId="{6933C853-3E78-46B9-B329-D65074C1912F}" type="pres">
      <dgm:prSet presAssocID="{8F090D6E-5702-4947-AD72-934ACDD717EE}" presName="parentText" presStyleLbl="node1" presStyleIdx="1" presStyleCnt="5">
        <dgm:presLayoutVars>
          <dgm:chMax val="0"/>
          <dgm:bulletEnabled val="1"/>
        </dgm:presLayoutVars>
      </dgm:prSet>
      <dgm:spPr/>
    </dgm:pt>
    <dgm:pt modelId="{CB1D72BB-26BC-432D-9F42-EA7177E27501}" type="pres">
      <dgm:prSet presAssocID="{8F090D6E-5702-4947-AD72-934ACDD717EE}" presName="negativeSpace" presStyleCnt="0"/>
      <dgm:spPr/>
    </dgm:pt>
    <dgm:pt modelId="{F02609FA-1D84-491A-8BFF-92BDA9B8582A}" type="pres">
      <dgm:prSet presAssocID="{8F090D6E-5702-4947-AD72-934ACDD717EE}" presName="childText" presStyleLbl="conFgAcc1" presStyleIdx="1" presStyleCnt="5">
        <dgm:presLayoutVars>
          <dgm:bulletEnabled val="1"/>
        </dgm:presLayoutVars>
      </dgm:prSet>
      <dgm:spPr/>
    </dgm:pt>
    <dgm:pt modelId="{F9A94FB8-BD07-4795-BFD9-66AEE8C1D171}" type="pres">
      <dgm:prSet presAssocID="{464EE2BC-D744-48A2-9017-6D276376F2D3}" presName="spaceBetweenRectangles" presStyleCnt="0"/>
      <dgm:spPr/>
    </dgm:pt>
    <dgm:pt modelId="{D03F3BC9-09F2-4982-A65C-5D1E9D884A2B}" type="pres">
      <dgm:prSet presAssocID="{C2814E58-AFF8-4D7B-A39B-D11B98FD37FF}" presName="parentLin" presStyleCnt="0"/>
      <dgm:spPr/>
    </dgm:pt>
    <dgm:pt modelId="{577394CE-33F0-474F-8EFB-3203A2C1BC5D}" type="pres">
      <dgm:prSet presAssocID="{C2814E58-AFF8-4D7B-A39B-D11B98FD37FF}" presName="parentLeftMargin" presStyleLbl="node1" presStyleIdx="1" presStyleCnt="5"/>
      <dgm:spPr/>
    </dgm:pt>
    <dgm:pt modelId="{75318237-2BDD-4575-A02A-A297A9E8B894}" type="pres">
      <dgm:prSet presAssocID="{C2814E58-AFF8-4D7B-A39B-D11B98FD37FF}" presName="parentText" presStyleLbl="node1" presStyleIdx="2" presStyleCnt="5">
        <dgm:presLayoutVars>
          <dgm:chMax val="0"/>
          <dgm:bulletEnabled val="1"/>
        </dgm:presLayoutVars>
      </dgm:prSet>
      <dgm:spPr/>
    </dgm:pt>
    <dgm:pt modelId="{E7FAD04C-1CC6-4909-91C4-13D18A151D53}" type="pres">
      <dgm:prSet presAssocID="{C2814E58-AFF8-4D7B-A39B-D11B98FD37FF}" presName="negativeSpace" presStyleCnt="0"/>
      <dgm:spPr/>
    </dgm:pt>
    <dgm:pt modelId="{51DC83D7-EDCE-4104-837C-6BC1D8E38948}" type="pres">
      <dgm:prSet presAssocID="{C2814E58-AFF8-4D7B-A39B-D11B98FD37FF}" presName="childText" presStyleLbl="conFgAcc1" presStyleIdx="2" presStyleCnt="5">
        <dgm:presLayoutVars>
          <dgm:bulletEnabled val="1"/>
        </dgm:presLayoutVars>
      </dgm:prSet>
      <dgm:spPr/>
    </dgm:pt>
    <dgm:pt modelId="{F2D0CDF0-2104-4B6F-8A36-70BF0E143761}" type="pres">
      <dgm:prSet presAssocID="{FB0D1DEC-75DA-41EA-8929-EC47FCEAF1E8}" presName="spaceBetweenRectangles" presStyleCnt="0"/>
      <dgm:spPr/>
    </dgm:pt>
    <dgm:pt modelId="{E63F968C-5F3E-40E1-B343-F7DBC059BBB1}" type="pres">
      <dgm:prSet presAssocID="{F8A8F142-B4CF-47BF-AF79-18C859760239}" presName="parentLin" presStyleCnt="0"/>
      <dgm:spPr/>
    </dgm:pt>
    <dgm:pt modelId="{A1F932FC-0499-45C8-9420-41D29F35B537}" type="pres">
      <dgm:prSet presAssocID="{F8A8F142-B4CF-47BF-AF79-18C859760239}" presName="parentLeftMargin" presStyleLbl="node1" presStyleIdx="2" presStyleCnt="5"/>
      <dgm:spPr/>
    </dgm:pt>
    <dgm:pt modelId="{EBD7C630-9CD1-4B20-A439-D379EC1CC12D}" type="pres">
      <dgm:prSet presAssocID="{F8A8F142-B4CF-47BF-AF79-18C859760239}" presName="parentText" presStyleLbl="node1" presStyleIdx="3" presStyleCnt="5">
        <dgm:presLayoutVars>
          <dgm:chMax val="0"/>
          <dgm:bulletEnabled val="1"/>
        </dgm:presLayoutVars>
      </dgm:prSet>
      <dgm:spPr/>
    </dgm:pt>
    <dgm:pt modelId="{BB6E4E3B-4230-4214-B236-063C2DDCBC6A}" type="pres">
      <dgm:prSet presAssocID="{F8A8F142-B4CF-47BF-AF79-18C859760239}" presName="negativeSpace" presStyleCnt="0"/>
      <dgm:spPr/>
    </dgm:pt>
    <dgm:pt modelId="{B5372AD0-D6FC-4D6A-9AF5-413D0AFA9ED1}" type="pres">
      <dgm:prSet presAssocID="{F8A8F142-B4CF-47BF-AF79-18C859760239}" presName="childText" presStyleLbl="conFgAcc1" presStyleIdx="3" presStyleCnt="5">
        <dgm:presLayoutVars>
          <dgm:bulletEnabled val="1"/>
        </dgm:presLayoutVars>
      </dgm:prSet>
      <dgm:spPr/>
    </dgm:pt>
    <dgm:pt modelId="{7EB344C2-D8AB-46DE-BBD5-840B92E24CEF}" type="pres">
      <dgm:prSet presAssocID="{01928665-3B34-4224-B875-E9124CF84B28}" presName="spaceBetweenRectangles" presStyleCnt="0"/>
      <dgm:spPr/>
    </dgm:pt>
    <dgm:pt modelId="{4C84322E-74AD-486C-ADDB-2359D06A9D6E}" type="pres">
      <dgm:prSet presAssocID="{8A51C110-4F2D-41E1-B2EB-C41B5C4E2655}" presName="parentLin" presStyleCnt="0"/>
      <dgm:spPr/>
    </dgm:pt>
    <dgm:pt modelId="{99E0F698-3EF2-44A0-B284-2BEB7F1B34E6}" type="pres">
      <dgm:prSet presAssocID="{8A51C110-4F2D-41E1-B2EB-C41B5C4E2655}" presName="parentLeftMargin" presStyleLbl="node1" presStyleIdx="3" presStyleCnt="5"/>
      <dgm:spPr/>
    </dgm:pt>
    <dgm:pt modelId="{6C76EC34-26C4-4896-B76F-1EF1FC4F20F2}" type="pres">
      <dgm:prSet presAssocID="{8A51C110-4F2D-41E1-B2EB-C41B5C4E2655}" presName="parentText" presStyleLbl="node1" presStyleIdx="4" presStyleCnt="5">
        <dgm:presLayoutVars>
          <dgm:chMax val="0"/>
          <dgm:bulletEnabled val="1"/>
        </dgm:presLayoutVars>
      </dgm:prSet>
      <dgm:spPr/>
    </dgm:pt>
    <dgm:pt modelId="{6C8C8B6A-66C0-40FC-AED0-D4BA3CB6DDF8}" type="pres">
      <dgm:prSet presAssocID="{8A51C110-4F2D-41E1-B2EB-C41B5C4E2655}" presName="negativeSpace" presStyleCnt="0"/>
      <dgm:spPr/>
    </dgm:pt>
    <dgm:pt modelId="{F2122D9E-EEB8-4590-98E2-97D6F1130931}" type="pres">
      <dgm:prSet presAssocID="{8A51C110-4F2D-41E1-B2EB-C41B5C4E2655}" presName="childText" presStyleLbl="conFgAcc1" presStyleIdx="4" presStyleCnt="5">
        <dgm:presLayoutVars>
          <dgm:bulletEnabled val="1"/>
        </dgm:presLayoutVars>
      </dgm:prSet>
      <dgm:spPr/>
    </dgm:pt>
  </dgm:ptLst>
  <dgm:cxnLst>
    <dgm:cxn modelId="{8C822D2C-EB20-4B9D-B29A-D02057024F90}" type="presOf" srcId="{F8A8F142-B4CF-47BF-AF79-18C859760239}" destId="{EBD7C630-9CD1-4B20-A439-D379EC1CC12D}" srcOrd="1" destOrd="0" presId="urn:microsoft.com/office/officeart/2005/8/layout/list1"/>
    <dgm:cxn modelId="{275D9664-AC0E-43FD-AF41-2A0C51120AB2}" type="presOf" srcId="{F8A8F142-B4CF-47BF-AF79-18C859760239}" destId="{A1F932FC-0499-45C8-9420-41D29F35B537}" srcOrd="0" destOrd="0" presId="urn:microsoft.com/office/officeart/2005/8/layout/list1"/>
    <dgm:cxn modelId="{209CC564-B3AF-4392-B57B-92199D719998}" type="presOf" srcId="{C2814E58-AFF8-4D7B-A39B-D11B98FD37FF}" destId="{577394CE-33F0-474F-8EFB-3203A2C1BC5D}" srcOrd="0" destOrd="0" presId="urn:microsoft.com/office/officeart/2005/8/layout/list1"/>
    <dgm:cxn modelId="{8F723166-AA98-4476-86DC-85BE19B81A3C}" type="presOf" srcId="{C2814E58-AFF8-4D7B-A39B-D11B98FD37FF}" destId="{75318237-2BDD-4575-A02A-A297A9E8B894}" srcOrd="1" destOrd="0" presId="urn:microsoft.com/office/officeart/2005/8/layout/list1"/>
    <dgm:cxn modelId="{873A9E70-2F0A-4183-A20E-36BA8489B8B3}" type="presOf" srcId="{B3EF11CA-FBB6-4143-88F3-6390F76F5D98}" destId="{7566E095-A7A5-4E25-BCDE-3C01250E1459}" srcOrd="1" destOrd="0" presId="urn:microsoft.com/office/officeart/2005/8/layout/list1"/>
    <dgm:cxn modelId="{4368497B-F28C-4850-BFE9-E0AC761A600A}" type="presOf" srcId="{8A51C110-4F2D-41E1-B2EB-C41B5C4E2655}" destId="{99E0F698-3EF2-44A0-B284-2BEB7F1B34E6}" srcOrd="0" destOrd="0" presId="urn:microsoft.com/office/officeart/2005/8/layout/list1"/>
    <dgm:cxn modelId="{B4E6897D-7B1A-400B-AAC5-F5CB81BBB9A1}" type="presOf" srcId="{C6811968-7731-40D5-A84B-F03213568C4E}" destId="{959EC438-EFB9-46F6-9C40-7CF45CA96E54}" srcOrd="0" destOrd="0" presId="urn:microsoft.com/office/officeart/2005/8/layout/list1"/>
    <dgm:cxn modelId="{AB7BF388-00E8-4740-BFB9-B8677064E50D}" type="presOf" srcId="{8F090D6E-5702-4947-AD72-934ACDD717EE}" destId="{05C8CBE9-5F2F-4398-B48A-5D7294D55A07}" srcOrd="0" destOrd="0" presId="urn:microsoft.com/office/officeart/2005/8/layout/list1"/>
    <dgm:cxn modelId="{6E860189-F39E-4283-B6FC-7AFCFD3D10EC}" srcId="{C6811968-7731-40D5-A84B-F03213568C4E}" destId="{8A51C110-4F2D-41E1-B2EB-C41B5C4E2655}" srcOrd="4" destOrd="0" parTransId="{233C242A-5E40-4F0C-8F22-9249D1E70D50}" sibTransId="{B9F74F0A-43FB-467D-A125-976E3E24C168}"/>
    <dgm:cxn modelId="{A980058E-ABC4-4035-B932-22A7D3D0093D}" type="presOf" srcId="{B3EF11CA-FBB6-4143-88F3-6390F76F5D98}" destId="{E137EDDB-79C7-4357-A315-37F52D0AA5FD}" srcOrd="0" destOrd="0" presId="urn:microsoft.com/office/officeart/2005/8/layout/list1"/>
    <dgm:cxn modelId="{3361A2B4-B69A-4EF2-8E6B-8AE842E11505}" srcId="{C6811968-7731-40D5-A84B-F03213568C4E}" destId="{8F090D6E-5702-4947-AD72-934ACDD717EE}" srcOrd="1" destOrd="0" parTransId="{94B5DE0D-246E-467C-8C1F-98C69AD66345}" sibTransId="{464EE2BC-D744-48A2-9017-6D276376F2D3}"/>
    <dgm:cxn modelId="{5785A2BA-F0CB-436C-BE86-4B61289082A6}" type="presOf" srcId="{8F090D6E-5702-4947-AD72-934ACDD717EE}" destId="{6933C853-3E78-46B9-B329-D65074C1912F}" srcOrd="1" destOrd="0" presId="urn:microsoft.com/office/officeart/2005/8/layout/list1"/>
    <dgm:cxn modelId="{FD28ECBC-5081-4AEE-86F6-53ED0E8ED072}" srcId="{C6811968-7731-40D5-A84B-F03213568C4E}" destId="{C2814E58-AFF8-4D7B-A39B-D11B98FD37FF}" srcOrd="2" destOrd="0" parTransId="{6B86DA45-76AA-410D-8FBC-3FE6D90EFD47}" sibTransId="{FB0D1DEC-75DA-41EA-8929-EC47FCEAF1E8}"/>
    <dgm:cxn modelId="{0910A5BE-B25C-4A49-9C17-84A20E0E2BF2}" srcId="{C6811968-7731-40D5-A84B-F03213568C4E}" destId="{B3EF11CA-FBB6-4143-88F3-6390F76F5D98}" srcOrd="0" destOrd="0" parTransId="{888B9EB5-7965-49EA-8FA7-95B12EDF9963}" sibTransId="{EB46275A-D7B8-4DA0-9467-E93F902A5EFF}"/>
    <dgm:cxn modelId="{B8A06DC9-03D4-41F3-9CF1-642FFA2F76D7}" srcId="{C6811968-7731-40D5-A84B-F03213568C4E}" destId="{F8A8F142-B4CF-47BF-AF79-18C859760239}" srcOrd="3" destOrd="0" parTransId="{28705478-E432-49DD-8232-2718925DB76F}" sibTransId="{01928665-3B34-4224-B875-E9124CF84B28}"/>
    <dgm:cxn modelId="{849EF9CE-06EA-451F-B74A-906F9BEE0B27}" type="presOf" srcId="{8A51C110-4F2D-41E1-B2EB-C41B5C4E2655}" destId="{6C76EC34-26C4-4896-B76F-1EF1FC4F20F2}" srcOrd="1" destOrd="0" presId="urn:microsoft.com/office/officeart/2005/8/layout/list1"/>
    <dgm:cxn modelId="{5BDD8A53-DE81-48D6-9481-B76C5720B593}" type="presParOf" srcId="{959EC438-EFB9-46F6-9C40-7CF45CA96E54}" destId="{AADCE179-DF9E-4BEE-B4EE-614633DA8F59}" srcOrd="0" destOrd="0" presId="urn:microsoft.com/office/officeart/2005/8/layout/list1"/>
    <dgm:cxn modelId="{C8CD3F96-F821-4F0A-AB60-DC9D6AE591EA}" type="presParOf" srcId="{AADCE179-DF9E-4BEE-B4EE-614633DA8F59}" destId="{E137EDDB-79C7-4357-A315-37F52D0AA5FD}" srcOrd="0" destOrd="0" presId="urn:microsoft.com/office/officeart/2005/8/layout/list1"/>
    <dgm:cxn modelId="{CEA437DA-F57F-4219-B9DC-509952D5BAC4}" type="presParOf" srcId="{AADCE179-DF9E-4BEE-B4EE-614633DA8F59}" destId="{7566E095-A7A5-4E25-BCDE-3C01250E1459}" srcOrd="1" destOrd="0" presId="urn:microsoft.com/office/officeart/2005/8/layout/list1"/>
    <dgm:cxn modelId="{5B777837-BE8D-4BE6-9AAF-477C02D48267}" type="presParOf" srcId="{959EC438-EFB9-46F6-9C40-7CF45CA96E54}" destId="{DF943B4B-335B-44B8-A017-D89C8C7596B6}" srcOrd="1" destOrd="0" presId="urn:microsoft.com/office/officeart/2005/8/layout/list1"/>
    <dgm:cxn modelId="{A8995132-D77C-4BA5-A325-875380AFF46C}" type="presParOf" srcId="{959EC438-EFB9-46F6-9C40-7CF45CA96E54}" destId="{083EC8B3-2CC9-4239-89A3-3F69A43D1215}" srcOrd="2" destOrd="0" presId="urn:microsoft.com/office/officeart/2005/8/layout/list1"/>
    <dgm:cxn modelId="{6DDCFA34-DA66-497C-BD08-14195FE7D485}" type="presParOf" srcId="{959EC438-EFB9-46F6-9C40-7CF45CA96E54}" destId="{65EFF86E-62BB-4713-86E0-8C12EA8B6578}" srcOrd="3" destOrd="0" presId="urn:microsoft.com/office/officeart/2005/8/layout/list1"/>
    <dgm:cxn modelId="{579B95EE-E6E8-4992-BF02-2344FB42B196}" type="presParOf" srcId="{959EC438-EFB9-46F6-9C40-7CF45CA96E54}" destId="{D31BF828-957F-401E-ACD2-CCABEC75B579}" srcOrd="4" destOrd="0" presId="urn:microsoft.com/office/officeart/2005/8/layout/list1"/>
    <dgm:cxn modelId="{B60C33EA-2042-4C73-8662-A1216E2FEDB1}" type="presParOf" srcId="{D31BF828-957F-401E-ACD2-CCABEC75B579}" destId="{05C8CBE9-5F2F-4398-B48A-5D7294D55A07}" srcOrd="0" destOrd="0" presId="urn:microsoft.com/office/officeart/2005/8/layout/list1"/>
    <dgm:cxn modelId="{7720ED0B-3B57-4914-99C5-EE1DC02283A5}" type="presParOf" srcId="{D31BF828-957F-401E-ACD2-CCABEC75B579}" destId="{6933C853-3E78-46B9-B329-D65074C1912F}" srcOrd="1" destOrd="0" presId="urn:microsoft.com/office/officeart/2005/8/layout/list1"/>
    <dgm:cxn modelId="{410FAAD7-CD8F-414A-BB72-B1D92AF74B7B}" type="presParOf" srcId="{959EC438-EFB9-46F6-9C40-7CF45CA96E54}" destId="{CB1D72BB-26BC-432D-9F42-EA7177E27501}" srcOrd="5" destOrd="0" presId="urn:microsoft.com/office/officeart/2005/8/layout/list1"/>
    <dgm:cxn modelId="{9954AEB5-F197-4575-9581-9C4BC8E768F8}" type="presParOf" srcId="{959EC438-EFB9-46F6-9C40-7CF45CA96E54}" destId="{F02609FA-1D84-491A-8BFF-92BDA9B8582A}" srcOrd="6" destOrd="0" presId="urn:microsoft.com/office/officeart/2005/8/layout/list1"/>
    <dgm:cxn modelId="{B129B3BE-49C7-48EB-9732-8F63B06C91DB}" type="presParOf" srcId="{959EC438-EFB9-46F6-9C40-7CF45CA96E54}" destId="{F9A94FB8-BD07-4795-BFD9-66AEE8C1D171}" srcOrd="7" destOrd="0" presId="urn:microsoft.com/office/officeart/2005/8/layout/list1"/>
    <dgm:cxn modelId="{89D9A50A-7DC5-4446-959B-A3FB0C236DB0}" type="presParOf" srcId="{959EC438-EFB9-46F6-9C40-7CF45CA96E54}" destId="{D03F3BC9-09F2-4982-A65C-5D1E9D884A2B}" srcOrd="8" destOrd="0" presId="urn:microsoft.com/office/officeart/2005/8/layout/list1"/>
    <dgm:cxn modelId="{161E944A-1562-4CF6-8D2E-B606117B10AC}" type="presParOf" srcId="{D03F3BC9-09F2-4982-A65C-5D1E9D884A2B}" destId="{577394CE-33F0-474F-8EFB-3203A2C1BC5D}" srcOrd="0" destOrd="0" presId="urn:microsoft.com/office/officeart/2005/8/layout/list1"/>
    <dgm:cxn modelId="{5E2B023B-14D7-4DE6-9ACE-1BAE2583DAC2}" type="presParOf" srcId="{D03F3BC9-09F2-4982-A65C-5D1E9D884A2B}" destId="{75318237-2BDD-4575-A02A-A297A9E8B894}" srcOrd="1" destOrd="0" presId="urn:microsoft.com/office/officeart/2005/8/layout/list1"/>
    <dgm:cxn modelId="{F0410E3F-D0B6-4EDA-B1CE-07A3174368CF}" type="presParOf" srcId="{959EC438-EFB9-46F6-9C40-7CF45CA96E54}" destId="{E7FAD04C-1CC6-4909-91C4-13D18A151D53}" srcOrd="9" destOrd="0" presId="urn:microsoft.com/office/officeart/2005/8/layout/list1"/>
    <dgm:cxn modelId="{A64F28F4-A05A-4CC1-B063-47D6D1C8E012}" type="presParOf" srcId="{959EC438-EFB9-46F6-9C40-7CF45CA96E54}" destId="{51DC83D7-EDCE-4104-837C-6BC1D8E38948}" srcOrd="10" destOrd="0" presId="urn:microsoft.com/office/officeart/2005/8/layout/list1"/>
    <dgm:cxn modelId="{3DFAF8DA-9730-4AD9-9AD3-BB9C1AB6943F}" type="presParOf" srcId="{959EC438-EFB9-46F6-9C40-7CF45CA96E54}" destId="{F2D0CDF0-2104-4B6F-8A36-70BF0E143761}" srcOrd="11" destOrd="0" presId="urn:microsoft.com/office/officeart/2005/8/layout/list1"/>
    <dgm:cxn modelId="{C585EE80-40E3-487B-93AF-11F44E96C7C6}" type="presParOf" srcId="{959EC438-EFB9-46F6-9C40-7CF45CA96E54}" destId="{E63F968C-5F3E-40E1-B343-F7DBC059BBB1}" srcOrd="12" destOrd="0" presId="urn:microsoft.com/office/officeart/2005/8/layout/list1"/>
    <dgm:cxn modelId="{514B8ACA-5A6B-4F00-8553-C996505F5D16}" type="presParOf" srcId="{E63F968C-5F3E-40E1-B343-F7DBC059BBB1}" destId="{A1F932FC-0499-45C8-9420-41D29F35B537}" srcOrd="0" destOrd="0" presId="urn:microsoft.com/office/officeart/2005/8/layout/list1"/>
    <dgm:cxn modelId="{D22340A1-6E26-4120-8CB2-34209D3B0568}" type="presParOf" srcId="{E63F968C-5F3E-40E1-B343-F7DBC059BBB1}" destId="{EBD7C630-9CD1-4B20-A439-D379EC1CC12D}" srcOrd="1" destOrd="0" presId="urn:microsoft.com/office/officeart/2005/8/layout/list1"/>
    <dgm:cxn modelId="{27FFCCCB-5404-4EC0-A599-FB4EDA3A6758}" type="presParOf" srcId="{959EC438-EFB9-46F6-9C40-7CF45CA96E54}" destId="{BB6E4E3B-4230-4214-B236-063C2DDCBC6A}" srcOrd="13" destOrd="0" presId="urn:microsoft.com/office/officeart/2005/8/layout/list1"/>
    <dgm:cxn modelId="{12717766-7A53-458F-A978-B66298BF0739}" type="presParOf" srcId="{959EC438-EFB9-46F6-9C40-7CF45CA96E54}" destId="{B5372AD0-D6FC-4D6A-9AF5-413D0AFA9ED1}" srcOrd="14" destOrd="0" presId="urn:microsoft.com/office/officeart/2005/8/layout/list1"/>
    <dgm:cxn modelId="{D9B60AE1-5B97-4F79-9690-278A08160FF8}" type="presParOf" srcId="{959EC438-EFB9-46F6-9C40-7CF45CA96E54}" destId="{7EB344C2-D8AB-46DE-BBD5-840B92E24CEF}" srcOrd="15" destOrd="0" presId="urn:microsoft.com/office/officeart/2005/8/layout/list1"/>
    <dgm:cxn modelId="{88B00145-4879-4D7A-820E-2F2BCD23E0C2}" type="presParOf" srcId="{959EC438-EFB9-46F6-9C40-7CF45CA96E54}" destId="{4C84322E-74AD-486C-ADDB-2359D06A9D6E}" srcOrd="16" destOrd="0" presId="urn:microsoft.com/office/officeart/2005/8/layout/list1"/>
    <dgm:cxn modelId="{B4C9EBAD-38D3-4B30-91A5-DA226461F121}" type="presParOf" srcId="{4C84322E-74AD-486C-ADDB-2359D06A9D6E}" destId="{99E0F698-3EF2-44A0-B284-2BEB7F1B34E6}" srcOrd="0" destOrd="0" presId="urn:microsoft.com/office/officeart/2005/8/layout/list1"/>
    <dgm:cxn modelId="{B09D4AD1-1B13-49B3-8518-34BCF8420819}" type="presParOf" srcId="{4C84322E-74AD-486C-ADDB-2359D06A9D6E}" destId="{6C76EC34-26C4-4896-B76F-1EF1FC4F20F2}" srcOrd="1" destOrd="0" presId="urn:microsoft.com/office/officeart/2005/8/layout/list1"/>
    <dgm:cxn modelId="{9FCF1E07-5C21-4839-B002-07D01B5B5029}" type="presParOf" srcId="{959EC438-EFB9-46F6-9C40-7CF45CA96E54}" destId="{6C8C8B6A-66C0-40FC-AED0-D4BA3CB6DDF8}" srcOrd="17" destOrd="0" presId="urn:microsoft.com/office/officeart/2005/8/layout/list1"/>
    <dgm:cxn modelId="{1FFA8C65-7B9E-44EE-8D1A-444AFB730C1A}" type="presParOf" srcId="{959EC438-EFB9-46F6-9C40-7CF45CA96E54}" destId="{F2122D9E-EEB8-4590-98E2-97D6F1130931}"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B3FDED-A4CE-46B0-8F56-A4CD58F955BD}">
      <dsp:nvSpPr>
        <dsp:cNvPr id="0" name=""/>
        <dsp:cNvSpPr/>
      </dsp:nvSpPr>
      <dsp:spPr>
        <a:xfrm>
          <a:off x="1628662" y="412308"/>
          <a:ext cx="319988" cy="91440"/>
        </a:xfrm>
        <a:custGeom>
          <a:avLst/>
          <a:gdLst/>
          <a:ahLst/>
          <a:cxnLst/>
          <a:rect l="0" t="0" r="0" b="0"/>
          <a:pathLst>
            <a:path>
              <a:moveTo>
                <a:pt x="0" y="45720"/>
              </a:moveTo>
              <a:lnTo>
                <a:pt x="319988"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latin typeface="Times New Roman" panose="02020603050405020304" pitchFamily="18" charset="0"/>
            <a:cs typeface="Times New Roman" panose="02020603050405020304" pitchFamily="18" charset="0"/>
          </a:endParaRPr>
        </a:p>
      </dsp:txBody>
      <dsp:txXfrm>
        <a:off x="1779892" y="456276"/>
        <a:ext cx="17529" cy="3505"/>
      </dsp:txXfrm>
    </dsp:sp>
    <dsp:sp modelId="{916F1589-D2C1-48F5-BCBE-B4EB6CBC93FB}">
      <dsp:nvSpPr>
        <dsp:cNvPr id="0" name=""/>
        <dsp:cNvSpPr/>
      </dsp:nvSpPr>
      <dsp:spPr>
        <a:xfrm>
          <a:off x="106165" y="739"/>
          <a:ext cx="1524297" cy="91457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Initiation</a:t>
          </a:r>
          <a:endParaRPr lang="en-GB" sz="1500" kern="1200">
            <a:solidFill>
              <a:sysClr val="windowText" lastClr="000000"/>
            </a:solidFill>
            <a:latin typeface="Times New Roman" panose="02020603050405020304" pitchFamily="18" charset="0"/>
            <a:cs typeface="Times New Roman" panose="02020603050405020304" pitchFamily="18" charset="0"/>
          </a:endParaRPr>
        </a:p>
      </dsp:txBody>
      <dsp:txXfrm>
        <a:off x="106165" y="739"/>
        <a:ext cx="1524297" cy="914578"/>
      </dsp:txXfrm>
    </dsp:sp>
    <dsp:sp modelId="{862B4485-3034-4304-982A-AF9055705DF5}">
      <dsp:nvSpPr>
        <dsp:cNvPr id="0" name=""/>
        <dsp:cNvSpPr/>
      </dsp:nvSpPr>
      <dsp:spPr>
        <a:xfrm>
          <a:off x="3503548" y="412308"/>
          <a:ext cx="319988" cy="91440"/>
        </a:xfrm>
        <a:custGeom>
          <a:avLst/>
          <a:gdLst/>
          <a:ahLst/>
          <a:cxnLst/>
          <a:rect l="0" t="0" r="0" b="0"/>
          <a:pathLst>
            <a:path>
              <a:moveTo>
                <a:pt x="0" y="45720"/>
              </a:moveTo>
              <a:lnTo>
                <a:pt x="319988" y="45720"/>
              </a:lnTo>
            </a:path>
          </a:pathLst>
        </a:custGeom>
        <a:noFill/>
        <a:ln w="6350" cap="flat" cmpd="sng" algn="ctr">
          <a:solidFill>
            <a:schemeClr val="accent5">
              <a:hueOff val="-4050717"/>
              <a:satOff val="-275"/>
              <a:lumOff val="65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latin typeface="Times New Roman" panose="02020603050405020304" pitchFamily="18" charset="0"/>
            <a:cs typeface="Times New Roman" panose="02020603050405020304" pitchFamily="18" charset="0"/>
          </a:endParaRPr>
        </a:p>
      </dsp:txBody>
      <dsp:txXfrm>
        <a:off x="3654778" y="456276"/>
        <a:ext cx="17529" cy="3505"/>
      </dsp:txXfrm>
    </dsp:sp>
    <dsp:sp modelId="{54680CD7-3B12-4BC3-AAA7-8C6A95CE7607}">
      <dsp:nvSpPr>
        <dsp:cNvPr id="0" name=""/>
        <dsp:cNvSpPr/>
      </dsp:nvSpPr>
      <dsp:spPr>
        <a:xfrm>
          <a:off x="1981051" y="739"/>
          <a:ext cx="1524297" cy="914578"/>
        </a:xfrm>
        <a:prstGeom prst="rect">
          <a:avLst/>
        </a:prstGeom>
        <a:solidFill>
          <a:schemeClr val="accent5">
            <a:hueOff val="-3038037"/>
            <a:satOff val="-207"/>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Planning</a:t>
          </a:r>
          <a:endParaRPr lang="en-GB" sz="1500" kern="1200">
            <a:solidFill>
              <a:sysClr val="windowText" lastClr="000000"/>
            </a:solidFill>
            <a:latin typeface="Times New Roman" panose="02020603050405020304" pitchFamily="18" charset="0"/>
            <a:cs typeface="Times New Roman" panose="02020603050405020304" pitchFamily="18" charset="0"/>
          </a:endParaRPr>
        </a:p>
      </dsp:txBody>
      <dsp:txXfrm>
        <a:off x="1981051" y="739"/>
        <a:ext cx="1524297" cy="914578"/>
      </dsp:txXfrm>
    </dsp:sp>
    <dsp:sp modelId="{BF99BE6E-29C8-4F62-ADD0-A4AA997C87CE}">
      <dsp:nvSpPr>
        <dsp:cNvPr id="0" name=""/>
        <dsp:cNvSpPr/>
      </dsp:nvSpPr>
      <dsp:spPr>
        <a:xfrm>
          <a:off x="868313" y="913518"/>
          <a:ext cx="3749772" cy="319988"/>
        </a:xfrm>
        <a:custGeom>
          <a:avLst/>
          <a:gdLst/>
          <a:ahLst/>
          <a:cxnLst/>
          <a:rect l="0" t="0" r="0" b="0"/>
          <a:pathLst>
            <a:path>
              <a:moveTo>
                <a:pt x="3749772" y="0"/>
              </a:moveTo>
              <a:lnTo>
                <a:pt x="3749772" y="177094"/>
              </a:lnTo>
              <a:lnTo>
                <a:pt x="0" y="177094"/>
              </a:lnTo>
              <a:lnTo>
                <a:pt x="0" y="319988"/>
              </a:lnTo>
            </a:path>
          </a:pathLst>
        </a:custGeom>
        <a:noFill/>
        <a:ln w="6350" cap="flat" cmpd="sng" algn="ctr">
          <a:solidFill>
            <a:schemeClr val="accent5">
              <a:hueOff val="-8101434"/>
              <a:satOff val="-551"/>
              <a:lumOff val="130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latin typeface="Times New Roman" panose="02020603050405020304" pitchFamily="18" charset="0"/>
            <a:cs typeface="Times New Roman" panose="02020603050405020304" pitchFamily="18" charset="0"/>
          </a:endParaRPr>
        </a:p>
      </dsp:txBody>
      <dsp:txXfrm>
        <a:off x="2649046" y="1071759"/>
        <a:ext cx="188306" cy="3505"/>
      </dsp:txXfrm>
    </dsp:sp>
    <dsp:sp modelId="{CEE63CA6-0E61-49A1-AC86-1F53330FF1E3}">
      <dsp:nvSpPr>
        <dsp:cNvPr id="0" name=""/>
        <dsp:cNvSpPr/>
      </dsp:nvSpPr>
      <dsp:spPr>
        <a:xfrm>
          <a:off x="3855937" y="739"/>
          <a:ext cx="1524297" cy="914578"/>
        </a:xfrm>
        <a:prstGeom prst="rect">
          <a:avLst/>
        </a:prstGeom>
        <a:solidFill>
          <a:schemeClr val="accent5">
            <a:hueOff val="-6076075"/>
            <a:satOff val="-413"/>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Implementation</a:t>
          </a:r>
          <a:endParaRPr lang="en-GB" sz="1500" kern="1200">
            <a:solidFill>
              <a:sysClr val="windowText" lastClr="000000"/>
            </a:solidFill>
            <a:latin typeface="Times New Roman" panose="02020603050405020304" pitchFamily="18" charset="0"/>
            <a:cs typeface="Times New Roman" panose="02020603050405020304" pitchFamily="18" charset="0"/>
          </a:endParaRPr>
        </a:p>
      </dsp:txBody>
      <dsp:txXfrm>
        <a:off x="3855937" y="739"/>
        <a:ext cx="1524297" cy="914578"/>
      </dsp:txXfrm>
    </dsp:sp>
    <dsp:sp modelId="{B7A48455-A02B-44D3-B2A8-EDEFB9EC45C6}">
      <dsp:nvSpPr>
        <dsp:cNvPr id="0" name=""/>
        <dsp:cNvSpPr/>
      </dsp:nvSpPr>
      <dsp:spPr>
        <a:xfrm>
          <a:off x="1628662" y="1677476"/>
          <a:ext cx="319988" cy="91440"/>
        </a:xfrm>
        <a:custGeom>
          <a:avLst/>
          <a:gdLst/>
          <a:ahLst/>
          <a:cxnLst/>
          <a:rect l="0" t="0" r="0" b="0"/>
          <a:pathLst>
            <a:path>
              <a:moveTo>
                <a:pt x="0" y="45720"/>
              </a:moveTo>
              <a:lnTo>
                <a:pt x="319988" y="45720"/>
              </a:lnTo>
            </a:path>
          </a:pathLst>
        </a:custGeom>
        <a:noFill/>
        <a:ln w="6350" cap="flat" cmpd="sng" algn="ctr">
          <a:solidFill>
            <a:schemeClr val="accent5">
              <a:hueOff val="-12152150"/>
              <a:satOff val="-826"/>
              <a:lumOff val="196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latin typeface="Times New Roman" panose="02020603050405020304" pitchFamily="18" charset="0"/>
            <a:cs typeface="Times New Roman" panose="02020603050405020304" pitchFamily="18" charset="0"/>
          </a:endParaRPr>
        </a:p>
      </dsp:txBody>
      <dsp:txXfrm>
        <a:off x="1779892" y="1721443"/>
        <a:ext cx="17529" cy="3505"/>
      </dsp:txXfrm>
    </dsp:sp>
    <dsp:sp modelId="{4AA81967-C658-4100-B98F-5DEC2A128D51}">
      <dsp:nvSpPr>
        <dsp:cNvPr id="0" name=""/>
        <dsp:cNvSpPr/>
      </dsp:nvSpPr>
      <dsp:spPr>
        <a:xfrm>
          <a:off x="106165" y="1265906"/>
          <a:ext cx="1524297" cy="914578"/>
        </a:xfrm>
        <a:prstGeom prst="rect">
          <a:avLst/>
        </a:prstGeom>
        <a:solidFill>
          <a:schemeClr val="accent5">
            <a:hueOff val="-9114112"/>
            <a:satOff val="-620"/>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Event Day</a:t>
          </a:r>
          <a:endParaRPr lang="en-GB" sz="1500" kern="1200">
            <a:solidFill>
              <a:sysClr val="windowText" lastClr="000000"/>
            </a:solidFill>
            <a:latin typeface="Times New Roman" panose="02020603050405020304" pitchFamily="18" charset="0"/>
            <a:cs typeface="Times New Roman" panose="02020603050405020304" pitchFamily="18" charset="0"/>
          </a:endParaRPr>
        </a:p>
      </dsp:txBody>
      <dsp:txXfrm>
        <a:off x="106165" y="1265906"/>
        <a:ext cx="1524297" cy="914578"/>
      </dsp:txXfrm>
    </dsp:sp>
    <dsp:sp modelId="{796DE624-EB57-467E-AA6B-107EE3B5FC0A}">
      <dsp:nvSpPr>
        <dsp:cNvPr id="0" name=""/>
        <dsp:cNvSpPr/>
      </dsp:nvSpPr>
      <dsp:spPr>
        <a:xfrm>
          <a:off x="1981051" y="1265906"/>
          <a:ext cx="1524297" cy="914578"/>
        </a:xfrm>
        <a:prstGeom prst="rec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Text" lastClr="000000"/>
              </a:solidFill>
              <a:latin typeface="Times New Roman" panose="02020603050405020304" pitchFamily="18" charset="0"/>
              <a:cs typeface="Times New Roman" panose="02020603050405020304" pitchFamily="18" charset="0"/>
            </a:rPr>
            <a:t>Closure</a:t>
          </a:r>
          <a:endParaRPr lang="en-GB" sz="1500" kern="1200">
            <a:solidFill>
              <a:sysClr val="windowText" lastClr="000000"/>
            </a:solidFill>
            <a:latin typeface="Times New Roman" panose="02020603050405020304" pitchFamily="18" charset="0"/>
            <a:cs typeface="Times New Roman" panose="02020603050405020304" pitchFamily="18" charset="0"/>
          </a:endParaRPr>
        </a:p>
      </dsp:txBody>
      <dsp:txXfrm>
        <a:off x="1981051" y="1265906"/>
        <a:ext cx="1524297" cy="9145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3EC8B3-2CC9-4239-89A3-3F69A43D1215}">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66E095-A7A5-4E25-BCDE-3C01250E1459}">
      <dsp:nvSpPr>
        <dsp:cNvPr id="0" name=""/>
        <dsp:cNvSpPr/>
      </dsp:nvSpPr>
      <dsp:spPr>
        <a:xfrm>
          <a:off x="274320" y="50399"/>
          <a:ext cx="3840480" cy="41328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Increased Popularity of Themed Events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294495" y="70574"/>
        <a:ext cx="3800130" cy="372930"/>
      </dsp:txXfrm>
    </dsp:sp>
    <dsp:sp modelId="{F02609FA-1D84-491A-8BFF-92BDA9B8582A}">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3">
              <a:hueOff val="1029291"/>
              <a:satOff val="6178"/>
              <a:lumOff val="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6933C853-3E78-46B9-B329-D65074C1912F}">
      <dsp:nvSpPr>
        <dsp:cNvPr id="0" name=""/>
        <dsp:cNvSpPr/>
      </dsp:nvSpPr>
      <dsp:spPr>
        <a:xfrm>
          <a:off x="274320" y="685440"/>
          <a:ext cx="3840480" cy="413280"/>
        </a:xfrm>
        <a:prstGeom prst="roundRect">
          <a:avLst/>
        </a:prstGeom>
        <a:solidFill>
          <a:schemeClr val="accent3">
            <a:hueOff val="1029291"/>
            <a:satOff val="617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Rise in Experiential Marketing</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294495" y="705615"/>
        <a:ext cx="3800130" cy="372930"/>
      </dsp:txXfrm>
    </dsp:sp>
    <dsp:sp modelId="{51DC83D7-EDCE-4104-837C-6BC1D8E38948}">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3">
              <a:hueOff val="2058582"/>
              <a:satOff val="12356"/>
              <a:lumOff val="9413"/>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318237-2BDD-4575-A02A-A297A9E8B894}">
      <dsp:nvSpPr>
        <dsp:cNvPr id="0" name=""/>
        <dsp:cNvSpPr/>
      </dsp:nvSpPr>
      <dsp:spPr>
        <a:xfrm>
          <a:off x="274320" y="1320480"/>
          <a:ext cx="3840480" cy="413280"/>
        </a:xfrm>
        <a:prstGeom prst="roundRect">
          <a:avLst/>
        </a:prstGeom>
        <a:solidFill>
          <a:schemeClr val="accent3">
            <a:hueOff val="2058582"/>
            <a:satOff val="12356"/>
            <a:lumOff val="94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Emphasis on Sustainability</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294495" y="1340655"/>
        <a:ext cx="3800130" cy="372930"/>
      </dsp:txXfrm>
    </dsp:sp>
    <dsp:sp modelId="{B5372AD0-D6FC-4D6A-9AF5-413D0AFA9ED1}">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3">
              <a:hueOff val="3087872"/>
              <a:satOff val="18534"/>
              <a:lumOff val="14119"/>
              <a:alphaOff val="0"/>
            </a:schemeClr>
          </a:solidFill>
          <a:prstDash val="solid"/>
          <a:miter lim="800000"/>
        </a:ln>
        <a:effectLst/>
      </dsp:spPr>
      <dsp:style>
        <a:lnRef idx="2">
          <a:scrgbClr r="0" g="0" b="0"/>
        </a:lnRef>
        <a:fillRef idx="1">
          <a:scrgbClr r="0" g="0" b="0"/>
        </a:fillRef>
        <a:effectRef idx="0">
          <a:scrgbClr r="0" g="0" b="0"/>
        </a:effectRef>
        <a:fontRef idx="minor"/>
      </dsp:style>
    </dsp:sp>
    <dsp:sp modelId="{EBD7C630-9CD1-4B20-A439-D379EC1CC12D}">
      <dsp:nvSpPr>
        <dsp:cNvPr id="0" name=""/>
        <dsp:cNvSpPr/>
      </dsp:nvSpPr>
      <dsp:spPr>
        <a:xfrm>
          <a:off x="274320" y="1955520"/>
          <a:ext cx="3840480" cy="413280"/>
        </a:xfrm>
        <a:prstGeom prst="roundRect">
          <a:avLst/>
        </a:prstGeom>
        <a:solidFill>
          <a:schemeClr val="accent3">
            <a:hueOff val="3087872"/>
            <a:satOff val="18534"/>
            <a:lumOff val="141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Technological Integration</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294495" y="1975695"/>
        <a:ext cx="3800130" cy="372930"/>
      </dsp:txXfrm>
    </dsp:sp>
    <dsp:sp modelId="{F2122D9E-EEB8-4590-98E2-97D6F1130931}">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3">
              <a:hueOff val="4117163"/>
              <a:satOff val="24712"/>
              <a:lumOff val="18825"/>
              <a:alphaOff val="0"/>
            </a:schemeClr>
          </a:solidFill>
          <a:prstDash val="solid"/>
          <a:miter lim="800000"/>
        </a:ln>
        <a:effectLst/>
      </dsp:spPr>
      <dsp:style>
        <a:lnRef idx="2">
          <a:scrgbClr r="0" g="0" b="0"/>
        </a:lnRef>
        <a:fillRef idx="1">
          <a:scrgbClr r="0" g="0" b="0"/>
        </a:fillRef>
        <a:effectRef idx="0">
          <a:scrgbClr r="0" g="0" b="0"/>
        </a:effectRef>
        <a:fontRef idx="minor"/>
      </dsp:style>
    </dsp:sp>
    <dsp:sp modelId="{6C76EC34-26C4-4896-B76F-1EF1FC4F20F2}">
      <dsp:nvSpPr>
        <dsp:cNvPr id="0" name=""/>
        <dsp:cNvSpPr/>
      </dsp:nvSpPr>
      <dsp:spPr>
        <a:xfrm>
          <a:off x="274320" y="2590560"/>
          <a:ext cx="3840480" cy="413280"/>
        </a:xfrm>
        <a:prstGeom prst="roundRect">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Health and Safety Considerations</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4003</Words>
  <Characters>22818</Characters>
  <Application>Microsoft Office Word</Application>
  <DocSecurity>0</DocSecurity>
  <Lines>190</Lines>
  <Paragraphs>53</Paragraphs>
  <ScaleCrop>false</ScaleCrop>
  <Company/>
  <LinksUpToDate>false</LinksUpToDate>
  <CharactersWithSpaces>26768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2</cp:revision>
  <dcterms:created xsi:type="dcterms:W3CDTF">2024-11-08T10:46:00Z</dcterms:created>
  <dcterms:modified xsi:type="dcterms:W3CDTF">2024-11-08T10:48:00Z</dcterms:modified>
</cp:coreProperties>
</file>