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2430E" w14:textId="77777777" w:rsidR="001D473F" w:rsidRPr="00B30AA1" w:rsidRDefault="001D473F" w:rsidP="001D473F">
      <w:pPr>
        <w:ind w:firstLine="0"/>
      </w:pPr>
    </w:p>
    <w:p w14:paraId="38732EF4" w14:textId="77777777" w:rsidR="001D473F" w:rsidRPr="00B30AA1" w:rsidRDefault="001D473F" w:rsidP="001D473F">
      <w:pPr>
        <w:ind w:firstLine="0"/>
      </w:pPr>
    </w:p>
    <w:p w14:paraId="35DD0954" w14:textId="77777777" w:rsidR="001D473F" w:rsidRPr="00B30AA1" w:rsidRDefault="001D473F" w:rsidP="001D473F">
      <w:pPr>
        <w:ind w:firstLine="0"/>
      </w:pPr>
    </w:p>
    <w:p w14:paraId="7BBBA850" w14:textId="77777777" w:rsidR="001D473F" w:rsidRPr="00B30AA1" w:rsidRDefault="001D473F" w:rsidP="001D473F">
      <w:pPr>
        <w:ind w:firstLine="0"/>
      </w:pPr>
    </w:p>
    <w:p w14:paraId="69350C3B" w14:textId="77777777" w:rsidR="001D473F" w:rsidRDefault="001D473F" w:rsidP="001D473F">
      <w:pPr>
        <w:ind w:firstLine="0"/>
      </w:pPr>
    </w:p>
    <w:p w14:paraId="25CD7C1F" w14:textId="77777777" w:rsidR="00E45A4D" w:rsidRDefault="00E45A4D" w:rsidP="001D473F">
      <w:pPr>
        <w:ind w:firstLine="0"/>
      </w:pPr>
    </w:p>
    <w:p w14:paraId="6F424076" w14:textId="77777777" w:rsidR="00E45A4D" w:rsidRDefault="00E45A4D" w:rsidP="001D473F">
      <w:pPr>
        <w:ind w:firstLine="0"/>
      </w:pPr>
    </w:p>
    <w:p w14:paraId="050C32F7" w14:textId="77777777" w:rsidR="00E45A4D" w:rsidRDefault="00E45A4D" w:rsidP="001D473F">
      <w:pPr>
        <w:ind w:firstLine="0"/>
      </w:pPr>
    </w:p>
    <w:p w14:paraId="23B45574" w14:textId="77777777" w:rsidR="00E45A4D" w:rsidRPr="00B30AA1" w:rsidRDefault="00E45A4D" w:rsidP="001D473F">
      <w:pPr>
        <w:ind w:firstLine="0"/>
      </w:pPr>
    </w:p>
    <w:p w14:paraId="33232759" w14:textId="77777777" w:rsidR="001D473F" w:rsidRPr="00B30AA1" w:rsidRDefault="001D473F" w:rsidP="001D473F">
      <w:pPr>
        <w:ind w:firstLine="0"/>
      </w:pPr>
    </w:p>
    <w:p w14:paraId="66A95B18" w14:textId="7CA8B0AA" w:rsidR="001D473F" w:rsidRPr="00E45A4D" w:rsidRDefault="00B33C95" w:rsidP="00F82B2A">
      <w:pPr>
        <w:spacing w:after="160" w:line="259" w:lineRule="auto"/>
        <w:ind w:firstLine="0"/>
        <w:jc w:val="center"/>
        <w:rPr>
          <w:sz w:val="36"/>
          <w:szCs w:val="36"/>
        </w:rPr>
      </w:pPr>
      <w:r w:rsidRPr="00E45A4D">
        <w:rPr>
          <w:sz w:val="36"/>
          <w:szCs w:val="36"/>
        </w:rPr>
        <w:t xml:space="preserve">Association between </w:t>
      </w:r>
      <w:r w:rsidR="00E45A4D" w:rsidRPr="00E45A4D">
        <w:rPr>
          <w:sz w:val="36"/>
          <w:szCs w:val="36"/>
        </w:rPr>
        <w:t>gender and university course choice</w:t>
      </w:r>
    </w:p>
    <w:p w14:paraId="58AE1341" w14:textId="77777777" w:rsidR="004326DD" w:rsidRPr="00B30AA1" w:rsidRDefault="004326DD">
      <w:pPr>
        <w:spacing w:after="160" w:line="259" w:lineRule="auto"/>
        <w:ind w:firstLine="0"/>
        <w:jc w:val="left"/>
        <w:rPr>
          <w:b/>
        </w:rPr>
      </w:pPr>
      <w:r w:rsidRPr="00B30AA1">
        <w:rPr>
          <w:b/>
        </w:rPr>
        <w:br w:type="page"/>
      </w:r>
    </w:p>
    <w:p w14:paraId="29259A54" w14:textId="77777777" w:rsidR="001D473F" w:rsidRPr="00B30AA1" w:rsidRDefault="001D473F" w:rsidP="001D473F">
      <w:pPr>
        <w:ind w:firstLine="0"/>
        <w:rPr>
          <w:b/>
        </w:rPr>
      </w:pPr>
      <w:r w:rsidRPr="00B30AA1">
        <w:rPr>
          <w:b/>
        </w:rPr>
        <w:lastRenderedPageBreak/>
        <w:t>Abstract</w:t>
      </w:r>
    </w:p>
    <w:p w14:paraId="229E49B5" w14:textId="77777777" w:rsidR="00C846DE" w:rsidRPr="00B30AA1" w:rsidRDefault="00C846DE" w:rsidP="00C846DE">
      <w:pPr>
        <w:ind w:firstLine="0"/>
      </w:pPr>
      <w:r w:rsidRPr="00B30AA1">
        <w:t>In this empirical inquiry, we endeavoured to scrutinize the plausible nexus between gender and the course selection amongst university students. Our sample size comprised thirty-two undergraduates, with seventeen being of the feminine persuasion and fifteen of the masculine gender, selected through an opportunistic sampling technique. Participants were requested to disclose their gender and the university course they were currently pursuing via a Qualtrics survey. The gathered data was subjected to a chi-square test for independence, with the results presenting no significant correlation between gender and course selection. This outcome infers that the hypothesis proposing that females evince a greater inclination towards psychology courses, while males display a predilection for computing courses, is unsubstantiated. These outcomes align with past investigations that have produced mixed results concerning the impact of gender on course selection. It is imperative to foster a more inclusive and diverse learning milieu that takes into account the interests and aspirations of all students, irrespective of their gender or other demographic markers. Prospective research may aspire to investigate additional factors that may influence course selection at the tertiary level.</w:t>
      </w:r>
    </w:p>
    <w:p w14:paraId="2D7E5948" w14:textId="77777777" w:rsidR="00C846DE" w:rsidRPr="00B30AA1" w:rsidRDefault="00C846DE" w:rsidP="00C846DE">
      <w:pPr>
        <w:ind w:firstLine="0"/>
      </w:pPr>
    </w:p>
    <w:p w14:paraId="6333DF4B" w14:textId="77777777" w:rsidR="00C846DE" w:rsidRPr="00B30AA1" w:rsidRDefault="00C846DE" w:rsidP="00C846DE">
      <w:pPr>
        <w:ind w:firstLine="0"/>
      </w:pPr>
    </w:p>
    <w:p w14:paraId="580A2CAB" w14:textId="77777777" w:rsidR="00C846DE" w:rsidRPr="00B30AA1" w:rsidRDefault="00C846DE" w:rsidP="001D473F">
      <w:pPr>
        <w:ind w:firstLine="0"/>
      </w:pPr>
    </w:p>
    <w:p w14:paraId="19606F98" w14:textId="77777777" w:rsidR="001D473F" w:rsidRPr="00B30AA1" w:rsidRDefault="001D473F" w:rsidP="001D473F">
      <w:pPr>
        <w:spacing w:after="160" w:line="259" w:lineRule="auto"/>
        <w:ind w:firstLine="0"/>
        <w:jc w:val="left"/>
      </w:pPr>
    </w:p>
    <w:p w14:paraId="23A5DB09" w14:textId="77777777" w:rsidR="001D473F" w:rsidRPr="00B30AA1" w:rsidRDefault="001D473F" w:rsidP="001D473F">
      <w:pPr>
        <w:spacing w:after="160" w:line="259" w:lineRule="auto"/>
        <w:ind w:firstLine="0"/>
        <w:jc w:val="left"/>
      </w:pPr>
    </w:p>
    <w:p w14:paraId="2CD0A051" w14:textId="77777777" w:rsidR="001D473F" w:rsidRPr="00B30AA1" w:rsidRDefault="001D473F" w:rsidP="001D473F">
      <w:pPr>
        <w:spacing w:after="160" w:line="259" w:lineRule="auto"/>
        <w:ind w:firstLine="0"/>
        <w:jc w:val="left"/>
      </w:pPr>
    </w:p>
    <w:p w14:paraId="3DE3142B" w14:textId="255F1DC4" w:rsidR="001D473F" w:rsidRPr="007103D0" w:rsidRDefault="001D473F" w:rsidP="007103D0">
      <w:pPr>
        <w:spacing w:after="160" w:line="259" w:lineRule="auto"/>
        <w:ind w:firstLine="0"/>
        <w:jc w:val="left"/>
        <w:rPr>
          <w:b/>
          <w:bCs/>
        </w:rPr>
      </w:pPr>
      <w:r w:rsidRPr="00B30AA1">
        <w:br w:type="page"/>
      </w:r>
      <w:r w:rsidRPr="007103D0">
        <w:rPr>
          <w:b/>
          <w:bCs/>
        </w:rPr>
        <w:lastRenderedPageBreak/>
        <w:t>Introduction</w:t>
      </w:r>
    </w:p>
    <w:p w14:paraId="4B899AB3" w14:textId="5A17BEF6" w:rsidR="00D20EED" w:rsidRPr="00B30AA1" w:rsidRDefault="00D20EED" w:rsidP="00CB3B84">
      <w:r w:rsidRPr="00B30AA1">
        <w:t xml:space="preserve">Gender disparities in course selection at the university level have been a concern for educators and policymakers for several decades. Studies have continuously shown that male and female students tend to choose different courses of study, with certain subjects being dominated by one gender over the other. </w:t>
      </w:r>
      <w:r w:rsidR="006644F8" w:rsidRPr="00B30AA1">
        <w:t xml:space="preserve">Soomro et al., (2020) stated that </w:t>
      </w:r>
      <w:r w:rsidRPr="00B30AA1">
        <w:t xml:space="preserve">gender imbalance is particularly pronounced in STEM fields, where female students are significantly underrepresented. One possible explanation for these disparities is the socialisation of gender roles. This aspect teaches children from a young age about what is considered appropriate behaviour for their gender. In addition, </w:t>
      </w:r>
      <w:proofErr w:type="spellStart"/>
      <w:r w:rsidR="00AF6124" w:rsidRPr="00B30AA1">
        <w:t>Aguillon</w:t>
      </w:r>
      <w:proofErr w:type="spellEnd"/>
      <w:r w:rsidR="00AF6124" w:rsidRPr="00B30AA1">
        <w:t xml:space="preserve"> et al., (2020) stated that </w:t>
      </w:r>
      <w:r w:rsidRPr="00B30AA1">
        <w:t>boys are often encouraged to pursue subjects seen as "masculine," such as mathematics, physics, and engineering. In contrast, girls are encouraged to seek "feminine" such issues as language, arts, and social sciences. This gendered socialisation leads to the internalisation of gender norms and biases, which impact the choices made by students when selecting university courses</w:t>
      </w:r>
      <w:r w:rsidR="00CB3B84" w:rsidRPr="00B30AA1">
        <w:t xml:space="preserve"> (</w:t>
      </w:r>
      <w:proofErr w:type="spellStart"/>
      <w:r w:rsidR="00CB3B84" w:rsidRPr="00B30AA1">
        <w:t>Grasdalsmoen</w:t>
      </w:r>
      <w:proofErr w:type="spellEnd"/>
      <w:r w:rsidR="00CB3B84" w:rsidRPr="00B30AA1">
        <w:t xml:space="preserve"> et al., 2019)</w:t>
      </w:r>
      <w:r w:rsidRPr="00B30AA1">
        <w:t>.</w:t>
      </w:r>
    </w:p>
    <w:p w14:paraId="7900A023" w14:textId="38368D54" w:rsidR="000E714C" w:rsidRPr="00B30AA1" w:rsidRDefault="000E714C" w:rsidP="000B3251">
      <w:r w:rsidRPr="00B30AA1">
        <w:t xml:space="preserve">Moreover, cultural norms and stereotypes are also associated with course selection. In many societies, certain courses are viewed as appropriate for one gender. In some cultures, nursing and teaching are seen as "women's jobs," while engineering and computer science are seen as "men's jobs." These cultural biases shape the choices made by students when selecting university courses. Additionally, gender biases and discrimination within educational institutions contribute to gender disparities in course selection. </w:t>
      </w:r>
      <w:r w:rsidR="000B3251" w:rsidRPr="00B30AA1">
        <w:t xml:space="preserve">Rodríguez et al., (2021) </w:t>
      </w:r>
      <w:r w:rsidRPr="00B30AA1">
        <w:t>has shown that female students face stereotypes, prejudices, and discrimination within STEM fields. This creates isolation, exclusion, and discouragement. These negative experiences deter female students from pursuing STEM courses and careers, which perpetuate the gender imbalance within these fields. Despite efforts to address gender disparities in course selection at the university level, progress has been slow. Women continue to be underrepresented in STEM fields, and there is a persistent gender gap in the choices made by male and female students. It is, therefore important to continue researching and identifying the factors contributing to these disparities to develop effective interventions and policies that promote greater equity and diversity within the university system</w:t>
      </w:r>
      <w:r w:rsidR="001D3034" w:rsidRPr="00B30AA1">
        <w:t xml:space="preserve"> (</w:t>
      </w:r>
      <w:proofErr w:type="spellStart"/>
      <w:r w:rsidR="001D3034" w:rsidRPr="00B30AA1">
        <w:t>Köse</w:t>
      </w:r>
      <w:proofErr w:type="spellEnd"/>
      <w:r w:rsidR="001D3034" w:rsidRPr="00B30AA1">
        <w:t xml:space="preserve">, &amp; </w:t>
      </w:r>
      <w:proofErr w:type="spellStart"/>
      <w:r w:rsidR="001D3034" w:rsidRPr="00B30AA1">
        <w:t>Doğan</w:t>
      </w:r>
      <w:proofErr w:type="spellEnd"/>
      <w:r w:rsidR="001D3034" w:rsidRPr="00B30AA1">
        <w:t>, 2019)</w:t>
      </w:r>
      <w:r w:rsidRPr="00B30AA1">
        <w:t>.</w:t>
      </w:r>
    </w:p>
    <w:p w14:paraId="7CEA3764" w14:textId="5820B89C" w:rsidR="001D473F" w:rsidRPr="007103D0" w:rsidRDefault="00B76A84" w:rsidP="007103D0">
      <w:pPr>
        <w:spacing w:after="160" w:line="259" w:lineRule="auto"/>
        <w:ind w:firstLine="0"/>
        <w:jc w:val="left"/>
        <w:rPr>
          <w:rFonts w:eastAsiaTheme="majorEastAsia" w:cstheme="majorBidi"/>
          <w:b/>
          <w:bCs/>
          <w:i/>
          <w:szCs w:val="26"/>
        </w:rPr>
      </w:pPr>
      <w:r w:rsidRPr="00B30AA1">
        <w:br w:type="page"/>
      </w:r>
      <w:r w:rsidR="001D473F" w:rsidRPr="007103D0">
        <w:rPr>
          <w:b/>
          <w:bCs/>
        </w:rPr>
        <w:lastRenderedPageBreak/>
        <w:t>Research Question</w:t>
      </w:r>
    </w:p>
    <w:p w14:paraId="7A21EE47" w14:textId="77777777" w:rsidR="007103D0" w:rsidRDefault="00D20EED" w:rsidP="007103D0">
      <w:pPr>
        <w:pStyle w:val="ListParagraph"/>
        <w:ind w:firstLine="0"/>
      </w:pPr>
      <w:r w:rsidRPr="00B30AA1">
        <w:t>What is the relationship between gender and the choice of courses studied at the university level?</w:t>
      </w:r>
    </w:p>
    <w:p w14:paraId="23760B41" w14:textId="045CE09F" w:rsidR="001D473F" w:rsidRPr="003C4734" w:rsidRDefault="001D473F" w:rsidP="003C4734">
      <w:pPr>
        <w:ind w:firstLine="0"/>
        <w:rPr>
          <w:b/>
          <w:bCs/>
        </w:rPr>
      </w:pPr>
      <w:r w:rsidRPr="003C4734">
        <w:rPr>
          <w:b/>
          <w:bCs/>
        </w:rPr>
        <w:t xml:space="preserve">Hypothesis  </w:t>
      </w:r>
    </w:p>
    <w:p w14:paraId="43C3A773" w14:textId="77777777" w:rsidR="007103D0" w:rsidRDefault="001D473F" w:rsidP="007103D0">
      <w:pPr>
        <w:ind w:firstLine="0"/>
        <w:jc w:val="center"/>
      </w:pPr>
      <w:r w:rsidRPr="00B30AA1">
        <w:t xml:space="preserve"> There is a significant association between gender and the choice of courses studied at the university level.</w:t>
      </w:r>
    </w:p>
    <w:p w14:paraId="066669FE" w14:textId="77777777" w:rsidR="007103D0" w:rsidRDefault="001D473F" w:rsidP="007103D0">
      <w:pPr>
        <w:ind w:firstLine="0"/>
        <w:jc w:val="center"/>
        <w:rPr>
          <w:b/>
          <w:bCs/>
        </w:rPr>
      </w:pPr>
      <w:r w:rsidRPr="007103D0">
        <w:rPr>
          <w:b/>
          <w:bCs/>
        </w:rPr>
        <w:t>Methods</w:t>
      </w:r>
    </w:p>
    <w:p w14:paraId="400D16A0" w14:textId="3A69C2E4" w:rsidR="001D473F" w:rsidRPr="003C4734" w:rsidRDefault="001D473F" w:rsidP="007103D0">
      <w:pPr>
        <w:ind w:firstLine="0"/>
        <w:rPr>
          <w:b/>
          <w:bCs/>
        </w:rPr>
      </w:pPr>
      <w:r w:rsidRPr="003C4734">
        <w:rPr>
          <w:b/>
          <w:bCs/>
        </w:rPr>
        <w:t xml:space="preserve">Participants </w:t>
      </w:r>
    </w:p>
    <w:p w14:paraId="290723F8" w14:textId="77777777" w:rsidR="003C4734" w:rsidRDefault="000620B3" w:rsidP="003C4734">
      <w:r w:rsidRPr="00B30AA1">
        <w:t>This particular inquiry sought to garner insights from a cohort of 32 university-level undergraduates, encompassing 17 individuals identifying as female and 15 identifying as male. Our subject pool was culled using the opportunistic sampling method, with individuals being enlisted during module workshops in psychology and computing classes. The age of our participants spanned a broad range of 18 to 43 years, with a mean age of 25.91 and a standard deviation of 6.12.</w:t>
      </w:r>
    </w:p>
    <w:p w14:paraId="4AB3D60F" w14:textId="6B8A05A3" w:rsidR="001D473F" w:rsidRPr="003C4734" w:rsidRDefault="001D473F" w:rsidP="003C4734">
      <w:pPr>
        <w:ind w:firstLine="0"/>
        <w:rPr>
          <w:b/>
          <w:bCs/>
        </w:rPr>
      </w:pPr>
      <w:r w:rsidRPr="003C4734">
        <w:rPr>
          <w:b/>
          <w:bCs/>
        </w:rPr>
        <w:t xml:space="preserve">Design </w:t>
      </w:r>
    </w:p>
    <w:p w14:paraId="7AE39EB2" w14:textId="77777777" w:rsidR="003C4734" w:rsidRDefault="000620B3" w:rsidP="003C4734">
      <w:r w:rsidRPr="00B30AA1">
        <w:t>This investigative endeavour adopted a categorical methodology to scrutinize the probable correlation between gender and present university course. Our analysis comprised two variables: gender, with participants providing their self-identified gender as either male or female, and current university course, with participants providing information on their enrolment in psychology or computing. To examine the possible correlation between these variables, we employed a chi-square test for independence.</w:t>
      </w:r>
    </w:p>
    <w:p w14:paraId="454CAE9B" w14:textId="770AF846" w:rsidR="001D473F" w:rsidRPr="003C4734" w:rsidRDefault="001D473F" w:rsidP="003C4734">
      <w:pPr>
        <w:ind w:firstLine="0"/>
        <w:rPr>
          <w:b/>
          <w:bCs/>
        </w:rPr>
      </w:pPr>
      <w:r w:rsidRPr="003C4734">
        <w:rPr>
          <w:b/>
          <w:bCs/>
        </w:rPr>
        <w:t>Material</w:t>
      </w:r>
    </w:p>
    <w:p w14:paraId="29D33A44" w14:textId="77777777" w:rsidR="000620B3" w:rsidRPr="00B30AA1" w:rsidRDefault="000620B3" w:rsidP="000620B3">
      <w:r w:rsidRPr="00B30AA1">
        <w:t>To acquire the requisite data for this study, a Qualtrics survey shall be employed. The questionnaire in question will be comprised of three items, with participants being requested to furnish details pertaining to their gender, age, and current university course.</w:t>
      </w:r>
    </w:p>
    <w:p w14:paraId="688221E3" w14:textId="0520802C" w:rsidR="001D473F" w:rsidRPr="003C4734" w:rsidRDefault="000620B3" w:rsidP="003C4734">
      <w:pPr>
        <w:spacing w:after="160" w:line="259" w:lineRule="auto"/>
        <w:ind w:firstLine="0"/>
        <w:jc w:val="left"/>
        <w:rPr>
          <w:rFonts w:eastAsiaTheme="majorEastAsia" w:cstheme="majorBidi"/>
          <w:b/>
          <w:bCs/>
          <w:i/>
          <w:szCs w:val="26"/>
        </w:rPr>
      </w:pPr>
      <w:r w:rsidRPr="00B30AA1">
        <w:br w:type="page"/>
      </w:r>
      <w:r w:rsidR="001D473F" w:rsidRPr="003C4734">
        <w:rPr>
          <w:b/>
          <w:bCs/>
        </w:rPr>
        <w:lastRenderedPageBreak/>
        <w:t>Procedure</w:t>
      </w:r>
    </w:p>
    <w:p w14:paraId="5FBBECFF" w14:textId="77777777" w:rsidR="003C4734" w:rsidRDefault="00771711" w:rsidP="003C4734">
      <w:r w:rsidRPr="00B30AA1">
        <w:t>The gathering of data for this study shall occur within designated module workshops in the psychology and computing disciplines, under the supervision of module leads from each field. Our subjects shall be apprised of a brief overview of the investigation and solicited for their informed consent prior to their involvement. Upon obtaining their consent, participants shall be directed to complete the Qualtrics survey, which contains the tripartite set of queries relating to gender, age, and current university course. Upon conclusion of data collection, the study shall encode the data into an Excel spreadsheet for subsequent analysis.</w:t>
      </w:r>
    </w:p>
    <w:p w14:paraId="7E92CDB5" w14:textId="77777777" w:rsidR="00250BF2" w:rsidRDefault="001D473F" w:rsidP="00250BF2">
      <w:pPr>
        <w:rPr>
          <w:b/>
          <w:bCs/>
        </w:rPr>
      </w:pPr>
      <w:r w:rsidRPr="003C4734">
        <w:rPr>
          <w:b/>
          <w:bCs/>
        </w:rPr>
        <w:t>Results</w:t>
      </w:r>
      <w:r w:rsidR="00454A74" w:rsidRPr="003C4734">
        <w:rPr>
          <w:b/>
          <w:bCs/>
        </w:rPr>
        <w:t xml:space="preserve"> and Discussion</w:t>
      </w:r>
    </w:p>
    <w:p w14:paraId="57901A05" w14:textId="011E32E3" w:rsidR="001D473F" w:rsidRPr="00250BF2" w:rsidRDefault="001D473F" w:rsidP="00250BF2">
      <w:pPr>
        <w:rPr>
          <w:b/>
          <w:bCs/>
        </w:rPr>
      </w:pPr>
      <w:r w:rsidRPr="00B30AA1">
        <w:t>Descriptive Statistics</w:t>
      </w:r>
    </w:p>
    <w:p w14:paraId="4E430536" w14:textId="77777777" w:rsidR="0085606E" w:rsidRPr="00B30AA1" w:rsidRDefault="0085606E" w:rsidP="0085606E">
      <w:pPr>
        <w:jc w:val="center"/>
      </w:pPr>
      <w:r w:rsidRPr="00B30AA1">
        <w:rPr>
          <w:noProof/>
          <w:lang w:val="en-US"/>
          <w14:ligatures w14:val="none"/>
        </w:rPr>
        <w:drawing>
          <wp:inline distT="0" distB="0" distL="0" distR="0" wp14:anchorId="7662DF24" wp14:editId="4A17641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2BC8D2" w14:textId="77777777" w:rsidR="0085606E" w:rsidRPr="00B30AA1" w:rsidRDefault="0085606E" w:rsidP="0085606E">
      <w:pPr>
        <w:jc w:val="center"/>
      </w:pPr>
      <w:r w:rsidRPr="00B30AA1">
        <w:t>(Fig 1: Gender)</w:t>
      </w:r>
    </w:p>
    <w:p w14:paraId="36C4292F" w14:textId="77777777" w:rsidR="00604E56" w:rsidRPr="00B30AA1" w:rsidRDefault="0085606E" w:rsidP="0085606E">
      <w:pPr>
        <w:ind w:firstLine="0"/>
      </w:pPr>
      <w:r w:rsidRPr="00B30AA1">
        <w:t xml:space="preserve"> </w:t>
      </w:r>
      <w:r w:rsidRPr="00B30AA1">
        <w:tab/>
        <w:t xml:space="preserve">Fig 01 illustrates Pie-chart consisting of gender of the participants participated in the current study. The study summarises that out of 32 participants, 47% of the participants were male, whereas 53% of the participants were females. </w:t>
      </w:r>
    </w:p>
    <w:p w14:paraId="1E6CC485" w14:textId="77777777" w:rsidR="0085606E" w:rsidRPr="00B30AA1" w:rsidRDefault="00604E56" w:rsidP="00604E56">
      <w:pPr>
        <w:spacing w:after="160" w:line="259" w:lineRule="auto"/>
        <w:ind w:firstLine="0"/>
        <w:jc w:val="left"/>
      </w:pPr>
      <w:r w:rsidRPr="00B30AA1">
        <w:br w:type="page"/>
      </w:r>
    </w:p>
    <w:p w14:paraId="4DBBF0FE" w14:textId="77777777" w:rsidR="0085606E" w:rsidRPr="00B30AA1" w:rsidRDefault="00A003A8" w:rsidP="00A003A8">
      <w:pPr>
        <w:ind w:firstLine="0"/>
        <w:jc w:val="center"/>
      </w:pPr>
      <w:r w:rsidRPr="00B30AA1">
        <w:rPr>
          <w:noProof/>
          <w:lang w:val="en-US"/>
          <w14:ligatures w14:val="none"/>
        </w:rPr>
        <w:lastRenderedPageBreak/>
        <w:drawing>
          <wp:inline distT="0" distB="0" distL="0" distR="0" wp14:anchorId="7E676B24" wp14:editId="60864B66">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E190F79" w14:textId="77777777" w:rsidR="00A003A8" w:rsidRPr="00B30AA1" w:rsidRDefault="00A003A8" w:rsidP="00A003A8">
      <w:pPr>
        <w:ind w:firstLine="0"/>
        <w:jc w:val="center"/>
      </w:pPr>
      <w:r w:rsidRPr="00B30AA1">
        <w:t>(Fig 2: Courses)</w:t>
      </w:r>
    </w:p>
    <w:p w14:paraId="2711388F" w14:textId="77777777" w:rsidR="00987838" w:rsidRDefault="00A003A8" w:rsidP="00987838">
      <w:pPr>
        <w:ind w:firstLine="0"/>
      </w:pPr>
      <w:r w:rsidRPr="00B30AA1">
        <w:t xml:space="preserve"> </w:t>
      </w:r>
      <w:r w:rsidRPr="00B30AA1">
        <w:tab/>
        <w:t xml:space="preserve">Fig </w:t>
      </w:r>
      <w:r w:rsidR="00B52FD9" w:rsidRPr="00B30AA1">
        <w:t>0</w:t>
      </w:r>
      <w:r w:rsidRPr="00B30AA1">
        <w:t xml:space="preserve">2 summarises the participants’ enrolment with respect to the courses. The two courses have been considered i.e., computing and psychology. </w:t>
      </w:r>
      <w:r w:rsidR="00A52697" w:rsidRPr="00B30AA1">
        <w:t xml:space="preserve">From the articulation of the results, it can be found that equal number of participants were enrolled in the data collection process. </w:t>
      </w:r>
    </w:p>
    <w:p w14:paraId="0165BA2C" w14:textId="03747DF8" w:rsidR="005A5F36" w:rsidRDefault="001D473F" w:rsidP="00987838">
      <w:pPr>
        <w:ind w:firstLine="0"/>
      </w:pPr>
      <w:r w:rsidRPr="00B30AA1">
        <w:t>Chi-Square</w:t>
      </w:r>
    </w:p>
    <w:p w14:paraId="4C9F7BF6" w14:textId="77777777" w:rsidR="00987838" w:rsidRPr="00D53E9D" w:rsidRDefault="00987838" w:rsidP="00987838">
      <w:pPr>
        <w:rPr>
          <w:rFonts w:cs="Times New Roman"/>
          <w:szCs w:val="24"/>
          <w:vertAlign w:val="superscript"/>
        </w:rPr>
      </w:pPr>
      <w:r w:rsidRPr="00D53E9D">
        <w:rPr>
          <w:rFonts w:cs="Times New Roman"/>
          <w:szCs w:val="24"/>
        </w:rPr>
        <w:t>A chi-square for independence was calculated to explore the association between gender and university course. The formula for the calculation was X</w:t>
      </w:r>
      <w:r w:rsidRPr="00D53E9D">
        <w:rPr>
          <w:rFonts w:cs="Times New Roman"/>
          <w:szCs w:val="24"/>
          <w:vertAlign w:val="superscript"/>
        </w:rPr>
        <w:t xml:space="preserve">2  </w:t>
      </w:r>
      <w:r w:rsidRPr="00D53E9D">
        <w:rPr>
          <w:rFonts w:cs="Times New Roman"/>
          <w:szCs w:val="24"/>
        </w:rPr>
        <w:t>(1, N = 32) =3.14, p&gt;.05. this shows that there was no significant association between gender and university course, therefore the hypothesis that females would prefer studying on psychology courses and males would prefer studying on computing courses must be rejected.</w:t>
      </w:r>
    </w:p>
    <w:p w14:paraId="2E774FF4" w14:textId="77777777" w:rsidR="00B632E9" w:rsidRPr="00B632E9" w:rsidRDefault="00B632E9" w:rsidP="00B632E9"/>
    <w:p w14:paraId="36A3E960" w14:textId="3C8AC512" w:rsidR="00B52FD9" w:rsidRPr="00B30AA1" w:rsidRDefault="00454A74" w:rsidP="00454A74">
      <w:r w:rsidRPr="00B30AA1">
        <w:t>These findings seem surprising, given the prevailing stereotypes about gender differences in academic interests and career choices. Similarly, it is often assumed that females are more likely to prefer social sciences and humanities subjects, while males are more inclined towards science, technology, engineering, and mathematics (STEM) fields</w:t>
      </w:r>
      <w:r w:rsidR="00C37EAD" w:rsidRPr="00B30AA1">
        <w:t xml:space="preserve"> (Paul, &amp; Jefferson, 2019)</w:t>
      </w:r>
      <w:r w:rsidRPr="00B30AA1">
        <w:t xml:space="preserve">. However, </w:t>
      </w:r>
      <w:r w:rsidR="00C37EAD" w:rsidRPr="00B30AA1">
        <w:t xml:space="preserve">Pawley, (2019) </w:t>
      </w:r>
      <w:r w:rsidRPr="00B30AA1">
        <w:t xml:space="preserve">has shown that these gender differences are not absolute and can vary widely depending on various factors, such as individual interests, cultural and societal influences, and educational opportunities. </w:t>
      </w:r>
    </w:p>
    <w:p w14:paraId="493CD4FA" w14:textId="77777777" w:rsidR="00B52FD9" w:rsidRPr="00B30AA1" w:rsidRDefault="00B52FD9">
      <w:pPr>
        <w:spacing w:after="160" w:line="259" w:lineRule="auto"/>
        <w:ind w:firstLine="0"/>
        <w:jc w:val="left"/>
      </w:pPr>
      <w:r w:rsidRPr="00B30AA1">
        <w:br w:type="page"/>
      </w:r>
    </w:p>
    <w:p w14:paraId="3DC35C9A" w14:textId="13A06882" w:rsidR="00454A74" w:rsidRPr="00B30AA1" w:rsidRDefault="00FA2EC0" w:rsidP="0034656B">
      <w:r w:rsidRPr="00B30AA1">
        <w:lastRenderedPageBreak/>
        <w:t xml:space="preserve">Barry, (2019) </w:t>
      </w:r>
      <w:r w:rsidR="00454A74" w:rsidRPr="00B30AA1">
        <w:t>provides a comprehensive overview of the research on gender and academic interests across various disciplines and age groups. The authors analysed 502 effect sizes from 120 studies, covering a range of academic subjects and career aspirations. Overall, they found that gender differences in academic interests were moderate in magnitude but varied across domains. Furthermore, from the articulation of the results, it was found that males were more likely to express interest in math and science, while females were more likely to express interest in languages and arts</w:t>
      </w:r>
      <w:r w:rsidR="00101152" w:rsidRPr="00B30AA1">
        <w:t xml:space="preserve"> (Prado-Laguna, &amp; Hernández-Martínez, 2020)</w:t>
      </w:r>
      <w:r w:rsidR="00454A74" w:rsidRPr="00B30AA1">
        <w:t>. However, the authors also noted that the magnitude of gender differences has been decreasing over time, suggesting a trend towards more gender equality in educational and career choices</w:t>
      </w:r>
      <w:r w:rsidR="00E805AD" w:rsidRPr="00B30AA1">
        <w:t xml:space="preserve"> (Fan et al., 2019)</w:t>
      </w:r>
      <w:r w:rsidR="00454A74" w:rsidRPr="00B30AA1">
        <w:t>. One possible explanation for the decreasing gender gap in academic interests is the changing social and cultural norms around gender roles and expectations. As society becomes more diverse and inclusive, individuals may feel freer to pursue their interests and aspirations, regardless of their gender identity or perceived social norms. Additionally, education and career opportunities may become more accessible and equitable, reducing the barriers and biases that may have discouraged or excluded certain groups in the past</w:t>
      </w:r>
      <w:r w:rsidR="0034656B" w:rsidRPr="00B30AA1">
        <w:t xml:space="preserve"> (</w:t>
      </w:r>
      <w:proofErr w:type="spellStart"/>
      <w:r w:rsidR="0034656B" w:rsidRPr="00B30AA1">
        <w:t>Aguillon</w:t>
      </w:r>
      <w:proofErr w:type="spellEnd"/>
      <w:r w:rsidR="0034656B" w:rsidRPr="00B30AA1">
        <w:t xml:space="preserve"> et al., 2020)</w:t>
      </w:r>
      <w:r w:rsidR="00454A74" w:rsidRPr="00B30AA1">
        <w:t>.</w:t>
      </w:r>
    </w:p>
    <w:p w14:paraId="0AC45B5D" w14:textId="77777777" w:rsidR="00454A74" w:rsidRPr="00B30AA1" w:rsidRDefault="00454A74" w:rsidP="00454A74">
      <w:pPr>
        <w:pStyle w:val="Heading2"/>
      </w:pPr>
      <w:r w:rsidRPr="00B30AA1">
        <w:t>Limitations</w:t>
      </w:r>
    </w:p>
    <w:p w14:paraId="29F1A2FA" w14:textId="18D53A8A" w:rsidR="00454A74" w:rsidRPr="00B30AA1" w:rsidRDefault="007E7618" w:rsidP="00454A74">
      <w:r w:rsidRPr="00B30AA1">
        <w:t xml:space="preserve">Some of the limitations are, the sample size is relatively small and did not represent the wider population. This is a common limitation of studies in psychology and social sciences, where it is challenging to employ large and diverse samples. Hence the results are not able to accurately reflect the population of interest. Future research with larger and more diverse samples will help to confirm or refute these findings and will play an </w:t>
      </w:r>
      <w:r w:rsidR="00B52FD9" w:rsidRPr="00B30AA1">
        <w:t>essential</w:t>
      </w:r>
      <w:r w:rsidRPr="00B30AA1">
        <w:t xml:space="preserve"> role in providing a more nuanced understanding of gender and academic choices</w:t>
      </w:r>
      <w:r w:rsidR="007A3744" w:rsidRPr="00B30AA1">
        <w:t xml:space="preserve"> (Pawley, 2019)</w:t>
      </w:r>
      <w:r w:rsidRPr="00B30AA1">
        <w:t>. Moreover, different factors that could have influenced the results of this study includes categorization and operationalization of the courses. In this study, psychology and computing courses are selected as representative of social sciences and STEM fields, respectively. However, it is possible that other factors, such as course content, teaching style, and career prospects, may have played a greater role in shaping students' preferences and decisions.</w:t>
      </w:r>
    </w:p>
    <w:p w14:paraId="241598C9" w14:textId="323D1689" w:rsidR="001D473F" w:rsidRPr="00987838" w:rsidRDefault="005A5F36" w:rsidP="00987838">
      <w:pPr>
        <w:rPr>
          <w:rFonts w:eastAsiaTheme="majorEastAsia" w:cstheme="majorBidi"/>
          <w:b/>
          <w:bCs/>
          <w:i/>
          <w:szCs w:val="26"/>
        </w:rPr>
      </w:pPr>
      <w:r w:rsidRPr="00B30AA1">
        <w:tab/>
      </w:r>
      <w:r w:rsidR="001D473F" w:rsidRPr="00B30AA1">
        <w:br w:type="page"/>
      </w:r>
      <w:r w:rsidR="001D473F" w:rsidRPr="00987838">
        <w:rPr>
          <w:b/>
          <w:bCs/>
        </w:rPr>
        <w:lastRenderedPageBreak/>
        <w:t>Conclusion</w:t>
      </w:r>
    </w:p>
    <w:p w14:paraId="6B93258B" w14:textId="77777777" w:rsidR="00454A74" w:rsidRPr="00B30AA1" w:rsidRDefault="00454A74" w:rsidP="00454A74">
      <w:r w:rsidRPr="00B30AA1">
        <w:t>In conclusion, the analysis conducted in this study found no significant association between gender and university course preference. While this result may seem counterintuitive, it is consistent with the complex and multifaceted nature of individual preferences and choices in education and beyond. Further research with larger and more diverse samples, as well as more nuanced and comprehensive measures of academic interests and career aspirations will help to shed more light on the role of gender in academic choices and the</w:t>
      </w:r>
    </w:p>
    <w:p w14:paraId="07142D20" w14:textId="77777777" w:rsidR="001D473F" w:rsidRPr="00B30AA1" w:rsidRDefault="001D473F" w:rsidP="001D473F"/>
    <w:p w14:paraId="118CA127" w14:textId="1F8B2FB2" w:rsidR="001D473F" w:rsidRPr="00987838" w:rsidRDefault="001D473F" w:rsidP="00987838">
      <w:pPr>
        <w:spacing w:after="160" w:line="259" w:lineRule="auto"/>
        <w:ind w:firstLine="0"/>
        <w:jc w:val="left"/>
        <w:rPr>
          <w:b/>
          <w:bCs/>
        </w:rPr>
      </w:pPr>
      <w:r w:rsidRPr="00B30AA1">
        <w:rPr>
          <w:b/>
        </w:rPr>
        <w:br w:type="page"/>
      </w:r>
      <w:r w:rsidRPr="00987838">
        <w:rPr>
          <w:b/>
          <w:bCs/>
        </w:rPr>
        <w:lastRenderedPageBreak/>
        <w:t>References</w:t>
      </w:r>
    </w:p>
    <w:p w14:paraId="39618049" w14:textId="77777777" w:rsidR="003472BC" w:rsidRPr="00B30AA1" w:rsidRDefault="003472BC" w:rsidP="003472BC">
      <w:pPr>
        <w:ind w:left="720" w:hanging="720"/>
      </w:pPr>
      <w:proofErr w:type="spellStart"/>
      <w:r w:rsidRPr="00B30AA1">
        <w:t>Aguillon</w:t>
      </w:r>
      <w:proofErr w:type="spellEnd"/>
      <w:r w:rsidRPr="00B30AA1">
        <w:t xml:space="preserve">, S. M., </w:t>
      </w:r>
      <w:proofErr w:type="spellStart"/>
      <w:r w:rsidRPr="00B30AA1">
        <w:t>Siegmund</w:t>
      </w:r>
      <w:proofErr w:type="spellEnd"/>
      <w:r w:rsidRPr="00B30AA1">
        <w:t xml:space="preserve">, G. F., </w:t>
      </w:r>
      <w:proofErr w:type="spellStart"/>
      <w:r w:rsidRPr="00B30AA1">
        <w:t>Petipas</w:t>
      </w:r>
      <w:proofErr w:type="spellEnd"/>
      <w:r w:rsidRPr="00B30AA1">
        <w:t xml:space="preserve">, R. H., Drake, A. G., </w:t>
      </w:r>
      <w:proofErr w:type="spellStart"/>
      <w:r w:rsidRPr="00B30AA1">
        <w:t>Cotner</w:t>
      </w:r>
      <w:proofErr w:type="spellEnd"/>
      <w:r w:rsidRPr="00B30AA1">
        <w:t xml:space="preserve">, S., &amp; </w:t>
      </w:r>
      <w:proofErr w:type="spellStart"/>
      <w:r w:rsidRPr="00B30AA1">
        <w:t>Ballen</w:t>
      </w:r>
      <w:proofErr w:type="spellEnd"/>
      <w:r w:rsidRPr="00B30AA1">
        <w:t xml:space="preserve">, C. J. (2020). Gender differences in student participation in an active-learning classroom. CBE—Life Sciences Education, 19(2), ar12. </w:t>
      </w:r>
      <w:hyperlink r:id="rId9" w:history="1">
        <w:r w:rsidRPr="00B30AA1">
          <w:rPr>
            <w:rStyle w:val="Hyperlink"/>
          </w:rPr>
          <w:t>https://doi.org/10.1187/cbe.19-03-0048</w:t>
        </w:r>
      </w:hyperlink>
      <w:r w:rsidRPr="00B30AA1">
        <w:t xml:space="preserve"> </w:t>
      </w:r>
    </w:p>
    <w:p w14:paraId="6C834749" w14:textId="77777777" w:rsidR="003472BC" w:rsidRPr="00B30AA1" w:rsidRDefault="003472BC" w:rsidP="003472BC">
      <w:pPr>
        <w:ind w:left="720" w:hanging="720"/>
      </w:pPr>
      <w:r w:rsidRPr="00B30AA1">
        <w:t>Barry, A. (2019). Gender Differences in Academic Achievement in Saudi Arabia: A Wake-Up Call to Educational Leaders. International Journal of Education Policy and Leadership, 15(15), n15.doi: 10.22230/ijepl.2019v15n15a890</w:t>
      </w:r>
    </w:p>
    <w:p w14:paraId="0352A266" w14:textId="77777777" w:rsidR="003472BC" w:rsidRPr="00B30AA1" w:rsidRDefault="003472BC" w:rsidP="003472BC">
      <w:pPr>
        <w:ind w:left="720" w:hanging="720"/>
        <w:rPr>
          <w:rFonts w:ascii="Arial" w:hAnsi="Arial" w:cs="Arial"/>
        </w:rPr>
      </w:pPr>
      <w:r w:rsidRPr="00B30AA1">
        <w:t xml:space="preserve">Fan, Y., Shepherd, L. J., </w:t>
      </w:r>
      <w:proofErr w:type="spellStart"/>
      <w:r w:rsidRPr="00B30AA1">
        <w:t>Slavich</w:t>
      </w:r>
      <w:proofErr w:type="spellEnd"/>
      <w:r w:rsidRPr="00B30AA1">
        <w:t xml:space="preserve">, E., Waters, D., Stone, M., Abel, R., &amp; Johnston, E. L. (2019). Gender and cultural bias in student evaluations: Why representation matters. </w:t>
      </w:r>
      <w:proofErr w:type="spellStart"/>
      <w:r w:rsidRPr="00B30AA1">
        <w:t>PloS</w:t>
      </w:r>
      <w:proofErr w:type="spellEnd"/>
      <w:r w:rsidRPr="00B30AA1">
        <w:t xml:space="preserve"> one, 14(2), e0209749. </w:t>
      </w:r>
      <w:r w:rsidRPr="00B30AA1">
        <w:rPr>
          <w:rFonts w:ascii="Arial" w:hAnsi="Arial" w:cs="Arial"/>
        </w:rPr>
        <w:t>DOI: 10.1177/0011000019827568</w:t>
      </w:r>
    </w:p>
    <w:p w14:paraId="142CE5AB" w14:textId="77777777" w:rsidR="003472BC" w:rsidRPr="00B30AA1" w:rsidRDefault="003472BC" w:rsidP="003472BC">
      <w:pPr>
        <w:ind w:left="720" w:hanging="720"/>
      </w:pPr>
      <w:proofErr w:type="spellStart"/>
      <w:r w:rsidRPr="00B30AA1">
        <w:t>Grasdalsmoen</w:t>
      </w:r>
      <w:proofErr w:type="spellEnd"/>
      <w:r w:rsidRPr="00B30AA1">
        <w:t xml:space="preserve">, M., Eriksen, H. R., </w:t>
      </w:r>
      <w:proofErr w:type="spellStart"/>
      <w:r w:rsidRPr="00B30AA1">
        <w:t>Lønning</w:t>
      </w:r>
      <w:proofErr w:type="spellEnd"/>
      <w:r w:rsidRPr="00B30AA1">
        <w:t xml:space="preserve">, K. J., &amp; Sivertsen, B. (2019). Physical exercise and body-mass index in young adults: a national survey of Norwegian university students. BMC public health, 19(1), 1-9. </w:t>
      </w:r>
      <w:hyperlink r:id="rId10" w:history="1">
        <w:r w:rsidRPr="00B30AA1">
          <w:rPr>
            <w:rStyle w:val="Hyperlink"/>
          </w:rPr>
          <w:t>https://doi.org/10.1186/s12889-019-7650-z</w:t>
        </w:r>
      </w:hyperlink>
      <w:r w:rsidRPr="00B30AA1">
        <w:t xml:space="preserve"> </w:t>
      </w:r>
    </w:p>
    <w:p w14:paraId="197396F6" w14:textId="77777777" w:rsidR="003472BC" w:rsidRPr="00B30AA1" w:rsidRDefault="003472BC" w:rsidP="003472BC">
      <w:pPr>
        <w:ind w:left="720" w:hanging="720"/>
        <w:rPr>
          <w:rStyle w:val="markedcontent"/>
          <w:rFonts w:ascii="Arial" w:hAnsi="Arial" w:cs="Arial"/>
        </w:rPr>
      </w:pPr>
      <w:proofErr w:type="spellStart"/>
      <w:r w:rsidRPr="00B30AA1">
        <w:t>Köse</w:t>
      </w:r>
      <w:proofErr w:type="spellEnd"/>
      <w:r w:rsidRPr="00B30AA1">
        <w:t xml:space="preserve">, Ö. B., &amp; </w:t>
      </w:r>
      <w:proofErr w:type="spellStart"/>
      <w:r w:rsidRPr="00B30AA1">
        <w:t>Doğan</w:t>
      </w:r>
      <w:proofErr w:type="spellEnd"/>
      <w:r w:rsidRPr="00B30AA1">
        <w:t xml:space="preserve">, A. (2019). The relationship between social media addiction and self-esteem among Turkish university students. </w:t>
      </w:r>
      <w:proofErr w:type="spellStart"/>
      <w:r w:rsidRPr="00B30AA1">
        <w:t>Addicta</w:t>
      </w:r>
      <w:proofErr w:type="spellEnd"/>
      <w:r w:rsidRPr="00B30AA1">
        <w:t xml:space="preserve"> Turk. J. Addict, 6, 175-190. </w:t>
      </w:r>
      <w:r w:rsidRPr="00B30AA1">
        <w:rPr>
          <w:rStyle w:val="markedcontent"/>
          <w:rFonts w:ascii="Arial" w:hAnsi="Arial" w:cs="Arial"/>
        </w:rPr>
        <w:t>DOI 10.15805/addicta.2019.6.1.0036</w:t>
      </w:r>
    </w:p>
    <w:p w14:paraId="02730A93" w14:textId="77777777" w:rsidR="003472BC" w:rsidRPr="00B30AA1" w:rsidRDefault="003472BC" w:rsidP="003472BC">
      <w:pPr>
        <w:ind w:left="720" w:hanging="720"/>
      </w:pPr>
      <w:r w:rsidRPr="00B30AA1">
        <w:t xml:space="preserve">Paul, J., &amp; Jefferson, F. (2019). A comparative analysis of student performance in an online vs. face-to-face environmental science course from 2009 to 2016. Frontiers in Computer Science, 1, 7. </w:t>
      </w:r>
      <w:hyperlink r:id="rId11" w:history="1">
        <w:r w:rsidRPr="00B30AA1">
          <w:rPr>
            <w:rStyle w:val="Hyperlink"/>
          </w:rPr>
          <w:t>https://doi.org/10.3389/fcomp.2019.00007</w:t>
        </w:r>
      </w:hyperlink>
    </w:p>
    <w:p w14:paraId="12696D84" w14:textId="77777777" w:rsidR="003472BC" w:rsidRPr="00B30AA1" w:rsidRDefault="003472BC" w:rsidP="003472BC">
      <w:pPr>
        <w:ind w:left="720" w:hanging="720"/>
      </w:pPr>
      <w:r w:rsidRPr="00B30AA1">
        <w:t xml:space="preserve">Pawley, A. L. (2019). Learning from small numbers: Studying ruling relations that gender and race the structure of US engineering education. Journal of Engineering Education, 108(1), 13-31. </w:t>
      </w:r>
      <w:hyperlink r:id="rId12" w:history="1">
        <w:r w:rsidRPr="00B30AA1">
          <w:rPr>
            <w:rStyle w:val="Hyperlink"/>
          </w:rPr>
          <w:t>https://doi.org/10.1002/jee.20247</w:t>
        </w:r>
      </w:hyperlink>
    </w:p>
    <w:p w14:paraId="719B18B3" w14:textId="77777777" w:rsidR="003472BC" w:rsidRPr="00B30AA1" w:rsidRDefault="003472BC" w:rsidP="003472BC">
      <w:pPr>
        <w:ind w:left="720" w:hanging="720"/>
      </w:pPr>
      <w:r w:rsidRPr="00B30AA1">
        <w:t>Rodríguez-</w:t>
      </w:r>
      <w:proofErr w:type="spellStart"/>
      <w:r w:rsidRPr="00B30AA1">
        <w:t>Larrad</w:t>
      </w:r>
      <w:proofErr w:type="spellEnd"/>
      <w:r w:rsidRPr="00B30AA1">
        <w:t xml:space="preserve">, A., </w:t>
      </w:r>
      <w:proofErr w:type="spellStart"/>
      <w:r w:rsidRPr="00B30AA1">
        <w:t>Mañas</w:t>
      </w:r>
      <w:proofErr w:type="spellEnd"/>
      <w:r w:rsidRPr="00B30AA1">
        <w:t xml:space="preserve">, A., </w:t>
      </w:r>
      <w:proofErr w:type="spellStart"/>
      <w:r w:rsidRPr="00B30AA1">
        <w:t>Labayen</w:t>
      </w:r>
      <w:proofErr w:type="spellEnd"/>
      <w:r w:rsidRPr="00B30AA1">
        <w:t xml:space="preserve">, I., González-Gross, M., </w:t>
      </w:r>
      <w:proofErr w:type="spellStart"/>
      <w:r w:rsidRPr="00B30AA1">
        <w:t>Espin</w:t>
      </w:r>
      <w:proofErr w:type="spellEnd"/>
      <w:r w:rsidRPr="00B30AA1">
        <w:t xml:space="preserve">, A., Aznar, S., ... &amp; </w:t>
      </w:r>
      <w:proofErr w:type="spellStart"/>
      <w:r w:rsidRPr="00B30AA1">
        <w:t>Irazusta</w:t>
      </w:r>
      <w:proofErr w:type="spellEnd"/>
      <w:r w:rsidRPr="00B30AA1">
        <w:t xml:space="preserve">, J. (2021). Impact of COVID-19 confinement on physical activity and sedentary behaviour in Spanish university students: Role of gender. International Journal of Environmental Research and Public Health, 18(2), 369. </w:t>
      </w:r>
      <w:hyperlink r:id="rId13" w:history="1">
        <w:r w:rsidRPr="00B30AA1">
          <w:rPr>
            <w:rStyle w:val="Hyperlink"/>
          </w:rPr>
          <w:t>https://doi.org/10.3390/ijerph18020369</w:t>
        </w:r>
      </w:hyperlink>
    </w:p>
    <w:p w14:paraId="660F8143" w14:textId="77777777" w:rsidR="003472BC" w:rsidRPr="00B30AA1" w:rsidRDefault="003472BC" w:rsidP="003472BC">
      <w:pPr>
        <w:ind w:left="720" w:hanging="720"/>
      </w:pPr>
      <w:r w:rsidRPr="00B30AA1">
        <w:t xml:space="preserve">Romero-Blanco, C., Rodríguez-Almagro, J., </w:t>
      </w:r>
      <w:proofErr w:type="spellStart"/>
      <w:r w:rsidRPr="00B30AA1">
        <w:t>Onieva-Zafra</w:t>
      </w:r>
      <w:proofErr w:type="spellEnd"/>
      <w:r w:rsidRPr="00B30AA1">
        <w:t xml:space="preserve">, M. D., Parra-Fernández, M. L., Prado-Laguna, M. D. C., &amp; Hernández-Martínez, A. (2020). Physical activity and sedentary lifestyle in university students: changes during confinement due to the COVID-19 </w:t>
      </w:r>
      <w:r w:rsidRPr="00B30AA1">
        <w:lastRenderedPageBreak/>
        <w:t>pandemic. International journal of environmental research and public health, 17(18), 6567.</w:t>
      </w:r>
      <w:hyperlink r:id="rId14" w:history="1">
        <w:r w:rsidRPr="00B30AA1">
          <w:rPr>
            <w:rStyle w:val="Hyperlink"/>
          </w:rPr>
          <w:t>https://doi.org/10.1371/journal.pone.0209749</w:t>
        </w:r>
      </w:hyperlink>
    </w:p>
    <w:p w14:paraId="7BDED974" w14:textId="77777777" w:rsidR="003472BC" w:rsidRDefault="003472BC" w:rsidP="003472BC">
      <w:pPr>
        <w:ind w:left="720" w:hanging="720"/>
      </w:pPr>
      <w:r w:rsidRPr="00B30AA1">
        <w:t xml:space="preserve">Soomro, K. A., Kale, U., Curtis, R., </w:t>
      </w:r>
      <w:proofErr w:type="spellStart"/>
      <w:r w:rsidRPr="00B30AA1">
        <w:t>Akcaoglu</w:t>
      </w:r>
      <w:proofErr w:type="spellEnd"/>
      <w:r w:rsidRPr="00B30AA1">
        <w:t xml:space="preserve">, M., &amp; Bernstein, M. (2020). Digital divide among higher education faculty. International Journal of Educational Technology in Higher Education, 17, 1-16. </w:t>
      </w:r>
      <w:hyperlink r:id="rId15" w:history="1">
        <w:r w:rsidRPr="00B30AA1">
          <w:rPr>
            <w:rStyle w:val="Hyperlink"/>
          </w:rPr>
          <w:t>https://doi.org/10.1186/s41239-020-00191-5</w:t>
        </w:r>
      </w:hyperlink>
      <w:r>
        <w:t xml:space="preserve"> </w:t>
      </w:r>
    </w:p>
    <w:p w14:paraId="2EF138B2" w14:textId="77777777" w:rsidR="004C7A88" w:rsidRDefault="004C7A88" w:rsidP="003472BC">
      <w:pPr>
        <w:ind w:left="720" w:hanging="720"/>
      </w:pPr>
    </w:p>
    <w:p w14:paraId="0BD2BDF1" w14:textId="77777777" w:rsidR="004C7A88" w:rsidRDefault="004C7A88" w:rsidP="003472BC">
      <w:pPr>
        <w:ind w:left="720" w:hanging="720"/>
      </w:pPr>
    </w:p>
    <w:p w14:paraId="1BF1AEAA" w14:textId="77777777" w:rsidR="004C7A88" w:rsidRDefault="004C7A88" w:rsidP="003472BC">
      <w:pPr>
        <w:ind w:left="720" w:hanging="720"/>
      </w:pPr>
    </w:p>
    <w:p w14:paraId="56DED82B" w14:textId="77777777" w:rsidR="004C7A88" w:rsidRDefault="004C7A88" w:rsidP="003472BC">
      <w:pPr>
        <w:ind w:left="720" w:hanging="720"/>
      </w:pPr>
    </w:p>
    <w:p w14:paraId="33C0345D" w14:textId="77777777" w:rsidR="004C7A88" w:rsidRDefault="004C7A88" w:rsidP="003472BC">
      <w:pPr>
        <w:ind w:left="720" w:hanging="720"/>
      </w:pPr>
    </w:p>
    <w:p w14:paraId="40AF740F" w14:textId="77777777" w:rsidR="004C7A88" w:rsidRDefault="004C7A88" w:rsidP="003472BC">
      <w:pPr>
        <w:ind w:left="720" w:hanging="720"/>
      </w:pPr>
    </w:p>
    <w:p w14:paraId="09C1A7CD" w14:textId="77777777" w:rsidR="004C7A88" w:rsidRDefault="004C7A88" w:rsidP="003472BC">
      <w:pPr>
        <w:ind w:left="720" w:hanging="720"/>
      </w:pPr>
    </w:p>
    <w:p w14:paraId="28DC5B2C" w14:textId="77777777" w:rsidR="004C7A88" w:rsidRDefault="004C7A88" w:rsidP="003472BC">
      <w:pPr>
        <w:ind w:left="720" w:hanging="720"/>
      </w:pPr>
    </w:p>
    <w:p w14:paraId="79E2169A" w14:textId="77777777" w:rsidR="004C7A88" w:rsidRDefault="004C7A88" w:rsidP="003472BC">
      <w:pPr>
        <w:ind w:left="720" w:hanging="720"/>
      </w:pPr>
    </w:p>
    <w:p w14:paraId="57AADBC7" w14:textId="77777777" w:rsidR="004C7A88" w:rsidRDefault="004C7A88" w:rsidP="003472BC">
      <w:pPr>
        <w:ind w:left="720" w:hanging="720"/>
      </w:pPr>
    </w:p>
    <w:p w14:paraId="2CDE19CD" w14:textId="77777777" w:rsidR="004C7A88" w:rsidRDefault="004C7A88" w:rsidP="003472BC">
      <w:pPr>
        <w:ind w:left="720" w:hanging="720"/>
      </w:pPr>
    </w:p>
    <w:p w14:paraId="4953120C" w14:textId="77777777" w:rsidR="004C7A88" w:rsidRDefault="004C7A88" w:rsidP="003472BC">
      <w:pPr>
        <w:ind w:left="720" w:hanging="720"/>
      </w:pPr>
    </w:p>
    <w:p w14:paraId="719C1A0A" w14:textId="77777777" w:rsidR="004C7A88" w:rsidRDefault="004C7A88" w:rsidP="003472BC">
      <w:pPr>
        <w:ind w:left="720" w:hanging="720"/>
      </w:pPr>
    </w:p>
    <w:p w14:paraId="6E6C77BB" w14:textId="77777777" w:rsidR="004C7A88" w:rsidRDefault="004C7A88" w:rsidP="003472BC">
      <w:pPr>
        <w:ind w:left="720" w:hanging="720"/>
      </w:pPr>
    </w:p>
    <w:p w14:paraId="1B330378" w14:textId="77777777" w:rsidR="004C7A88" w:rsidRDefault="004C7A88" w:rsidP="003472BC">
      <w:pPr>
        <w:ind w:left="720" w:hanging="720"/>
      </w:pPr>
    </w:p>
    <w:p w14:paraId="7A58C5C9" w14:textId="77777777" w:rsidR="004C7A88" w:rsidRDefault="004C7A88" w:rsidP="004C7A88">
      <w:pPr>
        <w:ind w:firstLine="0"/>
      </w:pPr>
    </w:p>
    <w:p w14:paraId="74E1E800" w14:textId="0B39A8A9" w:rsidR="004C7A88" w:rsidRPr="001D473F" w:rsidRDefault="004C7A88" w:rsidP="003472BC">
      <w:pPr>
        <w:ind w:left="720" w:hanging="720"/>
      </w:pPr>
      <w:r>
        <w:rPr>
          <w:noProof/>
        </w:rPr>
        <w:lastRenderedPageBreak/>
        <w:drawing>
          <wp:inline distT="0" distB="0" distL="0" distR="0" wp14:anchorId="1C789E06" wp14:editId="2FAC976B">
            <wp:extent cx="5699760" cy="8221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99760" cy="8221980"/>
                    </a:xfrm>
                    <a:prstGeom prst="rect">
                      <a:avLst/>
                    </a:prstGeom>
                    <a:noFill/>
                    <a:ln>
                      <a:noFill/>
                    </a:ln>
                  </pic:spPr>
                </pic:pic>
              </a:graphicData>
            </a:graphic>
          </wp:inline>
        </w:drawing>
      </w:r>
    </w:p>
    <w:sectPr w:rsidR="004C7A88" w:rsidRPr="001D47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01744" w14:textId="77777777" w:rsidR="008E05FB" w:rsidRDefault="008E05FB" w:rsidP="00B30AA1">
      <w:pPr>
        <w:spacing w:line="240" w:lineRule="auto"/>
      </w:pPr>
      <w:r>
        <w:separator/>
      </w:r>
    </w:p>
  </w:endnote>
  <w:endnote w:type="continuationSeparator" w:id="0">
    <w:p w14:paraId="5DE46F13" w14:textId="77777777" w:rsidR="008E05FB" w:rsidRDefault="008E05FB" w:rsidP="00B30A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47818" w14:textId="77777777" w:rsidR="008E05FB" w:rsidRDefault="008E05FB" w:rsidP="00B30AA1">
      <w:pPr>
        <w:spacing w:line="240" w:lineRule="auto"/>
      </w:pPr>
      <w:r>
        <w:separator/>
      </w:r>
    </w:p>
  </w:footnote>
  <w:footnote w:type="continuationSeparator" w:id="0">
    <w:p w14:paraId="2520FF92" w14:textId="77777777" w:rsidR="008E05FB" w:rsidRDefault="008E05FB" w:rsidP="00B30A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A61AD"/>
    <w:multiLevelType w:val="hybridMultilevel"/>
    <w:tmpl w:val="D3389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0265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yMzIyMzc1NzewsDRS0lEKTi0uzszPAykwrAUApDRagCwAAAA="/>
  </w:docVars>
  <w:rsids>
    <w:rsidRoot w:val="001D473F"/>
    <w:rsid w:val="000339D2"/>
    <w:rsid w:val="000620B3"/>
    <w:rsid w:val="00086AF7"/>
    <w:rsid w:val="000B3251"/>
    <w:rsid w:val="000E714C"/>
    <w:rsid w:val="00101152"/>
    <w:rsid w:val="001B77DD"/>
    <w:rsid w:val="001D3034"/>
    <w:rsid w:val="001D473F"/>
    <w:rsid w:val="00214540"/>
    <w:rsid w:val="00250BF2"/>
    <w:rsid w:val="00297752"/>
    <w:rsid w:val="0034656B"/>
    <w:rsid w:val="003472BC"/>
    <w:rsid w:val="003B003D"/>
    <w:rsid w:val="003C4734"/>
    <w:rsid w:val="004326DD"/>
    <w:rsid w:val="00454A74"/>
    <w:rsid w:val="004C7A88"/>
    <w:rsid w:val="00555A87"/>
    <w:rsid w:val="00562CBD"/>
    <w:rsid w:val="00590A28"/>
    <w:rsid w:val="005A5F36"/>
    <w:rsid w:val="005B4E59"/>
    <w:rsid w:val="005D1B7A"/>
    <w:rsid w:val="00604E56"/>
    <w:rsid w:val="00647D33"/>
    <w:rsid w:val="006644F8"/>
    <w:rsid w:val="00684EBB"/>
    <w:rsid w:val="007060B9"/>
    <w:rsid w:val="007103D0"/>
    <w:rsid w:val="00742E14"/>
    <w:rsid w:val="00771711"/>
    <w:rsid w:val="007A3744"/>
    <w:rsid w:val="007E7618"/>
    <w:rsid w:val="008255E5"/>
    <w:rsid w:val="0085606E"/>
    <w:rsid w:val="008E05FB"/>
    <w:rsid w:val="00987838"/>
    <w:rsid w:val="009C3E7A"/>
    <w:rsid w:val="009C5D14"/>
    <w:rsid w:val="00A003A8"/>
    <w:rsid w:val="00A02CF9"/>
    <w:rsid w:val="00A52697"/>
    <w:rsid w:val="00AF6124"/>
    <w:rsid w:val="00B30AA1"/>
    <w:rsid w:val="00B33C95"/>
    <w:rsid w:val="00B52FD9"/>
    <w:rsid w:val="00B632E9"/>
    <w:rsid w:val="00B76A84"/>
    <w:rsid w:val="00B77B8C"/>
    <w:rsid w:val="00C37EAD"/>
    <w:rsid w:val="00C846DE"/>
    <w:rsid w:val="00CA0118"/>
    <w:rsid w:val="00CB3B84"/>
    <w:rsid w:val="00CE7492"/>
    <w:rsid w:val="00D0038A"/>
    <w:rsid w:val="00D01C85"/>
    <w:rsid w:val="00D20EED"/>
    <w:rsid w:val="00D72ED9"/>
    <w:rsid w:val="00D9513E"/>
    <w:rsid w:val="00DD37A3"/>
    <w:rsid w:val="00DD7C9D"/>
    <w:rsid w:val="00E43098"/>
    <w:rsid w:val="00E45A4D"/>
    <w:rsid w:val="00E805AD"/>
    <w:rsid w:val="00E9545C"/>
    <w:rsid w:val="00ED6764"/>
    <w:rsid w:val="00F82B2A"/>
    <w:rsid w:val="00FA2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85C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73F"/>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paragraph" w:styleId="ListParagraph">
    <w:name w:val="List Paragraph"/>
    <w:basedOn w:val="Normal"/>
    <w:uiPriority w:val="34"/>
    <w:qFormat/>
    <w:rsid w:val="00D20EED"/>
    <w:pPr>
      <w:ind w:left="720"/>
      <w:contextualSpacing/>
    </w:pPr>
  </w:style>
  <w:style w:type="character" w:styleId="Hyperlink">
    <w:name w:val="Hyperlink"/>
    <w:basedOn w:val="DefaultParagraphFont"/>
    <w:uiPriority w:val="99"/>
    <w:unhideWhenUsed/>
    <w:rsid w:val="00A02CF9"/>
    <w:rPr>
      <w:color w:val="0000FF"/>
      <w:u w:val="single"/>
    </w:rPr>
  </w:style>
  <w:style w:type="character" w:customStyle="1" w:styleId="markedcontent">
    <w:name w:val="markedcontent"/>
    <w:basedOn w:val="DefaultParagraphFont"/>
    <w:rsid w:val="00555A87"/>
  </w:style>
  <w:style w:type="character" w:styleId="UnresolvedMention">
    <w:name w:val="Unresolved Mention"/>
    <w:basedOn w:val="DefaultParagraphFont"/>
    <w:uiPriority w:val="99"/>
    <w:semiHidden/>
    <w:unhideWhenUsed/>
    <w:rsid w:val="00555A87"/>
    <w:rPr>
      <w:color w:val="605E5C"/>
      <w:shd w:val="clear" w:color="auto" w:fill="E1DFDD"/>
    </w:rPr>
  </w:style>
  <w:style w:type="paragraph" w:styleId="Header">
    <w:name w:val="header"/>
    <w:basedOn w:val="Normal"/>
    <w:link w:val="HeaderChar"/>
    <w:uiPriority w:val="99"/>
    <w:unhideWhenUsed/>
    <w:rsid w:val="00B30AA1"/>
    <w:pPr>
      <w:tabs>
        <w:tab w:val="center" w:pos="4680"/>
        <w:tab w:val="right" w:pos="9360"/>
      </w:tabs>
      <w:spacing w:line="240" w:lineRule="auto"/>
    </w:pPr>
  </w:style>
  <w:style w:type="character" w:customStyle="1" w:styleId="HeaderChar">
    <w:name w:val="Header Char"/>
    <w:basedOn w:val="DefaultParagraphFont"/>
    <w:link w:val="Header"/>
    <w:uiPriority w:val="99"/>
    <w:rsid w:val="00B30AA1"/>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B30AA1"/>
    <w:pPr>
      <w:tabs>
        <w:tab w:val="center" w:pos="4680"/>
        <w:tab w:val="right" w:pos="9360"/>
      </w:tabs>
      <w:spacing w:line="240" w:lineRule="auto"/>
    </w:pPr>
  </w:style>
  <w:style w:type="character" w:customStyle="1" w:styleId="FooterChar">
    <w:name w:val="Footer Char"/>
    <w:basedOn w:val="DefaultParagraphFont"/>
    <w:link w:val="Footer"/>
    <w:uiPriority w:val="99"/>
    <w:rsid w:val="00B30AA1"/>
    <w:rPr>
      <w:rFonts w:ascii="Times New Roman" w:hAnsi="Times New Roman"/>
      <w:color w:val="000000" w:themeColor="text1"/>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53061">
      <w:bodyDiv w:val="1"/>
      <w:marLeft w:val="0"/>
      <w:marRight w:val="0"/>
      <w:marTop w:val="0"/>
      <w:marBottom w:val="0"/>
      <w:divBdr>
        <w:top w:val="none" w:sz="0" w:space="0" w:color="auto"/>
        <w:left w:val="none" w:sz="0" w:space="0" w:color="auto"/>
        <w:bottom w:val="none" w:sz="0" w:space="0" w:color="auto"/>
        <w:right w:val="none" w:sz="0" w:space="0" w:color="auto"/>
      </w:divBdr>
    </w:div>
    <w:div w:id="377441540">
      <w:bodyDiv w:val="1"/>
      <w:marLeft w:val="0"/>
      <w:marRight w:val="0"/>
      <w:marTop w:val="0"/>
      <w:marBottom w:val="0"/>
      <w:divBdr>
        <w:top w:val="none" w:sz="0" w:space="0" w:color="auto"/>
        <w:left w:val="none" w:sz="0" w:space="0" w:color="auto"/>
        <w:bottom w:val="none" w:sz="0" w:space="0" w:color="auto"/>
        <w:right w:val="none" w:sz="0" w:space="0" w:color="auto"/>
      </w:divBdr>
    </w:div>
    <w:div w:id="421726474">
      <w:bodyDiv w:val="1"/>
      <w:marLeft w:val="0"/>
      <w:marRight w:val="0"/>
      <w:marTop w:val="0"/>
      <w:marBottom w:val="0"/>
      <w:divBdr>
        <w:top w:val="none" w:sz="0" w:space="0" w:color="auto"/>
        <w:left w:val="none" w:sz="0" w:space="0" w:color="auto"/>
        <w:bottom w:val="none" w:sz="0" w:space="0" w:color="auto"/>
        <w:right w:val="none" w:sz="0" w:space="0" w:color="auto"/>
      </w:divBdr>
      <w:divsChild>
        <w:div w:id="922299079">
          <w:marLeft w:val="0"/>
          <w:marRight w:val="0"/>
          <w:marTop w:val="0"/>
          <w:marBottom w:val="0"/>
          <w:divBdr>
            <w:top w:val="single" w:sz="2" w:space="0" w:color="auto"/>
            <w:left w:val="single" w:sz="2" w:space="0" w:color="auto"/>
            <w:bottom w:val="single" w:sz="6" w:space="0" w:color="auto"/>
            <w:right w:val="single" w:sz="2" w:space="0" w:color="auto"/>
          </w:divBdr>
          <w:divsChild>
            <w:div w:id="1126045075">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684702">
                  <w:marLeft w:val="0"/>
                  <w:marRight w:val="0"/>
                  <w:marTop w:val="0"/>
                  <w:marBottom w:val="0"/>
                  <w:divBdr>
                    <w:top w:val="single" w:sz="2" w:space="0" w:color="D9D9E3"/>
                    <w:left w:val="single" w:sz="2" w:space="0" w:color="D9D9E3"/>
                    <w:bottom w:val="single" w:sz="2" w:space="0" w:color="D9D9E3"/>
                    <w:right w:val="single" w:sz="2" w:space="0" w:color="D9D9E3"/>
                  </w:divBdr>
                  <w:divsChild>
                    <w:div w:id="1761368086">
                      <w:marLeft w:val="0"/>
                      <w:marRight w:val="0"/>
                      <w:marTop w:val="0"/>
                      <w:marBottom w:val="0"/>
                      <w:divBdr>
                        <w:top w:val="single" w:sz="2" w:space="0" w:color="D9D9E3"/>
                        <w:left w:val="single" w:sz="2" w:space="0" w:color="D9D9E3"/>
                        <w:bottom w:val="single" w:sz="2" w:space="0" w:color="D9D9E3"/>
                        <w:right w:val="single" w:sz="2" w:space="0" w:color="D9D9E3"/>
                      </w:divBdr>
                      <w:divsChild>
                        <w:div w:id="2117943520">
                          <w:marLeft w:val="0"/>
                          <w:marRight w:val="0"/>
                          <w:marTop w:val="0"/>
                          <w:marBottom w:val="0"/>
                          <w:divBdr>
                            <w:top w:val="single" w:sz="2" w:space="0" w:color="D9D9E3"/>
                            <w:left w:val="single" w:sz="2" w:space="0" w:color="D9D9E3"/>
                            <w:bottom w:val="single" w:sz="2" w:space="0" w:color="D9D9E3"/>
                            <w:right w:val="single" w:sz="2" w:space="0" w:color="D9D9E3"/>
                          </w:divBdr>
                          <w:divsChild>
                            <w:div w:id="890188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1737214">
      <w:bodyDiv w:val="1"/>
      <w:marLeft w:val="0"/>
      <w:marRight w:val="0"/>
      <w:marTop w:val="0"/>
      <w:marBottom w:val="0"/>
      <w:divBdr>
        <w:top w:val="none" w:sz="0" w:space="0" w:color="auto"/>
        <w:left w:val="none" w:sz="0" w:space="0" w:color="auto"/>
        <w:bottom w:val="none" w:sz="0" w:space="0" w:color="auto"/>
        <w:right w:val="none" w:sz="0" w:space="0" w:color="auto"/>
      </w:divBdr>
    </w:div>
    <w:div w:id="618486719">
      <w:bodyDiv w:val="1"/>
      <w:marLeft w:val="0"/>
      <w:marRight w:val="0"/>
      <w:marTop w:val="0"/>
      <w:marBottom w:val="0"/>
      <w:divBdr>
        <w:top w:val="none" w:sz="0" w:space="0" w:color="auto"/>
        <w:left w:val="none" w:sz="0" w:space="0" w:color="auto"/>
        <w:bottom w:val="none" w:sz="0" w:space="0" w:color="auto"/>
        <w:right w:val="none" w:sz="0" w:space="0" w:color="auto"/>
      </w:divBdr>
    </w:div>
    <w:div w:id="680357338">
      <w:bodyDiv w:val="1"/>
      <w:marLeft w:val="0"/>
      <w:marRight w:val="0"/>
      <w:marTop w:val="0"/>
      <w:marBottom w:val="0"/>
      <w:divBdr>
        <w:top w:val="none" w:sz="0" w:space="0" w:color="auto"/>
        <w:left w:val="none" w:sz="0" w:space="0" w:color="auto"/>
        <w:bottom w:val="none" w:sz="0" w:space="0" w:color="auto"/>
        <w:right w:val="none" w:sz="0" w:space="0" w:color="auto"/>
      </w:divBdr>
      <w:divsChild>
        <w:div w:id="1031998145">
          <w:marLeft w:val="0"/>
          <w:marRight w:val="0"/>
          <w:marTop w:val="0"/>
          <w:marBottom w:val="0"/>
          <w:divBdr>
            <w:top w:val="none" w:sz="0" w:space="0" w:color="auto"/>
            <w:left w:val="none" w:sz="0" w:space="0" w:color="auto"/>
            <w:bottom w:val="none" w:sz="0" w:space="0" w:color="auto"/>
            <w:right w:val="none" w:sz="0" w:space="0" w:color="auto"/>
          </w:divBdr>
        </w:div>
      </w:divsChild>
    </w:div>
    <w:div w:id="953441057">
      <w:bodyDiv w:val="1"/>
      <w:marLeft w:val="0"/>
      <w:marRight w:val="0"/>
      <w:marTop w:val="0"/>
      <w:marBottom w:val="0"/>
      <w:divBdr>
        <w:top w:val="none" w:sz="0" w:space="0" w:color="auto"/>
        <w:left w:val="none" w:sz="0" w:space="0" w:color="auto"/>
        <w:bottom w:val="none" w:sz="0" w:space="0" w:color="auto"/>
        <w:right w:val="none" w:sz="0" w:space="0" w:color="auto"/>
      </w:divBdr>
    </w:div>
    <w:div w:id="1158613899">
      <w:bodyDiv w:val="1"/>
      <w:marLeft w:val="0"/>
      <w:marRight w:val="0"/>
      <w:marTop w:val="0"/>
      <w:marBottom w:val="0"/>
      <w:divBdr>
        <w:top w:val="none" w:sz="0" w:space="0" w:color="auto"/>
        <w:left w:val="none" w:sz="0" w:space="0" w:color="auto"/>
        <w:bottom w:val="none" w:sz="0" w:space="0" w:color="auto"/>
        <w:right w:val="none" w:sz="0" w:space="0" w:color="auto"/>
      </w:divBdr>
      <w:divsChild>
        <w:div w:id="525826011">
          <w:marLeft w:val="0"/>
          <w:marRight w:val="0"/>
          <w:marTop w:val="0"/>
          <w:marBottom w:val="0"/>
          <w:divBdr>
            <w:top w:val="none" w:sz="0" w:space="0" w:color="auto"/>
            <w:left w:val="none" w:sz="0" w:space="0" w:color="auto"/>
            <w:bottom w:val="none" w:sz="0" w:space="0" w:color="auto"/>
            <w:right w:val="none" w:sz="0" w:space="0" w:color="auto"/>
          </w:divBdr>
        </w:div>
      </w:divsChild>
    </w:div>
    <w:div w:id="1259293951">
      <w:bodyDiv w:val="1"/>
      <w:marLeft w:val="0"/>
      <w:marRight w:val="0"/>
      <w:marTop w:val="0"/>
      <w:marBottom w:val="0"/>
      <w:divBdr>
        <w:top w:val="none" w:sz="0" w:space="0" w:color="auto"/>
        <w:left w:val="none" w:sz="0" w:space="0" w:color="auto"/>
        <w:bottom w:val="none" w:sz="0" w:space="0" w:color="auto"/>
        <w:right w:val="none" w:sz="0" w:space="0" w:color="auto"/>
      </w:divBdr>
      <w:divsChild>
        <w:div w:id="907350646">
          <w:marLeft w:val="0"/>
          <w:marRight w:val="0"/>
          <w:marTop w:val="0"/>
          <w:marBottom w:val="0"/>
          <w:divBdr>
            <w:top w:val="none" w:sz="0" w:space="0" w:color="auto"/>
            <w:left w:val="none" w:sz="0" w:space="0" w:color="auto"/>
            <w:bottom w:val="none" w:sz="0" w:space="0" w:color="auto"/>
            <w:right w:val="none" w:sz="0" w:space="0" w:color="auto"/>
          </w:divBdr>
        </w:div>
      </w:divsChild>
    </w:div>
    <w:div w:id="1288393381">
      <w:bodyDiv w:val="1"/>
      <w:marLeft w:val="0"/>
      <w:marRight w:val="0"/>
      <w:marTop w:val="0"/>
      <w:marBottom w:val="0"/>
      <w:divBdr>
        <w:top w:val="none" w:sz="0" w:space="0" w:color="auto"/>
        <w:left w:val="none" w:sz="0" w:space="0" w:color="auto"/>
        <w:bottom w:val="none" w:sz="0" w:space="0" w:color="auto"/>
        <w:right w:val="none" w:sz="0" w:space="0" w:color="auto"/>
      </w:divBdr>
      <w:divsChild>
        <w:div w:id="1722629947">
          <w:marLeft w:val="0"/>
          <w:marRight w:val="0"/>
          <w:marTop w:val="0"/>
          <w:marBottom w:val="0"/>
          <w:divBdr>
            <w:top w:val="single" w:sz="2" w:space="0" w:color="auto"/>
            <w:left w:val="single" w:sz="2" w:space="0" w:color="auto"/>
            <w:bottom w:val="single" w:sz="6" w:space="0" w:color="auto"/>
            <w:right w:val="single" w:sz="2" w:space="0" w:color="auto"/>
          </w:divBdr>
          <w:divsChild>
            <w:div w:id="1086415915">
              <w:marLeft w:val="0"/>
              <w:marRight w:val="0"/>
              <w:marTop w:val="100"/>
              <w:marBottom w:val="100"/>
              <w:divBdr>
                <w:top w:val="single" w:sz="2" w:space="0" w:color="D9D9E3"/>
                <w:left w:val="single" w:sz="2" w:space="0" w:color="D9D9E3"/>
                <w:bottom w:val="single" w:sz="2" w:space="0" w:color="D9D9E3"/>
                <w:right w:val="single" w:sz="2" w:space="0" w:color="D9D9E3"/>
              </w:divBdr>
              <w:divsChild>
                <w:div w:id="851265803">
                  <w:marLeft w:val="0"/>
                  <w:marRight w:val="0"/>
                  <w:marTop w:val="0"/>
                  <w:marBottom w:val="0"/>
                  <w:divBdr>
                    <w:top w:val="single" w:sz="2" w:space="0" w:color="D9D9E3"/>
                    <w:left w:val="single" w:sz="2" w:space="0" w:color="D9D9E3"/>
                    <w:bottom w:val="single" w:sz="2" w:space="0" w:color="D9D9E3"/>
                    <w:right w:val="single" w:sz="2" w:space="0" w:color="D9D9E3"/>
                  </w:divBdr>
                  <w:divsChild>
                    <w:div w:id="622929440">
                      <w:marLeft w:val="0"/>
                      <w:marRight w:val="0"/>
                      <w:marTop w:val="0"/>
                      <w:marBottom w:val="0"/>
                      <w:divBdr>
                        <w:top w:val="single" w:sz="2" w:space="0" w:color="D9D9E3"/>
                        <w:left w:val="single" w:sz="2" w:space="0" w:color="D9D9E3"/>
                        <w:bottom w:val="single" w:sz="2" w:space="0" w:color="D9D9E3"/>
                        <w:right w:val="single" w:sz="2" w:space="0" w:color="D9D9E3"/>
                      </w:divBdr>
                      <w:divsChild>
                        <w:div w:id="870532432">
                          <w:marLeft w:val="0"/>
                          <w:marRight w:val="0"/>
                          <w:marTop w:val="0"/>
                          <w:marBottom w:val="0"/>
                          <w:divBdr>
                            <w:top w:val="single" w:sz="2" w:space="0" w:color="D9D9E3"/>
                            <w:left w:val="single" w:sz="2" w:space="0" w:color="D9D9E3"/>
                            <w:bottom w:val="single" w:sz="2" w:space="0" w:color="D9D9E3"/>
                            <w:right w:val="single" w:sz="2" w:space="0" w:color="D9D9E3"/>
                          </w:divBdr>
                          <w:divsChild>
                            <w:div w:id="1343389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0816245">
      <w:bodyDiv w:val="1"/>
      <w:marLeft w:val="0"/>
      <w:marRight w:val="0"/>
      <w:marTop w:val="0"/>
      <w:marBottom w:val="0"/>
      <w:divBdr>
        <w:top w:val="none" w:sz="0" w:space="0" w:color="auto"/>
        <w:left w:val="none" w:sz="0" w:space="0" w:color="auto"/>
        <w:bottom w:val="none" w:sz="0" w:space="0" w:color="auto"/>
        <w:right w:val="none" w:sz="0" w:space="0" w:color="auto"/>
      </w:divBdr>
    </w:div>
    <w:div w:id="1544096733">
      <w:bodyDiv w:val="1"/>
      <w:marLeft w:val="0"/>
      <w:marRight w:val="0"/>
      <w:marTop w:val="0"/>
      <w:marBottom w:val="0"/>
      <w:divBdr>
        <w:top w:val="none" w:sz="0" w:space="0" w:color="auto"/>
        <w:left w:val="none" w:sz="0" w:space="0" w:color="auto"/>
        <w:bottom w:val="none" w:sz="0" w:space="0" w:color="auto"/>
        <w:right w:val="none" w:sz="0" w:space="0" w:color="auto"/>
      </w:divBdr>
      <w:divsChild>
        <w:div w:id="1836455473">
          <w:marLeft w:val="0"/>
          <w:marRight w:val="0"/>
          <w:marTop w:val="0"/>
          <w:marBottom w:val="0"/>
          <w:divBdr>
            <w:top w:val="none" w:sz="0" w:space="0" w:color="auto"/>
            <w:left w:val="none" w:sz="0" w:space="0" w:color="auto"/>
            <w:bottom w:val="none" w:sz="0" w:space="0" w:color="auto"/>
            <w:right w:val="none" w:sz="0" w:space="0" w:color="auto"/>
          </w:divBdr>
        </w:div>
      </w:divsChild>
    </w:div>
    <w:div w:id="1568765462">
      <w:bodyDiv w:val="1"/>
      <w:marLeft w:val="0"/>
      <w:marRight w:val="0"/>
      <w:marTop w:val="0"/>
      <w:marBottom w:val="0"/>
      <w:divBdr>
        <w:top w:val="none" w:sz="0" w:space="0" w:color="auto"/>
        <w:left w:val="none" w:sz="0" w:space="0" w:color="auto"/>
        <w:bottom w:val="none" w:sz="0" w:space="0" w:color="auto"/>
        <w:right w:val="none" w:sz="0" w:space="0" w:color="auto"/>
      </w:divBdr>
    </w:div>
    <w:div w:id="1648126068">
      <w:bodyDiv w:val="1"/>
      <w:marLeft w:val="0"/>
      <w:marRight w:val="0"/>
      <w:marTop w:val="0"/>
      <w:marBottom w:val="0"/>
      <w:divBdr>
        <w:top w:val="none" w:sz="0" w:space="0" w:color="auto"/>
        <w:left w:val="none" w:sz="0" w:space="0" w:color="auto"/>
        <w:bottom w:val="none" w:sz="0" w:space="0" w:color="auto"/>
        <w:right w:val="none" w:sz="0" w:space="0" w:color="auto"/>
      </w:divBdr>
      <w:divsChild>
        <w:div w:id="1293488091">
          <w:marLeft w:val="0"/>
          <w:marRight w:val="0"/>
          <w:marTop w:val="0"/>
          <w:marBottom w:val="0"/>
          <w:divBdr>
            <w:top w:val="single" w:sz="2" w:space="0" w:color="auto"/>
            <w:left w:val="single" w:sz="2" w:space="0" w:color="auto"/>
            <w:bottom w:val="single" w:sz="6" w:space="0" w:color="auto"/>
            <w:right w:val="single" w:sz="2" w:space="0" w:color="auto"/>
          </w:divBdr>
          <w:divsChild>
            <w:div w:id="700280094">
              <w:marLeft w:val="0"/>
              <w:marRight w:val="0"/>
              <w:marTop w:val="100"/>
              <w:marBottom w:val="100"/>
              <w:divBdr>
                <w:top w:val="single" w:sz="2" w:space="0" w:color="D9D9E3"/>
                <w:left w:val="single" w:sz="2" w:space="0" w:color="D9D9E3"/>
                <w:bottom w:val="single" w:sz="2" w:space="0" w:color="D9D9E3"/>
                <w:right w:val="single" w:sz="2" w:space="0" w:color="D9D9E3"/>
              </w:divBdr>
              <w:divsChild>
                <w:div w:id="186800912">
                  <w:marLeft w:val="0"/>
                  <w:marRight w:val="0"/>
                  <w:marTop w:val="0"/>
                  <w:marBottom w:val="0"/>
                  <w:divBdr>
                    <w:top w:val="single" w:sz="2" w:space="0" w:color="D9D9E3"/>
                    <w:left w:val="single" w:sz="2" w:space="0" w:color="D9D9E3"/>
                    <w:bottom w:val="single" w:sz="2" w:space="0" w:color="D9D9E3"/>
                    <w:right w:val="single" w:sz="2" w:space="0" w:color="D9D9E3"/>
                  </w:divBdr>
                  <w:divsChild>
                    <w:div w:id="2030176607">
                      <w:marLeft w:val="0"/>
                      <w:marRight w:val="0"/>
                      <w:marTop w:val="0"/>
                      <w:marBottom w:val="0"/>
                      <w:divBdr>
                        <w:top w:val="single" w:sz="2" w:space="0" w:color="D9D9E3"/>
                        <w:left w:val="single" w:sz="2" w:space="0" w:color="D9D9E3"/>
                        <w:bottom w:val="single" w:sz="2" w:space="0" w:color="D9D9E3"/>
                        <w:right w:val="single" w:sz="2" w:space="0" w:color="D9D9E3"/>
                      </w:divBdr>
                      <w:divsChild>
                        <w:div w:id="87771571">
                          <w:marLeft w:val="0"/>
                          <w:marRight w:val="0"/>
                          <w:marTop w:val="0"/>
                          <w:marBottom w:val="0"/>
                          <w:divBdr>
                            <w:top w:val="single" w:sz="2" w:space="0" w:color="D9D9E3"/>
                            <w:left w:val="single" w:sz="2" w:space="0" w:color="D9D9E3"/>
                            <w:bottom w:val="single" w:sz="2" w:space="0" w:color="D9D9E3"/>
                            <w:right w:val="single" w:sz="2" w:space="0" w:color="D9D9E3"/>
                          </w:divBdr>
                          <w:divsChild>
                            <w:div w:id="2130666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8811218">
      <w:bodyDiv w:val="1"/>
      <w:marLeft w:val="0"/>
      <w:marRight w:val="0"/>
      <w:marTop w:val="0"/>
      <w:marBottom w:val="0"/>
      <w:divBdr>
        <w:top w:val="none" w:sz="0" w:space="0" w:color="auto"/>
        <w:left w:val="none" w:sz="0" w:space="0" w:color="auto"/>
        <w:bottom w:val="none" w:sz="0" w:space="0" w:color="auto"/>
        <w:right w:val="none" w:sz="0" w:space="0" w:color="auto"/>
      </w:divBdr>
    </w:div>
    <w:div w:id="1979218790">
      <w:bodyDiv w:val="1"/>
      <w:marLeft w:val="0"/>
      <w:marRight w:val="0"/>
      <w:marTop w:val="0"/>
      <w:marBottom w:val="0"/>
      <w:divBdr>
        <w:top w:val="none" w:sz="0" w:space="0" w:color="auto"/>
        <w:left w:val="none" w:sz="0" w:space="0" w:color="auto"/>
        <w:bottom w:val="none" w:sz="0" w:space="0" w:color="auto"/>
        <w:right w:val="none" w:sz="0" w:space="0" w:color="auto"/>
      </w:divBdr>
    </w:div>
    <w:div w:id="213995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3390/ijerph1802036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doi.org/10.1002/jee.2024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comp.2019.00007" TargetMode="External"/><Relationship Id="rId5" Type="http://schemas.openxmlformats.org/officeDocument/2006/relationships/footnotes" Target="footnotes.xml"/><Relationship Id="rId15" Type="http://schemas.openxmlformats.org/officeDocument/2006/relationships/hyperlink" Target="https://doi.org/10.1186/s41239-020-00191-5" TargetMode="External"/><Relationship Id="rId10" Type="http://schemas.openxmlformats.org/officeDocument/2006/relationships/hyperlink" Target="https://doi.org/10.1186/s12889-019-7650-z" TargetMode="External"/><Relationship Id="rId4" Type="http://schemas.openxmlformats.org/officeDocument/2006/relationships/webSettings" Target="webSettings.xml"/><Relationship Id="rId9" Type="http://schemas.openxmlformats.org/officeDocument/2006/relationships/hyperlink" Target="https://doi.org/10.1187/cbe.19-03-0048" TargetMode="External"/><Relationship Id="rId14" Type="http://schemas.openxmlformats.org/officeDocument/2006/relationships/hyperlink" Target="https://doi.org/10.1371/journal.pone.0209749"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Wasif%20Latif\Wasif\UKAH6819\reportmaterial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Wasif%20Latif\Wasif\UKAH6819\reportmaterial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F6-4D9E-86BB-DB504A2A451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F6-4D9E-86BB-DB504A2A4512}"/>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Sheet1!$H$8:$H$9</c:f>
              <c:strCache>
                <c:ptCount val="2"/>
                <c:pt idx="0">
                  <c:v>Male</c:v>
                </c:pt>
                <c:pt idx="1">
                  <c:v>Female</c:v>
                </c:pt>
              </c:strCache>
            </c:strRef>
          </c:cat>
          <c:val>
            <c:numRef>
              <c:f>Sheet1!$I$8:$I$9</c:f>
              <c:numCache>
                <c:formatCode>General</c:formatCode>
                <c:ptCount val="2"/>
                <c:pt idx="0">
                  <c:v>15</c:v>
                </c:pt>
                <c:pt idx="1">
                  <c:v>17</c:v>
                </c:pt>
              </c:numCache>
            </c:numRef>
          </c:val>
          <c:extLst>
            <c:ext xmlns:c16="http://schemas.microsoft.com/office/drawing/2014/chart" uri="{C3380CC4-5D6E-409C-BE32-E72D297353CC}">
              <c16:uniqueId val="{00000004-D5F6-4D9E-86BB-DB504A2A451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Courses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74D-4314-898C-AAE2D1EA649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74D-4314-898C-AAE2D1EA649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Sheet1!$H$10:$H$11</c:f>
              <c:strCache>
                <c:ptCount val="2"/>
                <c:pt idx="0">
                  <c:v>Computing</c:v>
                </c:pt>
                <c:pt idx="1">
                  <c:v>Pscyhology</c:v>
                </c:pt>
              </c:strCache>
            </c:strRef>
          </c:cat>
          <c:val>
            <c:numRef>
              <c:f>Sheet1!$I$10:$I$11</c:f>
              <c:numCache>
                <c:formatCode>General</c:formatCode>
                <c:ptCount val="2"/>
                <c:pt idx="0">
                  <c:v>16</c:v>
                </c:pt>
                <c:pt idx="1">
                  <c:v>16</c:v>
                </c:pt>
              </c:numCache>
            </c:numRef>
          </c:val>
          <c:extLst>
            <c:ext xmlns:c16="http://schemas.microsoft.com/office/drawing/2014/chart" uri="{C3380CC4-5D6E-409C-BE32-E72D297353CC}">
              <c16:uniqueId val="{00000004-774D-4314-898C-AAE2D1EA649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2037</Words>
  <Characters>11615</Characters>
  <Application>Microsoft Office Word</Application>
  <DocSecurity>0</DocSecurity>
  <Lines>96</Lines>
  <Paragraphs>27</Paragraphs>
  <ScaleCrop>false</ScaleCrop>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2023-03-14T19:55:00Z</dcterms:created>
  <dcterms:modified xsi:type="dcterms:W3CDTF">2023-03-14T23:38:00Z</dcterms:modified>
</cp:coreProperties>
</file>