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59"/>
        <w:jc w:val="center"/>
        <w:rPr>
          <w:b/>
          <w:bCs/>
          <w:sz w:val="40"/>
          <w:szCs w:val="40"/>
        </w:rPr>
      </w:pPr>
      <w:r>
        <w:rPr/>
        <w:drawing>
          <wp:inline distL="114300" distT="0" distB="0" distR="114300">
            <wp:extent cx="6233383" cy="2388997"/>
            <wp:effectExtent l="0" t="0" r="0" b="0"/>
            <wp:docPr id="102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
                    <pic:cNvPicPr/>
                  </pic:nvPicPr>
                  <pic:blipFill>
                    <a:blip r:embed="rId2" cstate="print"/>
                    <a:srcRect l="0" t="0" r="0" b="0"/>
                    <a:stretch/>
                  </pic:blipFill>
                  <pic:spPr>
                    <a:xfrm rot="0">
                      <a:off x="0" y="0"/>
                      <a:ext cx="6233383" cy="2388997"/>
                    </a:xfrm>
                    <a:prstGeom prst="rect"/>
                  </pic:spPr>
                </pic:pic>
              </a:graphicData>
            </a:graphic>
          </wp:inline>
        </w:drawing>
      </w:r>
    </w:p>
    <w:p>
      <w:pPr>
        <w:pStyle w:val="style0"/>
        <w:spacing w:lineRule="auto" w:line="259"/>
        <w:jc w:val="center"/>
        <w:rPr>
          <w:b/>
          <w:bCs/>
          <w:sz w:val="40"/>
          <w:szCs w:val="40"/>
        </w:rPr>
      </w:pPr>
    </w:p>
    <w:p>
      <w:pPr>
        <w:pStyle w:val="style0"/>
        <w:spacing w:lineRule="auto" w:line="259"/>
        <w:jc w:val="center"/>
        <w:rPr>
          <w:b/>
          <w:bCs/>
          <w:sz w:val="40"/>
          <w:szCs w:val="40"/>
        </w:rPr>
      </w:pPr>
    </w:p>
    <w:p>
      <w:pPr>
        <w:pStyle w:val="style0"/>
        <w:spacing w:lineRule="auto" w:line="259"/>
        <w:jc w:val="center"/>
        <w:rPr>
          <w:b/>
          <w:bCs/>
          <w:sz w:val="40"/>
          <w:szCs w:val="40"/>
        </w:rPr>
      </w:pPr>
    </w:p>
    <w:p>
      <w:pPr>
        <w:pStyle w:val="style0"/>
        <w:spacing w:lineRule="auto" w:line="259"/>
        <w:jc w:val="center"/>
        <w:rPr>
          <w:b/>
          <w:bCs/>
          <w:sz w:val="40"/>
          <w:szCs w:val="40"/>
        </w:rPr>
      </w:pPr>
      <w:r>
        <w:rPr>
          <w:b/>
          <w:bCs/>
          <w:sz w:val="40"/>
          <w:szCs w:val="40"/>
          <w:lang w:val="en-US"/>
        </w:rPr>
        <w:t xml:space="preserve">       </w:t>
      </w:r>
      <w:r>
        <w:rPr>
          <w:b/>
          <w:bCs/>
          <w:sz w:val="40"/>
          <w:szCs w:val="40"/>
        </w:rPr>
        <w:t xml:space="preserve">Programme: MBA – Master of Business </w:t>
      </w:r>
      <w:r>
        <w:rPr>
          <w:b/>
          <w:bCs/>
          <w:sz w:val="40"/>
          <w:szCs w:val="40"/>
          <w:lang w:val="en-US"/>
        </w:rPr>
        <w:t xml:space="preserve">                                     </w:t>
      </w:r>
      <w:r>
        <w:rPr>
          <w:b/>
          <w:bCs/>
          <w:sz w:val="40"/>
          <w:szCs w:val="40"/>
        </w:rPr>
        <w:t>Administration</w:t>
      </w:r>
    </w:p>
    <w:p>
      <w:pPr>
        <w:pStyle w:val="style0"/>
        <w:spacing w:lineRule="auto" w:line="259"/>
        <w:jc w:val="center"/>
        <w:rPr>
          <w:b/>
          <w:bCs/>
          <w:sz w:val="40"/>
          <w:szCs w:val="40"/>
        </w:rPr>
      </w:pPr>
      <w:r>
        <w:rPr>
          <w:b/>
          <w:bCs/>
          <w:sz w:val="40"/>
          <w:szCs w:val="40"/>
        </w:rPr>
        <w:t>Module: Banking Financial Management and Financial Markets</w:t>
      </w:r>
    </w:p>
    <w:p>
      <w:pPr>
        <w:pStyle w:val="style0"/>
        <w:spacing w:lineRule="auto" w:line="259"/>
        <w:jc w:val="center"/>
        <w:rPr>
          <w:b/>
          <w:bCs/>
          <w:sz w:val="40"/>
          <w:szCs w:val="40"/>
        </w:rPr>
      </w:pPr>
      <w:r>
        <w:rPr>
          <w:b/>
          <w:bCs/>
          <w:sz w:val="40"/>
          <w:szCs w:val="40"/>
        </w:rPr>
        <w:t xml:space="preserve">Module </w:t>
      </w:r>
    </w:p>
    <w:p>
      <w:pPr>
        <w:pStyle w:val="style0"/>
        <w:spacing w:lineRule="auto" w:line="259"/>
        <w:jc w:val="center"/>
        <w:rPr/>
      </w:pPr>
      <w:r>
        <w:rPr>
          <w:b/>
          <w:bCs/>
          <w:sz w:val="40"/>
          <w:szCs w:val="40"/>
        </w:rPr>
        <w:t>code: LCMB7012</w:t>
      </w:r>
    </w:p>
    <w:p>
      <w:pPr>
        <w:pStyle w:val="style0"/>
        <w:spacing w:lineRule="auto" w:line="259"/>
        <w:jc w:val="center"/>
        <w:rPr/>
      </w:pPr>
      <w:r>
        <w:rPr>
          <w:b/>
          <w:bCs/>
          <w:sz w:val="40"/>
          <w:szCs w:val="40"/>
          <w:lang w:val="en-US"/>
        </w:rPr>
        <w:t>Student I'd: 2214605</w:t>
      </w:r>
    </w:p>
    <w:p>
      <w:pPr>
        <w:pStyle w:val="style0"/>
        <w:spacing w:lineRule="auto" w:line="259"/>
        <w:jc w:val="center"/>
        <w:rPr>
          <w:rFonts w:cs="宋体" w:eastAsia="宋体"/>
          <w:b/>
          <w:szCs w:val="32"/>
        </w:rPr>
      </w:pPr>
      <w:r>
        <w:rPr>
          <w:b/>
          <w:bCs/>
          <w:sz w:val="40"/>
          <w:szCs w:val="40"/>
          <w:lang w:val="en-US"/>
        </w:rPr>
        <w:t xml:space="preserve">Name: Mohammed Menhaj Uddin </w:t>
      </w:r>
      <w:r>
        <w:br w:type="page"/>
      </w:r>
    </w:p>
    <w:p>
      <w:pPr>
        <w:pStyle w:val="style0"/>
        <w:spacing w:lineRule="auto" w:line="259"/>
        <w:jc w:val="center"/>
        <w:rPr>
          <w:rFonts w:cs="宋体" w:eastAsia="宋体"/>
          <w:b/>
          <w:szCs w:val="32"/>
        </w:rPr>
      </w:pPr>
    </w:p>
    <w:p>
      <w:pPr>
        <w:pStyle w:val="style266"/>
        <w:rPr/>
      </w:pPr>
      <w: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"_Toc132112192"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_Toc132112192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"_Toc132112193" </w:instrText>
      </w:r>
      <w:r>
        <w:rPr/>
        <w:fldChar w:fldCharType="separate"/>
      </w:r>
      <w:r>
        <w:rPr>
          <w:rStyle w:val="style85"/>
          <w:noProof/>
        </w:rPr>
        <w:t>4. Findings of the research</w:t>
      </w:r>
      <w:r>
        <w:rPr>
          <w:noProof/>
          <w:webHidden/>
        </w:rPr>
        <w:tab/>
      </w:r>
      <w:r>
        <w:rPr>
          <w:noProof/>
          <w:webHidden/>
        </w:rPr>
        <w:fldChar w:fldCharType="begin"/>
      </w:r>
      <w:r>
        <w:rPr>
          <w:noProof/>
          <w:webHidden/>
        </w:rPr>
        <w:instrText xml:space="preserve"> PAGEREF _Toc132112193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"_Toc132112194" </w:instrText>
      </w:r>
      <w:r>
        <w:rPr/>
        <w:fldChar w:fldCharType="separate"/>
      </w:r>
      <w:r>
        <w:rPr>
          <w:rStyle w:val="style85"/>
          <w:noProof/>
        </w:rPr>
        <w:t>2. Literature Review</w:t>
      </w:r>
      <w:r>
        <w:rPr>
          <w:noProof/>
          <w:webHidden/>
        </w:rPr>
        <w:tab/>
      </w:r>
      <w:r>
        <w:rPr>
          <w:noProof/>
          <w:webHidden/>
        </w:rPr>
        <w:fldChar w:fldCharType="begin"/>
      </w:r>
      <w:r>
        <w:rPr>
          <w:noProof/>
          <w:webHidden/>
        </w:rPr>
        <w:instrText xml:space="preserve"> PAGEREF _Toc132112194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"_Toc132112195" </w:instrText>
      </w:r>
      <w:r>
        <w:rPr/>
        <w:fldChar w:fldCharType="separate"/>
      </w:r>
      <w:r>
        <w:rPr>
          <w:rStyle w:val="style85"/>
          <w:noProof/>
        </w:rPr>
        <w:t>2.1 Overview of the different laws, regulations, and contracts enacted post the 2008 financial crisis by the UK, US, or EU authorities and other key players in the financial system to end the financial crises</w:t>
      </w:r>
      <w:r>
        <w:rPr>
          <w:noProof/>
          <w:webHidden/>
        </w:rPr>
        <w:tab/>
      </w:r>
      <w:r>
        <w:rPr>
          <w:noProof/>
          <w:webHidden/>
        </w:rPr>
        <w:fldChar w:fldCharType="begin"/>
      </w:r>
      <w:r>
        <w:rPr>
          <w:noProof/>
          <w:webHidden/>
        </w:rPr>
        <w:instrText xml:space="preserve"> PAGEREF _Toc132112195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"_Toc132112196" </w:instrText>
      </w:r>
      <w:r>
        <w:rPr/>
        <w:fldChar w:fldCharType="separate"/>
      </w:r>
      <w:r>
        <w:rPr>
          <w:rStyle w:val="style85"/>
          <w:noProof/>
        </w:rPr>
        <w:t>2.2 Different perspectives on the effectiveness of the reforms in stabilising the financial system and the different banking institutions post the 2008 crisis</w:t>
      </w:r>
      <w:r>
        <w:rPr>
          <w:noProof/>
          <w:webHidden/>
        </w:rPr>
        <w:tab/>
      </w:r>
      <w:r>
        <w:rPr>
          <w:noProof/>
          <w:webHidden/>
        </w:rPr>
        <w:fldChar w:fldCharType="begin"/>
      </w:r>
      <w:r>
        <w:rPr>
          <w:noProof/>
          <w:webHidden/>
        </w:rPr>
        <w:instrText xml:space="preserve"> PAGEREF _Toc132112196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"_Toc132112197" </w:instrText>
      </w:r>
      <w:r>
        <w:rPr/>
        <w:fldChar w:fldCharType="separate"/>
      </w:r>
      <w:r>
        <w:rPr>
          <w:rStyle w:val="style85"/>
          <w:noProof/>
        </w:rPr>
        <w:t>2.3 Understanding of the pricing of financial assets, the role and application of finance theory and the operation of financial markets</w:t>
      </w:r>
      <w:r>
        <w:rPr>
          <w:noProof/>
          <w:webHidden/>
        </w:rPr>
        <w:tab/>
      </w:r>
      <w:r>
        <w:rPr>
          <w:noProof/>
          <w:webHidden/>
        </w:rPr>
        <w:fldChar w:fldCharType="begin"/>
      </w:r>
      <w:r>
        <w:rPr>
          <w:noProof/>
          <w:webHidden/>
        </w:rPr>
        <w:instrText xml:space="preserve"> PAGEREF _Toc132112197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"_Toc132112198" </w:instrText>
      </w:r>
      <w:r>
        <w:rPr/>
        <w:fldChar w:fldCharType="separate"/>
      </w:r>
      <w:r>
        <w:rPr>
          <w:rStyle w:val="style85"/>
          <w:noProof/>
        </w:rPr>
        <w:t>2.4 Bank performance criteria and valuation methods</w:t>
      </w:r>
      <w:r>
        <w:rPr>
          <w:noProof/>
          <w:webHidden/>
        </w:rPr>
        <w:tab/>
      </w:r>
      <w:r>
        <w:rPr>
          <w:noProof/>
          <w:webHidden/>
        </w:rPr>
        <w:fldChar w:fldCharType="begin"/>
      </w:r>
      <w:r>
        <w:rPr>
          <w:noProof/>
          <w:webHidden/>
        </w:rPr>
        <w:instrText xml:space="preserve"> PAGEREF _Toc132112198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"_Toc132112199" </w:instrText>
      </w:r>
      <w:r>
        <w:rPr/>
        <w:fldChar w:fldCharType="separate"/>
      </w:r>
      <w:r>
        <w:rPr>
          <w:rStyle w:val="style85"/>
          <w:noProof/>
        </w:rPr>
        <w:t>2.5 Understanding of contemporary issues in bank management</w:t>
      </w:r>
      <w:r>
        <w:rPr>
          <w:noProof/>
          <w:webHidden/>
        </w:rPr>
        <w:tab/>
      </w:r>
      <w:r>
        <w:rPr>
          <w:noProof/>
          <w:webHidden/>
        </w:rPr>
        <w:fldChar w:fldCharType="begin"/>
      </w:r>
      <w:r>
        <w:rPr>
          <w:noProof/>
          <w:webHidden/>
        </w:rPr>
        <w:instrText xml:space="preserve"> PAGEREF _Toc132112199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"_Toc132112200" </w:instrText>
      </w:r>
      <w:r>
        <w:rPr/>
        <w:fldChar w:fldCharType="separate"/>
      </w:r>
      <w:r>
        <w:rPr>
          <w:rStyle w:val="style85"/>
          <w:noProof/>
        </w:rPr>
        <w:t>3. Research Methodology</w:t>
      </w:r>
      <w:r>
        <w:rPr>
          <w:noProof/>
          <w:webHidden/>
        </w:rPr>
        <w:tab/>
      </w:r>
      <w:r>
        <w:rPr>
          <w:noProof/>
          <w:webHidden/>
        </w:rPr>
        <w:fldChar w:fldCharType="begin"/>
      </w:r>
      <w:r>
        <w:rPr>
          <w:noProof/>
          <w:webHidden/>
        </w:rPr>
        <w:instrText xml:space="preserve"> PAGEREF _Toc132112200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"_Toc132112201" </w:instrText>
      </w:r>
      <w:r>
        <w:rPr/>
        <w:fldChar w:fldCharType="separate"/>
      </w:r>
      <w:r>
        <w:rPr>
          <w:rStyle w:val="style85"/>
          <w:noProof/>
        </w:rPr>
        <w:t>3.1 Research Design and Methodology</w:t>
      </w:r>
      <w:r>
        <w:rPr>
          <w:noProof/>
          <w:webHidden/>
        </w:rPr>
        <w:tab/>
      </w:r>
      <w:r>
        <w:rPr>
          <w:noProof/>
          <w:webHidden/>
        </w:rPr>
        <w:fldChar w:fldCharType="begin"/>
      </w:r>
      <w:r>
        <w:rPr>
          <w:noProof/>
          <w:webHidden/>
        </w:rPr>
        <w:instrText xml:space="preserve"> PAGEREF _Toc132112201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"_Toc132112202" </w:instrText>
      </w:r>
      <w:r>
        <w:rPr/>
        <w:fldChar w:fldCharType="separate"/>
      </w:r>
      <w:r>
        <w:rPr>
          <w:rStyle w:val="style85"/>
          <w:noProof/>
        </w:rPr>
        <w:t>3.2 Identification of the publicly listed company, British Airways</w:t>
      </w:r>
      <w:r>
        <w:rPr>
          <w:noProof/>
          <w:webHidden/>
        </w:rPr>
        <w:tab/>
      </w:r>
      <w:r>
        <w:rPr>
          <w:noProof/>
          <w:webHidden/>
        </w:rPr>
        <w:fldChar w:fldCharType="begin"/>
      </w:r>
      <w:r>
        <w:rPr>
          <w:noProof/>
          <w:webHidden/>
        </w:rPr>
        <w:instrText xml:space="preserve"> PAGEREF _Toc132112202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"_Toc132112203" </w:instrText>
      </w:r>
      <w:r>
        <w:rPr/>
        <w:fldChar w:fldCharType="separate"/>
      </w:r>
      <w:r>
        <w:rPr>
          <w:rStyle w:val="style85"/>
          <w:noProof/>
        </w:rPr>
        <w:t>3.3 Data Sources and collection method</w:t>
      </w:r>
      <w:r>
        <w:rPr>
          <w:noProof/>
          <w:webHidden/>
        </w:rPr>
        <w:tab/>
      </w:r>
      <w:r>
        <w:rPr>
          <w:noProof/>
          <w:webHidden/>
        </w:rPr>
        <w:fldChar w:fldCharType="begin"/>
      </w:r>
      <w:r>
        <w:rPr>
          <w:noProof/>
          <w:webHidden/>
        </w:rPr>
        <w:instrText xml:space="preserve"> PAGEREF _Toc132112203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"_Toc132112204" </w:instrText>
      </w:r>
      <w:r>
        <w:rPr/>
        <w:fldChar w:fldCharType="separate"/>
      </w:r>
      <w:r>
        <w:rPr>
          <w:rStyle w:val="style85"/>
          <w:noProof/>
        </w:rPr>
        <w:t>5. Discussion of the key findings</w:t>
      </w:r>
      <w:r>
        <w:rPr>
          <w:noProof/>
          <w:webHidden/>
        </w:rPr>
        <w:tab/>
      </w:r>
      <w:r>
        <w:rPr>
          <w:noProof/>
          <w:webHidden/>
        </w:rPr>
        <w:fldChar w:fldCharType="begin"/>
      </w:r>
      <w:r>
        <w:rPr>
          <w:noProof/>
          <w:webHidden/>
        </w:rPr>
        <w:instrText xml:space="preserve"> PAGEREF _Toc132112204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"_Toc132112205" </w:instrText>
      </w:r>
      <w:r>
        <w:rPr/>
        <w:fldChar w:fldCharType="separate"/>
      </w:r>
      <w:r>
        <w:rPr>
          <w:rStyle w:val="style85"/>
          <w:noProof/>
        </w:rPr>
        <w:t>6. Conclusion / Recommendations</w:t>
      </w:r>
      <w:r>
        <w:rPr>
          <w:noProof/>
          <w:webHidden/>
        </w:rPr>
        <w:tab/>
      </w:r>
      <w:r>
        <w:rPr>
          <w:noProof/>
          <w:webHidden/>
        </w:rPr>
        <w:fldChar w:fldCharType="begin"/>
      </w:r>
      <w:r>
        <w:rPr>
          <w:noProof/>
          <w:webHidden/>
        </w:rPr>
        <w:instrText xml:space="preserve"> PAGEREF _Toc132112205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"_Toc132112206"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_Toc132112206 \h </w:instrText>
      </w:r>
      <w:r>
        <w:rPr>
          <w:noProof/>
          <w:webHidden/>
        </w:rPr>
        <w:fldChar w:fldCharType="separate"/>
      </w:r>
      <w:r>
        <w:rPr>
          <w:noProof/>
          <w:webHidden/>
        </w:rPr>
        <w:t>18</w:t>
      </w:r>
      <w:r>
        <w:rPr>
          <w:noProof/>
          <w:webHidden/>
        </w:rPr>
        <w:fldChar w:fldCharType="end"/>
      </w:r>
      <w:r>
        <w:rPr/>
        <w:fldChar w:fldCharType="end"/>
      </w:r>
    </w:p>
    <w:p>
      <w:pPr>
        <w:pStyle w:val="style0"/>
        <w:rPr/>
      </w:pPr>
      <w:r>
        <w:rPr>
          <w:b/>
          <w:bCs/>
          <w:noProof/>
        </w:rPr>
        <w:fldChar w:fldCharType="end"/>
      </w:r>
    </w:p>
    <w:p>
      <w:pPr>
        <w:pStyle w:val="style0"/>
        <w:spacing w:lineRule="auto" w:line="259"/>
        <w:jc w:val="left"/>
        <w:rPr>
          <w:rFonts w:cs="宋体" w:eastAsia="宋体"/>
          <w:b/>
          <w:szCs w:val="32"/>
        </w:rPr>
      </w:pPr>
      <w:r>
        <w:br w:type="page"/>
      </w:r>
    </w:p>
    <w:bookmarkStart w:id="0" w:name="_Toc132112192"/>
    <w:p>
      <w:pPr>
        <w:pStyle w:val="style1"/>
        <w:rPr/>
      </w:pPr>
      <w:r>
        <w:t>1. Introduction</w:t>
      </w:r>
      <w:bookmarkEnd w:id="0"/>
    </w:p>
    <w:p>
      <w:pPr>
        <w:pStyle w:val="style0"/>
        <w:rPr/>
      </w:pPr>
      <w:r>
        <w:t>The 2008 financial crisis was a global economic crisis that began with the collapse of the housing market and the subprime mortgage business in the United States. A number of factors, including financial industry deregulation, hazardous lending practises, the development of sophisticated financial instruments and a lack of control by government regulators, contributed to the crisis. As the housing market began to fall, homeowners began to default on their mortgages, creating large losses for numerous financial institutions. These losses, combined with the financial system's interconnectedness, set off a chain reaction that expanded throughout the global financial system, resulting in a severe credit crisis and the failure of numerous large financial firms, including Lehman Brothers</w:t>
      </w:r>
      <w:r>
        <w:t xml:space="preserve"> (Bernier </w:t>
      </w:r>
      <w:r>
        <w:rPr>
          <w:i/>
          <w:iCs/>
        </w:rPr>
        <w:t>et al.,</w:t>
      </w:r>
      <w:r>
        <w:t xml:space="preserve"> 2022)</w:t>
      </w:r>
      <w:r>
        <w:t>.</w:t>
      </w:r>
      <w:r>
        <w:t xml:space="preserve"> </w:t>
      </w:r>
      <w:r>
        <w:t>The 2008 financial crisis had a global impact, resulting in a global recession that lasted from 2008 to 2009. The crisis significantly reduced the value of assets such as equities, bonds and real estate. Many people and businesses experienced substantial financial losses and unemployment rates skyrocketed. Governments and central banks worldwide responded with drastic measures such as adopting economic stimulus programmes and bailing out struggling financial firms. These actions aided in stabilising the financial system and preventing the global economy from collapsing completely.</w:t>
      </w:r>
    </w:p>
    <w:p>
      <w:pPr>
        <w:pStyle w:val="style0"/>
        <w:rPr/>
      </w:pPr>
      <w:r>
        <w:t>The objective of a study is to analyse the impact of the financial crisis on the airline industry, specifically in the case of British Airways. The objective of this research is to look into the sources and repercussions of the airline industry crisis, as well as the challenges that airlines faced throughout this time period, such as changes in fuel prices, competition and customer demand. Furthermore, the research will examine the effects on the British Airways, including financial losses, operational restructuring and changes to the company's laws and regulations.</w:t>
      </w:r>
      <w:r>
        <w:t xml:space="preserve"> </w:t>
      </w:r>
      <w:r>
        <w:t>Furthermore, the research will examine the impact on the British Airways personnel, including layoffs, salary cuts and changes in employment duties and responsibilities. Ultimately, the study paper intends to contribute to a better understanding of the 2008 financial crisis and its impact on British Airways employees by highlighting the challenges that employees encountered during this time period as well as the actions taken by the corporation to alleviate the crisis's effects.</w:t>
      </w:r>
    </w:p>
    <w:bookmarkStart w:id="1" w:name="_Toc132112193"/>
    <w:p>
      <w:pPr>
        <w:pStyle w:val="style1"/>
        <w:rPr/>
      </w:pPr>
      <w:r>
        <w:t xml:space="preserve">4. </w:t>
      </w:r>
      <w:r>
        <w:t>Findings of the research</w:t>
      </w:r>
      <w:bookmarkEnd w:id="1"/>
    </w:p>
    <w:p>
      <w:pPr>
        <w:pStyle w:val="style0"/>
        <w:rPr/>
      </w:pPr>
      <w:r>
        <w:t xml:space="preserve">The 2008 financial crisis had a significant impact on the UK economy, including the aviation industry. When passenger demand fell, fuel prices rose, and the world economy entered a </w:t>
      </w:r>
      <w:r>
        <w:t xml:space="preserve">recession, British Airways faced significant challenges and </w:t>
      </w:r>
      <w:r>
        <w:t>i</w:t>
      </w:r>
      <w:r>
        <w:t xml:space="preserve">n response to the crisis, the UK government and regulatory organisations implemented a number of new laws, regulations, and contracts to address the structural issues that </w:t>
      </w:r>
      <w:r>
        <w:t>fuelled</w:t>
      </w:r>
      <w:r>
        <w:t xml:space="preserve"> the crisis and support economic recovery.</w:t>
      </w:r>
      <w:r>
        <w:t xml:space="preserve"> </w:t>
      </w:r>
      <w:r>
        <w:t>The FCA was responsible for protecting consumers and ensuring fair competition in financial markets, while the PRA was tasked with promoting</w:t>
      </w:r>
      <w:r>
        <w:t xml:space="preserve"> </w:t>
      </w:r>
      <w:r>
        <w:t>safety and reliability in the financial institutions. The act established a new regulatory structure for banks and other financial institutions, which included capital requirements and stress tests. Further laws were introduced in addition to the Financial Services Act to address the issues that contributed to the financial crisis. To avoid a repeat of the situation in which banks were too large to fail, the Banking Reform Act of 2013 created provisions to separate retail and investment banking</w:t>
      </w:r>
      <w:r>
        <w:t xml:space="preserve"> (Santana </w:t>
      </w:r>
      <w:r>
        <w:rPr>
          <w:i/>
          <w:iCs/>
        </w:rPr>
        <w:t>et al.,</w:t>
      </w:r>
      <w:r>
        <w:t xml:space="preserve"> 2019)</w:t>
      </w:r>
      <w:r>
        <w:t>. The act also established a new regulatory structure for financial institutions, emphasising individual accountability.</w:t>
      </w:r>
      <w:r>
        <w:t xml:space="preserve"> </w:t>
      </w:r>
      <w:r>
        <w:t>The Financial Services Act 2012 was introduced to establish the Financial Conduct Authority (FCA) and the Prudential Regulation Authority (PRA) as regulatory bodies to oversee the financial sector in the UK</w:t>
      </w:r>
      <w:r>
        <w:t xml:space="preserve"> (Hsu </w:t>
      </w:r>
      <w:r>
        <w:rPr>
          <w:i/>
          <w:iCs/>
        </w:rPr>
        <w:t>et al.,</w:t>
      </w:r>
      <w:r>
        <w:t xml:space="preserve"> 2017)</w:t>
      </w:r>
      <w:r>
        <w:t>. The intention was to enhance consumer protection and ensure financial stability. However, there are criticisms that the regulatory burden and compliance costs have increased for British Airways. Compliance with the regulatory requirements has added operational costs to British Airways, affecting its financial performance.</w:t>
      </w:r>
    </w:p>
    <w:p>
      <w:pPr>
        <w:pStyle w:val="style0"/>
        <w:rPr/>
      </w:pPr>
      <w:r>
        <w:t>Improved regulatory monitoring and risk management standards placed on financial institutions during the 2008 financial crisis may have contributed to British Airways' financial system stabilisation. The Financial Services Act of 2012, for example, resulted in the formation of regulatory bodies such as the Financial Conduct Authority (FCA) and the Prudential Regulation Authority (PRA), which have increased scrutiny and regulatory supervision of financial institutions, including banks that may provide financing or other financial services to British Airways</w:t>
      </w:r>
      <w:r>
        <w:t xml:space="preserve"> (</w:t>
      </w:r>
      <w:r>
        <w:t>Bertillo</w:t>
      </w:r>
      <w:r>
        <w:t xml:space="preserve"> </w:t>
      </w:r>
      <w:r>
        <w:rPr>
          <w:i/>
          <w:iCs/>
        </w:rPr>
        <w:t>et al.,</w:t>
      </w:r>
      <w:r>
        <w:t xml:space="preserve"> 2013)</w:t>
      </w:r>
      <w:r>
        <w:t>. This heightened oversight aims to improve transparency, accountability, and risk management in the financial system, which can help British Airways operate in a more stable financial environment.</w:t>
      </w:r>
      <w:r>
        <w:t xml:space="preserve"> </w:t>
      </w:r>
      <w:r>
        <w:t>Furthermore, the reforms attempted to increase financial institutions' resilience and stability. Banks, for example, must now keep bigger capital buffers to absorb potential losses and withstand financial shocks. This can lessen the danger of bank failures or financial system disruptions, which might harm British Airways and other companies that rely on financial services</w:t>
      </w:r>
      <w:r>
        <w:t xml:space="preserve"> (Kemper and Martin, 2010)</w:t>
      </w:r>
      <w:r>
        <w:t xml:space="preserve">. Moreover, regulations such as the Dodd-Frank Wall Street Reform and Consumer Protection Act in the United States and the </w:t>
      </w:r>
      <w:r>
        <w:t>European Market Infrastructure Regulation (EMIR) in the European Union have introduced measures to increase transparency and reduce risks in financial markets, including derivatives markets, which can have an impact on the financial stability of companies such as British Airways that engage in hedging or other financial transactions</w:t>
      </w:r>
      <w:r>
        <w:t xml:space="preserve"> (</w:t>
      </w:r>
      <w:r>
        <w:t>Kollewe</w:t>
      </w:r>
      <w:r>
        <w:t>, 2009)</w:t>
      </w:r>
      <w:r>
        <w:t>.</w:t>
      </w:r>
      <w:r>
        <w:t xml:space="preserve"> </w:t>
      </w:r>
      <w:r>
        <w:t>However, there are potential obstacles and unforeseen repercussions of these measures that may impact British Airways' financial system stability. The potential influence on funding availability is one such concern. Financial institutions' increased regulatory scrutiny and risk aversion may result in stricter lending standards or reduced lending to certain industries, including the aviation industry, affecting the availability of financing for companies like British Airways, particularly during times of financial distress</w:t>
      </w:r>
      <w:r>
        <w:t xml:space="preserve"> (</w:t>
      </w:r>
      <w:r>
        <w:t xml:space="preserve">De </w:t>
      </w:r>
      <w:r>
        <w:t>Neufville</w:t>
      </w:r>
      <w:r>
        <w:t>, 2008)</w:t>
      </w:r>
      <w:r>
        <w:t xml:space="preserve">. This has made </w:t>
      </w:r>
      <w:r>
        <w:t>it difficult</w:t>
      </w:r>
      <w:r>
        <w:t xml:space="preserve"> for British Airlines to get sufficient capital for operations, investments or expansion plans.</w:t>
      </w:r>
    </w:p>
    <w:p>
      <w:pPr>
        <w:pStyle w:val="style0"/>
        <w:rPr/>
      </w:pPr>
      <w:r>
        <w:t>The reforms implemented after the 2008 financial crisis sought to bring stability and transparency to the financial system and banking institutions. The reforms have had a substantial impact on British Airways' business model including worker layoffs, cost cutting and restructuring the management.</w:t>
      </w:r>
      <w:r>
        <w:t xml:space="preserve"> </w:t>
      </w:r>
      <w:r>
        <w:t>The Basel III framework, which aimed to bolster banks' capital and liquidity levels, was one of the fundamental reforms undertaken following the 2008 financial crisis</w:t>
      </w:r>
      <w:r>
        <w:t xml:space="preserve"> (</w:t>
      </w:r>
      <w:r>
        <w:t>Goeteyn</w:t>
      </w:r>
      <w:r>
        <w:t>, 2009)</w:t>
      </w:r>
      <w:r>
        <w:t>. The reform has impacted indirectly the aviation sector as the Basel III has tightened credit conditions, making it more difficult and costly for British Airways to secure capital for its operations, affecting its business.</w:t>
      </w:r>
      <w:r>
        <w:t xml:space="preserve"> </w:t>
      </w:r>
      <w:r>
        <w:t>The Financial Services Act 2012 in the UK aimed to make fundamental changes in the regulation of financial services</w:t>
      </w:r>
      <w:r>
        <w:t xml:space="preserve"> (</w:t>
      </w:r>
      <w:r>
        <w:t>Heyes</w:t>
      </w:r>
      <w:r>
        <w:t>, 2013)</w:t>
      </w:r>
      <w:r>
        <w:t>. One of the significant improvements under this act was the creation of the Financial Conduct Authority (FCA), which was tasked with regulating the behaviour of financial services corporations. The FCA's responsibility includes ensuring that firms comply with relevant laws and regulations. While British Airways is not a financial services company, it must adhere to the regulations that affect its operations, such as employment laws. The British Airways have retorted to cost cutting measures including layoffs after the crisis to remain competitive in the market.</w:t>
      </w:r>
      <w:r>
        <w:t xml:space="preserve"> </w:t>
      </w:r>
    </w:p>
    <w:p>
      <w:pPr>
        <w:pStyle w:val="style0"/>
        <w:rPr/>
      </w:pPr>
      <w:r>
        <w:t>In response to the economic crisis, British Airlines laid off 3,700 employees in 2009 and 1400 employees in 2015 as part of a cost-cutting reorganisation strategy</w:t>
      </w:r>
      <w:r>
        <w:t xml:space="preserve"> (Palau </w:t>
      </w:r>
      <w:r>
        <w:rPr>
          <w:i/>
          <w:iCs/>
        </w:rPr>
        <w:t>et al.,</w:t>
      </w:r>
      <w:r>
        <w:t xml:space="preserve"> 2017)</w:t>
      </w:r>
      <w:r>
        <w:t xml:space="preserve">.   Trade unions and other stakeholders have criticised the corporation's attitude to workforce layoffs, claiming that the company has not done enough to defend its employees' interests. The corporation </w:t>
      </w:r>
      <w:r>
        <w:t>has also been accused of violating labour laws and regulations, such as discrimination and unjust dismissal.</w:t>
      </w:r>
      <w:r>
        <w:t xml:space="preserve"> </w:t>
      </w:r>
      <w:r>
        <w:t>British Airways has taken initiatives to strengthen its compliance with employment laws and regulations in response to these criticisms. For example, in 2018, the corporation signed a new agreement with the trade union Unite to increase employee job security and address workplace concerns</w:t>
      </w:r>
      <w:r>
        <w:t xml:space="preserve"> (</w:t>
      </w:r>
      <w:r>
        <w:t>Vassilopoulou</w:t>
      </w:r>
      <w:r>
        <w:t xml:space="preserve"> </w:t>
      </w:r>
      <w:r>
        <w:rPr>
          <w:i/>
          <w:iCs/>
        </w:rPr>
        <w:t>et al.,</w:t>
      </w:r>
      <w:r>
        <w:t xml:space="preserve"> 2019</w:t>
      </w:r>
      <w:r>
        <w:t>)</w:t>
      </w:r>
      <w:r>
        <w:t>. In addition, the company has launched number of programmes encouraging diversity and inclusion in its workforce, such as the implementation of unconscious bias training for its staff.</w:t>
      </w:r>
    </w:p>
    <w:bookmarkStart w:id="2" w:name="_Toc132112194"/>
    <w:p>
      <w:pPr>
        <w:pStyle w:val="style1"/>
        <w:rPr/>
      </w:pPr>
      <w:r>
        <w:t>2</w:t>
      </w:r>
      <w:r>
        <w:t>. Literature Review</w:t>
      </w:r>
      <w:bookmarkEnd w:id="2"/>
    </w:p>
    <w:bookmarkStart w:id="3" w:name="_Toc132112195"/>
    <w:p>
      <w:pPr>
        <w:pStyle w:val="style2"/>
        <w:rPr/>
      </w:pPr>
      <w:r>
        <w:t xml:space="preserve">2.1 </w:t>
      </w:r>
      <w:r>
        <w:t>Overview of the different laws, regulations, and contracts enacted post the 2008 financial crisis by the UK, US, or EU authorities and other key players in the financial system to end the financial crises</w:t>
      </w:r>
      <w:bookmarkEnd w:id="3"/>
    </w:p>
    <w:p>
      <w:pPr>
        <w:pStyle w:val="style0"/>
        <w:rPr/>
      </w:pPr>
      <w:r>
        <w:t xml:space="preserve">The laws and regulations are part of the post-2008 financial crisis which made the UK government realise the volatility of the economy in the global market. To curb the possibilities and situations of the rebate crisis shortly, the government of the UK introduced </w:t>
      </w:r>
      <w:r>
        <w:rPr>
          <w:b/>
          <w:bCs/>
          <w:i/>
          <w:iCs/>
        </w:rPr>
        <w:t>Financial Services Act 2012</w:t>
      </w:r>
      <w:r>
        <w:rPr>
          <w:b/>
          <w:bCs/>
          <w:i/>
          <w:iCs/>
        </w:rPr>
        <w:t xml:space="preserve">. </w:t>
      </w:r>
      <w:r>
        <w:t xml:space="preserve">It was established by </w:t>
      </w:r>
      <w:r>
        <w:tab/>
      </w:r>
      <w:r>
        <w:t>Financial Conduct Authority (FCA) and the Prudential Regulation Authority (PRA) as the prime regulators of financial institution</w:t>
      </w:r>
      <w:r>
        <w:t>s (</w:t>
      </w:r>
      <w:r>
        <w:t>Soin</w:t>
      </w:r>
      <w:r>
        <w:t xml:space="preserve"> </w:t>
      </w:r>
      <w:r>
        <w:t>and Huber, 2013</w:t>
      </w:r>
      <w:r>
        <w:t xml:space="preserve">). According to </w:t>
      </w:r>
      <w:r>
        <w:t>Financial Services Act 2012</w:t>
      </w:r>
      <w:r>
        <w:t xml:space="preserve">, </w:t>
      </w:r>
      <w:r>
        <w:t>to ensure that financial institutions act ethically, maintain financial stability, and safeguard consumers</w:t>
      </w:r>
      <w:r>
        <w:t xml:space="preserve"> safeguard regulations will be introduced. </w:t>
      </w:r>
      <w:r>
        <w:rPr>
          <w:b/>
          <w:bCs/>
          <w:i/>
          <w:iCs/>
        </w:rPr>
        <w:t>Senior Managers and Certification Regime (SMCR)</w:t>
      </w:r>
      <w:r>
        <w:rPr>
          <w:b/>
          <w:bCs/>
          <w:i/>
          <w:iCs/>
        </w:rPr>
        <w:t xml:space="preserve"> </w:t>
      </w:r>
      <w:r>
        <w:t>was enacted in the year 2016 (</w:t>
      </w:r>
      <w:r>
        <w:t>Keller</w:t>
      </w:r>
      <w:r>
        <w:t xml:space="preserve"> </w:t>
      </w:r>
      <w:r>
        <w:t>and Kokkinis, 2022</w:t>
      </w:r>
      <w:r>
        <w:t>). It requires s</w:t>
      </w:r>
      <w:r>
        <w:t xml:space="preserve">enior bank executives should be held accountable for themselves for their behaviour and performance. </w:t>
      </w:r>
    </w:p>
    <w:p>
      <w:pPr>
        <w:pStyle w:val="style0"/>
        <w:keepNext/>
        <w:jc w:val="center"/>
        <w:rPr/>
      </w:pPr>
      <w:r>
        <w:rPr>
          <w:noProof/>
        </w:rPr>
        <w:drawing>
          <wp:inline distL="0" distT="0" distB="0" distR="0">
            <wp:extent cx="5943600" cy="5525770"/>
            <wp:effectExtent l="0" t="0" r="0" b="0"/>
            <wp:docPr id="1026" name="Picture 2" descr="The new EU EMIR regulation is on. Are you ready? - eKuot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 cstate="print"/>
                    <a:srcRect l="0" t="0" r="0" b="0"/>
                    <a:stretch/>
                  </pic:blipFill>
                  <pic:spPr>
                    <a:xfrm rot="0">
                      <a:off x="0" y="0"/>
                      <a:ext cx="5943600" cy="5525770"/>
                    </a:xfrm>
                    <a:prstGeom prst="rect"/>
                    <a:ln>
                      <a:noFill/>
                    </a:ln>
                  </pic:spPr>
                </pic:pic>
              </a:graphicData>
            </a:graphic>
          </wp:inline>
        </w:drawing>
      </w:r>
    </w:p>
    <w:p>
      <w:pPr>
        <w:pStyle w:val="style34"/>
        <w:rPr/>
      </w:pPr>
      <w:r>
        <w:t xml:space="preserve">Figure </w:t>
      </w:r>
      <w:r>
        <w:rPr/>
        <w:fldChar w:fldCharType="begin"/>
      </w:r>
      <w:r>
        <w:instrText xml:space="preserve"> SEQ Figure \* ARABIC </w:instrText>
      </w:r>
      <w:r>
        <w:rPr/>
        <w:fldChar w:fldCharType="separate"/>
      </w:r>
      <w:r>
        <w:rPr>
          <w:noProof/>
        </w:rPr>
        <w:t>1</w:t>
      </w:r>
      <w:r>
        <w:rPr/>
        <w:fldChar w:fldCharType="end"/>
      </w:r>
      <w:r>
        <w:t xml:space="preserve">: </w:t>
      </w:r>
      <w:r>
        <w:t>European Market Infrastructure Regulation</w:t>
      </w:r>
    </w:p>
    <w:p>
      <w:pPr>
        <w:pStyle w:val="style0"/>
        <w:rPr/>
      </w:pPr>
      <w:r>
        <w:t>Businesses additionally have to prove that their employees have the necessary skills for performing their jobs.</w:t>
      </w:r>
      <w:r>
        <w:t xml:space="preserve"> </w:t>
      </w:r>
      <w:r>
        <w:rPr>
          <w:b/>
          <w:bCs/>
          <w:i/>
          <w:iCs/>
        </w:rPr>
        <w:t>European Market Infrastructure Regulation (EMIR)</w:t>
      </w:r>
      <w:r>
        <w:rPr>
          <w:b/>
          <w:bCs/>
          <w:i/>
          <w:iCs/>
        </w:rPr>
        <w:t xml:space="preserve"> </w:t>
      </w:r>
      <w:r>
        <w:t xml:space="preserve">is the regulation introduced by European Regulation and came into force in the year 2012. </w:t>
      </w:r>
      <w:r>
        <w:t>By maintaining the reporting and central clearing procedures for particular derivative instruments, it seeks to enhance the transparency and resilience of the market for derivatives</w:t>
      </w:r>
      <w:r>
        <w:t xml:space="preserve"> (</w:t>
      </w:r>
      <w:r>
        <w:t>Ferrarini</w:t>
      </w:r>
      <w:r>
        <w:t xml:space="preserve"> </w:t>
      </w:r>
      <w:r>
        <w:t xml:space="preserve">and </w:t>
      </w:r>
      <w:r>
        <w:t>Saguato</w:t>
      </w:r>
      <w:r>
        <w:t>, 2014</w:t>
      </w:r>
      <w:r>
        <w:t>)</w:t>
      </w:r>
      <w:r>
        <w:t>.</w:t>
      </w:r>
      <w:r>
        <w:t xml:space="preserve"> </w:t>
      </w:r>
      <w:r>
        <w:t>Basel III is a group of globally applicable banking regulations intended for improving the resiliency of the world banking system. For banks, these freshly established specifications involve possessing more capital and liquidity</w:t>
      </w:r>
      <w:r>
        <w:t xml:space="preserve"> (</w:t>
      </w:r>
      <w:r>
        <w:t>King</w:t>
      </w:r>
      <w:r>
        <w:t xml:space="preserve"> </w:t>
      </w:r>
      <w:r>
        <w:t>and Tarbert, 2011</w:t>
      </w:r>
      <w:r>
        <w:t>)</w:t>
      </w:r>
      <w:r>
        <w:t>.</w:t>
      </w:r>
      <w:r>
        <w:t xml:space="preserve"> </w:t>
      </w:r>
      <w:r>
        <w:rPr>
          <w:b/>
          <w:bCs/>
          <w:i/>
          <w:iCs/>
        </w:rPr>
        <w:t>Payment Services Regulations 2017</w:t>
      </w:r>
      <w:r>
        <w:rPr>
          <w:b/>
          <w:bCs/>
          <w:i/>
          <w:iCs/>
        </w:rPr>
        <w:t xml:space="preserve"> </w:t>
      </w:r>
      <w:r>
        <w:t xml:space="preserve">was </w:t>
      </w:r>
      <w:r>
        <w:t xml:space="preserve">introduced in the year 2017 and dedicated to regulating the payment services operating in the financial sector of the UK through the implementation of </w:t>
      </w:r>
      <w:r>
        <w:t>Payment Services Directive II (PSD2)</w:t>
      </w:r>
      <w:r>
        <w:t xml:space="preserve"> by the European Union (</w:t>
      </w:r>
      <w:r>
        <w:t>Verma</w:t>
      </w:r>
      <w:r>
        <w:t xml:space="preserve">, </w:t>
      </w:r>
      <w:r>
        <w:t>Chaurasia</w:t>
      </w:r>
      <w:r>
        <w:t xml:space="preserve"> </w:t>
      </w:r>
      <w:r>
        <w:t>and Bhattacharyya, 202</w:t>
      </w:r>
      <w:r>
        <w:t xml:space="preserve">0).  </w:t>
      </w:r>
      <w:r>
        <w:t>It aims at strengthening consumer protection while increasing market innovation and competition in the payment services sector.</w:t>
      </w:r>
      <w:r>
        <w:t xml:space="preserve"> The USA, the largest financial market has also enacted some stringent regulations post-2008 financial crisis. The fluctuation in the rate of the US Dollar has a greater impact on all other nations in the world which prompted the policymakers to opt for the regulations. </w:t>
      </w:r>
      <w:r>
        <w:rPr>
          <w:b/>
          <w:bCs/>
          <w:i/>
          <w:iCs/>
        </w:rPr>
        <w:t>Dodd-Frank Wall Street Reform and Consumer Protection Act</w:t>
      </w:r>
      <w:r>
        <w:rPr>
          <w:b/>
          <w:bCs/>
          <w:i/>
          <w:iCs/>
        </w:rPr>
        <w:t xml:space="preserve"> </w:t>
      </w:r>
      <w:r>
        <w:t>was passed in 2010 bringing about an array of financial regulations designed to stop future financial meltdowns</w:t>
      </w:r>
      <w:r>
        <w:t xml:space="preserve"> (</w:t>
      </w:r>
      <w:r>
        <w:t>Murdock, 2011</w:t>
      </w:r>
      <w:r>
        <w:t>)</w:t>
      </w:r>
      <w:r>
        <w:t>. Among other things, it introduced the Consumer Financial Protection Bureau, the Financial Stability Oversight Council, and fresh derivative trade laws.</w:t>
      </w:r>
      <w:r>
        <w:t xml:space="preserve"> </w:t>
      </w:r>
      <w:r>
        <w:rPr>
          <w:b/>
          <w:bCs/>
          <w:i/>
          <w:iCs/>
        </w:rPr>
        <w:t xml:space="preserve">Volcker Rule </w:t>
      </w:r>
      <w:r>
        <w:t xml:space="preserve">is named after </w:t>
      </w:r>
      <w:r>
        <w:t>former Federal Reserve Chairman Paul Volcker</w:t>
      </w:r>
      <w:r>
        <w:t xml:space="preserve">. </w:t>
      </w:r>
      <w:r>
        <w:t>The legislation limits banks' holdings in hedge funds and private equity and prevents them from participating in proprietary trading.</w:t>
      </w:r>
      <w:r>
        <w:t xml:space="preserve"> As part of the Struggling Asset Relief Program, the Emergency Economic Stabilization Act of 2008 gave the U.S. Treasury authorization to acquire up to $700 billion in troubled assets from financial institutions as part of the Troubled Asset Relief Program.</w:t>
      </w:r>
    </w:p>
    <w:bookmarkStart w:id="4" w:name="_Toc132112196"/>
    <w:p>
      <w:pPr>
        <w:pStyle w:val="style2"/>
        <w:rPr/>
      </w:pPr>
      <w:r>
        <w:t xml:space="preserve">2.2 Different </w:t>
      </w:r>
      <w:r>
        <w:t xml:space="preserve">perspectives on the effectiveness of the reforms in </w:t>
      </w:r>
      <w:r>
        <w:t>stabilising</w:t>
      </w:r>
      <w:r>
        <w:t xml:space="preserve"> the financial system and the different banking institutions post the 2008 crisis</w:t>
      </w:r>
      <w:bookmarkEnd w:id="4"/>
    </w:p>
    <w:p>
      <w:pPr>
        <w:pStyle w:val="style0"/>
        <w:rPr/>
      </w:pPr>
      <w:r>
        <w:t xml:space="preserve">The regulatory reforms that are set by variable administrations and institutions are aimed at regulation of the financial market which broke down in the 2008 Financial Crisis.  </w:t>
      </w:r>
      <w:r>
        <w:t>Numerous analysts concur that the reforms have contributed to the security and fiscal health of privately owned banks as well as the resilience of the banking system as a whole in some way. To promote financial stability and avert future financial crises, the Dodd-Frank Wall Street Reform and Consumer Protection Act, for instance, embraced an array of regulations</w:t>
      </w:r>
      <w:r>
        <w:t xml:space="preserve"> (</w:t>
      </w:r>
      <w:r>
        <w:t>Murdock, 2011</w:t>
      </w:r>
      <w:r>
        <w:t>)</w:t>
      </w:r>
      <w:r>
        <w:t>. It generated fresh regulations for derivatives trading, particularly are seen as riskier financial transactions, and mandated that banks maintain more expansive amounts of capital. These measures have contributed to the banking system's stability and safety.</w:t>
      </w:r>
      <w:r>
        <w:t xml:space="preserve"> </w:t>
      </w:r>
      <w:r>
        <w:t>Basel III requiring higher percentages of liquidity and capital from financial institutions additionally strengthened the potential of these organizations to endure economic downturns</w:t>
      </w:r>
      <w:r>
        <w:t xml:space="preserve"> (</w:t>
      </w:r>
      <w:r>
        <w:t>King</w:t>
      </w:r>
      <w:r>
        <w:t xml:space="preserve"> </w:t>
      </w:r>
      <w:r>
        <w:t>and Tarbert, 2011</w:t>
      </w:r>
      <w:r>
        <w:t>)</w:t>
      </w:r>
      <w:r>
        <w:t xml:space="preserve">. Banks have been better prepared to withstand deficits in an economic downturn by being required to maintain higher capital, which decreases the probability of bank failure and makes them eligible </w:t>
      </w:r>
      <w:r>
        <w:t>for taxpayer-funded bailouts</w:t>
      </w:r>
      <w:r>
        <w:t xml:space="preserve"> (</w:t>
      </w:r>
      <w:r>
        <w:t>Tanaka</w:t>
      </w:r>
      <w:r>
        <w:t>m</w:t>
      </w:r>
      <w:r>
        <w:t xml:space="preserve"> </w:t>
      </w:r>
      <w:r>
        <w:t>Kinkyo</w:t>
      </w:r>
      <w:r>
        <w:t xml:space="preserve"> </w:t>
      </w:r>
      <w:r>
        <w:t xml:space="preserve">and </w:t>
      </w:r>
      <w:r>
        <w:t>Hamori</w:t>
      </w:r>
      <w:r>
        <w:t>, 2018</w:t>
      </w:r>
      <w:r>
        <w:t>)</w:t>
      </w:r>
      <w:r>
        <w:t>. By forbidding banks from participating in trading that is proprietary and restraining their investment activities in investment firms such as hedge funds and private equity, the Volcker Rule has also had an advantageous effect. As a result, banks are less likely to engage in hazardous activities and are less likely to take on unacceptable risks.</w:t>
      </w:r>
      <w:r>
        <w:t xml:space="preserve"> </w:t>
      </w:r>
      <w:r>
        <w:t>The length and intensity of the 2008 financial crisis, measures taken by governments aimed at stabilizing the financial system, modifications to investor behaviour, as well as shifts in perceptions of risk all had an impact on the pricing of financial assets. Financial markets had an enormous sell-off at the peak of the crisis, and multiple different kinds of assets experienced substantial value decreases</w:t>
      </w:r>
      <w:r>
        <w:t xml:space="preserve"> (</w:t>
      </w:r>
      <w:r>
        <w:t>Tanaka</w:t>
      </w:r>
      <w:r>
        <w:t>m</w:t>
      </w:r>
      <w:r>
        <w:t xml:space="preserve"> </w:t>
      </w:r>
      <w:r>
        <w:t>Kinkyo</w:t>
      </w:r>
      <w:r>
        <w:t xml:space="preserve"> </w:t>
      </w:r>
      <w:r>
        <w:t xml:space="preserve">and </w:t>
      </w:r>
      <w:r>
        <w:t>Hamori</w:t>
      </w:r>
      <w:r>
        <w:t>, 2018</w:t>
      </w:r>
      <w:r>
        <w:t>)</w:t>
      </w:r>
      <w:r>
        <w:t>. Investors expressed concern about the financial institutions' sustainability and the potential of a broader recession. As a result, there was a rush to quality in the financial markets as many investors rushed to safer investments like U.S. Treasury bonds.</w:t>
      </w:r>
      <w:r>
        <w:t xml:space="preserve"> </w:t>
      </w:r>
      <w:r>
        <w:t xml:space="preserve">The extent and length of the 2008 financial crisis, government efforts designed to stabilize the financial system, modifications to investor </w:t>
      </w:r>
      <w:r>
        <w:t>behaviou</w:t>
      </w:r>
      <w:r>
        <w:t>r, and shifts in perceptions of risk all had a direct effect on the pricing of financial assets</w:t>
      </w:r>
      <w:r>
        <w:t xml:space="preserve"> (</w:t>
      </w:r>
      <w:r>
        <w:t xml:space="preserve">Lo </w:t>
      </w:r>
      <w:r>
        <w:t>Duc</w:t>
      </w:r>
      <w:r>
        <w:t>a</w:t>
      </w:r>
      <w:r>
        <w:t xml:space="preserve"> and </w:t>
      </w:r>
      <w:r>
        <w:t>Peltonen</w:t>
      </w:r>
      <w:r>
        <w:t>, 2011</w:t>
      </w:r>
      <w:r>
        <w:t>)</w:t>
      </w:r>
      <w:r>
        <w:t>.</w:t>
      </w:r>
      <w:r>
        <w:t xml:space="preserve">  </w:t>
      </w:r>
      <w:r>
        <w:t>Asset prices began rising gradually over time as the crisis receded and the economy recovered. More specifically, the U.S. stock market has been increasing significantly since the crisis, resulting in major benchmarks like the S&amp;P 500 and the Dow Jones Industrial Average regularly setting record levels. Despite claims, not all asset classes are experiencing the same degree of recovery, and certain markets and industries are still having difficulties.</w:t>
      </w:r>
    </w:p>
    <w:bookmarkStart w:id="5" w:name="_Toc132112197"/>
    <w:p>
      <w:pPr>
        <w:pStyle w:val="style2"/>
        <w:rPr/>
      </w:pPr>
      <w:r>
        <w:t>2.3 Understanding of the pricing of financial assets, the role and application of finance theory and the operation of financial markets</w:t>
      </w:r>
      <w:bookmarkEnd w:id="5"/>
    </w:p>
    <w:p>
      <w:pPr>
        <w:pStyle w:val="style0"/>
        <w:rPr/>
      </w:pPr>
      <w:r>
        <w:t xml:space="preserve">A fundamental reconsideration of the purpose and implementation of finance theory was initiated by the financial crisis of 2008. Many economic models and theories before the crisis depended on the idea that financial markets were competitive and that investors displayed predictable behaviour. The crisis, however, revealed the shortcomings in these assumptions and resulted in a deeper comprehension of the practical implications of finance theory.  </w:t>
      </w:r>
      <w:r>
        <w:t xml:space="preserve">The significance of </w:t>
      </w:r>
      <w:r>
        <w:rPr>
          <w:b/>
          <w:bCs/>
          <w:i/>
          <w:iCs/>
        </w:rPr>
        <w:t>behavioural finance</w:t>
      </w:r>
      <w:r>
        <w:t>, which seeks to understand whether psychological prejudices and emotions may impact investor behaviour and market outcomes, has additionally grown more widely recognized as a consequence of the crisis</w:t>
      </w:r>
      <w:r>
        <w:t xml:space="preserve"> (</w:t>
      </w:r>
      <w:r>
        <w:t>Ángeles</w:t>
      </w:r>
      <w:r>
        <w:t xml:space="preserve"> López-</w:t>
      </w:r>
      <w:r>
        <w:t>Cabarcos</w:t>
      </w:r>
      <w:r>
        <w:t xml:space="preserve"> </w:t>
      </w:r>
      <w:r>
        <w:rPr>
          <w:i/>
          <w:iCs/>
        </w:rPr>
        <w:t>et al</w:t>
      </w:r>
      <w:r>
        <w:t>.</w:t>
      </w:r>
      <w:r>
        <w:t>, 2020).</w:t>
      </w:r>
      <w:r>
        <w:t xml:space="preserve"> During the crisis, numerous investors made unreasonable actions, selling off assets in enormous quantities and enabling the downturn to become more severe. These actions are explained by </w:t>
      </w:r>
      <w:r>
        <w:rPr>
          <w:b/>
          <w:bCs/>
          <w:i/>
          <w:iCs/>
        </w:rPr>
        <w:t xml:space="preserve">behavioural </w:t>
      </w:r>
      <w:r>
        <w:rPr>
          <w:b/>
          <w:bCs/>
          <w:i/>
          <w:iCs/>
        </w:rPr>
        <w:t>finance theories</w:t>
      </w:r>
      <w:r>
        <w:t>, which also offer recommendations regarding how to manage to minimize these risks.</w:t>
      </w:r>
    </w:p>
    <w:p>
      <w:pPr>
        <w:pStyle w:val="style0"/>
        <w:keepNext/>
        <w:jc w:val="center"/>
        <w:rPr/>
      </w:pPr>
      <w:r>
        <w:rPr>
          <w:noProof/>
        </w:rPr>
        <w:drawing>
          <wp:inline distL="0" distT="0" distB="0" distR="0">
            <wp:extent cx="5943600" cy="3340100"/>
            <wp:effectExtent l="0" t="0" r="0" b="0"/>
            <wp:docPr id="1027" name="Picture 1" descr="Behavioral Finance - Definition, Theory, Biases and Exampl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srcRect l="0" t="0" r="0" b="0"/>
                    <a:stretch/>
                  </pic:blipFill>
                  <pic:spPr>
                    <a:xfrm rot="0">
                      <a:off x="0" y="0"/>
                      <a:ext cx="5943600" cy="3340100"/>
                    </a:xfrm>
                    <a:prstGeom prst="rect"/>
                    <a:ln>
                      <a:noFill/>
                    </a:ln>
                  </pic:spPr>
                </pic:pic>
              </a:graphicData>
            </a:graphic>
          </wp:inline>
        </w:drawing>
      </w:r>
    </w:p>
    <w:p>
      <w:pPr>
        <w:pStyle w:val="style34"/>
        <w:rPr/>
      </w:pPr>
      <w:r>
        <w:t xml:space="preserve">Figure </w:t>
      </w:r>
      <w:r>
        <w:rPr/>
        <w:fldChar w:fldCharType="begin"/>
      </w:r>
      <w:r>
        <w:instrText xml:space="preserve"> SEQ Figure \* ARABIC </w:instrText>
      </w:r>
      <w:r>
        <w:rPr/>
        <w:fldChar w:fldCharType="separate"/>
      </w:r>
      <w:r>
        <w:rPr>
          <w:noProof/>
        </w:rPr>
        <w:t>2</w:t>
      </w:r>
      <w:r>
        <w:rPr/>
        <w:fldChar w:fldCharType="end"/>
      </w:r>
      <w:r>
        <w:t>: Behaviour Finance Theory</w:t>
      </w:r>
    </w:p>
    <w:p>
      <w:pPr>
        <w:pStyle w:val="style0"/>
        <w:jc w:val="center"/>
        <w:rPr/>
      </w:pPr>
      <w:r>
        <w:t>(Source: Team, 2022)</w:t>
      </w:r>
    </w:p>
    <w:p>
      <w:pPr>
        <w:pStyle w:val="style0"/>
        <w:rPr/>
      </w:pPr>
      <w:r>
        <w:t>The financial crisis of 2008 highlighted a wide range of vulnerabilities in the financial system, such as the potential for systemic vulnerabilities, an absence of disclosure in some financial markets, and the dependence on intricate and obscure financial instruments.</w:t>
      </w:r>
      <w:r>
        <w:t xml:space="preserve"> In order to enhance the safety and stability of financial markets in action, regulators and governments from all over the globe have put into effect an assortment of laws and regulations.  This includes measures to tighten bank liquidity as well as capital requirements, improve risk management processes, and improve regulatory control over the markets for financial goods (</w:t>
      </w:r>
      <w:r>
        <w:t>Frankel</w:t>
      </w:r>
      <w:r>
        <w:t xml:space="preserve"> </w:t>
      </w:r>
      <w:r>
        <w:t xml:space="preserve">and </w:t>
      </w:r>
      <w:r>
        <w:t>Saravelos</w:t>
      </w:r>
      <w:r>
        <w:t>, 2012</w:t>
      </w:r>
      <w:r>
        <w:t xml:space="preserve">). The crisis made clear the significance of greater transparency in financial markets. Disclosure and reporting regarding monetary exposures and risks have thus been enhanced, especially in conjunction with complicated financial products. The possibility of systemic vulnerabilities emerging from highly interconnected financial systems and markets was made clear by the financial crisis of 2008. In order to accomplish this, initiatives have been made to boost systemic </w:t>
      </w:r>
      <w:r>
        <w:t>risk surveillance and management, notably the establishment of new regulatory organizations that oversight systemic risk and the establishment of frameworks for stress assessment (</w:t>
      </w:r>
      <w:r>
        <w:t>Aikman</w:t>
      </w:r>
      <w:r>
        <w:t xml:space="preserve"> </w:t>
      </w:r>
      <w:r>
        <w:rPr>
          <w:i/>
          <w:iCs/>
        </w:rPr>
        <w:t>et al</w:t>
      </w:r>
      <w:r>
        <w:t>., 2017). Additionally, the economic downturn highlighted vulnerabilities in the systems that allow for financial markets, especially within the domains of settlements and payments. Administrations and governments have implemented measures designed to enhance the efficiency as well as the safety of these systems, notably through establishing new settlement and clearance platforms.</w:t>
      </w:r>
    </w:p>
    <w:p>
      <w:pPr>
        <w:pStyle w:val="style2"/>
        <w:rPr/>
      </w:pPr>
      <w:r>
        <w:t xml:space="preserve"> </w:t>
      </w:r>
      <w:bookmarkStart w:id="6" w:name="_Toc132112198"/>
      <w:r>
        <w:t>2.4 Bank performance criteria and valuation methods</w:t>
      </w:r>
      <w:bookmarkEnd w:id="6"/>
    </w:p>
    <w:p>
      <w:pPr>
        <w:pStyle w:val="style0"/>
        <w:rPr/>
      </w:pPr>
      <w:r>
        <w:t xml:space="preserve">Key ideas in </w:t>
      </w:r>
      <w:r>
        <w:t xml:space="preserve">Bank Performance Criteria </w:t>
      </w:r>
      <w:r>
        <w:t>consist of valuation and bank performance requirements. In order to assess the financial health and profitability of banks, numerous performance metrics are utilised.</w:t>
      </w:r>
    </w:p>
    <w:p>
      <w:pPr>
        <w:pStyle w:val="style0"/>
        <w:rPr/>
      </w:pPr>
      <w:r>
        <w:rPr>
          <w:b/>
          <w:bCs/>
          <w:i/>
          <w:iCs/>
        </w:rPr>
        <w:t xml:space="preserve">Profitability: </w:t>
      </w:r>
      <w:r>
        <w:rPr>
          <w:b/>
          <w:bCs/>
          <w:i/>
          <w:iCs/>
        </w:rPr>
        <w:t xml:space="preserve"> </w:t>
      </w:r>
      <w:r>
        <w:t>For banks, profitability is an important performance metric. It assesses the level to which a bank can turn a profit from one of its primary areas of operation. The net interest margin, return on assets, return on equity, and other ratios of profitability are used to evaluate banks</w:t>
      </w:r>
      <w:r>
        <w:t xml:space="preserve"> (</w:t>
      </w:r>
      <w:r>
        <w:t>Phan</w:t>
      </w:r>
      <w:r>
        <w:t xml:space="preserve"> </w:t>
      </w:r>
      <w:r>
        <w:rPr>
          <w:i/>
          <w:iCs/>
        </w:rPr>
        <w:t>et al</w:t>
      </w:r>
      <w:r>
        <w:t>.</w:t>
      </w:r>
      <w:r>
        <w:t>, 2020).</w:t>
      </w:r>
    </w:p>
    <w:p>
      <w:pPr>
        <w:pStyle w:val="style0"/>
        <w:rPr/>
      </w:pPr>
      <w:r>
        <w:rPr>
          <w:b/>
          <w:bCs/>
          <w:i/>
          <w:iCs/>
        </w:rPr>
        <w:t>Liquidity:</w:t>
      </w:r>
      <w:r>
        <w:rPr>
          <w:b/>
          <w:bCs/>
          <w:i/>
          <w:iCs/>
        </w:rPr>
        <w:t xml:space="preserve">  </w:t>
      </w:r>
      <w:r>
        <w:t xml:space="preserve">The volume of a financial institution to accomplish its contractual obligations as soon </w:t>
      </w:r>
      <w:r>
        <w:t xml:space="preserve">as possible </w:t>
      </w:r>
      <w:r>
        <w:t>can be determined by</w:t>
      </w:r>
      <w:r>
        <w:t xml:space="preserve"> </w:t>
      </w:r>
      <w:r>
        <w:t>liquidity. Liquidity ratios, such as the cash reserve ratio,</w:t>
      </w:r>
      <w:r>
        <w:t xml:space="preserve"> </w:t>
      </w:r>
      <w:r>
        <w:t xml:space="preserve">loan-to-deposit ratio and other solvency metrics, </w:t>
      </w:r>
      <w:r>
        <w:t>are taken into account while assessing bank valuation (</w:t>
      </w:r>
      <w:r>
        <w:t>Phan</w:t>
      </w:r>
      <w:r>
        <w:t xml:space="preserve"> </w:t>
      </w:r>
      <w:r>
        <w:rPr>
          <w:i/>
          <w:iCs/>
        </w:rPr>
        <w:t>et al</w:t>
      </w:r>
      <w:r>
        <w:t>.</w:t>
      </w:r>
      <w:r>
        <w:t>, 2020)</w:t>
      </w:r>
      <w:r>
        <w:t>.</w:t>
      </w:r>
    </w:p>
    <w:p>
      <w:pPr>
        <w:pStyle w:val="style0"/>
        <w:rPr/>
      </w:pPr>
      <w:r>
        <w:rPr>
          <w:b/>
          <w:bCs/>
          <w:i/>
          <w:iCs/>
        </w:rPr>
        <w:t xml:space="preserve">Capital adequacy: </w:t>
      </w:r>
      <w:r>
        <w:t xml:space="preserve">A bank's capability </w:t>
      </w:r>
      <w:r>
        <w:t xml:space="preserve">to detect </w:t>
      </w:r>
      <w:r>
        <w:t xml:space="preserve">deficit </w:t>
      </w:r>
      <w:r>
        <w:t xml:space="preserve"> and</w:t>
      </w:r>
      <w:r>
        <w:t xml:space="preserve"> maintaining </w:t>
      </w:r>
      <w:r>
        <w:t xml:space="preserve"> its </w:t>
      </w:r>
      <w:r>
        <w:t xml:space="preserve"> intact </w:t>
      </w:r>
      <w:r>
        <w:t xml:space="preserve">solvency can be </w:t>
      </w:r>
      <w:r>
        <w:t xml:space="preserve"> assessed by making use of </w:t>
      </w:r>
      <w:r>
        <w:t>capital inadequacy. The Tier 1 and Tier 2 capital ratios, as well as other capital sufficiency ratios, are utilized for assessing banks</w:t>
      </w:r>
      <w:r>
        <w:t xml:space="preserve"> (Moro</w:t>
      </w:r>
      <w:r>
        <w:t>-Visconti</w:t>
      </w:r>
      <w:r>
        <w:t xml:space="preserve"> </w:t>
      </w:r>
      <w:r>
        <w:rPr>
          <w:i/>
          <w:iCs/>
        </w:rPr>
        <w:t>et al</w:t>
      </w:r>
      <w:r>
        <w:t>.</w:t>
      </w:r>
      <w:r>
        <w:t>, 2021).</w:t>
      </w:r>
    </w:p>
    <w:p>
      <w:pPr>
        <w:pStyle w:val="style0"/>
        <w:rPr/>
      </w:pPr>
      <w:r>
        <w:rPr>
          <w:b/>
          <w:bCs/>
          <w:i/>
          <w:iCs/>
        </w:rPr>
        <w:t xml:space="preserve">Asset quality: </w:t>
      </w:r>
      <w:r>
        <w:rPr>
          <w:b/>
          <w:bCs/>
          <w:i/>
          <w:iCs/>
        </w:rPr>
        <w:t xml:space="preserve"> </w:t>
      </w:r>
      <w:r>
        <w:t xml:space="preserve">Another crucial aspect of performance for banks is the condition of assets. It assesses the quality of a bank's assets, including the probability of generating income and the level of risk connected with them. Loan loss reserves, nonperforming loan (NPL) ratios, and other quality of </w:t>
      </w:r>
      <w:r>
        <w:t>assets</w:t>
      </w:r>
      <w:r>
        <w:t xml:space="preserve"> measures are used to assess banks</w:t>
      </w:r>
      <w:r>
        <w:t xml:space="preserve"> (Moro</w:t>
      </w:r>
      <w:r>
        <w:t>-Visconti</w:t>
      </w:r>
      <w:r>
        <w:t xml:space="preserve"> </w:t>
      </w:r>
      <w:r>
        <w:rPr>
          <w:i/>
          <w:iCs/>
        </w:rPr>
        <w:t>et al</w:t>
      </w:r>
      <w:r>
        <w:t>.</w:t>
      </w:r>
      <w:r>
        <w:t>, 2021)</w:t>
      </w:r>
      <w:r>
        <w:t>.</w:t>
      </w:r>
    </w:p>
    <w:bookmarkStart w:id="7" w:name="_Toc132112199"/>
    <w:p>
      <w:pPr>
        <w:pStyle w:val="style2"/>
        <w:rPr/>
      </w:pPr>
      <w:r>
        <w:t>2.5 Understanding of contemporary issues in bank management</w:t>
      </w:r>
      <w:bookmarkEnd w:id="7"/>
    </w:p>
    <w:p>
      <w:pPr>
        <w:pStyle w:val="style0"/>
        <w:rPr/>
      </w:pPr>
      <w:r>
        <w:t>Despite all the measures, banks are specifically facing some issues which may trigger yet another crisis if not addressed:</w:t>
      </w:r>
    </w:p>
    <w:p>
      <w:pPr>
        <w:pStyle w:val="style0"/>
        <w:rPr/>
      </w:pPr>
      <w:r>
        <w:rPr>
          <w:b/>
          <w:bCs/>
        </w:rPr>
        <w:t>Digital Transformation:</w:t>
      </w:r>
      <w:r>
        <w:t xml:space="preserve">   </w:t>
      </w:r>
      <w:r>
        <w:t>As client demands change, banks are under greater pressure to adapt and implement new technologies. To stay competitive, it is necessary to spend money on digital services like mobile banking and lending platforms</w:t>
      </w:r>
      <w:r>
        <w:t xml:space="preserve"> (</w:t>
      </w:r>
      <w:r>
        <w:t>Nizam,</w:t>
      </w:r>
      <w:r>
        <w:t xml:space="preserve"> </w:t>
      </w:r>
      <w:r>
        <w:rPr>
          <w:i/>
          <w:iCs/>
        </w:rPr>
        <w:t>et al</w:t>
      </w:r>
      <w:r>
        <w:t>.</w:t>
      </w:r>
      <w:r>
        <w:t>, 2019).</w:t>
      </w:r>
    </w:p>
    <w:p>
      <w:pPr>
        <w:pStyle w:val="style0"/>
        <w:rPr/>
      </w:pPr>
      <w:r>
        <w:rPr>
          <w:b/>
          <w:bCs/>
        </w:rPr>
        <w:t>Regulatory:</w:t>
      </w:r>
      <w:r>
        <w:t xml:space="preserve"> </w:t>
      </w:r>
      <w:r>
        <w:t>Compliance</w:t>
      </w:r>
      <w:r>
        <w:t xml:space="preserve"> </w:t>
      </w:r>
      <w:r>
        <w:t>Regulations and compliance standards are becoming more stringent for banks. These regulations are meant to safeguard the stability and safety of the banking system, deter financial crime, and safeguard the best interests of consumers</w:t>
      </w:r>
      <w:r>
        <w:t xml:space="preserve"> (</w:t>
      </w:r>
      <w:r>
        <w:t>Buallay</w:t>
      </w:r>
      <w:r>
        <w:t>, and Al-</w:t>
      </w:r>
      <w:r>
        <w:t>Ajmi</w:t>
      </w:r>
      <w:r>
        <w:t>, 2020</w:t>
      </w:r>
      <w:r>
        <w:t>)</w:t>
      </w:r>
      <w:r>
        <w:t>.</w:t>
      </w:r>
    </w:p>
    <w:p>
      <w:pPr>
        <w:pStyle w:val="style0"/>
        <w:rPr/>
      </w:pPr>
      <w:r>
        <w:rPr>
          <w:b/>
          <w:bCs/>
        </w:rPr>
        <w:t>Cybersecurity:</w:t>
      </w:r>
      <w:r>
        <w:t xml:space="preserve"> </w:t>
      </w:r>
      <w:r>
        <w:t>Cyberattacks, which may cause significant financial losses and damage to reputation, are becoming more and more likely to target banks. Therefore, to safeguard their systems and consumer information, banks must make significant expenditures in cybersecurity.</w:t>
      </w:r>
    </w:p>
    <w:bookmarkStart w:id="8" w:name="_Toc132112200"/>
    <w:p>
      <w:pPr>
        <w:pStyle w:val="style1"/>
        <w:rPr/>
      </w:pPr>
      <w:r>
        <w:t>3</w:t>
      </w:r>
      <w:r>
        <w:t>. Research Methodology</w:t>
      </w:r>
      <w:bookmarkEnd w:id="8"/>
    </w:p>
    <w:bookmarkStart w:id="9" w:name="_Toc132112201"/>
    <w:p>
      <w:pPr>
        <w:pStyle w:val="style2"/>
        <w:rPr/>
      </w:pPr>
      <w:r>
        <w:t xml:space="preserve">3.1 Research </w:t>
      </w:r>
      <w:r>
        <w:t>Design and Methodology</w:t>
      </w:r>
      <w:bookmarkEnd w:id="9"/>
      <w:r>
        <w:t xml:space="preserve"> </w:t>
      </w:r>
    </w:p>
    <w:p>
      <w:pPr>
        <w:pStyle w:val="style0"/>
        <w:rPr/>
      </w:pPr>
      <w:r>
        <w:t xml:space="preserve">A research study and fundamental strategy of combining its various components logically and coherently are commonly referred to as Research Design. It establishes the issues that need to be examined, collectively with the speculation, approaches for gathering data, and approaches for analysis. To understand the impact of the financial crisis on British Airways which resulted in the loss of jobs and revenue, the research will make use of the </w:t>
      </w:r>
      <w:r>
        <w:rPr>
          <w:b/>
          <w:bCs/>
          <w:i/>
          <w:iCs/>
        </w:rPr>
        <w:t>Case Study Design</w:t>
      </w:r>
      <w:r>
        <w:t xml:space="preserve">. </w:t>
      </w:r>
      <w:r>
        <w:t>The detailed analysis of a single case or a relatively small number of cases is part of the aforementioned idea. The design involves collecting comprehensive data on particular case</w:t>
      </w:r>
      <w:r>
        <w:t xml:space="preserve">s </w:t>
      </w:r>
      <w:r>
        <w:t>and evaluating the data to make assumptions</w:t>
      </w:r>
      <w:r>
        <w:t xml:space="preserve"> (</w:t>
      </w:r>
      <w:r>
        <w:t xml:space="preserve">Hancock, </w:t>
      </w:r>
      <w:r>
        <w:t>Algozzine</w:t>
      </w:r>
      <w:r>
        <w:t xml:space="preserve"> </w:t>
      </w:r>
      <w:r>
        <w:t>and Lim, 2021</w:t>
      </w:r>
      <w:r>
        <w:t>)</w:t>
      </w:r>
      <w:r>
        <w:t>.</w:t>
      </w:r>
      <w:r>
        <w:t xml:space="preserve">  The methodology assumed for studying the impact on British Airways will involve studying the large number of case studies that have been dedicated to job cuts and losses in the airline industry. Then it will focus particularly on British Airways and its operational efficiencies examining the factors that made them decide between cutting the jobs amidst the financial crisis in the year 2008. The case studies will be dedicated particularly to the reports on British Airways which will also include its Annual Revenue reports that will give the researcher detailed ideas about the impact on the finances and gaps in the operations. The additional information will be collected for comparative analysis taken on the overall impact on the airline industry forcing the downsizing in the UK as well as in other countries due to the financial crisis.  The identification of such a design will be possible by following the appropriate research philosophy and approach. The research will thus make use of the </w:t>
      </w:r>
      <w:r>
        <w:rPr>
          <w:b/>
          <w:bCs/>
          <w:i/>
          <w:iCs/>
        </w:rPr>
        <w:t>Interpretivism Philosophy</w:t>
      </w:r>
      <w:r>
        <w:rPr>
          <w:b/>
          <w:bCs/>
          <w:i/>
          <w:iCs/>
        </w:rPr>
        <w:t xml:space="preserve"> </w:t>
      </w:r>
      <w:r>
        <w:t>(</w:t>
      </w:r>
      <w:r>
        <w:t>Alharahsheh</w:t>
      </w:r>
      <w:r>
        <w:t xml:space="preserve"> </w:t>
      </w:r>
      <w:r>
        <w:t>and Pius, 2020</w:t>
      </w:r>
      <w:r>
        <w:t xml:space="preserve">). </w:t>
      </w:r>
      <w:r>
        <w:t xml:space="preserve">Employee interviews may be conducted </w:t>
      </w:r>
      <w:r>
        <w:t xml:space="preserve">by </w:t>
      </w:r>
      <w:r>
        <w:t xml:space="preserve">the </w:t>
      </w:r>
      <w:r>
        <w:t>interpretive researcher to gain insight into how they view organisational culture</w:t>
      </w:r>
      <w:r>
        <w:t xml:space="preserve"> and the issue that led to the downsizing. </w:t>
      </w:r>
      <w:r>
        <w:t>In order to comprehend the power dynamics and social interactions at work, the researcher may also study the environment.</w:t>
      </w:r>
      <w:r>
        <w:t xml:space="preserve"> </w:t>
      </w:r>
      <w:r>
        <w:rPr>
          <w:b/>
          <w:bCs/>
          <w:i/>
          <w:iCs/>
        </w:rPr>
        <w:t>Abductive Research Approach</w:t>
      </w:r>
      <w:r>
        <w:t xml:space="preserve"> will be used in this research as part of the research methodology.  </w:t>
      </w:r>
      <w:r>
        <w:t>It will concentrate on developing rational explanations for events that are observed</w:t>
      </w:r>
      <w:r>
        <w:t xml:space="preserve"> (</w:t>
      </w:r>
      <w:r>
        <w:t>Janiszewski</w:t>
      </w:r>
      <w:r>
        <w:t xml:space="preserve"> </w:t>
      </w:r>
      <w:r>
        <w:t xml:space="preserve">and van </w:t>
      </w:r>
      <w:r>
        <w:t>Osselaer</w:t>
      </w:r>
      <w:r>
        <w:t>, 2022</w:t>
      </w:r>
      <w:r>
        <w:t>)</w:t>
      </w:r>
      <w:r>
        <w:t>. It is the combination of the inductive and deductive methods of research. Abductive research starts with an array of data or information and then researchers construct a theory or hypothesis that justifies those findings.</w:t>
      </w:r>
    </w:p>
    <w:bookmarkStart w:id="10" w:name="_Toc132112202"/>
    <w:p>
      <w:pPr>
        <w:pStyle w:val="style2"/>
        <w:rPr/>
      </w:pPr>
      <w:r>
        <w:t xml:space="preserve">3.2 </w:t>
      </w:r>
      <w:r>
        <w:t>Identification of the publicly listed company</w:t>
      </w:r>
      <w:r>
        <w:t xml:space="preserve">, </w:t>
      </w:r>
      <w:r>
        <w:t>British Airways</w:t>
      </w:r>
      <w:bookmarkEnd w:id="10"/>
    </w:p>
    <w:p>
      <w:pPr>
        <w:pStyle w:val="style0"/>
        <w:rPr/>
      </w:pPr>
      <w:r>
        <w:t>British Airways have been chosen as the publicly listed company to understand the impact of the financial crisis of 2008. British Airways is the primary flag carrier in the United Kingdom. Its headquarters is located at London Heathrow Airport. British Airways is one of the world’s largest airlines with more than 280 fleets of aircraft and serving more than 200 destinations globally (About BA | British Airways, 2023). The high reach and its impact on the airline industry through its strong chain of network is the primary reason why British Airways have been chosen as the primary publicly listed company for conducting the research on impact of the 2008 financial crisis. In 2008, BA announced a downsizing of 1400 particularly in the field of management and operations a part of the cost-cutting strategy during the financial (</w:t>
      </w:r>
      <w:r>
        <w:t>Kassem</w:t>
      </w:r>
      <w:r>
        <w:t xml:space="preserve"> </w:t>
      </w:r>
      <w:r>
        <w:rPr>
          <w:i/>
          <w:iCs/>
        </w:rPr>
        <w:t>et al</w:t>
      </w:r>
      <w:r>
        <w:t>.</w:t>
      </w:r>
      <w:r>
        <w:t xml:space="preserve">, 2023). </w:t>
      </w:r>
      <w:r>
        <w:t>The airline announced a year later that it will be cutting another 3,700 positions, including those for ground staff and flight attendants, in a bid to decrease expenses by £220 million ($287 million)</w:t>
      </w:r>
      <w:r>
        <w:t xml:space="preserve"> (</w:t>
      </w:r>
      <w:r>
        <w:t>Kassem</w:t>
      </w:r>
      <w:r>
        <w:t xml:space="preserve"> </w:t>
      </w:r>
      <w:r>
        <w:rPr>
          <w:i/>
          <w:iCs/>
        </w:rPr>
        <w:t>et al</w:t>
      </w:r>
      <w:r>
        <w:t>.</w:t>
      </w:r>
      <w:r>
        <w:t>, 2023).</w:t>
      </w:r>
      <w:r>
        <w:t xml:space="preserve"> The 2008 financial crisis had an enormous effect on British Airways (BA), as it lowered demand for air travel and increased fuel prices. The airline retaliated by carrying out an array of measures to reduce expenses, including staff reductions. Following the financial meltdown of 2008, BA suffered layoffs that were part of an overall pattern in the airline industry as businesses looked for strategies to reduce expenditures in the face of a volatile economy and increased competitors.</w:t>
      </w:r>
    </w:p>
    <w:p>
      <w:pPr>
        <w:pStyle w:val="style0"/>
        <w:keepNext/>
        <w:jc w:val="center"/>
        <w:rPr/>
      </w:pPr>
      <w:r>
        <w:rPr>
          <w:noProof/>
        </w:rPr>
        <w:drawing>
          <wp:inline distL="0" distT="0" distB="0" distR="0">
            <wp:extent cx="5943600" cy="3566160"/>
            <wp:effectExtent l="0" t="0" r="0" b="0"/>
            <wp:docPr id="1028" name="Picture 3" descr="British Airways' 12,000 Redundancies Mean Fewer Staff Than In The 1980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5" cstate="print"/>
                    <a:srcRect l="0" t="0" r="0" b="0"/>
                    <a:stretch/>
                  </pic:blipFill>
                  <pic:spPr>
                    <a:xfrm rot="0">
                      <a:off x="0" y="0"/>
                      <a:ext cx="5943600" cy="3566160"/>
                    </a:xfrm>
                    <a:prstGeom prst="rect"/>
                    <a:ln>
                      <a:noFill/>
                    </a:ln>
                  </pic:spPr>
                </pic:pic>
              </a:graphicData>
            </a:graphic>
          </wp:inline>
        </w:drawing>
      </w:r>
    </w:p>
    <w:p>
      <w:pPr>
        <w:pStyle w:val="style34"/>
        <w:rPr/>
      </w:pPr>
      <w:r>
        <w:t xml:space="preserve">Figure </w:t>
      </w:r>
      <w:r>
        <w:rPr/>
        <w:fldChar w:fldCharType="begin"/>
      </w:r>
      <w:r>
        <w:instrText xml:space="preserve"> SEQ Figure \* ARABIC </w:instrText>
      </w:r>
      <w:r>
        <w:rPr/>
        <w:fldChar w:fldCharType="separate"/>
      </w:r>
      <w:r>
        <w:rPr>
          <w:noProof/>
        </w:rPr>
        <w:t>3</w:t>
      </w:r>
      <w:r>
        <w:rPr/>
        <w:fldChar w:fldCharType="end"/>
      </w:r>
      <w:r>
        <w:t>: Downsizing in British Airways</w:t>
      </w:r>
    </w:p>
    <w:p>
      <w:pPr>
        <w:pStyle w:val="style0"/>
        <w:jc w:val="center"/>
        <w:rPr/>
      </w:pPr>
      <w:r>
        <w:t>(Source: Horton, 2021)</w:t>
      </w:r>
    </w:p>
    <w:bookmarkStart w:id="11" w:name="_Toc132112203"/>
    <w:p>
      <w:pPr>
        <w:pStyle w:val="style2"/>
        <w:rPr/>
      </w:pPr>
      <w:r>
        <w:t>3.3 Data Sources and collection method</w:t>
      </w:r>
      <w:bookmarkEnd w:id="11"/>
      <w:r>
        <w:t xml:space="preserve"> </w:t>
      </w:r>
    </w:p>
    <w:p>
      <w:pPr>
        <w:pStyle w:val="style0"/>
        <w:rPr/>
      </w:pPr>
      <w:r>
        <w:t xml:space="preserve">The research has been conducted by makings use of </w:t>
      </w:r>
      <w:r>
        <w:rPr>
          <w:b/>
          <w:bCs/>
          <w:i/>
          <w:iCs/>
        </w:rPr>
        <w:t>Secondary</w:t>
      </w:r>
      <w:r>
        <w:rPr>
          <w:b/>
          <w:bCs/>
          <w:i/>
          <w:iCs/>
        </w:rPr>
        <w:t xml:space="preserve"> Data Sources</w:t>
      </w:r>
      <w:r>
        <w:t xml:space="preserve"> for understanding the impact of the 2008 financial recession on British Airways reducing the job size and initiating cost-cutting measures, several sources of information have been taken into account (IAG – International Airlines Group, 2023). The financial reports published by the company (IAG – International Airlines Group, 2023) as well as the financial regulatory bodies such as Civil Aviation Authority (2023) are used to understand the dip in the economy and the impact of the increase in the fuel price and reduced demand for the airline's tucket in initiating the tough measures like downsizing, it will study the pattern by comparing the world economy and crisis while maintaining the stance of the impact that solely focuses on British Airways. It will also make sure of the number of peer-reviewed academic journals, newspaper articles and conference papers to create discussion around the causes that triggered such measures while examining the long-term financial impacts that the company can suffer due to downsizing. </w:t>
      </w:r>
    </w:p>
    <w:bookmarkStart w:id="12" w:name="_Toc132112204"/>
    <w:p>
      <w:pPr>
        <w:pStyle w:val="style1"/>
        <w:rPr/>
      </w:pPr>
      <w:r>
        <w:t xml:space="preserve">5. </w:t>
      </w:r>
      <w:r>
        <w:t>Discussion of the key findings</w:t>
      </w:r>
      <w:bookmarkEnd w:id="12"/>
      <w:r>
        <w:t xml:space="preserve"> </w:t>
      </w:r>
    </w:p>
    <w:p>
      <w:pPr>
        <w:pStyle w:val="style0"/>
        <w:rPr/>
      </w:pPr>
      <w:r>
        <w:t xml:space="preserve">The research examines the impact of post-2008 financial crisis reforms on British Airways' business model, as well as the amount of compliance or non-compliance with these reforms. The study's findings indicate that regulatory reforms have had a substantial impact on the airline industry in general, and British Airways in particular. According to </w:t>
      </w:r>
      <w:r>
        <w:t xml:space="preserve">Balmer </w:t>
      </w:r>
      <w:r>
        <w:rPr>
          <w:i/>
          <w:iCs/>
        </w:rPr>
        <w:t>et al.</w:t>
      </w:r>
      <w:r>
        <w:t xml:space="preserve"> (2009),</w:t>
      </w:r>
      <w:r>
        <w:t xml:space="preserve"> these measures had both positive and detrimental impact on British Airlines. However, the airline has improved its financial stability and decreased its exposure to financial risks. British Airlines' financial records which indicated that the net profit margin has increased from 1.1% in 2008 to 9.2% in 2019</w:t>
      </w:r>
      <w:r>
        <w:t xml:space="preserve"> (</w:t>
      </w:r>
      <w:r>
        <w:t>Santana</w:t>
      </w:r>
      <w:r>
        <w:t xml:space="preserve"> </w:t>
      </w:r>
      <w:r>
        <w:rPr>
          <w:i/>
          <w:iCs/>
        </w:rPr>
        <w:t>et al.,</w:t>
      </w:r>
      <w:r>
        <w:t xml:space="preserve"> 2019)</w:t>
      </w:r>
      <w:r>
        <w:t xml:space="preserve">. The study also examines the impact of regulatory improvements on British Airlines' adherence to these standards. The research indicates that British Airways have been compliant with these standards, with the airline satisfying the regulators' capital and liquidity criteria. According to </w:t>
      </w:r>
      <w:r>
        <w:t>The Telegraph (2008)</w:t>
      </w:r>
      <w:r>
        <w:t>, British Airlines has had to considerably downsize its workforce in order to reduce expenses and increase profitability.</w:t>
      </w:r>
      <w:r>
        <w:t xml:space="preserve"> </w:t>
      </w:r>
      <w:r>
        <w:t>British Airways has also reduced its debt-to-equity ratio from 5.7 in 2008 to 1.2 in 2019 which showcases the post-crisis regulatory measures improved financial stability and risk management in the airline industry.</w:t>
      </w:r>
      <w:r>
        <w:t xml:space="preserve"> </w:t>
      </w:r>
      <w:r>
        <w:t>The airline's employee strength has dropped from 43,494 in 2008 to 42,571 in 2019 and the reduction of the workforce has led to lower employee morale and productivity due to the increased workload</w:t>
      </w:r>
      <w:r>
        <w:t xml:space="preserve"> (</w:t>
      </w:r>
      <w:r>
        <w:t>Vassilopoulou</w:t>
      </w:r>
      <w:r>
        <w:t xml:space="preserve"> </w:t>
      </w:r>
      <w:r>
        <w:rPr>
          <w:i/>
          <w:iCs/>
        </w:rPr>
        <w:t>et al.,</w:t>
      </w:r>
      <w:r>
        <w:t xml:space="preserve"> 2019)</w:t>
      </w:r>
      <w:r>
        <w:t>. Unfortunately, regulatory changes have had an adverse effect on British Airlines as it was forced to comply with the rules and regulations, including tougher capital requirements, liquidity requirements, and stress tests. These laws have increased the airline's compliance expenses, affecting its profitability. British Airlines' operating margin has fallen from 11.6% in 2008 to 8.7% in 2019</w:t>
      </w:r>
      <w:r>
        <w:t xml:space="preserve"> (</w:t>
      </w:r>
      <w:r>
        <w:t>Santana</w:t>
      </w:r>
      <w:r>
        <w:t xml:space="preserve"> </w:t>
      </w:r>
      <w:r>
        <w:rPr>
          <w:i/>
          <w:iCs/>
        </w:rPr>
        <w:t>et al.,</w:t>
      </w:r>
      <w:r>
        <w:t xml:space="preserve"> 2019)</w:t>
      </w:r>
      <w:r>
        <w:t>. Furthermore, in order to minimise expenses, the airline has had to downsize its personnel, resulting in a drop in employee morale and productivity.</w:t>
      </w:r>
    </w:p>
    <w:p>
      <w:pPr>
        <w:pStyle w:val="style0"/>
        <w:rPr/>
      </w:pPr>
      <w:r>
        <w:t xml:space="preserve">According to </w:t>
      </w:r>
      <w:r>
        <w:t>Arner</w:t>
      </w:r>
      <w:r>
        <w:t xml:space="preserve"> and Taylor (2009)</w:t>
      </w:r>
      <w:r>
        <w:t>, additional regulatory requirements, such as higher capital and liquidity requirements, might limit the availability of funding for businesses, including airlines, and result in higher borrowing costs. This is consistent with the earlier critical analysis, which identified the issues of reduced lending capacity and greater borrowing costs as probable consequences of regulatory reforms for British Airlines.</w:t>
      </w:r>
      <w:r>
        <w:t xml:space="preserve"> </w:t>
      </w:r>
      <w:r>
        <w:t>Moshirian</w:t>
      </w:r>
      <w:r>
        <w:t xml:space="preserve"> (2011),</w:t>
      </w:r>
      <w:r>
        <w:t xml:space="preserve"> </w:t>
      </w:r>
      <w:r>
        <w:t>has noted that c</w:t>
      </w:r>
      <w:r>
        <w:t>omplying with difficult and expensive regulatory requirements may impose additional financial constraints on businesses, thereby affecting their financial condition. British Airways</w:t>
      </w:r>
      <w:r>
        <w:t xml:space="preserve"> </w:t>
      </w:r>
      <w:r>
        <w:t xml:space="preserve">have </w:t>
      </w:r>
      <w:r>
        <w:t>suffered compliance costs as a result of reform implementation, such as higher reporting and disclosure obligations, risk management measures, and governance changes</w:t>
      </w:r>
      <w:r>
        <w:t xml:space="preserve"> (Palau </w:t>
      </w:r>
      <w:r>
        <w:rPr>
          <w:i/>
          <w:iCs/>
        </w:rPr>
        <w:t>et al.,</w:t>
      </w:r>
      <w:r>
        <w:t xml:space="preserve"> 2017)</w:t>
      </w:r>
      <w:r>
        <w:t>.</w:t>
      </w:r>
      <w:r>
        <w:t xml:space="preserve"> </w:t>
      </w:r>
      <w:r>
        <w:t>Previous research on the aviation industry and financial reforms has found that regulatory changes can have both beneficial and negative consequences</w:t>
      </w:r>
      <w:r>
        <w:t xml:space="preserve"> (</w:t>
      </w:r>
      <w:r>
        <w:t>Glassner</w:t>
      </w:r>
      <w:r>
        <w:t xml:space="preserve"> </w:t>
      </w:r>
      <w:r>
        <w:rPr>
          <w:i/>
          <w:iCs/>
        </w:rPr>
        <w:t>et al.,</w:t>
      </w:r>
      <w:r>
        <w:t xml:space="preserve"> 2011)</w:t>
      </w:r>
      <w:r>
        <w:t>. While analysing the success of changes in stabilising the financial state of British Airways and other companies in the aviation industry, the possible effects on financing availability, compliance costs, risk management and governance procedures should be carefully considered. Further research and analysis may be required to fully analyse the impact of measures on British Airlines' financial stability.</w:t>
      </w:r>
    </w:p>
    <w:bookmarkStart w:id="13" w:name="_Toc132112205"/>
    <w:p>
      <w:pPr>
        <w:pStyle w:val="style1"/>
        <w:rPr/>
      </w:pPr>
      <w:r>
        <w:t xml:space="preserve">6. </w:t>
      </w:r>
      <w:r>
        <w:t xml:space="preserve">Conclusion </w:t>
      </w:r>
      <w:r>
        <w:t>/ Recommendations</w:t>
      </w:r>
      <w:bookmarkEnd w:id="13"/>
    </w:p>
    <w:p>
      <w:pPr>
        <w:pStyle w:val="style0"/>
        <w:rPr/>
      </w:pPr>
      <w:r>
        <w:t>Finally, the reforms enacted after the financial crisis of 2008 by UK authorities and other major participants, such as regulatory agencies and central banks, intended to rectify the financial system's vulnerabilities and risks and ensure financial stability. While these reforms have resulted in tougher regulatory requirements, greater risk management procedures, and better governance practises, their success in stabilising the financial system and British Airways during the crisis is complex and multidimensional. By promoting transparency, accountability, and risk-mitigation techniques, the measures have contributed to making British Airways more resilient. They have also strengthened their capital, which will help the company to resist disruptions and avoid financial crises in the future. Furthermore, the reforms have promoted a culture of risk awareness and frugality, which can help companies like British Airways manage external risks.</w:t>
      </w:r>
      <w:r>
        <w:t xml:space="preserve"> </w:t>
      </w:r>
      <w:r>
        <w:t>A variety of factors have influenced the success of these policies in stabilising the financial system and British Airways in the aftermath of the 2008 crisis, including the overall economic environment, industry-specific issues and the company's own financial management methods.</w:t>
      </w:r>
    </w:p>
    <w:p>
      <w:pPr>
        <w:pStyle w:val="style0"/>
        <w:rPr/>
      </w:pPr>
      <w:r>
        <w:t xml:space="preserve">Strengthening risk management and governance processes is essential for improving the current rules, regulations, and contracts in place for the financial system and British Airways to avert future disasters. This may include more comprehensive risk assessment and mitigation techniques, regular stress tests and improved risk reporting mechanisms. In the aftermath of the 2008 financial crisis, for example, the Financial Stability Board (FSB) issued the "Principles for Good Risk Management Practices and Supervision," emphasising the significance of competent risk management in financial institutions. Furthermore, improving corporate governance procedures, </w:t>
      </w:r>
      <w:r>
        <w:t>such as board composition and independence, can help avert future financial crises by encouraging responsibility and responsible decision-making, according to a Deloitte analysis.</w:t>
      </w:r>
      <w:r>
        <w:t xml:space="preserve"> </w:t>
      </w:r>
      <w:r>
        <w:t>Transparent reporting of financial information can help investors and stakeholders assess the health and stability of a company and identify potential risks. Regulatory authorities should consider implementing stricter reporting requirements, such as increased disclosure of financial statements, risk exposures and off-balance sheet items. For example, the Basel III framework, introduced in response to the 2008 financial crisis, includes enhanced disclosure requirements for banks to improve transparency and market discipline.</w:t>
      </w:r>
      <w:r>
        <w:t xml:space="preserve"> </w:t>
      </w:r>
    </w:p>
    <w:p>
      <w:pPr>
        <w:pStyle w:val="style0"/>
        <w:rPr/>
      </w:pPr>
      <w:r>
        <w:t>It is critical to increase regulatory oversight and enforcement in order to ensure that existing laws and regulations are implemented. Regulatory agencies must have sufficient resources, tools, and authority to properly supervise and enforce financial firms. This includes conducting regular audits, inspections and examinations, as well as applying significant fines for noncompliance. To promote accountability and prohibit unethical financial practises, the UK Financial Conduct Authority (FCA) has enacted stronger laws and enforcement measures, including hefty fines for misconduct.</w:t>
      </w:r>
      <w:r>
        <w:t xml:space="preserve"> </w:t>
      </w:r>
      <w:r>
        <w:t>Furthermore, encouraging diversity and competition in the aviation sector can help to prevent future crises. Encouragement of competition among airline companies can promote innovation, reduce concentration risk and enhance customer experience. Regulatory authorities can enforce legislation that encourages financial institution diversity in terms of size, business strategies and geographical reach.</w:t>
      </w:r>
      <w:r>
        <w:t xml:space="preserve"> </w:t>
      </w:r>
      <w:r>
        <w:t>It is also critical to promote an atmosphere of risk awareness and prudence inside businesses. Businesses should prioritise risk management as an inherent element of their company operations and decision-making processes. This can be accomplished by implementing employee training and development programmes, raising risk awareness among the board of directors and senior management, and aligning risk management practices with corporate objectives and strategy.</w:t>
      </w:r>
    </w:p>
    <w:p>
      <w:pPr>
        <w:pStyle w:val="style1"/>
        <w:rPr/>
      </w:pPr>
      <w:r>
        <w:br w:type="page"/>
      </w:r>
      <w:bookmarkStart w:id="14" w:name="_Toc132112206"/>
      <w:r>
        <w:t>References</w:t>
      </w:r>
      <w:bookmarkEnd w:id="14"/>
    </w:p>
    <w:p>
      <w:pPr>
        <w:pStyle w:val="style0"/>
        <w:rPr>
          <w:lang w:val="en-IN"/>
        </w:rPr>
      </w:pPr>
      <w:r>
        <w:rPr>
          <w:lang w:val="en-IN"/>
        </w:rPr>
        <w:t xml:space="preserve">About BA | British Airways (2023) </w:t>
      </w:r>
      <w:r>
        <w:rPr>
          <w:i/>
          <w:iCs/>
          <w:lang w:val="en-IN"/>
        </w:rPr>
        <w:t xml:space="preserve">About </w:t>
      </w:r>
      <w:r>
        <w:rPr>
          <w:i/>
          <w:iCs/>
          <w:lang w:val="en-IN"/>
        </w:rPr>
        <w:t>ba</w:t>
      </w:r>
      <w:r>
        <w:rPr>
          <w:i/>
          <w:iCs/>
          <w:lang w:val="en-IN"/>
        </w:rPr>
        <w:t>: British Airways</w:t>
      </w:r>
      <w:r>
        <w:rPr>
          <w:lang w:val="en-IN"/>
        </w:rPr>
        <w:t xml:space="preserve">, </w:t>
      </w:r>
      <w:r>
        <w:rPr>
          <w:i/>
          <w:iCs/>
          <w:lang w:val="en-IN"/>
        </w:rPr>
        <w:t>About BA | British Airways</w:t>
      </w:r>
      <w:r>
        <w:rPr>
          <w:lang w:val="en-IN"/>
        </w:rPr>
        <w:t xml:space="preserve">. Available at: </w:t>
      </w:r>
      <w:r>
        <w:rPr/>
        <w:fldChar w:fldCharType="begin"/>
      </w:r>
      <w:r>
        <w:instrText xml:space="preserve"> HYPERLINK "https://www.britishairways.com/information/about-ba" </w:instrText>
      </w:r>
      <w:r>
        <w:rPr/>
        <w:fldChar w:fldCharType="separate"/>
      </w:r>
      <w:r>
        <w:rPr>
          <w:rStyle w:val="style85"/>
          <w:lang w:val="en-IN"/>
        </w:rPr>
        <w:t>https://www.britishairways.com/information/about-ba</w:t>
      </w:r>
      <w:r>
        <w:rPr/>
        <w:fldChar w:fldCharType="end"/>
      </w:r>
    </w:p>
    <w:p>
      <w:pPr>
        <w:pStyle w:val="style0"/>
        <w:rPr/>
      </w:pPr>
      <w:r>
        <w:t xml:space="preserve">Aikman, D., Kiley, M., Lee, S.J., Palumbo, M.G. and </w:t>
      </w:r>
      <w:r>
        <w:t>Warusawitharana</w:t>
      </w:r>
      <w:r>
        <w:t>, M., 2017. Mapping heat in the US financial system. </w:t>
      </w:r>
      <w:r>
        <w:rPr>
          <w:i/>
          <w:iCs/>
        </w:rPr>
        <w:t>Journal of Banking &amp; Finance</w:t>
      </w:r>
      <w:r>
        <w:t>, </w:t>
      </w:r>
      <w:r>
        <w:rPr>
          <w:i/>
          <w:iCs/>
        </w:rPr>
        <w:t>81</w:t>
      </w:r>
      <w:r>
        <w:t>, pp.36-64.</w:t>
      </w:r>
      <w:r>
        <w:t xml:space="preserve"> </w:t>
      </w:r>
      <w:r>
        <w:rPr/>
        <w:fldChar w:fldCharType="begin"/>
      </w:r>
      <w:r>
        <w:instrText xml:space="preserve"> HYPERLINK "https://www.sciencedirect.com/science/article/pii/S0378426617301012" </w:instrText>
      </w:r>
      <w:r>
        <w:rPr/>
        <w:fldChar w:fldCharType="separate"/>
      </w:r>
      <w:r>
        <w:rPr>
          <w:rStyle w:val="style85"/>
        </w:rPr>
        <w:t>https://www.sciencedirect.com/science/article/pii/S0378426617301012</w:t>
      </w:r>
      <w:r>
        <w:rPr/>
        <w:fldChar w:fldCharType="end"/>
      </w:r>
    </w:p>
    <w:p>
      <w:pPr>
        <w:pStyle w:val="style0"/>
        <w:rPr/>
      </w:pPr>
      <w:r>
        <w:t>Alharahsheh</w:t>
      </w:r>
      <w:r>
        <w:t>, H.H. and Pius, A., 2020. A review of key paradigms: Positivism VS interpretivism. </w:t>
      </w:r>
      <w:r>
        <w:rPr>
          <w:i/>
          <w:iCs/>
        </w:rPr>
        <w:t>Global Academic Journal of Humanities and Social Sciences</w:t>
      </w:r>
      <w:r>
        <w:t>, </w:t>
      </w:r>
      <w:r>
        <w:rPr>
          <w:i/>
          <w:iCs/>
        </w:rPr>
        <w:t>2</w:t>
      </w:r>
      <w:r>
        <w:t>(3), pp.39-43.</w:t>
      </w:r>
      <w:r>
        <w:t xml:space="preserve"> </w:t>
      </w:r>
      <w:r>
        <w:rPr/>
        <w:fldChar w:fldCharType="begin"/>
      </w:r>
      <w:r>
        <w:instrText xml:space="preserve"> HYPERLINK "https://gajrc.com/media/articles/GAJHSS_23_39-43_VMGJbOK.pdf" </w:instrText>
      </w:r>
      <w:r>
        <w:rPr/>
        <w:fldChar w:fldCharType="separate"/>
      </w:r>
      <w:r>
        <w:rPr>
          <w:rStyle w:val="style85"/>
        </w:rPr>
        <w:t>https://gajrc.com/media/articles/GAJHSS_23_39-43_VMGJbOK.pdf</w:t>
      </w:r>
      <w:r>
        <w:rPr/>
        <w:fldChar w:fldCharType="end"/>
      </w:r>
    </w:p>
    <w:p>
      <w:pPr>
        <w:pStyle w:val="style0"/>
        <w:rPr/>
      </w:pPr>
      <w:r>
        <w:t>Ángeles</w:t>
      </w:r>
      <w:r>
        <w:t xml:space="preserve"> López-</w:t>
      </w:r>
      <w:r>
        <w:t>Cabarcos</w:t>
      </w:r>
      <w:r>
        <w:t>, M., M Pérez-Pico, A. and López Perez, M.L., 2020. Investor sentiment in the theoretical field of behavioural finance. </w:t>
      </w:r>
      <w:r>
        <w:rPr>
          <w:i/>
          <w:iCs/>
        </w:rPr>
        <w:t>Economic research-</w:t>
      </w:r>
      <w:r>
        <w:rPr>
          <w:i/>
          <w:iCs/>
        </w:rPr>
        <w:t>Ekonomska</w:t>
      </w:r>
      <w:r>
        <w:rPr>
          <w:i/>
          <w:iCs/>
        </w:rPr>
        <w:t xml:space="preserve"> </w:t>
      </w:r>
      <w:r>
        <w:rPr>
          <w:i/>
          <w:iCs/>
        </w:rPr>
        <w:t>istraživanja</w:t>
      </w:r>
      <w:r>
        <w:t>, </w:t>
      </w:r>
      <w:r>
        <w:rPr>
          <w:i/>
          <w:iCs/>
        </w:rPr>
        <w:t>33</w:t>
      </w:r>
      <w:r>
        <w:t>(1), pp.2101-2228.</w:t>
      </w:r>
      <w:r>
        <w:t xml:space="preserve"> </w:t>
      </w:r>
      <w:r>
        <w:rPr/>
        <w:fldChar w:fldCharType="begin"/>
      </w:r>
      <w:r>
        <w:instrText xml:space="preserve"> HYPERLINK "https://hrcak.srce.hr/clanak/334003" </w:instrText>
      </w:r>
      <w:r>
        <w:rPr/>
        <w:fldChar w:fldCharType="separate"/>
      </w:r>
      <w:r>
        <w:rPr>
          <w:rStyle w:val="style85"/>
        </w:rPr>
        <w:t>https://hrcak.srce.hr/clanak/334003</w:t>
      </w:r>
      <w:r>
        <w:rPr/>
        <w:fldChar w:fldCharType="end"/>
      </w:r>
    </w:p>
    <w:p>
      <w:pPr>
        <w:pStyle w:val="style0"/>
        <w:rPr/>
      </w:pPr>
      <w:r>
        <w:t>Arner</w:t>
      </w:r>
      <w:r>
        <w:t xml:space="preserve">, D.W. and Taylor, M.W., 2009. The Global Financial Crisis and the Financial Stability Board: Hardening the Soft Law of International Financial </w:t>
      </w:r>
      <w:r>
        <w:t>Regulation?.</w:t>
      </w:r>
      <w:r>
        <w:t> </w:t>
      </w:r>
      <w:r>
        <w:rPr>
          <w:i/>
          <w:iCs/>
        </w:rPr>
        <w:t>University of New South Wales Law Journal, The</w:t>
      </w:r>
      <w:r>
        <w:t>, </w:t>
      </w:r>
      <w:r>
        <w:rPr>
          <w:i/>
          <w:iCs/>
        </w:rPr>
        <w:t>32</w:t>
      </w:r>
      <w:r>
        <w:t xml:space="preserve">(2), pp.488-513. </w:t>
      </w:r>
      <w:r>
        <w:rPr/>
        <w:fldChar w:fldCharType="begin"/>
      </w:r>
      <w:r>
        <w:instrText xml:space="preserve"> HYPERLINK "https://search.informit.org/doi/abs/10.3316/ielapa.063763009259581" </w:instrText>
      </w:r>
      <w:r>
        <w:rPr/>
        <w:fldChar w:fldCharType="separate"/>
      </w:r>
      <w:r>
        <w:rPr>
          <w:rStyle w:val="style85"/>
        </w:rPr>
        <w:t>https://search.informit.org/doi/abs/10.3316/ielapa.063763009259581</w:t>
      </w:r>
      <w:r>
        <w:rPr/>
        <w:fldChar w:fldCharType="end"/>
      </w:r>
    </w:p>
    <w:p>
      <w:pPr>
        <w:pStyle w:val="style0"/>
        <w:rPr/>
      </w:pPr>
      <w:r>
        <w:t xml:space="preserve">Balmer, J.M., Stuart, H. and </w:t>
      </w:r>
      <w:r>
        <w:t>Greyser</w:t>
      </w:r>
      <w:r>
        <w:t>, S.A., 2009. Aligning identity and strategy: Corporate branding at British Airways in the late 20th century. </w:t>
      </w:r>
      <w:r>
        <w:rPr>
          <w:i/>
          <w:iCs/>
        </w:rPr>
        <w:t>California Management Review</w:t>
      </w:r>
      <w:r>
        <w:t>, </w:t>
      </w:r>
      <w:r>
        <w:rPr>
          <w:i/>
          <w:iCs/>
        </w:rPr>
        <w:t>51</w:t>
      </w:r>
      <w:r>
        <w:t xml:space="preserve">(3), pp.6-23. </w:t>
      </w:r>
      <w:r>
        <w:rPr/>
        <w:fldChar w:fldCharType="begin"/>
      </w:r>
      <w:r>
        <w:instrText xml:space="preserve"> HYPERLINK "https://journals.sagepub.com/doi/pdf/10.2307/41166491" </w:instrText>
      </w:r>
      <w:r>
        <w:rPr/>
        <w:fldChar w:fldCharType="separate"/>
      </w:r>
      <w:r>
        <w:rPr>
          <w:rStyle w:val="style85"/>
        </w:rPr>
        <w:t>https://journals.sagepub.com/doi/pdf/10.2307/41166491</w:t>
      </w:r>
      <w:r>
        <w:rPr/>
        <w:fldChar w:fldCharType="end"/>
      </w:r>
    </w:p>
    <w:p>
      <w:pPr>
        <w:pStyle w:val="style0"/>
        <w:rPr/>
      </w:pPr>
      <w:r>
        <w:t>Bernier, L., 2022. The 2008 economic crisis and the rebirth of public enterprises. </w:t>
      </w:r>
      <w:r>
        <w:rPr>
          <w:i/>
          <w:iCs/>
        </w:rPr>
        <w:t>The Economy of the Collective Interest: 75 years of scientific research</w:t>
      </w:r>
      <w:r>
        <w:t xml:space="preserve">, p.281. </w:t>
      </w:r>
      <w:r>
        <w:rPr/>
        <w:fldChar w:fldCharType="begin"/>
      </w:r>
      <w:r>
        <w:instrText xml:space="preserve"> HYPERLINK "https://www.ciriec.uliege.be/wp-content/uploads/2022/06/CSS5BOOK-ENepdf.pdf" \l "page=296" </w:instrText>
      </w:r>
      <w:r>
        <w:rPr/>
        <w:fldChar w:fldCharType="separate"/>
      </w:r>
      <w:r>
        <w:rPr>
          <w:rStyle w:val="style85"/>
        </w:rPr>
        <w:t>https://www.ciriec.uliege.be/wp-content/uploads/2022/06/CSS5BOOK-ENepdf.pdf#page=296</w:t>
      </w:r>
      <w:r>
        <w:rPr/>
        <w:fldChar w:fldCharType="end"/>
      </w:r>
    </w:p>
    <w:p>
      <w:pPr>
        <w:pStyle w:val="style0"/>
        <w:rPr/>
      </w:pPr>
      <w:r>
        <w:t>Bertillo</w:t>
      </w:r>
      <w:r>
        <w:t xml:space="preserve">, J.B. and </w:t>
      </w:r>
      <w:r>
        <w:t>Salando</w:t>
      </w:r>
      <w:r>
        <w:t>, D., 2013. Human Resource Management Practices in an Airline Industry: The British Airways Global Perspective. </w:t>
      </w:r>
      <w:r>
        <w:rPr>
          <w:i/>
          <w:iCs/>
        </w:rPr>
        <w:t>Available at SSRN 2292797</w:t>
      </w:r>
      <w:r>
        <w:t xml:space="preserve">. </w:t>
      </w:r>
      <w:r>
        <w:rPr/>
        <w:fldChar w:fldCharType="begin"/>
      </w:r>
      <w:r>
        <w:instrText xml:space="preserve"> HYPERLINK "https://papers.ssrn.com/sol3/papers.cfm?abstract_id=2292797" </w:instrText>
      </w:r>
      <w:r>
        <w:rPr/>
        <w:fldChar w:fldCharType="separate"/>
      </w:r>
      <w:r>
        <w:rPr>
          <w:rStyle w:val="style85"/>
        </w:rPr>
        <w:t>https://papers.ssrn.com/sol3/papers.cfm?abstract_id=2292797</w:t>
      </w:r>
      <w:r>
        <w:rPr/>
        <w:fldChar w:fldCharType="end"/>
      </w:r>
    </w:p>
    <w:p>
      <w:pPr>
        <w:pStyle w:val="style0"/>
        <w:rPr/>
      </w:pPr>
      <w:r>
        <w:t>Buallay</w:t>
      </w:r>
      <w:r>
        <w:t>, A. and Al-</w:t>
      </w:r>
      <w:r>
        <w:t>Ajmi</w:t>
      </w:r>
      <w:r>
        <w:t>, J., 2020. The role of audit committee attributes in corporate sustainability reporting: Evidence from banks in the Gulf Cooperation Council. </w:t>
      </w:r>
      <w:r>
        <w:rPr>
          <w:i/>
          <w:iCs/>
        </w:rPr>
        <w:t xml:space="preserve">Journal of Applied Accounting </w:t>
      </w:r>
      <w:r>
        <w:rPr>
          <w:i/>
          <w:iCs/>
        </w:rPr>
        <w:t>Research</w:t>
      </w:r>
      <w:r>
        <w:t>, </w:t>
      </w:r>
      <w:r>
        <w:rPr>
          <w:i/>
          <w:iCs/>
        </w:rPr>
        <w:t>21</w:t>
      </w:r>
      <w:r>
        <w:t>(2), pp.249-264.</w:t>
      </w:r>
      <w:r>
        <w:t xml:space="preserve"> </w:t>
      </w:r>
      <w:r>
        <w:rPr/>
        <w:fldChar w:fldCharType="begin"/>
      </w:r>
      <w:r>
        <w:instrText xml:space="preserve"> HYPERLINK "https://www.emerald.com/insight/content/doi/10.1108/JAAR-06-2018-0085/full/html" </w:instrText>
      </w:r>
      <w:r>
        <w:rPr/>
        <w:fldChar w:fldCharType="separate"/>
      </w:r>
      <w:r>
        <w:rPr>
          <w:rStyle w:val="style85"/>
        </w:rPr>
        <w:t>https://www.emerald.com/insight/content/doi/10.1108/JAAR-06-2018-0085/full/html</w:t>
      </w:r>
      <w:r>
        <w:rPr/>
        <w:fldChar w:fldCharType="end"/>
      </w:r>
    </w:p>
    <w:p>
      <w:pPr>
        <w:pStyle w:val="style0"/>
        <w:rPr/>
      </w:pPr>
      <w:r>
        <w:t xml:space="preserve">Carley, M. (2009) </w:t>
      </w:r>
      <w:r>
        <w:rPr>
          <w:i/>
          <w:iCs/>
        </w:rPr>
        <w:t xml:space="preserve">British Airways seeks to cut staff </w:t>
      </w:r>
      <w:r>
        <w:rPr>
          <w:i/>
          <w:iCs/>
        </w:rPr>
        <w:t>costsAMrk</w:t>
      </w:r>
      <w:r>
        <w:t xml:space="preserve">, </w:t>
      </w:r>
      <w:r>
        <w:rPr>
          <w:i/>
          <w:iCs/>
        </w:rPr>
        <w:t>Eurofound</w:t>
      </w:r>
      <w:r>
        <w:t xml:space="preserve">. Available at: https://www.eurofound.europa.eu/publications/article/2009/british-airways-seeks-to-cut-staff-costs (Accessed: April 11, 2023). </w:t>
      </w:r>
    </w:p>
    <w:p>
      <w:pPr>
        <w:pStyle w:val="style0"/>
        <w:rPr>
          <w:lang w:val="en-IN"/>
        </w:rPr>
      </w:pPr>
      <w:r>
        <w:rPr>
          <w:lang w:val="en-IN"/>
        </w:rPr>
        <w:t xml:space="preserve"> </w:t>
      </w:r>
      <w:r>
        <w:rPr>
          <w:lang w:val="en-IN"/>
        </w:rPr>
        <w:t xml:space="preserve">Civil Aviation Authority (2023) </w:t>
      </w:r>
      <w:r>
        <w:rPr>
          <w:i/>
          <w:iCs/>
          <w:lang w:val="en-IN"/>
        </w:rPr>
        <w:t>Home</w:t>
      </w:r>
      <w:r>
        <w:rPr>
          <w:lang w:val="en-IN"/>
        </w:rPr>
        <w:t xml:space="preserve">, </w:t>
      </w:r>
      <w:r>
        <w:rPr>
          <w:i/>
          <w:iCs/>
          <w:lang w:val="en-IN"/>
        </w:rPr>
        <w:t>Civil Aviation Authority</w:t>
      </w:r>
      <w:r>
        <w:rPr>
          <w:lang w:val="en-IN"/>
        </w:rPr>
        <w:t xml:space="preserve">. Available at: </w:t>
      </w:r>
      <w:r>
        <w:rPr/>
        <w:fldChar w:fldCharType="begin"/>
      </w:r>
      <w:r>
        <w:instrText xml:space="preserve"> HYPERLINK "https://www.caa.co.uk/data-and-analysis/uk-aviation-market/airlines/uk-airline-financial-data/" </w:instrText>
      </w:r>
      <w:r>
        <w:rPr/>
        <w:fldChar w:fldCharType="separate"/>
      </w:r>
      <w:r>
        <w:rPr>
          <w:rStyle w:val="style85"/>
          <w:lang w:val="en-IN"/>
        </w:rPr>
        <w:t>https://www.caa.co.uk/data-and-analysis/uk-aviation-market/airlines/uk-airline-financial-data/</w:t>
      </w:r>
      <w:r>
        <w:rPr/>
        <w:fldChar w:fldCharType="end"/>
      </w:r>
    </w:p>
    <w:p>
      <w:pPr>
        <w:pStyle w:val="style0"/>
        <w:rPr/>
      </w:pPr>
      <w:r>
        <w:t xml:space="preserve">De </w:t>
      </w:r>
      <w:r>
        <w:t>Neufville</w:t>
      </w:r>
      <w:r>
        <w:t>, R., 2008. Low-cost airports for low-cost airlines: Flexible design to manage the risks. </w:t>
      </w:r>
      <w:r>
        <w:rPr>
          <w:i/>
          <w:iCs/>
        </w:rPr>
        <w:t>Transportation planning and Technology</w:t>
      </w:r>
      <w:r>
        <w:t>, </w:t>
      </w:r>
      <w:r>
        <w:rPr>
          <w:i/>
          <w:iCs/>
        </w:rPr>
        <w:t>31</w:t>
      </w:r>
      <w:r>
        <w:t xml:space="preserve">(1), pp.35-68. </w:t>
      </w:r>
      <w:r>
        <w:rPr/>
        <w:fldChar w:fldCharType="begin"/>
      </w:r>
      <w:r>
        <w:instrText xml:space="preserve"> HYPERLINK "https://www.tandfonline.com/doi/abs/10.1080/03081060701835688" </w:instrText>
      </w:r>
      <w:r>
        <w:rPr/>
        <w:fldChar w:fldCharType="separate"/>
      </w:r>
      <w:r>
        <w:rPr>
          <w:rStyle w:val="style85"/>
        </w:rPr>
        <w:t>https://www.tandfonline.com/doi/abs/10.1080/03081060701835688</w:t>
      </w:r>
      <w:r>
        <w:rPr/>
        <w:fldChar w:fldCharType="end"/>
      </w:r>
    </w:p>
    <w:p>
      <w:pPr>
        <w:pStyle w:val="style0"/>
        <w:rPr/>
      </w:pPr>
      <w:r>
        <w:t>Ferrarini</w:t>
      </w:r>
      <w:r>
        <w:t xml:space="preserve">, G. and </w:t>
      </w:r>
      <w:r>
        <w:t>Saguato</w:t>
      </w:r>
      <w:r>
        <w:t>, P., 2014. Regulating financial market infrastructures. </w:t>
      </w:r>
      <w:r>
        <w:rPr>
          <w:i/>
          <w:iCs/>
        </w:rPr>
        <w:t xml:space="preserve">Forthcoming draft chapter, The Oxford Handbook on Financial Regulation, edited by </w:t>
      </w:r>
      <w:r>
        <w:rPr>
          <w:i/>
          <w:iCs/>
        </w:rPr>
        <w:t>Eilís</w:t>
      </w:r>
      <w:r>
        <w:rPr>
          <w:i/>
          <w:iCs/>
        </w:rPr>
        <w:t xml:space="preserve"> </w:t>
      </w:r>
      <w:r>
        <w:rPr>
          <w:i/>
          <w:iCs/>
        </w:rPr>
        <w:t>Ferran</w:t>
      </w:r>
      <w:r>
        <w:rPr>
          <w:i/>
          <w:iCs/>
        </w:rPr>
        <w:t xml:space="preserve">, Niamh Moloney, and Jennifer </w:t>
      </w:r>
      <w:r>
        <w:rPr>
          <w:i/>
          <w:iCs/>
        </w:rPr>
        <w:t>Payne,(</w:t>
      </w:r>
      <w:r>
        <w:rPr>
          <w:i/>
          <w:iCs/>
        </w:rPr>
        <w:t>Oxford University Press)., European Corporate Governance Institute (ECGI)-Law Working Paper</w:t>
      </w:r>
      <w:r>
        <w:t>, (259).</w:t>
      </w:r>
      <w:r>
        <w:t xml:space="preserve"> </w:t>
      </w:r>
      <w:r>
        <w:rPr/>
        <w:fldChar w:fldCharType="begin"/>
      </w:r>
      <w:r>
        <w:instrText xml:space="preserve"> HYPERLINK "https://papers.ssrn.com/sol3/papers.cfm?abstract_id=2450095" </w:instrText>
      </w:r>
      <w:r>
        <w:rPr/>
        <w:fldChar w:fldCharType="separate"/>
      </w:r>
      <w:r>
        <w:rPr>
          <w:rStyle w:val="style85"/>
        </w:rPr>
        <w:t>https://papers.ssrn.com/sol3/papers.cfm?abstract_id=2450095</w:t>
      </w:r>
      <w:r>
        <w:rPr/>
        <w:fldChar w:fldCharType="end"/>
      </w:r>
    </w:p>
    <w:p>
      <w:pPr>
        <w:pStyle w:val="style0"/>
        <w:rPr/>
      </w:pPr>
      <w:r>
        <w:t xml:space="preserve">Franke, M. and John, F., 2011. What comes next after </w:t>
      </w:r>
      <w:r>
        <w:t>recession?–</w:t>
      </w:r>
      <w:r>
        <w:t>Airline industry scenarios and potential end games. </w:t>
      </w:r>
      <w:r>
        <w:rPr>
          <w:i/>
          <w:iCs/>
        </w:rPr>
        <w:t>Journal of Air Transport Management</w:t>
      </w:r>
      <w:r>
        <w:t>, </w:t>
      </w:r>
      <w:r>
        <w:rPr>
          <w:i/>
          <w:iCs/>
        </w:rPr>
        <w:t>17</w:t>
      </w:r>
      <w:r>
        <w:t xml:space="preserve">(1), pp.19-26. </w:t>
      </w:r>
      <w:r>
        <w:rPr/>
        <w:fldChar w:fldCharType="begin"/>
      </w:r>
      <w:r>
        <w:instrText xml:space="preserve"> HYPERLINK "https://www.sciencedirect.com/science/article/pii/S0969699710000918" </w:instrText>
      </w:r>
      <w:r>
        <w:rPr/>
        <w:fldChar w:fldCharType="separate"/>
      </w:r>
      <w:r>
        <w:rPr>
          <w:rStyle w:val="style85"/>
        </w:rPr>
        <w:t>https://www.sciencedirect.com/science/article/pii/S0969699710000918</w:t>
      </w:r>
      <w:r>
        <w:rPr/>
        <w:fldChar w:fldCharType="end"/>
      </w:r>
    </w:p>
    <w:p>
      <w:pPr>
        <w:pStyle w:val="style0"/>
        <w:rPr/>
      </w:pPr>
      <w:r>
        <w:t xml:space="preserve">Frankel, J. and </w:t>
      </w:r>
      <w:r>
        <w:t>Saravelos</w:t>
      </w:r>
      <w:r>
        <w:t>, G., 2012. Can leading indicators assess country vulnerability? Evidence from the 2008–09 global financial crisis. </w:t>
      </w:r>
      <w:r>
        <w:rPr>
          <w:i/>
          <w:iCs/>
        </w:rPr>
        <w:t>Journal of International Economics</w:t>
      </w:r>
      <w:r>
        <w:t>, </w:t>
      </w:r>
      <w:r>
        <w:rPr>
          <w:i/>
          <w:iCs/>
        </w:rPr>
        <w:t>87</w:t>
      </w:r>
      <w:r>
        <w:t>(2), pp.216-231.</w:t>
      </w:r>
      <w:r>
        <w:t xml:space="preserve"> </w:t>
      </w:r>
      <w:r>
        <w:rPr/>
        <w:fldChar w:fldCharType="begin"/>
      </w:r>
      <w:r>
        <w:instrText xml:space="preserve"> HYPERLINK "https://www.sciencedirect.com/science/article/pii/S0022199611001735" </w:instrText>
      </w:r>
      <w:r>
        <w:rPr/>
        <w:fldChar w:fldCharType="separate"/>
      </w:r>
      <w:r>
        <w:rPr>
          <w:rStyle w:val="style85"/>
        </w:rPr>
        <w:t>https://www.sciencedirect.com/science/article/pii/S0022199611001735</w:t>
      </w:r>
      <w:r>
        <w:rPr/>
        <w:fldChar w:fldCharType="end"/>
      </w:r>
    </w:p>
    <w:p>
      <w:pPr>
        <w:pStyle w:val="style0"/>
        <w:rPr/>
      </w:pPr>
      <w:r>
        <w:t>Glassner</w:t>
      </w:r>
      <w:r>
        <w:t xml:space="preserve">, V., </w:t>
      </w:r>
      <w:r>
        <w:t>Keune</w:t>
      </w:r>
      <w:r>
        <w:t xml:space="preserve">, M. and </w:t>
      </w:r>
      <w:r>
        <w:t>Marginson</w:t>
      </w:r>
      <w:r>
        <w:t>, P., 2011. Collective bargaining in a time of crisis: developments in the private sector in Europe. </w:t>
      </w:r>
      <w:r>
        <w:rPr>
          <w:i/>
          <w:iCs/>
        </w:rPr>
        <w:t>Transfer: European Review of Labour and Research</w:t>
      </w:r>
      <w:r>
        <w:t>, </w:t>
      </w:r>
      <w:r>
        <w:rPr>
          <w:i/>
          <w:iCs/>
        </w:rPr>
        <w:t>17</w:t>
      </w:r>
      <w:r>
        <w:t xml:space="preserve">(3), pp.303-322. </w:t>
      </w:r>
      <w:r>
        <w:rPr/>
        <w:fldChar w:fldCharType="begin"/>
      </w:r>
      <w:r>
        <w:instrText xml:space="preserve"> HYPERLINK "https://journals.sagepub.com/doi/pdf/10.1177/1024258911406378" </w:instrText>
      </w:r>
      <w:r>
        <w:rPr/>
        <w:fldChar w:fldCharType="separate"/>
      </w:r>
      <w:r>
        <w:rPr>
          <w:rStyle w:val="style85"/>
        </w:rPr>
        <w:t>https://journals.sagepub.com/doi/pdf/10.1177/1024258911406378</w:t>
      </w:r>
      <w:r>
        <w:rPr/>
        <w:fldChar w:fldCharType="end"/>
      </w:r>
    </w:p>
    <w:p>
      <w:pPr>
        <w:pStyle w:val="style0"/>
        <w:rPr/>
      </w:pPr>
      <w:r>
        <w:t>Goeteyn</w:t>
      </w:r>
      <w:r>
        <w:t>, G., 2009. EU Aviation Scene: Major Developments July 2008–November 2008. </w:t>
      </w:r>
      <w:r>
        <w:rPr>
          <w:i/>
          <w:iCs/>
        </w:rPr>
        <w:t>Air and Space Law</w:t>
      </w:r>
      <w:r>
        <w:t>, </w:t>
      </w:r>
      <w:r>
        <w:rPr>
          <w:i/>
          <w:iCs/>
        </w:rPr>
        <w:t>34</w:t>
      </w:r>
      <w:r>
        <w:t xml:space="preserve">(2). </w:t>
      </w:r>
      <w:r>
        <w:rPr/>
        <w:fldChar w:fldCharType="begin"/>
      </w:r>
      <w:r>
        <w:instrText xml:space="preserve"> HYPERLINK "https://kluwerlawonline.com/journalarticle/Air+and+Space+Law/34.2/AILA2009011" </w:instrText>
      </w:r>
      <w:r>
        <w:rPr/>
        <w:fldChar w:fldCharType="separate"/>
      </w:r>
      <w:r>
        <w:rPr>
          <w:rStyle w:val="style85"/>
        </w:rPr>
        <w:t>https://kluwerlawonline.com/journalarticle/Air+and+Space+Law/34.2/AILA2009011</w:t>
      </w:r>
      <w:r>
        <w:rPr/>
        <w:fldChar w:fldCharType="end"/>
      </w:r>
    </w:p>
    <w:p>
      <w:pPr>
        <w:pStyle w:val="style0"/>
        <w:rPr/>
      </w:pPr>
      <w:r>
        <w:t xml:space="preserve">Hancock, D.R., </w:t>
      </w:r>
      <w:r>
        <w:t>Algozzine</w:t>
      </w:r>
      <w:r>
        <w:t>, B. and Lim, J.H., 2021. Doing case study research: A practical guide for beginning researchers.</w:t>
      </w:r>
      <w:r>
        <w:t xml:space="preserve"> </w:t>
      </w:r>
      <w:r>
        <w:rPr/>
        <w:fldChar w:fldCharType="begin"/>
      </w:r>
      <w:r>
        <w:instrText xml:space="preserve"> HYPERLINK "https://books.google.com/books?hl=en&amp;lr=&amp;id=e7lLEAAAQBAJ&amp;oi=fnd&amp;pg=PP1&amp;dq=Case+Study+Research+Design&amp;ots=5_y4PPPS2i&amp;sig=EAbpnCyQ8hWYQpai3jvPibfHV7U" </w:instrText>
      </w:r>
      <w:r>
        <w:rPr/>
        <w:fldChar w:fldCharType="separate"/>
      </w:r>
      <w:r>
        <w:rPr>
          <w:rStyle w:val="style85"/>
        </w:rPr>
        <w:t>https://books.google.com/books?hl=en&amp;lr=&amp;id=e7lLEAAAQBAJ&amp;oi=fnd&amp;pg=PP1&amp;dq=Case+Study+Research+Design&amp;ots=5_y4PPPS2i&amp;sig=EAbpnCyQ8hWYQpai3jvPibfHV7U</w:t>
      </w:r>
      <w:r>
        <w:rPr/>
        <w:fldChar w:fldCharType="end"/>
      </w:r>
    </w:p>
    <w:p>
      <w:pPr>
        <w:pStyle w:val="style0"/>
        <w:rPr/>
      </w:pPr>
      <w:r>
        <w:t>Heyes</w:t>
      </w:r>
      <w:r>
        <w:t>, J., 2013. Flexicurity in crisis: European labour market policies in a time of austerity. </w:t>
      </w:r>
      <w:r>
        <w:rPr>
          <w:i/>
          <w:iCs/>
        </w:rPr>
        <w:t>European Journal of Industrial Relations</w:t>
      </w:r>
      <w:r>
        <w:t>, </w:t>
      </w:r>
      <w:r>
        <w:rPr>
          <w:i/>
          <w:iCs/>
        </w:rPr>
        <w:t>19</w:t>
      </w:r>
      <w:r>
        <w:t xml:space="preserve">(1), pp.71-86. </w:t>
      </w:r>
      <w:r>
        <w:rPr/>
        <w:fldChar w:fldCharType="begin"/>
      </w:r>
      <w:r>
        <w:instrText xml:space="preserve"> HYPERLINK "https://journals.sagepub.com/doi/pdf/10.1177/0959680112474749" </w:instrText>
      </w:r>
      <w:r>
        <w:rPr/>
        <w:fldChar w:fldCharType="separate"/>
      </w:r>
      <w:r>
        <w:rPr>
          <w:rStyle w:val="style85"/>
        </w:rPr>
        <w:t>https://journals.sagepub.com/doi/pdf/10.1177/0959680112474749</w:t>
      </w:r>
      <w:r>
        <w:rPr/>
        <w:fldChar w:fldCharType="end"/>
      </w:r>
    </w:p>
    <w:p>
      <w:pPr>
        <w:pStyle w:val="style0"/>
        <w:rPr>
          <w:lang w:val="en-IN"/>
        </w:rPr>
      </w:pPr>
      <w:r>
        <w:rPr>
          <w:lang w:val="en-IN"/>
        </w:rPr>
        <w:t xml:space="preserve">Horton, W. (2021) </w:t>
      </w:r>
      <w:r>
        <w:rPr>
          <w:i/>
          <w:iCs/>
          <w:lang w:val="en-IN"/>
        </w:rPr>
        <w:t>British Airways' 12,000 redundancies mean fewer staff than in the 1980s</w:t>
      </w:r>
      <w:r>
        <w:rPr>
          <w:lang w:val="en-IN"/>
        </w:rPr>
        <w:t xml:space="preserve">, </w:t>
      </w:r>
      <w:r>
        <w:rPr>
          <w:i/>
          <w:iCs/>
          <w:lang w:val="en-IN"/>
        </w:rPr>
        <w:t>Forbes</w:t>
      </w:r>
      <w:r>
        <w:rPr>
          <w:lang w:val="en-IN"/>
        </w:rPr>
        <w:t xml:space="preserve">. Forbes Magazine. Available at: </w:t>
      </w:r>
      <w:r>
        <w:rPr/>
        <w:fldChar w:fldCharType="begin"/>
      </w:r>
      <w:r>
        <w:instrText xml:space="preserve"> HYPERLINK "https://www.forbes.com/sites/willhorton1/2020/04/29/british-airways-12000-redundancies-mean-fewer-staff-than-in-the-1980s/" </w:instrText>
      </w:r>
      <w:r>
        <w:rPr/>
        <w:fldChar w:fldCharType="separate"/>
      </w:r>
      <w:r>
        <w:rPr>
          <w:rStyle w:val="style85"/>
          <w:lang w:val="en-IN"/>
        </w:rPr>
        <w:t>https://www.forbes.com/sites/willhorton1/2020/04/29/british-airways-12000-redundancies-mean-fewer-staff-than-in-the-1980s/</w:t>
      </w:r>
      <w:r>
        <w:rPr/>
        <w:fldChar w:fldCharType="end"/>
      </w:r>
    </w:p>
    <w:p>
      <w:pPr>
        <w:pStyle w:val="style0"/>
        <w:rPr/>
      </w:pPr>
      <w:r>
        <w:t xml:space="preserve">Hsu, C.P.C. and </w:t>
      </w:r>
      <w:r>
        <w:t>Flouris</w:t>
      </w:r>
      <w:r>
        <w:t>, T., 2017. Comparing global airline merger experiences from a financial valuation perspective: An empirical study of recent European based airline mergers. </w:t>
      </w:r>
      <w:r>
        <w:rPr>
          <w:i/>
          <w:iCs/>
        </w:rPr>
        <w:t xml:space="preserve">Transportation research </w:t>
      </w:r>
      <w:r>
        <w:rPr>
          <w:i/>
          <w:iCs/>
        </w:rPr>
        <w:t>procedia</w:t>
      </w:r>
      <w:r>
        <w:t>, </w:t>
      </w:r>
      <w:r>
        <w:rPr>
          <w:i/>
          <w:iCs/>
        </w:rPr>
        <w:t>25</w:t>
      </w:r>
      <w:r>
        <w:t xml:space="preserve">, pp.41-50. </w:t>
      </w:r>
      <w:r>
        <w:rPr/>
        <w:fldChar w:fldCharType="begin"/>
      </w:r>
      <w:r>
        <w:instrText xml:space="preserve"> HYPERLINK "https://www.sciencedirect.com/science/article/pii/S2352146517304969" </w:instrText>
      </w:r>
      <w:r>
        <w:rPr/>
        <w:fldChar w:fldCharType="separate"/>
      </w:r>
      <w:r>
        <w:rPr>
          <w:rStyle w:val="style85"/>
        </w:rPr>
        <w:t>https://www.sciencedirect.com/science/article/pii/S2352146517304969</w:t>
      </w:r>
      <w:r>
        <w:rPr/>
        <w:fldChar w:fldCharType="end"/>
      </w:r>
    </w:p>
    <w:p>
      <w:pPr>
        <w:pStyle w:val="style0"/>
        <w:rPr>
          <w:lang w:val="en-IN"/>
        </w:rPr>
      </w:pPr>
      <w:r>
        <w:rPr>
          <w:lang w:val="en-IN"/>
        </w:rPr>
        <w:t xml:space="preserve">IAG – International Airlines Group – (2023) </w:t>
      </w:r>
      <w:r>
        <w:rPr>
          <w:i/>
          <w:iCs/>
          <w:lang w:val="en-IN"/>
        </w:rPr>
        <w:t>Results and reports</w:t>
      </w:r>
      <w:r>
        <w:rPr>
          <w:lang w:val="en-IN"/>
        </w:rPr>
        <w:t xml:space="preserve">, </w:t>
      </w:r>
      <w:r>
        <w:rPr>
          <w:i/>
          <w:iCs/>
          <w:lang w:val="en-IN"/>
        </w:rPr>
        <w:t>IAG – International Airlines Group –</w:t>
      </w:r>
      <w:r>
        <w:rPr>
          <w:lang w:val="en-IN"/>
        </w:rPr>
        <w:t xml:space="preserve">. Available at: </w:t>
      </w:r>
      <w:r>
        <w:rPr/>
        <w:fldChar w:fldCharType="begin"/>
      </w:r>
      <w:r>
        <w:instrText xml:space="preserve"> HYPERLINK "https://www.iairgroup.com/en/investors-and-shareholders/results-and-reports" </w:instrText>
      </w:r>
      <w:r>
        <w:rPr/>
        <w:fldChar w:fldCharType="separate"/>
      </w:r>
      <w:r>
        <w:rPr>
          <w:rStyle w:val="style85"/>
          <w:lang w:val="en-IN"/>
        </w:rPr>
        <w:t>https://www.iairgroup.com/en/investors-and-shareholders/results-and-reports</w:t>
      </w:r>
      <w:r>
        <w:rPr/>
        <w:fldChar w:fldCharType="end"/>
      </w:r>
    </w:p>
    <w:p>
      <w:pPr>
        <w:pStyle w:val="style0"/>
        <w:rPr/>
      </w:pPr>
      <w:r>
        <w:t>Janiszewski</w:t>
      </w:r>
      <w:r>
        <w:t xml:space="preserve">, C. and van </w:t>
      </w:r>
      <w:r>
        <w:t>Osselaer</w:t>
      </w:r>
      <w:r>
        <w:t>, S.M., 2022. Abductive theory construction. </w:t>
      </w:r>
      <w:r>
        <w:rPr>
          <w:i/>
          <w:iCs/>
        </w:rPr>
        <w:t>Journal of Consumer Psychology</w:t>
      </w:r>
      <w:r>
        <w:t>, </w:t>
      </w:r>
      <w:r>
        <w:rPr>
          <w:i/>
          <w:iCs/>
        </w:rPr>
        <w:t>32</w:t>
      </w:r>
      <w:r>
        <w:t>(1), pp.175-193.</w:t>
      </w:r>
      <w:r>
        <w:t xml:space="preserve"> </w:t>
      </w:r>
      <w:r>
        <w:rPr/>
        <w:fldChar w:fldCharType="begin"/>
      </w:r>
      <w:r>
        <w:instrText xml:space="preserve"> HYPERLINK "https://myscp.onlinelibrary.wiley.com/doi/abs/10.1002/jcpy.1280" </w:instrText>
      </w:r>
      <w:r>
        <w:rPr/>
        <w:fldChar w:fldCharType="separate"/>
      </w:r>
      <w:r>
        <w:rPr>
          <w:rStyle w:val="style85"/>
        </w:rPr>
        <w:t>https://myscp.onlinelibrary.wiley.com/doi/abs/10.1002/jcpy.1280</w:t>
      </w:r>
      <w:r>
        <w:rPr/>
        <w:fldChar w:fldCharType="end"/>
      </w:r>
    </w:p>
    <w:p>
      <w:pPr>
        <w:pStyle w:val="style0"/>
        <w:rPr/>
      </w:pPr>
      <w:r>
        <w:t xml:space="preserve">Kassem, R., Salama, A. and </w:t>
      </w:r>
      <w:r>
        <w:t>Ganepola</w:t>
      </w:r>
      <w:r>
        <w:t xml:space="preserve">, C.N., 2023. CSR, credibility, employees' rights and legitimacy during a crisis: a critical analysis of British Airways, </w:t>
      </w:r>
      <w:r>
        <w:t>WizAir</w:t>
      </w:r>
      <w:r>
        <w:t xml:space="preserve"> and EasyJet cases. </w:t>
      </w:r>
      <w:r>
        <w:rPr>
          <w:i/>
          <w:iCs/>
        </w:rPr>
        <w:t>Employee Relations: The International Journal</w:t>
      </w:r>
      <w:r>
        <w:t>, </w:t>
      </w:r>
      <w:r>
        <w:rPr>
          <w:i/>
          <w:iCs/>
        </w:rPr>
        <w:t>45</w:t>
      </w:r>
      <w:r>
        <w:t>(1), pp.1-20.</w:t>
      </w:r>
      <w:r>
        <w:t xml:space="preserve"> </w:t>
      </w:r>
      <w:r>
        <w:rPr/>
        <w:fldChar w:fldCharType="begin"/>
      </w:r>
      <w:r>
        <w:instrText xml:space="preserve"> HYPERLINK "https://www.emerald.com/insight/content/doi/10.1108/ER-11-2021-0517/full/html" </w:instrText>
      </w:r>
      <w:r>
        <w:rPr/>
        <w:fldChar w:fldCharType="separate"/>
      </w:r>
      <w:r>
        <w:rPr>
          <w:rStyle w:val="style85"/>
        </w:rPr>
        <w:t>https://www.emerald.com/insight/content/doi/10.1108/ER-11-2021-0517/full/html</w:t>
      </w:r>
      <w:r>
        <w:rPr/>
        <w:fldChar w:fldCharType="end"/>
      </w:r>
    </w:p>
    <w:p>
      <w:pPr>
        <w:pStyle w:val="style0"/>
        <w:rPr/>
      </w:pPr>
      <w:r>
        <w:t>Keller, A. and Kokkinis, A., 2022. The senior managers and certification regime in financial firms: an organisational culture analysis. </w:t>
      </w:r>
      <w:r>
        <w:rPr>
          <w:i/>
          <w:iCs/>
        </w:rPr>
        <w:t>Journal of Corporate Law Studies</w:t>
      </w:r>
      <w:r>
        <w:t>, </w:t>
      </w:r>
      <w:r>
        <w:rPr>
          <w:i/>
          <w:iCs/>
        </w:rPr>
        <w:t>22</w:t>
      </w:r>
      <w:r>
        <w:t>(1), pp.299-334.</w:t>
      </w:r>
      <w:r>
        <w:t xml:space="preserve"> </w:t>
      </w:r>
      <w:r>
        <w:rPr/>
        <w:fldChar w:fldCharType="begin"/>
      </w:r>
      <w:r>
        <w:instrText xml:space="preserve"> HYPERLINK "https://www.tandfonline.com/doi/abs/10.1080/14735970.2022.2054165" </w:instrText>
      </w:r>
      <w:r>
        <w:rPr/>
        <w:fldChar w:fldCharType="separate"/>
      </w:r>
      <w:r>
        <w:rPr>
          <w:rStyle w:val="style85"/>
        </w:rPr>
        <w:t>https://www.tandfonline.com/doi/abs/10.1080/14735970.2022.2054165</w:t>
      </w:r>
      <w:r>
        <w:rPr/>
        <w:fldChar w:fldCharType="end"/>
      </w:r>
    </w:p>
    <w:p>
      <w:pPr>
        <w:pStyle w:val="style0"/>
        <w:rPr/>
      </w:pPr>
      <w:r>
        <w:t>Kemper, A. and Martin, R.L., 2010. After the fall: The global financial crisis as a test of corporate social responsibility theories. </w:t>
      </w:r>
      <w:r>
        <w:rPr>
          <w:i/>
          <w:iCs/>
        </w:rPr>
        <w:t>European Management Review</w:t>
      </w:r>
      <w:r>
        <w:t>, </w:t>
      </w:r>
      <w:r>
        <w:rPr>
          <w:i/>
          <w:iCs/>
        </w:rPr>
        <w:t>7</w:t>
      </w:r>
      <w:r>
        <w:t xml:space="preserve">(4), pp.229-239. </w:t>
      </w:r>
      <w:r>
        <w:rPr/>
        <w:fldChar w:fldCharType="begin"/>
      </w:r>
      <w:r>
        <w:instrText xml:space="preserve"> HYPERLINK "https://onlinelibrary.wiley.com/doi/abs/10.1057/emr.2010.18" </w:instrText>
      </w:r>
      <w:r>
        <w:rPr/>
        <w:fldChar w:fldCharType="separate"/>
      </w:r>
      <w:r>
        <w:rPr>
          <w:rStyle w:val="style85"/>
        </w:rPr>
        <w:t>https://onlinelibrary.wiley.com/doi/abs/10.1057/emr.2010.18</w:t>
      </w:r>
      <w:r>
        <w:rPr/>
        <w:fldChar w:fldCharType="end"/>
      </w:r>
    </w:p>
    <w:p>
      <w:pPr>
        <w:pStyle w:val="style0"/>
        <w:rPr/>
      </w:pPr>
      <w:r>
        <w:t>King, P. and Tarbert, H., 2011. Basel III: an overview. </w:t>
      </w:r>
      <w:r>
        <w:rPr>
          <w:i/>
          <w:iCs/>
        </w:rPr>
        <w:t>Banking &amp; financial services policy report</w:t>
      </w:r>
      <w:r>
        <w:t>, </w:t>
      </w:r>
      <w:r>
        <w:rPr>
          <w:i/>
          <w:iCs/>
        </w:rPr>
        <w:t>30</w:t>
      </w:r>
      <w:r>
        <w:t>(5), pp.1-18.</w:t>
      </w:r>
      <w:r>
        <w:t xml:space="preserve"> </w:t>
      </w:r>
      <w:r>
        <w:rPr/>
        <w:fldChar w:fldCharType="begin"/>
      </w:r>
      <w:r>
        <w:instrText xml:space="preserve"> HYPERLINK "https://www.weil.com/~/media/files/pdfs/Basel_III_May_2011.pdf" </w:instrText>
      </w:r>
      <w:r>
        <w:rPr/>
        <w:fldChar w:fldCharType="separate"/>
      </w:r>
      <w:r>
        <w:rPr>
          <w:rStyle w:val="style85"/>
        </w:rPr>
        <w:t>https://www.weil.com/~/media/files/pdfs/Basel_III_May_2011.pdf</w:t>
      </w:r>
      <w:r>
        <w:rPr/>
        <w:fldChar w:fldCharType="end"/>
      </w:r>
    </w:p>
    <w:p>
      <w:pPr>
        <w:pStyle w:val="style0"/>
        <w:rPr/>
      </w:pPr>
      <w:r>
        <w:t>Kollewe</w:t>
      </w:r>
      <w:r>
        <w:t xml:space="preserve">, J. (2009) </w:t>
      </w:r>
      <w:r>
        <w:rPr>
          <w:i/>
          <w:iCs/>
        </w:rPr>
        <w:t>Recession watch: British Airways cuts send Week's job losses above 4,000Juk</w:t>
      </w:r>
      <w:r>
        <w:t xml:space="preserve">, </w:t>
      </w:r>
      <w:r>
        <w:rPr>
          <w:i/>
          <w:iCs/>
        </w:rPr>
        <w:t>The Guardian</w:t>
      </w:r>
      <w:r>
        <w:t xml:space="preserve">. Guardian News and Media. Available at: https://www.theguardian.com/business/2009/apr/03/redundancies-uk-british-airways-jobs (Accessed: April 11, 2023). </w:t>
      </w:r>
    </w:p>
    <w:p>
      <w:pPr>
        <w:pStyle w:val="style0"/>
        <w:rPr/>
      </w:pPr>
      <w:r>
        <w:t xml:space="preserve">Lo </w:t>
      </w:r>
      <w:r>
        <w:t>Duca</w:t>
      </w:r>
      <w:r>
        <w:t xml:space="preserve">, M. and </w:t>
      </w:r>
      <w:r>
        <w:t>Peltonen</w:t>
      </w:r>
      <w:r>
        <w:t>, T.A., 2011. Macro-financial vulnerabilities and future financial stress-Assessing systemic risks and predicting systemic events.</w:t>
      </w:r>
      <w:r>
        <w:t xml:space="preserve"> </w:t>
      </w:r>
      <w:r>
        <w:rPr/>
        <w:fldChar w:fldCharType="begin"/>
      </w:r>
      <w:r>
        <w:instrText xml:space="preserve"> HYPERLINK "https://papers.ssrn.com/sol3/papers.cfm?abstract_id=1803075" </w:instrText>
      </w:r>
      <w:r>
        <w:rPr/>
        <w:fldChar w:fldCharType="separate"/>
      </w:r>
      <w:r>
        <w:rPr>
          <w:rStyle w:val="style85"/>
        </w:rPr>
        <w:t>https://papers.ssrn.com/sol3/papers.cfm?abstract_id=1803075</w:t>
      </w:r>
      <w:r>
        <w:rPr/>
        <w:fldChar w:fldCharType="end"/>
      </w:r>
    </w:p>
    <w:p>
      <w:pPr>
        <w:pStyle w:val="style0"/>
        <w:rPr/>
      </w:pPr>
      <w:r>
        <w:t>Merkert</w:t>
      </w:r>
      <w:r>
        <w:t>, R. and Morrell, P.S., 2012. Mergers and acquisitions in aviation–Management and economic perspectives on the size of airlines. </w:t>
      </w:r>
      <w:r>
        <w:rPr>
          <w:i/>
          <w:iCs/>
        </w:rPr>
        <w:t>Transportation Research Part E: Logistics and Transportation Review</w:t>
      </w:r>
      <w:r>
        <w:t>, </w:t>
      </w:r>
      <w:r>
        <w:rPr>
          <w:i/>
          <w:iCs/>
        </w:rPr>
        <w:t>48</w:t>
      </w:r>
      <w:r>
        <w:t xml:space="preserve">(4), pp.853-862. </w:t>
      </w:r>
      <w:r>
        <w:rPr/>
        <w:fldChar w:fldCharType="begin"/>
      </w:r>
      <w:r>
        <w:instrText xml:space="preserve"> HYPERLINK "https://www.sciencedirect.com/science/article/pii/S1366554512000178" </w:instrText>
      </w:r>
      <w:r>
        <w:rPr/>
        <w:fldChar w:fldCharType="separate"/>
      </w:r>
      <w:r>
        <w:rPr>
          <w:rStyle w:val="style85"/>
        </w:rPr>
        <w:t>https://www.sciencedirect.com/science/article/pii/S1366554512000178</w:t>
      </w:r>
      <w:r>
        <w:rPr/>
        <w:fldChar w:fldCharType="end"/>
      </w:r>
    </w:p>
    <w:p>
      <w:pPr>
        <w:pStyle w:val="style0"/>
        <w:rPr/>
      </w:pPr>
      <w:r>
        <w:t xml:space="preserve">Moro-Visconti, R., Cruz </w:t>
      </w:r>
      <w:r>
        <w:t>Rambaud</w:t>
      </w:r>
      <w:r>
        <w:t xml:space="preserve">, S. and López Pascual, J., 2020. Sustainability in </w:t>
      </w:r>
      <w:r>
        <w:t>FinTechs</w:t>
      </w:r>
      <w:r>
        <w:t>: An explanation through business model scalability and market valuation. </w:t>
      </w:r>
      <w:r>
        <w:rPr>
          <w:i/>
          <w:iCs/>
        </w:rPr>
        <w:t>Sustainability</w:t>
      </w:r>
      <w:r>
        <w:t>, </w:t>
      </w:r>
      <w:r>
        <w:rPr>
          <w:i/>
          <w:iCs/>
        </w:rPr>
        <w:t>12</w:t>
      </w:r>
      <w:r>
        <w:t>(24), p.10316.</w:t>
      </w:r>
      <w:r>
        <w:t xml:space="preserve"> </w:t>
      </w:r>
      <w:r>
        <w:rPr/>
        <w:fldChar w:fldCharType="begin"/>
      </w:r>
      <w:r>
        <w:instrText xml:space="preserve"> HYPERLINK "https://www.mdpi.com/919602" </w:instrText>
      </w:r>
      <w:r>
        <w:rPr/>
        <w:fldChar w:fldCharType="separate"/>
      </w:r>
      <w:r>
        <w:rPr>
          <w:rStyle w:val="style85"/>
        </w:rPr>
        <w:t>https://www.mdpi.com/919602</w:t>
      </w:r>
      <w:r>
        <w:rPr/>
        <w:fldChar w:fldCharType="end"/>
      </w:r>
    </w:p>
    <w:p>
      <w:pPr>
        <w:pStyle w:val="style0"/>
        <w:rPr/>
      </w:pPr>
      <w:r>
        <w:t>Moshirian</w:t>
      </w:r>
      <w:r>
        <w:t>, F., 2011. The global financial crisis and the evolution of markets, institutions and regulation. </w:t>
      </w:r>
      <w:r>
        <w:rPr>
          <w:i/>
          <w:iCs/>
        </w:rPr>
        <w:t>Journal of banking &amp; Finance</w:t>
      </w:r>
      <w:r>
        <w:t>, </w:t>
      </w:r>
      <w:r>
        <w:rPr>
          <w:i/>
          <w:iCs/>
        </w:rPr>
        <w:t>35</w:t>
      </w:r>
      <w:r>
        <w:t xml:space="preserve">(3), pp.502-511. </w:t>
      </w:r>
      <w:r>
        <w:rPr/>
        <w:fldChar w:fldCharType="begin"/>
      </w:r>
      <w:r>
        <w:instrText xml:space="preserve"> HYPERLINK "https://www.sciencedirect.com/science/article/pii/S0378426610003110" </w:instrText>
      </w:r>
      <w:r>
        <w:rPr/>
        <w:fldChar w:fldCharType="separate"/>
      </w:r>
      <w:r>
        <w:rPr>
          <w:rStyle w:val="style85"/>
        </w:rPr>
        <w:t>https://www.sciencedirect.com/science/article/pii/S0378426610003110</w:t>
      </w:r>
      <w:r>
        <w:rPr/>
        <w:fldChar w:fldCharType="end"/>
      </w:r>
    </w:p>
    <w:p>
      <w:pPr>
        <w:pStyle w:val="style0"/>
        <w:rPr/>
      </w:pPr>
      <w:r>
        <w:t>Murdock, C.W., 2011. The Dodd-Frank Wall Street reform and consumer protection act: What caused the financial crisis and will Dodd-Frank prevent future crises. </w:t>
      </w:r>
      <w:r>
        <w:rPr>
          <w:i/>
          <w:iCs/>
        </w:rPr>
        <w:t>SMUL Rev.</w:t>
      </w:r>
      <w:r>
        <w:t>, </w:t>
      </w:r>
      <w:r>
        <w:rPr>
          <w:i/>
          <w:iCs/>
        </w:rPr>
        <w:t>64</w:t>
      </w:r>
      <w:r>
        <w:t>, p.1243.</w:t>
      </w:r>
      <w:r>
        <w:t xml:space="preserve"> </w:t>
      </w:r>
      <w:r>
        <w:rPr/>
        <w:fldChar w:fldCharType="begin"/>
      </w:r>
      <w:r>
        <w:instrText xml:space="preserve"> HYPERLINK "https://heinonline.org/hol-cgi-bin/get_pdf.cgi?handle=hein.journals/smulr64&amp;section=64" </w:instrText>
      </w:r>
      <w:r>
        <w:rPr/>
        <w:fldChar w:fldCharType="separate"/>
      </w:r>
      <w:r>
        <w:rPr>
          <w:rStyle w:val="style85"/>
        </w:rPr>
        <w:t>https://heinonline.org/hol-cgi-bin/get_pdf.cgi?handle=hein.journals/smulr64&amp;section=64</w:t>
      </w:r>
      <w:r>
        <w:rPr/>
        <w:fldChar w:fldCharType="end"/>
      </w:r>
    </w:p>
    <w:p>
      <w:pPr>
        <w:pStyle w:val="style0"/>
        <w:rPr/>
      </w:pPr>
      <w:r>
        <w:t xml:space="preserve">Nizam, E., Ng, A., </w:t>
      </w:r>
      <w:r>
        <w:t>Dewandaru</w:t>
      </w:r>
      <w:r>
        <w:t xml:space="preserve">, G., </w:t>
      </w:r>
      <w:r>
        <w:t>Nagayev</w:t>
      </w:r>
      <w:r>
        <w:t xml:space="preserve">, R. and </w:t>
      </w:r>
      <w:r>
        <w:t>Nkoba</w:t>
      </w:r>
      <w:r>
        <w:t xml:space="preserve">, M.A., 2019. The impact of social and environmental sustainability on financial performance: A global analysis of the banking </w:t>
      </w:r>
      <w:r>
        <w:t>sector. </w:t>
      </w:r>
      <w:r>
        <w:rPr>
          <w:i/>
          <w:iCs/>
        </w:rPr>
        <w:t>Journal of Multinational Financial Management</w:t>
      </w:r>
      <w:r>
        <w:t>, </w:t>
      </w:r>
      <w:r>
        <w:rPr>
          <w:i/>
          <w:iCs/>
        </w:rPr>
        <w:t>49</w:t>
      </w:r>
      <w:r>
        <w:t>, pp.35-53.</w:t>
      </w:r>
      <w:r>
        <w:t xml:space="preserve"> </w:t>
      </w:r>
      <w:r>
        <w:rPr/>
        <w:fldChar w:fldCharType="begin"/>
      </w:r>
      <w:r>
        <w:instrText xml:space="preserve"> HYPERLINK "https://www.sciencedirect.com/science/article/pii/S1042444X18300215" </w:instrText>
      </w:r>
      <w:r>
        <w:rPr/>
        <w:fldChar w:fldCharType="separate"/>
      </w:r>
      <w:r>
        <w:rPr>
          <w:rStyle w:val="style85"/>
        </w:rPr>
        <w:t>https://www.sciencedirect.com/science/article/pii/S1042444X18300215</w:t>
      </w:r>
      <w:r>
        <w:rPr/>
        <w:fldChar w:fldCharType="end"/>
      </w:r>
    </w:p>
    <w:p>
      <w:pPr>
        <w:pStyle w:val="style0"/>
        <w:rPr/>
      </w:pPr>
      <w:r>
        <w:t xml:space="preserve">Palau, A.M., Márquez, L.M. and </w:t>
      </w:r>
      <w:r>
        <w:t>Chaqués-Bonafont</w:t>
      </w:r>
      <w:r>
        <w:t>, L., 2017. Government–opposition dynamics in Spain under the pressure of economic collapse and the debt crisis. In </w:t>
      </w:r>
      <w:r>
        <w:rPr>
          <w:i/>
          <w:iCs/>
        </w:rPr>
        <w:t>Government-Opposition in Southern European Countries during the Economic Crisis</w:t>
      </w:r>
      <w:r>
        <w:t xml:space="preserve"> (pp. 75-95). Routledge. </w:t>
      </w:r>
      <w:r>
        <w:rPr/>
        <w:fldChar w:fldCharType="begin"/>
      </w:r>
      <w:r>
        <w:instrText xml:space="preserve"> HYPERLINK "https://www.taylorfrancis.com/chapters/edit/10.4324/9781315683829-5/government%E2%80%93opposition-dynamics-spain-pressure-economic-collapse-debt-crisis-anna-palau-luz-mu%C3%B1oz-m%C3%A1rquez-laura-chaqu%C3%A9s-bonafont" </w:instrText>
      </w:r>
      <w:r>
        <w:rPr/>
        <w:fldChar w:fldCharType="separate"/>
      </w:r>
      <w:r>
        <w:rPr>
          <w:rStyle w:val="style85"/>
        </w:rPr>
        <w:t>https://www.taylorfrancis.com/chapters/edit/10.4324/9781315683829-5/government%E2%80%93opposition-dynamics-spain-pressure-economic-collapse-debt-crisis-anna-palau-luz-mu%C3%B1oz-m%C3%A1rquez-laura-chaqu%C3%A9s-bonafont</w:t>
      </w:r>
      <w:r>
        <w:rPr/>
        <w:fldChar w:fldCharType="end"/>
      </w:r>
    </w:p>
    <w:p>
      <w:pPr>
        <w:pStyle w:val="style0"/>
        <w:rPr/>
      </w:pPr>
      <w:r>
        <w:t xml:space="preserve">Phan, D.H.B., Narayan, P.K., Rahman, R.E. and </w:t>
      </w:r>
      <w:r>
        <w:t>Hutabarat</w:t>
      </w:r>
      <w:r>
        <w:t xml:space="preserve">, A.R., 2020. Do financial technology firms influence bank </w:t>
      </w:r>
      <w:r>
        <w:t>performance?.</w:t>
      </w:r>
      <w:r>
        <w:t> </w:t>
      </w:r>
      <w:r>
        <w:rPr>
          <w:i/>
          <w:iCs/>
        </w:rPr>
        <w:t>Pacific-Basin finance journal</w:t>
      </w:r>
      <w:r>
        <w:t>, </w:t>
      </w:r>
      <w:r>
        <w:rPr>
          <w:i/>
          <w:iCs/>
        </w:rPr>
        <w:t>62</w:t>
      </w:r>
      <w:r>
        <w:t>, p.101210.</w:t>
      </w:r>
      <w:r>
        <w:t xml:space="preserve"> </w:t>
      </w:r>
      <w:r>
        <w:rPr/>
        <w:fldChar w:fldCharType="begin"/>
      </w:r>
      <w:r>
        <w:instrText xml:space="preserve"> HYPERLINK "https://www.sciencedirect.com/science/article/pii/S0927538X18305638" </w:instrText>
      </w:r>
      <w:r>
        <w:rPr/>
        <w:fldChar w:fldCharType="separate"/>
      </w:r>
      <w:r>
        <w:rPr>
          <w:rStyle w:val="style85"/>
        </w:rPr>
        <w:t>https://www.sciencedirect.com/science/article/pii/S0927538X18305638</w:t>
      </w:r>
      <w:r>
        <w:rPr/>
        <w:fldChar w:fldCharType="end"/>
      </w:r>
    </w:p>
    <w:p>
      <w:pPr>
        <w:pStyle w:val="style0"/>
        <w:rPr/>
      </w:pPr>
      <w:r>
        <w:t>Santana, M., Valle, R. and Galan, J.L., 2019. How national institutions limit turnaround strategies and human resource management: a comparative study in the airline industry. </w:t>
      </w:r>
      <w:r>
        <w:rPr>
          <w:i/>
          <w:iCs/>
        </w:rPr>
        <w:t>European Management Review</w:t>
      </w:r>
      <w:r>
        <w:t>, </w:t>
      </w:r>
      <w:r>
        <w:rPr>
          <w:i/>
          <w:iCs/>
        </w:rPr>
        <w:t>16</w:t>
      </w:r>
      <w:r>
        <w:t xml:space="preserve">(4), pp.923-935. </w:t>
      </w:r>
      <w:r>
        <w:rPr/>
        <w:fldChar w:fldCharType="begin"/>
      </w:r>
      <w:r>
        <w:instrText xml:space="preserve"> HYPERLINK "https://onlinelibrary.wiley.com/doi/abs/10.1111/emre.12177" </w:instrText>
      </w:r>
      <w:r>
        <w:rPr/>
        <w:fldChar w:fldCharType="separate"/>
      </w:r>
      <w:r>
        <w:rPr>
          <w:rStyle w:val="style85"/>
        </w:rPr>
        <w:t>https://onlinelibrary.wiley.com/doi/abs/10.1111/emre.12177</w:t>
      </w:r>
      <w:r>
        <w:rPr/>
        <w:fldChar w:fldCharType="end"/>
      </w:r>
    </w:p>
    <w:p>
      <w:pPr>
        <w:pStyle w:val="style0"/>
        <w:rPr/>
      </w:pPr>
      <w:r>
        <w:t>Soin</w:t>
      </w:r>
      <w:r>
        <w:t>, K. and Huber, C., 2013. The sedimentation of an institution: changing governance in UK financial services. </w:t>
      </w:r>
      <w:r>
        <w:rPr>
          <w:i/>
          <w:iCs/>
        </w:rPr>
        <w:t>Journal of Management Inquiry</w:t>
      </w:r>
      <w:r>
        <w:t>, </w:t>
      </w:r>
      <w:r>
        <w:rPr>
          <w:i/>
          <w:iCs/>
        </w:rPr>
        <w:t>22</w:t>
      </w:r>
      <w:r>
        <w:t>(3), pp.260-280.</w:t>
      </w:r>
      <w:r>
        <w:t xml:space="preserve"> </w:t>
      </w:r>
      <w:r>
        <w:rPr/>
        <w:fldChar w:fldCharType="begin"/>
      </w:r>
      <w:r>
        <w:instrText xml:space="preserve"> HYPERLINK "https://journals.sagepub.com/doi/pdf/10.1177/1056492612467510" </w:instrText>
      </w:r>
      <w:r>
        <w:rPr/>
        <w:fldChar w:fldCharType="separate"/>
      </w:r>
      <w:r>
        <w:rPr>
          <w:rStyle w:val="style85"/>
        </w:rPr>
        <w:t>https://journals.sagepub.com/doi/pdf/10.1177/1056492612467510</w:t>
      </w:r>
      <w:r>
        <w:rPr/>
        <w:fldChar w:fldCharType="end"/>
      </w:r>
    </w:p>
    <w:p>
      <w:pPr>
        <w:pStyle w:val="style0"/>
        <w:rPr/>
      </w:pPr>
      <w:r>
        <w:t xml:space="preserve">Tanaka, K., </w:t>
      </w:r>
      <w:r>
        <w:t>Kinkyo</w:t>
      </w:r>
      <w:r>
        <w:t xml:space="preserve">, T. and </w:t>
      </w:r>
      <w:r>
        <w:t>Hamori</w:t>
      </w:r>
      <w:r>
        <w:t xml:space="preserve">, S., 2018. Financial hazard map: Financial vulnerability predicted by a random </w:t>
      </w:r>
      <w:r>
        <w:t>forests</w:t>
      </w:r>
      <w:r>
        <w:t xml:space="preserve"> classification model. </w:t>
      </w:r>
      <w:r>
        <w:rPr>
          <w:i/>
          <w:iCs/>
        </w:rPr>
        <w:t>Sustainability</w:t>
      </w:r>
      <w:r>
        <w:t>, </w:t>
      </w:r>
      <w:r>
        <w:rPr>
          <w:i/>
          <w:iCs/>
        </w:rPr>
        <w:t>10</w:t>
      </w:r>
      <w:r>
        <w:t>(5), p.1530.</w:t>
      </w:r>
      <w:r>
        <w:t xml:space="preserve"> </w:t>
      </w:r>
      <w:r>
        <w:rPr/>
        <w:fldChar w:fldCharType="begin"/>
      </w:r>
      <w:r>
        <w:instrText xml:space="preserve"> HYPERLINK "https://www.mdpi.com/291598" </w:instrText>
      </w:r>
      <w:r>
        <w:rPr/>
        <w:fldChar w:fldCharType="separate"/>
      </w:r>
      <w:r>
        <w:rPr>
          <w:rStyle w:val="style85"/>
        </w:rPr>
        <w:t>https://www.mdpi.com/291598</w:t>
      </w:r>
      <w:r>
        <w:rPr/>
        <w:fldChar w:fldCharType="end"/>
      </w:r>
    </w:p>
    <w:p>
      <w:pPr>
        <w:pStyle w:val="style0"/>
        <w:rPr>
          <w:lang w:val="en-IN"/>
        </w:rPr>
      </w:pPr>
      <w:r>
        <w:rPr>
          <w:lang w:val="en-IN"/>
        </w:rPr>
        <w:t xml:space="preserve">Team, W. (2022) </w:t>
      </w:r>
      <w:r>
        <w:rPr>
          <w:i/>
          <w:iCs/>
          <w:lang w:val="en-IN"/>
        </w:rPr>
        <w:t>Behavioral</w:t>
      </w:r>
      <w:r>
        <w:rPr>
          <w:i/>
          <w:iCs/>
          <w:lang w:val="en-IN"/>
        </w:rPr>
        <w:t xml:space="preserve"> finance</w:t>
      </w:r>
      <w:r>
        <w:rPr>
          <w:lang w:val="en-IN"/>
        </w:rPr>
        <w:t xml:space="preserve">, </w:t>
      </w:r>
      <w:r>
        <w:rPr>
          <w:i/>
          <w:iCs/>
          <w:lang w:val="en-IN"/>
        </w:rPr>
        <w:t>WallStreetMojo</w:t>
      </w:r>
      <w:r>
        <w:rPr>
          <w:lang w:val="en-IN"/>
        </w:rPr>
        <w:t xml:space="preserve">. Available at: </w:t>
      </w:r>
      <w:r>
        <w:rPr/>
        <w:fldChar w:fldCharType="begin"/>
      </w:r>
      <w:r>
        <w:instrText xml:space="preserve"> HYPERLINK "https://www.wallstreetmojo.com/behavioral-finance/" </w:instrText>
      </w:r>
      <w:r>
        <w:rPr/>
        <w:fldChar w:fldCharType="separate"/>
      </w:r>
      <w:r>
        <w:rPr>
          <w:rStyle w:val="style85"/>
          <w:lang w:val="en-IN"/>
        </w:rPr>
        <w:t>https://www.wallstreetmojo.com/behavioral-finance/</w:t>
      </w:r>
      <w:r>
        <w:rPr/>
        <w:fldChar w:fldCharType="end"/>
      </w:r>
    </w:p>
    <w:p>
      <w:pPr>
        <w:pStyle w:val="style0"/>
        <w:rPr/>
      </w:pPr>
      <w:r>
        <w:t xml:space="preserve">The Telegraph (2008) </w:t>
      </w:r>
      <w:r>
        <w:rPr>
          <w:i/>
          <w:iCs/>
        </w:rPr>
        <w:t>Financial crisis: UK job losses</w:t>
      </w:r>
      <w:r>
        <w:t xml:space="preserve">, </w:t>
      </w:r>
      <w:r>
        <w:rPr>
          <w:i/>
          <w:iCs/>
        </w:rPr>
        <w:t>The Telegraph</w:t>
      </w:r>
      <w:r>
        <w:t xml:space="preserve">. Telegraph Media Group. Available at: https://www.telegraph.co.uk/finance/financialcrisis/3542572/Financial-crisis-UK-job-losses.html (Accessed: April 11, 2023). </w:t>
      </w:r>
    </w:p>
    <w:p>
      <w:pPr>
        <w:pStyle w:val="style0"/>
        <w:rPr/>
      </w:pPr>
      <w:r>
        <w:t xml:space="preserve">Van </w:t>
      </w:r>
      <w:r>
        <w:t>Aaken</w:t>
      </w:r>
      <w:r>
        <w:t>, A. and Kurtz, J., 2009. Prudence or discrimination? Emergency measures, the global financial crisis and international economic law. </w:t>
      </w:r>
      <w:r>
        <w:rPr>
          <w:i/>
          <w:iCs/>
        </w:rPr>
        <w:t>Journal of International Economic Law</w:t>
      </w:r>
      <w:r>
        <w:t>, </w:t>
      </w:r>
      <w:r>
        <w:rPr>
          <w:i/>
          <w:iCs/>
        </w:rPr>
        <w:t>12</w:t>
      </w:r>
      <w:r>
        <w:t xml:space="preserve">(4), pp.859-894. </w:t>
      </w:r>
      <w:r>
        <w:rPr/>
        <w:fldChar w:fldCharType="begin"/>
      </w:r>
      <w:r>
        <w:instrText xml:space="preserve"> HYPERLINK "https://academic.oup.com/jiel/article-abstract/12/4/859/2193552" </w:instrText>
      </w:r>
      <w:r>
        <w:rPr/>
        <w:fldChar w:fldCharType="separate"/>
      </w:r>
      <w:r>
        <w:rPr>
          <w:rStyle w:val="style85"/>
        </w:rPr>
        <w:t>https://academic.oup.com/jiel/article-abstract/12/4/859/2193552</w:t>
      </w:r>
      <w:r>
        <w:rPr/>
        <w:fldChar w:fldCharType="end"/>
      </w:r>
    </w:p>
    <w:p>
      <w:pPr>
        <w:pStyle w:val="style0"/>
        <w:rPr>
          <w:rStyle w:val="style85"/>
        </w:rPr>
      </w:pPr>
      <w:r>
        <w:t>Vassilopoulou</w:t>
      </w:r>
      <w:r>
        <w:t xml:space="preserve">, J., </w:t>
      </w:r>
      <w:r>
        <w:t>Kyriakidou</w:t>
      </w:r>
      <w:r>
        <w:t xml:space="preserve">, O., Da Rocha, J.P., </w:t>
      </w:r>
      <w:r>
        <w:t>Georgiadou</w:t>
      </w:r>
      <w:r>
        <w:t xml:space="preserve">, A. and </w:t>
      </w:r>
      <w:r>
        <w:t>Mor</w:t>
      </w:r>
      <w:r>
        <w:t xml:space="preserve"> Barak, M., 2019. International perspectives on securing human and social rights and diversity gains at work in the aftermath of the global economic crisis and in times of austerity. </w:t>
      </w:r>
      <w:r>
        <w:rPr>
          <w:i/>
          <w:iCs/>
        </w:rPr>
        <w:t>European Management Review</w:t>
      </w:r>
      <w:r>
        <w:t>, </w:t>
      </w:r>
      <w:r>
        <w:rPr>
          <w:i/>
          <w:iCs/>
        </w:rPr>
        <w:t>16</w:t>
      </w:r>
      <w:r>
        <w:t xml:space="preserve">(4), pp.837-845. </w:t>
      </w:r>
      <w:r>
        <w:rPr/>
        <w:fldChar w:fldCharType="begin"/>
      </w:r>
      <w:r>
        <w:instrText xml:space="preserve"> HYPERLINK "https://onlinelibrary.wiley.com/doi/abs/10.1111/emre.12333" </w:instrText>
      </w:r>
      <w:r>
        <w:rPr/>
        <w:fldChar w:fldCharType="separate"/>
      </w:r>
      <w:r>
        <w:rPr>
          <w:rStyle w:val="style85"/>
        </w:rPr>
        <w:t>https://onlinelibrary.wiley.com/doi/abs/10.1111/emre.12333</w:t>
      </w:r>
      <w:r>
        <w:rPr/>
        <w:fldChar w:fldCharType="end"/>
      </w:r>
    </w:p>
    <w:p>
      <w:pPr>
        <w:pStyle w:val="style0"/>
        <w:rPr/>
      </w:pPr>
      <w:r>
        <w:t xml:space="preserve">Verma, S., </w:t>
      </w:r>
      <w:r>
        <w:t>Chaurasia</w:t>
      </w:r>
      <w:r>
        <w:t>, S.S. and Bhattacharyya, S.S., 2020. The effect of government regulations on continuance intention of in-store proximity mobile payment services. </w:t>
      </w:r>
      <w:r>
        <w:rPr>
          <w:i/>
          <w:iCs/>
        </w:rPr>
        <w:t>International Journal of Bank Marketing</w:t>
      </w:r>
      <w:r>
        <w:t>, </w:t>
      </w:r>
      <w:r>
        <w:rPr>
          <w:i/>
          <w:iCs/>
        </w:rPr>
        <w:t>38</w:t>
      </w:r>
      <w:r>
        <w:t>(1), pp.34-62.</w:t>
      </w:r>
      <w:r>
        <w:t xml:space="preserve"> </w:t>
      </w:r>
      <w:r>
        <w:rPr/>
        <w:fldChar w:fldCharType="begin"/>
      </w:r>
      <w:r>
        <w:instrText xml:space="preserve"> HYPERLINK "https://www.emerald.com/insight/content/doi/10.1108/IJBM-10-2018-0279/full/html" </w:instrText>
      </w:r>
      <w:r>
        <w:rPr/>
        <w:fldChar w:fldCharType="separate"/>
      </w:r>
      <w:r>
        <w:rPr>
          <w:rStyle w:val="style85"/>
        </w:rPr>
        <w:t>https://www.emerald.com/insight/content/doi/10.1108/IJBM-10-2018-0279/full/html</w:t>
      </w:r>
      <w:r>
        <w:rPr/>
        <w:fldChar w:fldCharType="end"/>
      </w:r>
    </w:p>
    <w:p>
      <w:pPr>
        <w:pStyle w:val="style0"/>
        <w:rPr/>
      </w:pPr>
    </w:p>
    <w:p>
      <w:pPr>
        <w:pStyle w:val="style0"/>
        <w:rPr/>
      </w:pP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929297C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1">
    <w:nsid w:val="00000001"/>
    <w:multiLevelType w:val="multilevel"/>
    <w:tmpl w:val="972E35C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2">
    <w:nsid w:val="00000002"/>
    <w:multiLevelType w:val="multilevel"/>
    <w:tmpl w:val="CF0C81F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3">
    <w:nsid w:val="00000003"/>
    <w:multiLevelType w:val="multilevel"/>
    <w:tmpl w:val="E8580AF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4">
    <w:nsid w:val="00000004"/>
    <w:multiLevelType w:val="multilevel"/>
    <w:tmpl w:val="FCA4E9E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lang w:val="en-GB"/>
    </w:rPr>
  </w:style>
  <w:style w:type="paragraph" w:styleId="style1">
    <w:name w:val="heading 1"/>
    <w:basedOn w:val="style0"/>
    <w:next w:val="style0"/>
    <w:link w:val="style4097"/>
    <w:qFormat/>
    <w:uiPriority w:val="9"/>
    <w:pPr>
      <w:keepNext/>
      <w:keepLines/>
      <w:spacing w:before="240" w:after="0"/>
      <w:outlineLvl w:val="0"/>
    </w:pPr>
    <w:rPr>
      <w:rFonts w:cs="宋体" w:eastAsia="宋体"/>
      <w:b/>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szCs w:val="24"/>
      <w:lang w:val="en-U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b5b6368c-3206-4629-9387-9c84fb8d8505"/>
    <w:basedOn w:val="style65"/>
    <w:next w:val="style4097"/>
    <w:link w:val="style1"/>
    <w:uiPriority w:val="9"/>
    <w:rPr>
      <w:rFonts w:ascii="Times New Roman" w:cs="宋体" w:eastAsia="宋体" w:hAnsi="Times New Roman"/>
      <w:b/>
      <w:sz w:val="24"/>
      <w:szCs w:val="32"/>
      <w:lang w:val="en-GB"/>
    </w:rPr>
  </w:style>
  <w:style w:type="character" w:customStyle="1" w:styleId="style4098">
    <w:name w:val="Heading 2 Char_23fbee09-6769-4d68-b25a-a7cf4a745b2a"/>
    <w:basedOn w:val="style65"/>
    <w:next w:val="style4098"/>
    <w:link w:val="style2"/>
    <w:uiPriority w:val="9"/>
    <w:rPr>
      <w:rFonts w:ascii="Times New Roman" w:cs="宋体" w:eastAsia="宋体" w:hAnsi="Times New Roman"/>
      <w:b/>
      <w:sz w:val="24"/>
      <w:szCs w:val="24"/>
    </w:rPr>
  </w:style>
  <w:style w:type="paragraph" w:styleId="style34">
    <w:name w:val="caption"/>
    <w:basedOn w:val="style0"/>
    <w:next w:val="style0"/>
    <w:qFormat/>
    <w:uiPriority w:val="35"/>
    <w:pPr>
      <w:spacing w:after="200"/>
      <w:jc w:val="center"/>
    </w:pPr>
    <w:rPr>
      <w:rFonts w:cs="Times New Roman" w:eastAsia="Times New Roman"/>
      <w:b/>
      <w:iCs/>
      <w:szCs w:val="18"/>
    </w:rPr>
  </w:style>
  <w:style w:type="character" w:styleId="style85">
    <w:name w:val="Hyperlink"/>
    <w:basedOn w:val="style65"/>
    <w:next w:val="style85"/>
    <w:uiPriority w:val="99"/>
    <w:rPr>
      <w:color w:val="0563c1"/>
      <w:u w:val="single"/>
    </w:rPr>
  </w:style>
  <w:style w:type="character" w:customStyle="1" w:styleId="style4099">
    <w:name w:val="Unresolved Mention"/>
    <w:basedOn w:val="style65"/>
    <w:next w:val="style4099"/>
    <w:uiPriority w:val="99"/>
    <w:rPr>
      <w:color w:val="605e5c"/>
      <w:shd w:val="clear" w:color="auto" w:fill="e1dfdd"/>
    </w:rPr>
  </w:style>
  <w:style w:type="paragraph" w:styleId="style31">
    <w:name w:val="header"/>
    <w:basedOn w:val="style0"/>
    <w:next w:val="style31"/>
    <w:link w:val="style4100"/>
    <w:uiPriority w:val="99"/>
    <w:pPr>
      <w:tabs>
        <w:tab w:val="center" w:leader="none" w:pos="4513"/>
        <w:tab w:val="right" w:leader="none" w:pos="9026"/>
      </w:tabs>
      <w:spacing w:after="0" w:lineRule="auto" w:line="240"/>
    </w:pPr>
    <w:rPr/>
  </w:style>
  <w:style w:type="character" w:customStyle="1" w:styleId="style4100">
    <w:name w:val="Header Char_63fa39ba-605d-424f-8bfc-7f8f570b8017"/>
    <w:basedOn w:val="style65"/>
    <w:next w:val="style4100"/>
    <w:link w:val="style31"/>
    <w:uiPriority w:val="99"/>
    <w:rPr>
      <w:rFonts w:ascii="Times New Roman" w:hAnsi="Times New Roman"/>
      <w:sz w:val="24"/>
      <w:lang w:val="en-GB"/>
    </w:rPr>
  </w:style>
  <w:style w:type="paragraph" w:styleId="style32">
    <w:name w:val="footer"/>
    <w:basedOn w:val="style0"/>
    <w:next w:val="style32"/>
    <w:link w:val="style4101"/>
    <w:uiPriority w:val="99"/>
    <w:pPr>
      <w:tabs>
        <w:tab w:val="center" w:leader="none" w:pos="4513"/>
        <w:tab w:val="right" w:leader="none" w:pos="9026"/>
      </w:tabs>
      <w:spacing w:after="0" w:lineRule="auto" w:line="240"/>
    </w:pPr>
    <w:rPr/>
  </w:style>
  <w:style w:type="character" w:customStyle="1" w:styleId="style4101">
    <w:name w:val="Footer Char_603b5754-7aa8-4e6e-9d92-8e525e053fa2"/>
    <w:basedOn w:val="style65"/>
    <w:next w:val="style4101"/>
    <w:link w:val="style32"/>
    <w:uiPriority w:val="99"/>
    <w:rPr>
      <w:rFonts w:ascii="Times New Roman" w:hAnsi="Times New Roman"/>
      <w:sz w:val="24"/>
      <w:lang w:val="en-GB"/>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f5496"/>
      <w:sz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jpeg"/><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image" Target="media/image2.png"/><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9490F-0652-43DD-A92F-F8A7938EF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6307</Words>
  <Pages>23</Pages>
  <Characters>40191</Characters>
  <Application>WPS Office</Application>
  <DocSecurity>0</DocSecurity>
  <Paragraphs>127</Paragraphs>
  <ScaleCrop>false</ScaleCrop>
  <LinksUpToDate>false</LinksUpToDate>
  <CharactersWithSpaces>46463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2023-04-14T09:07:11Z</dcterms:created>
  <dc:creator>Aveek Kundu</dc:creator>
  <lastModifiedBy>Redmi Note 9 Pro Max</lastModifiedBy>
  <dcterms:modified xsi:type="dcterms:W3CDTF">2023-04-14T09:07:11Z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22796ca42b554615b8b0d97b1f2bc005</vt:lpwstr>
  </property>
</Properties>
</file>