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36EF7" w14:textId="77777777" w:rsidR="009A4CC1" w:rsidRDefault="009A4CC1" w:rsidP="009A4CC1">
      <w:pPr>
        <w:pStyle w:val="Heading4"/>
        <w:spacing w:line="360" w:lineRule="auto"/>
        <w:jc w:val="both"/>
        <w:rPr>
          <w:rFonts w:cs="Arial"/>
          <w:b/>
          <w:color w:val="000000"/>
        </w:rPr>
      </w:pPr>
    </w:p>
    <w:p w14:paraId="439304F3" w14:textId="79414AC4" w:rsidR="009A4CC1" w:rsidRDefault="009A4CC1" w:rsidP="009A4CC1">
      <w:pPr>
        <w:pStyle w:val="Heading4"/>
        <w:spacing w:line="360" w:lineRule="auto"/>
        <w:jc w:val="both"/>
        <w:rPr>
          <w:rFonts w:cs="Arial"/>
          <w:b/>
          <w:i w:val="0"/>
          <w:iCs w:val="0"/>
          <w:color w:val="000000"/>
        </w:rPr>
      </w:pPr>
      <w:r>
        <w:rPr>
          <w:rFonts w:cs="Arial"/>
          <w:b/>
          <w:i w:val="0"/>
          <w:iCs w:val="0"/>
          <w:color w:val="000000"/>
        </w:rPr>
        <w:t xml:space="preserve">STUDENT </w:t>
      </w:r>
      <w:proofErr w:type="gramStart"/>
      <w:r>
        <w:rPr>
          <w:rFonts w:cs="Arial"/>
          <w:b/>
          <w:i w:val="0"/>
          <w:iCs w:val="0"/>
          <w:color w:val="000000"/>
        </w:rPr>
        <w:t>NAME :</w:t>
      </w:r>
      <w:proofErr w:type="gramEnd"/>
      <w:r>
        <w:rPr>
          <w:rFonts w:cs="Arial"/>
          <w:b/>
          <w:i w:val="0"/>
          <w:iCs w:val="0"/>
          <w:color w:val="000000"/>
        </w:rPr>
        <w:t xml:space="preserve"> ARPITA CHAUDHARY</w:t>
      </w:r>
    </w:p>
    <w:p w14:paraId="58DE2B27" w14:textId="4B65A70D" w:rsidR="009A4CC1" w:rsidRPr="009A4CC1" w:rsidRDefault="009A4CC1" w:rsidP="009A4CC1">
      <w:r>
        <w:t xml:space="preserve">STUDENT </w:t>
      </w:r>
      <w:proofErr w:type="gramStart"/>
      <w:r>
        <w:t>NUMBWR :</w:t>
      </w:r>
      <w:proofErr w:type="gramEnd"/>
      <w:r>
        <w:t xml:space="preserve"> 2432245</w:t>
      </w:r>
    </w:p>
    <w:p w14:paraId="5EB95C5B" w14:textId="77777777" w:rsidR="009A4CC1" w:rsidRDefault="009A4CC1" w:rsidP="009A4CC1">
      <w:pPr>
        <w:pStyle w:val="Heading4"/>
        <w:spacing w:line="360" w:lineRule="auto"/>
        <w:jc w:val="both"/>
        <w:rPr>
          <w:rFonts w:cs="Arial"/>
          <w:b/>
          <w:color w:val="000000"/>
        </w:rPr>
      </w:pPr>
    </w:p>
    <w:p w14:paraId="411E3509" w14:textId="77777777" w:rsidR="009A4CC1" w:rsidRDefault="009A4CC1" w:rsidP="009A4CC1">
      <w:pPr>
        <w:pStyle w:val="Heading4"/>
        <w:spacing w:line="360" w:lineRule="auto"/>
        <w:jc w:val="both"/>
        <w:rPr>
          <w:rFonts w:cs="Arial"/>
          <w:b/>
          <w:color w:val="000000"/>
        </w:rPr>
      </w:pPr>
    </w:p>
    <w:p w14:paraId="012BC44D" w14:textId="77777777" w:rsidR="009A4CC1" w:rsidRDefault="009A4CC1" w:rsidP="009A4CC1">
      <w:pPr>
        <w:pStyle w:val="Heading4"/>
        <w:spacing w:line="360" w:lineRule="auto"/>
        <w:jc w:val="both"/>
        <w:rPr>
          <w:rFonts w:cs="Arial"/>
          <w:b/>
          <w:color w:val="000000"/>
        </w:rPr>
      </w:pPr>
    </w:p>
    <w:p w14:paraId="00DD738B" w14:textId="77777777" w:rsidR="009A4CC1" w:rsidRDefault="009A4CC1" w:rsidP="009A4CC1">
      <w:pPr>
        <w:pStyle w:val="Heading4"/>
        <w:spacing w:line="360" w:lineRule="auto"/>
        <w:jc w:val="both"/>
        <w:rPr>
          <w:rFonts w:cs="Arial"/>
          <w:b/>
          <w:color w:val="000000"/>
        </w:rPr>
      </w:pPr>
    </w:p>
    <w:p w14:paraId="69ECBFA8" w14:textId="77777777" w:rsidR="009A4CC1" w:rsidRDefault="009A4CC1" w:rsidP="009A4CC1">
      <w:pPr>
        <w:pStyle w:val="Heading4"/>
        <w:spacing w:line="360" w:lineRule="auto"/>
        <w:jc w:val="both"/>
        <w:rPr>
          <w:rFonts w:cs="Arial"/>
          <w:b/>
          <w:color w:val="000000"/>
        </w:rPr>
      </w:pPr>
    </w:p>
    <w:p w14:paraId="161A0FE5" w14:textId="77777777" w:rsidR="009A4CC1" w:rsidRDefault="009A4CC1" w:rsidP="009A4CC1">
      <w:pPr>
        <w:pStyle w:val="Heading4"/>
        <w:spacing w:line="360" w:lineRule="auto"/>
        <w:jc w:val="both"/>
        <w:rPr>
          <w:rFonts w:cs="Arial"/>
          <w:b/>
          <w:color w:val="000000"/>
        </w:rPr>
      </w:pPr>
    </w:p>
    <w:p w14:paraId="41FC2305" w14:textId="77777777" w:rsidR="009A4CC1" w:rsidRDefault="009A4CC1" w:rsidP="009A4CC1">
      <w:pPr>
        <w:pStyle w:val="Heading4"/>
        <w:spacing w:line="360" w:lineRule="auto"/>
        <w:jc w:val="both"/>
        <w:rPr>
          <w:rFonts w:cs="Arial"/>
          <w:b/>
          <w:color w:val="000000"/>
        </w:rPr>
      </w:pPr>
    </w:p>
    <w:p w14:paraId="074766E7" w14:textId="77777777" w:rsidR="009A4CC1" w:rsidRDefault="009A4CC1" w:rsidP="009A4CC1">
      <w:pPr>
        <w:pStyle w:val="Heading4"/>
        <w:spacing w:line="360" w:lineRule="auto"/>
        <w:jc w:val="both"/>
        <w:rPr>
          <w:rFonts w:cs="Arial"/>
          <w:b/>
          <w:color w:val="000000"/>
        </w:rPr>
      </w:pPr>
    </w:p>
    <w:p w14:paraId="076211DF" w14:textId="77777777" w:rsidR="009A4CC1" w:rsidRDefault="009A4CC1" w:rsidP="009A4CC1">
      <w:pPr>
        <w:pStyle w:val="Heading4"/>
        <w:spacing w:line="360" w:lineRule="auto"/>
        <w:jc w:val="both"/>
        <w:rPr>
          <w:rFonts w:cs="Arial"/>
          <w:b/>
          <w:color w:val="000000"/>
        </w:rPr>
      </w:pPr>
    </w:p>
    <w:p w14:paraId="33E6B756" w14:textId="77777777" w:rsidR="009A4CC1" w:rsidRDefault="009A4CC1" w:rsidP="009A4CC1">
      <w:pPr>
        <w:pStyle w:val="Heading4"/>
        <w:spacing w:line="360" w:lineRule="auto"/>
        <w:jc w:val="both"/>
        <w:rPr>
          <w:rFonts w:cs="Arial"/>
          <w:b/>
          <w:color w:val="000000"/>
        </w:rPr>
      </w:pPr>
    </w:p>
    <w:p w14:paraId="5FE41B66" w14:textId="77777777" w:rsidR="009A4CC1" w:rsidRDefault="009A4CC1" w:rsidP="009A4CC1">
      <w:pPr>
        <w:pStyle w:val="Heading4"/>
        <w:spacing w:line="360" w:lineRule="auto"/>
        <w:jc w:val="both"/>
        <w:rPr>
          <w:rFonts w:cs="Arial"/>
          <w:b/>
          <w:color w:val="000000"/>
        </w:rPr>
      </w:pPr>
    </w:p>
    <w:p w14:paraId="7C0AE6DD" w14:textId="77777777" w:rsidR="009A4CC1" w:rsidRDefault="009A4CC1" w:rsidP="009A4CC1">
      <w:pPr>
        <w:pStyle w:val="Heading4"/>
        <w:spacing w:line="360" w:lineRule="auto"/>
        <w:jc w:val="both"/>
        <w:rPr>
          <w:rFonts w:cs="Arial"/>
          <w:b/>
          <w:color w:val="000000"/>
        </w:rPr>
      </w:pPr>
    </w:p>
    <w:p w14:paraId="5D522D80" w14:textId="77777777" w:rsidR="009A4CC1" w:rsidRDefault="009A4CC1" w:rsidP="009A4CC1">
      <w:pPr>
        <w:pStyle w:val="Heading4"/>
        <w:spacing w:line="360" w:lineRule="auto"/>
        <w:jc w:val="both"/>
        <w:rPr>
          <w:rFonts w:cs="Arial"/>
          <w:b/>
          <w:color w:val="000000"/>
        </w:rPr>
      </w:pPr>
    </w:p>
    <w:p w14:paraId="3A12BF22" w14:textId="77777777" w:rsidR="009A4CC1" w:rsidRDefault="009A4CC1" w:rsidP="009A4CC1">
      <w:pPr>
        <w:pStyle w:val="Heading4"/>
        <w:spacing w:line="360" w:lineRule="auto"/>
        <w:jc w:val="both"/>
        <w:rPr>
          <w:rFonts w:cs="Arial"/>
          <w:b/>
          <w:color w:val="000000"/>
        </w:rPr>
      </w:pPr>
    </w:p>
    <w:p w14:paraId="096B7F8E" w14:textId="77777777" w:rsidR="009A4CC1" w:rsidRDefault="009A4CC1" w:rsidP="009A4CC1">
      <w:pPr>
        <w:pStyle w:val="Heading4"/>
        <w:spacing w:line="360" w:lineRule="auto"/>
        <w:jc w:val="both"/>
        <w:rPr>
          <w:rFonts w:cs="Arial"/>
          <w:b/>
          <w:color w:val="000000"/>
        </w:rPr>
      </w:pPr>
    </w:p>
    <w:p w14:paraId="07B2FC61" w14:textId="77777777" w:rsidR="009A4CC1" w:rsidRDefault="009A4CC1" w:rsidP="009A4CC1">
      <w:pPr>
        <w:pStyle w:val="Heading4"/>
        <w:spacing w:line="360" w:lineRule="auto"/>
        <w:jc w:val="both"/>
        <w:rPr>
          <w:rFonts w:cs="Arial"/>
          <w:b/>
          <w:color w:val="000000"/>
        </w:rPr>
      </w:pPr>
    </w:p>
    <w:p w14:paraId="355D4590" w14:textId="77777777" w:rsidR="009A4CC1" w:rsidRDefault="009A4CC1" w:rsidP="009A4CC1">
      <w:pPr>
        <w:pStyle w:val="Heading4"/>
        <w:spacing w:line="360" w:lineRule="auto"/>
        <w:jc w:val="both"/>
        <w:rPr>
          <w:rFonts w:cs="Arial"/>
          <w:b/>
          <w:color w:val="000000"/>
        </w:rPr>
      </w:pPr>
    </w:p>
    <w:p w14:paraId="4FA1D203" w14:textId="77777777" w:rsidR="009A4CC1" w:rsidRDefault="009A4CC1" w:rsidP="009A4CC1">
      <w:pPr>
        <w:pStyle w:val="Heading4"/>
        <w:spacing w:line="360" w:lineRule="auto"/>
        <w:jc w:val="both"/>
        <w:rPr>
          <w:rFonts w:cs="Arial"/>
          <w:b/>
          <w:color w:val="000000"/>
        </w:rPr>
      </w:pPr>
    </w:p>
    <w:p w14:paraId="1608A741" w14:textId="77777777" w:rsidR="009A4CC1" w:rsidRDefault="009A4CC1" w:rsidP="009A4CC1">
      <w:pPr>
        <w:pStyle w:val="Heading4"/>
        <w:spacing w:line="360" w:lineRule="auto"/>
        <w:jc w:val="both"/>
        <w:rPr>
          <w:rFonts w:cs="Arial"/>
          <w:b/>
          <w:color w:val="000000"/>
        </w:rPr>
      </w:pPr>
    </w:p>
    <w:p w14:paraId="11D3DBDB" w14:textId="77777777" w:rsidR="009A4CC1" w:rsidRDefault="009A4CC1" w:rsidP="009A4CC1">
      <w:pPr>
        <w:pStyle w:val="Heading4"/>
        <w:spacing w:line="360" w:lineRule="auto"/>
        <w:jc w:val="both"/>
        <w:rPr>
          <w:rFonts w:cs="Arial"/>
          <w:b/>
          <w:color w:val="000000"/>
        </w:rPr>
      </w:pPr>
    </w:p>
    <w:p w14:paraId="0AAE9FAF" w14:textId="77777777" w:rsidR="009A4CC1" w:rsidRDefault="009A4CC1" w:rsidP="009A4CC1">
      <w:pPr>
        <w:pStyle w:val="Heading4"/>
        <w:spacing w:line="360" w:lineRule="auto"/>
        <w:jc w:val="both"/>
        <w:rPr>
          <w:rFonts w:cs="Arial"/>
          <w:b/>
          <w:color w:val="000000"/>
        </w:rPr>
      </w:pPr>
    </w:p>
    <w:p w14:paraId="30AA9FB4" w14:textId="77777777" w:rsidR="009A4CC1" w:rsidRDefault="009A4CC1" w:rsidP="009A4CC1">
      <w:pPr>
        <w:pStyle w:val="Heading4"/>
        <w:spacing w:line="360" w:lineRule="auto"/>
        <w:jc w:val="both"/>
        <w:rPr>
          <w:rFonts w:cs="Arial"/>
          <w:b/>
          <w:color w:val="000000"/>
        </w:rPr>
      </w:pPr>
    </w:p>
    <w:p w14:paraId="2F13F44C" w14:textId="77777777" w:rsidR="009A4CC1" w:rsidRDefault="009A4CC1" w:rsidP="009A4CC1">
      <w:pPr>
        <w:pStyle w:val="Heading4"/>
        <w:spacing w:line="360" w:lineRule="auto"/>
        <w:jc w:val="both"/>
        <w:rPr>
          <w:rFonts w:cs="Arial"/>
          <w:b/>
          <w:color w:val="000000"/>
        </w:rPr>
      </w:pPr>
    </w:p>
    <w:p w14:paraId="49784E12" w14:textId="77777777" w:rsidR="009A4CC1" w:rsidRDefault="009A4CC1" w:rsidP="009A4CC1">
      <w:pPr>
        <w:pStyle w:val="Heading4"/>
        <w:spacing w:line="360" w:lineRule="auto"/>
        <w:jc w:val="both"/>
        <w:rPr>
          <w:rFonts w:cs="Arial"/>
          <w:b/>
          <w:color w:val="000000"/>
        </w:rPr>
      </w:pPr>
    </w:p>
    <w:p w14:paraId="718EB52B" w14:textId="77777777" w:rsidR="009A4CC1" w:rsidRDefault="009A4CC1" w:rsidP="009A4CC1">
      <w:pPr>
        <w:pStyle w:val="Heading4"/>
        <w:spacing w:line="360" w:lineRule="auto"/>
        <w:jc w:val="both"/>
        <w:rPr>
          <w:rFonts w:cs="Arial"/>
          <w:b/>
          <w:color w:val="000000"/>
        </w:rPr>
      </w:pPr>
    </w:p>
    <w:p w14:paraId="5F1ACF2A" w14:textId="77777777" w:rsidR="009A4CC1" w:rsidRDefault="009A4CC1" w:rsidP="009A4CC1">
      <w:pPr>
        <w:pStyle w:val="Heading4"/>
        <w:spacing w:line="360" w:lineRule="auto"/>
        <w:jc w:val="both"/>
        <w:rPr>
          <w:rFonts w:cs="Arial"/>
          <w:b/>
          <w:color w:val="000000"/>
        </w:rPr>
      </w:pPr>
    </w:p>
    <w:p w14:paraId="305FA8E2" w14:textId="77777777" w:rsidR="009A4CC1" w:rsidRDefault="009A4CC1" w:rsidP="009A4CC1">
      <w:pPr>
        <w:pStyle w:val="Heading4"/>
        <w:spacing w:line="360" w:lineRule="auto"/>
        <w:jc w:val="both"/>
        <w:rPr>
          <w:rFonts w:cs="Arial"/>
          <w:b/>
          <w:color w:val="000000"/>
        </w:rPr>
      </w:pPr>
    </w:p>
    <w:p w14:paraId="5D032BE2" w14:textId="77777777" w:rsidR="009A4CC1" w:rsidRDefault="009A4CC1" w:rsidP="009A4CC1">
      <w:pPr>
        <w:pStyle w:val="Heading4"/>
        <w:spacing w:line="360" w:lineRule="auto"/>
        <w:jc w:val="both"/>
        <w:rPr>
          <w:rFonts w:cs="Arial"/>
          <w:b/>
          <w:color w:val="000000"/>
        </w:rPr>
      </w:pPr>
    </w:p>
    <w:p w14:paraId="61B99D3E" w14:textId="77777777" w:rsidR="009A4CC1" w:rsidRDefault="009A4CC1" w:rsidP="009A4CC1">
      <w:pPr>
        <w:pStyle w:val="Heading4"/>
        <w:spacing w:line="360" w:lineRule="auto"/>
        <w:jc w:val="both"/>
        <w:rPr>
          <w:rFonts w:cs="Arial"/>
          <w:b/>
          <w:color w:val="000000"/>
        </w:rPr>
      </w:pPr>
    </w:p>
    <w:p w14:paraId="26F545FB" w14:textId="5DB772BD" w:rsidR="009A4CC1" w:rsidRDefault="009A4CC1" w:rsidP="009A4CC1">
      <w:pPr>
        <w:pStyle w:val="Heading4"/>
        <w:spacing w:line="360" w:lineRule="auto"/>
        <w:jc w:val="both"/>
        <w:rPr>
          <w:rFonts w:cs="Arial"/>
          <w:b/>
          <w:color w:val="000000"/>
        </w:rPr>
      </w:pPr>
      <w:r>
        <w:rPr>
          <w:rFonts w:cs="Arial"/>
          <w:b/>
          <w:color w:val="000000"/>
        </w:rPr>
        <w:t>acknowledgements</w:t>
      </w:r>
    </w:p>
    <w:p w14:paraId="2A8A6329" w14:textId="5A712D77" w:rsidR="009A4CC1" w:rsidRDefault="009A4CC1" w:rsidP="009A4CC1">
      <w:pPr>
        <w:spacing w:before="240" w:after="240" w:line="360" w:lineRule="auto"/>
        <w:jc w:val="both"/>
        <w:rPr>
          <w:rFonts w:cs="Arial"/>
          <w:lang w:val="en-US"/>
        </w:rPr>
      </w:pPr>
      <w:r>
        <w:rPr>
          <w:rFonts w:cs="Arial"/>
          <w:lang w:val="en-US"/>
        </w:rPr>
        <w:lastRenderedPageBreak/>
        <w:t>I would like to express my sincere gratitude to all those who have supported and guided me throughout the completion of this dissertation. First and foremost, I would like to thank my supervisor for their valuable guidance, constructive feedback, and continuous encouragement throughout every stage of this research. Their expertise and support greatly contributed to the successful completion of this study.</w:t>
      </w:r>
    </w:p>
    <w:p w14:paraId="1A0ADF7C" w14:textId="77777777" w:rsidR="009A4CC1" w:rsidRDefault="009A4CC1" w:rsidP="009A4CC1">
      <w:pPr>
        <w:spacing w:before="240" w:after="240" w:line="360" w:lineRule="auto"/>
        <w:jc w:val="both"/>
        <w:rPr>
          <w:rFonts w:cs="Arial"/>
          <w:lang w:val="en-US"/>
        </w:rPr>
      </w:pPr>
      <w:r>
        <w:rPr>
          <w:rFonts w:cs="Arial"/>
          <w:lang w:val="en-US"/>
        </w:rPr>
        <w:t>I would also like to extend my appreciation to the academic staff and lecturers who provided knowledge, advice, and learning opportunities during my course of study. Their dedication and commitment have played an important role in developing my academic and research skills. I am equally grateful to the university library staff and online database providers for ensuring access to the academic resources, journals, and reports that formed the foundation of this systematic review.</w:t>
      </w:r>
    </w:p>
    <w:p w14:paraId="2E2C4561" w14:textId="77777777" w:rsidR="009A4CC1" w:rsidRDefault="009A4CC1" w:rsidP="009A4CC1">
      <w:pPr>
        <w:spacing w:before="240" w:after="240" w:line="360" w:lineRule="auto"/>
        <w:jc w:val="both"/>
        <w:rPr>
          <w:rFonts w:cs="Arial"/>
          <w:lang w:val="en-US"/>
        </w:rPr>
      </w:pPr>
      <w:r>
        <w:rPr>
          <w:rFonts w:cs="Arial"/>
          <w:lang w:val="en-US"/>
        </w:rPr>
        <w:t xml:space="preserve">Special thanks are extended to the authors and researchers whose published studies contributed to the evidence base of this dissertation. Their work provided valuable insights into cyberbullying, substance misuse, and aggressive </w:t>
      </w:r>
      <w:proofErr w:type="spellStart"/>
      <w:r>
        <w:rPr>
          <w:rFonts w:cs="Arial"/>
          <w:lang w:val="en-US"/>
        </w:rPr>
        <w:t>behaviour</w:t>
      </w:r>
      <w:proofErr w:type="spellEnd"/>
      <w:r>
        <w:rPr>
          <w:rFonts w:cs="Arial"/>
          <w:lang w:val="en-US"/>
        </w:rPr>
        <w:t xml:space="preserve"> among adolescents and enabled a comprehensive understanding of the topic.</w:t>
      </w:r>
    </w:p>
    <w:p w14:paraId="736E6FF4" w14:textId="77777777" w:rsidR="009A4CC1" w:rsidRDefault="009A4CC1" w:rsidP="009A4CC1">
      <w:pPr>
        <w:spacing w:before="240" w:after="240" w:line="360" w:lineRule="auto"/>
        <w:jc w:val="both"/>
        <w:rPr>
          <w:rFonts w:cs="Arial"/>
          <w:lang w:val="en-US"/>
        </w:rPr>
      </w:pPr>
      <w:r>
        <w:rPr>
          <w:rFonts w:cs="Arial"/>
          <w:lang w:val="en-US"/>
        </w:rPr>
        <w:t>I would like to express my heartfelt gratitude to my family and friends for their unwavering support, patience, and motivation throughout this academic journey. Their encouragement helped me remain focused and determined during challenging periods of research and writing. Their belief in my abilities has been a constant source of inspiration.</w:t>
      </w:r>
    </w:p>
    <w:p w14:paraId="6EC9DC0C" w14:textId="77777777" w:rsidR="009A4CC1" w:rsidRDefault="009A4CC1" w:rsidP="009A4CC1">
      <w:pPr>
        <w:spacing w:before="240" w:after="240" w:line="360" w:lineRule="auto"/>
        <w:jc w:val="both"/>
        <w:rPr>
          <w:rFonts w:cs="Arial"/>
          <w:lang w:val="en-US"/>
        </w:rPr>
      </w:pPr>
      <w:r>
        <w:rPr>
          <w:rFonts w:cs="Arial"/>
          <w:lang w:val="en-US"/>
        </w:rPr>
        <w:t>Finally, I would like to acknowledge everyone who directly or indirectly contributed to the completion of this dissertation. The support, guidance, and encouragement received from various individuals have been invaluable. This achievement would not have been possible without their contributions, and I am sincerely grateful for their assistance throughout this research journey.</w:t>
      </w:r>
    </w:p>
    <w:p w14:paraId="7509DA8D" w14:textId="60D04962" w:rsidR="009A4CC1" w:rsidRDefault="009A4CC1" w:rsidP="009A4CC1">
      <w:pPr>
        <w:pStyle w:val="Heading4"/>
        <w:spacing w:line="360" w:lineRule="auto"/>
        <w:jc w:val="both"/>
        <w:rPr>
          <w:rFonts w:cs="Arial"/>
          <w:b/>
          <w:color w:val="000000"/>
        </w:rPr>
      </w:pPr>
      <w:r>
        <w:rPr>
          <w:rFonts w:cs="Arial"/>
          <w:b/>
          <w:color w:val="000000"/>
        </w:rPr>
        <w:t xml:space="preserve">statement on authenticity and </w:t>
      </w:r>
      <w:proofErr w:type="spellStart"/>
      <w:r>
        <w:rPr>
          <w:rFonts w:cs="Arial"/>
          <w:b/>
          <w:color w:val="000000"/>
        </w:rPr>
        <w:t>a.i</w:t>
      </w:r>
      <w:proofErr w:type="spellEnd"/>
    </w:p>
    <w:p w14:paraId="161243B1" w14:textId="77777777" w:rsidR="009A4CC1" w:rsidRDefault="009A4CC1" w:rsidP="009A4CC1">
      <w:pPr>
        <w:spacing w:before="240" w:after="240" w:line="360" w:lineRule="auto"/>
        <w:jc w:val="both"/>
        <w:rPr>
          <w:rFonts w:cs="Arial"/>
          <w:lang w:val="en-US"/>
        </w:rPr>
      </w:pPr>
      <w:r>
        <w:rPr>
          <w:rFonts w:cs="Arial"/>
          <w:lang w:val="en-US"/>
        </w:rPr>
        <w:t>I hereby declare that this dissertation is my own original work and has been completed in accordance with the academic regulations and ethical guidelines of the institution. All sources of information, ideas, data, and published materials used in this study have been appropriately acknowledged and referenced. Any direct quotations, paraphrased content, or findings obtained from other authors have been cited accurately to maintain academic integrity and avoid plagiarism.</w:t>
      </w:r>
    </w:p>
    <w:p w14:paraId="55BBA980" w14:textId="77777777" w:rsidR="009A4CC1" w:rsidRDefault="009A4CC1" w:rsidP="009A4CC1">
      <w:pPr>
        <w:spacing w:before="240" w:after="240" w:line="360" w:lineRule="auto"/>
        <w:jc w:val="both"/>
        <w:rPr>
          <w:rFonts w:cs="Arial"/>
          <w:lang w:val="en-US"/>
        </w:rPr>
      </w:pPr>
      <w:r>
        <w:rPr>
          <w:rFonts w:cs="Arial"/>
          <w:lang w:val="en-US"/>
        </w:rPr>
        <w:t xml:space="preserve">Artificial Intelligence (A.I.) tools were used only as supportive resources during the preparation of this dissertation. These tools assisted with language refinement, grammar checking, proofreading, and </w:t>
      </w:r>
      <w:r>
        <w:rPr>
          <w:rFonts w:cs="Arial"/>
          <w:lang w:val="en-US"/>
        </w:rPr>
        <w:lastRenderedPageBreak/>
        <w:t>improving the clarity and presentation of written content. However, the development of the research topic, literature selection, critical analysis, interpretation of findings, discussion, conclusions, and recommendations remain my own work and academic responsibility. All final decisions regarding the content, structure, and arguments presented in this dissertation were made independently by the author.</w:t>
      </w:r>
    </w:p>
    <w:p w14:paraId="1B62894A" w14:textId="77777777" w:rsidR="009A4CC1" w:rsidRDefault="009A4CC1" w:rsidP="009A4CC1">
      <w:pPr>
        <w:spacing w:before="240" w:after="240" w:line="360" w:lineRule="auto"/>
        <w:jc w:val="both"/>
        <w:rPr>
          <w:rFonts w:cs="Arial"/>
          <w:lang w:val="en-US"/>
        </w:rPr>
      </w:pPr>
      <w:r>
        <w:rPr>
          <w:rFonts w:cs="Arial"/>
          <w:lang w:val="en-US"/>
        </w:rPr>
        <w:t>I confirm that this work represents an honest and accurate account of the research undertaken and complies with the institution’s policies regarding academic integrity and the responsible use of Artificial Intelligence technologies.</w:t>
      </w:r>
    </w:p>
    <w:p w14:paraId="699080C6" w14:textId="59A0666D" w:rsidR="009A4CC1" w:rsidRDefault="009A4CC1" w:rsidP="008335ED">
      <w:pPr>
        <w:pStyle w:val="Heading2"/>
        <w:rPr>
          <w:rStyle w:val="Strong"/>
          <w:b w:val="0"/>
          <w:bCs w:val="0"/>
        </w:rPr>
      </w:pPr>
    </w:p>
    <w:p w14:paraId="5FD288BD" w14:textId="77777777" w:rsidR="009A4CC1" w:rsidRDefault="009A4CC1" w:rsidP="008335ED">
      <w:pPr>
        <w:pStyle w:val="Heading2"/>
        <w:rPr>
          <w:rStyle w:val="Strong"/>
          <w:b w:val="0"/>
          <w:bCs w:val="0"/>
        </w:rPr>
      </w:pPr>
    </w:p>
    <w:p w14:paraId="5B296E85" w14:textId="3C70237E" w:rsidR="009A4CC1" w:rsidRDefault="009A4CC1" w:rsidP="008335ED">
      <w:pPr>
        <w:pStyle w:val="Heading2"/>
        <w:rPr>
          <w:rStyle w:val="Strong"/>
          <w:b w:val="0"/>
          <w:bCs w:val="0"/>
        </w:rPr>
      </w:pPr>
    </w:p>
    <w:p w14:paraId="350E75C3" w14:textId="06C87D47" w:rsidR="009A4CC1" w:rsidRDefault="009A4CC1" w:rsidP="009A4CC1"/>
    <w:p w14:paraId="547AD28D" w14:textId="06EC4930" w:rsidR="009A4CC1" w:rsidRDefault="009A4CC1" w:rsidP="009A4CC1"/>
    <w:p w14:paraId="31C0615F" w14:textId="3C64566C" w:rsidR="009A4CC1" w:rsidRDefault="009A4CC1" w:rsidP="009A4CC1"/>
    <w:p w14:paraId="70545010" w14:textId="6D90660D" w:rsidR="009A4CC1" w:rsidRDefault="009A4CC1" w:rsidP="009A4CC1"/>
    <w:p w14:paraId="57A804D2" w14:textId="63CDCF1E" w:rsidR="009A4CC1" w:rsidRDefault="009A4CC1" w:rsidP="009A4CC1"/>
    <w:p w14:paraId="698FA224" w14:textId="464C1CAA" w:rsidR="009A4CC1" w:rsidRDefault="009A4CC1" w:rsidP="009A4CC1"/>
    <w:p w14:paraId="70F47A93" w14:textId="6E0F4AEB" w:rsidR="009A4CC1" w:rsidRDefault="009A4CC1" w:rsidP="009A4CC1"/>
    <w:p w14:paraId="5BB9FA67" w14:textId="08C823F4" w:rsidR="009A4CC1" w:rsidRDefault="009A4CC1" w:rsidP="009A4CC1"/>
    <w:p w14:paraId="0117F5A7" w14:textId="0F37A904" w:rsidR="009A4CC1" w:rsidRDefault="009A4CC1" w:rsidP="009A4CC1"/>
    <w:p w14:paraId="655BAB69" w14:textId="08CBBFE4" w:rsidR="009A4CC1" w:rsidRDefault="009A4CC1" w:rsidP="009A4CC1"/>
    <w:p w14:paraId="0B8D3671" w14:textId="77777777" w:rsidR="009A4CC1" w:rsidRPr="009A4CC1" w:rsidRDefault="009A4CC1" w:rsidP="009A4CC1"/>
    <w:p w14:paraId="034AB6AF" w14:textId="31E28C34" w:rsidR="008335ED" w:rsidRDefault="008335ED" w:rsidP="008335ED">
      <w:pPr>
        <w:pStyle w:val="Heading2"/>
      </w:pPr>
      <w:r>
        <w:rPr>
          <w:rStyle w:val="Strong"/>
          <w:b w:val="0"/>
          <w:bCs w:val="0"/>
        </w:rPr>
        <w:t>Chapter 1: Introduction</w:t>
      </w:r>
    </w:p>
    <w:p w14:paraId="39F33C16" w14:textId="774E4AA8" w:rsidR="008335ED" w:rsidRDefault="008335ED" w:rsidP="008335ED">
      <w:pPr>
        <w:pStyle w:val="NormalWeb"/>
      </w:pPr>
      <w:r>
        <w:t>1.1 Background of the Study</w:t>
      </w:r>
      <w:r w:rsidR="008F483F">
        <w:t>………………………………………………………………….</w:t>
      </w:r>
      <w:r>
        <w:t xml:space="preserve"> </w:t>
      </w:r>
    </w:p>
    <w:p w14:paraId="2BF3D3E2" w14:textId="70DDF173" w:rsidR="008335ED" w:rsidRDefault="008335ED" w:rsidP="008335ED">
      <w:pPr>
        <w:pStyle w:val="NormalWeb"/>
      </w:pPr>
      <w:r>
        <w:t>1.2 Cardiac Rehabilitation as a Secondary Prevention Strategy</w:t>
      </w:r>
      <w:r w:rsidR="008F483F">
        <w:t>…………………………</w:t>
      </w:r>
      <w:proofErr w:type="gramStart"/>
      <w:r w:rsidR="008F483F">
        <w:t>…..</w:t>
      </w:r>
      <w:proofErr w:type="gramEnd"/>
    </w:p>
    <w:p w14:paraId="57AB8D59" w14:textId="2BDFF72A" w:rsidR="008335ED" w:rsidRDefault="008335ED" w:rsidP="008335ED">
      <w:pPr>
        <w:pStyle w:val="NormalWeb"/>
      </w:pPr>
      <w:r>
        <w:t xml:space="preserve">1.3 Health Inequalities in Cardiovascular Care </w:t>
      </w:r>
      <w:r w:rsidR="008F483F">
        <w:t>………………………………………………</w:t>
      </w:r>
    </w:p>
    <w:p w14:paraId="0A02664F" w14:textId="054F3291" w:rsidR="008335ED" w:rsidRDefault="008335ED" w:rsidP="008335ED">
      <w:pPr>
        <w:pStyle w:val="NormalWeb"/>
      </w:pPr>
      <w:r>
        <w:t>1.4 Rationale for the Study</w:t>
      </w:r>
      <w:r w:rsidR="008F483F">
        <w:t>…………………………………………………………………</w:t>
      </w:r>
      <w:r>
        <w:t xml:space="preserve"> </w:t>
      </w:r>
    </w:p>
    <w:p w14:paraId="55672877" w14:textId="3FAB6027" w:rsidR="008335ED" w:rsidRDefault="008335ED" w:rsidP="008335ED">
      <w:pPr>
        <w:pStyle w:val="NormalWeb"/>
      </w:pPr>
      <w:r>
        <w:t>1.5 Research Question</w:t>
      </w:r>
      <w:r w:rsidR="008F483F">
        <w:t>………………………………………………………………</w:t>
      </w:r>
      <w:proofErr w:type="gramStart"/>
      <w:r w:rsidR="008F483F">
        <w:t>…..</w:t>
      </w:r>
      <w:proofErr w:type="gramEnd"/>
    </w:p>
    <w:p w14:paraId="106DCDF5" w14:textId="26C35DB7" w:rsidR="008335ED" w:rsidRDefault="008335ED" w:rsidP="008335ED">
      <w:pPr>
        <w:pStyle w:val="NormalWeb"/>
      </w:pPr>
      <w:r>
        <w:t>1.6 Research Aim</w:t>
      </w:r>
      <w:r w:rsidR="008F483F">
        <w:t>……………………………………………………………………….</w:t>
      </w:r>
      <w:r>
        <w:t xml:space="preserve"> </w:t>
      </w:r>
    </w:p>
    <w:p w14:paraId="3CB6A7D6" w14:textId="52350C6A" w:rsidR="008335ED" w:rsidRDefault="008335ED" w:rsidP="008335ED">
      <w:pPr>
        <w:pStyle w:val="NormalWeb"/>
      </w:pPr>
      <w:r>
        <w:lastRenderedPageBreak/>
        <w:t>1.7 Research Objectives</w:t>
      </w:r>
      <w:r w:rsidR="008F483F">
        <w:t>……………………………………………………………</w:t>
      </w:r>
      <w:proofErr w:type="gramStart"/>
      <w:r w:rsidR="008F483F">
        <w:t>…..</w:t>
      </w:r>
      <w:proofErr w:type="gramEnd"/>
    </w:p>
    <w:p w14:paraId="644F008F" w14:textId="3C7F1DEB" w:rsidR="008335ED" w:rsidRDefault="008335ED" w:rsidP="008335ED">
      <w:pPr>
        <w:pStyle w:val="NormalWeb"/>
      </w:pPr>
      <w:r>
        <w:t>1.8 Structure of the Dissertation</w:t>
      </w:r>
      <w:r w:rsidR="008F483F">
        <w:t>………………………………………………………….</w:t>
      </w:r>
    </w:p>
    <w:p w14:paraId="45D55581" w14:textId="77777777" w:rsidR="008335ED" w:rsidRDefault="008335ED" w:rsidP="008335ED">
      <w:pPr>
        <w:pStyle w:val="Heading2"/>
      </w:pPr>
      <w:r>
        <w:rPr>
          <w:rStyle w:val="Strong"/>
          <w:b w:val="0"/>
          <w:bCs w:val="0"/>
        </w:rPr>
        <w:t>Chapter 2: Literature Review</w:t>
      </w:r>
    </w:p>
    <w:p w14:paraId="439A5D56" w14:textId="714728B1" w:rsidR="008335ED" w:rsidRDefault="008335ED" w:rsidP="008335ED">
      <w:pPr>
        <w:pStyle w:val="NormalWeb"/>
      </w:pPr>
      <w:r>
        <w:t xml:space="preserve">2.1 Introduction </w:t>
      </w:r>
      <w:r w:rsidR="008F483F">
        <w:t>…………………………………………………………………………</w:t>
      </w:r>
    </w:p>
    <w:p w14:paraId="31203EA6" w14:textId="3D197A6D" w:rsidR="008335ED" w:rsidRDefault="008335ED" w:rsidP="008335ED">
      <w:pPr>
        <w:pStyle w:val="NormalWeb"/>
      </w:pPr>
      <w:r>
        <w:t>2.2 Overview of Cardiovascular Disease</w:t>
      </w:r>
      <w:r w:rsidR="008F483F">
        <w:t>………………………………………………</w:t>
      </w:r>
      <w:proofErr w:type="gramStart"/>
      <w:r w:rsidR="008F483F">
        <w:t>…..</w:t>
      </w:r>
      <w:proofErr w:type="gramEnd"/>
    </w:p>
    <w:p w14:paraId="33B8DA45" w14:textId="2D39D523" w:rsidR="008335ED" w:rsidRDefault="008335ED" w:rsidP="008335ED">
      <w:pPr>
        <w:pStyle w:val="NormalWeb"/>
      </w:pPr>
      <w:r>
        <w:t xml:space="preserve"> 2.3 Concept of Cardiac Rehabilitation</w:t>
      </w:r>
      <w:r w:rsidR="008F483F">
        <w:t>…………………………………………………………</w:t>
      </w:r>
    </w:p>
    <w:p w14:paraId="1CA948C9" w14:textId="10ABE4ED" w:rsidR="008335ED" w:rsidRDefault="008335ED" w:rsidP="008335ED">
      <w:pPr>
        <w:pStyle w:val="NormalWeb"/>
      </w:pPr>
      <w:r>
        <w:t xml:space="preserve"> 2.4 Effectiveness of Cardiac Rehabilitation in Reducing Hospital Readmissions </w:t>
      </w:r>
      <w:r w:rsidR="008F483F">
        <w:t>………….</w:t>
      </w:r>
    </w:p>
    <w:p w14:paraId="0B724334" w14:textId="58A68E3B" w:rsidR="008335ED" w:rsidRDefault="008335ED" w:rsidP="008335ED">
      <w:pPr>
        <w:pStyle w:val="NormalWeb"/>
      </w:pPr>
      <w:r>
        <w:t xml:space="preserve">2.5 Barriers to Cardiac Rehabilitation Participation </w:t>
      </w:r>
      <w:r w:rsidR="008F483F">
        <w:t>…………………………………………</w:t>
      </w:r>
    </w:p>
    <w:p w14:paraId="52E9B7C0" w14:textId="5DB30BD7" w:rsidR="008335ED" w:rsidRDefault="008335ED" w:rsidP="008335ED">
      <w:pPr>
        <w:pStyle w:val="NormalWeb"/>
      </w:pPr>
      <w:r>
        <w:t>2.6 Ethnic Inequalities in Cardiac Rehabilitation</w:t>
      </w:r>
      <w:r w:rsidR="008F483F">
        <w:t>……………………………………………….</w:t>
      </w:r>
      <w:r>
        <w:t xml:space="preserve"> </w:t>
      </w:r>
    </w:p>
    <w:p w14:paraId="545E3133" w14:textId="1EE80E27" w:rsidR="008335ED" w:rsidRDefault="008335ED" w:rsidP="008335ED">
      <w:pPr>
        <w:pStyle w:val="NormalWeb"/>
      </w:pPr>
      <w:r>
        <w:t xml:space="preserve">2.7 Socioeconomic Inequalities and CR Participation </w:t>
      </w:r>
      <w:r w:rsidR="008F483F">
        <w:t>………………………………………</w:t>
      </w:r>
    </w:p>
    <w:p w14:paraId="565904AD" w14:textId="68B0DD4C" w:rsidR="008335ED" w:rsidRDefault="008335ED" w:rsidP="008335ED">
      <w:pPr>
        <w:pStyle w:val="NormalWeb"/>
      </w:pPr>
      <w:r>
        <w:t xml:space="preserve">2.8 CR Outcomes in Older Adults </w:t>
      </w:r>
      <w:r w:rsidR="008F483F">
        <w:t>……………………………………………………………</w:t>
      </w:r>
    </w:p>
    <w:p w14:paraId="243E0165" w14:textId="7F8B451C" w:rsidR="008335ED" w:rsidRDefault="008335ED" w:rsidP="008335ED">
      <w:pPr>
        <w:pStyle w:val="NormalWeb"/>
      </w:pPr>
      <w:r>
        <w:t>2.9 Chapter Summary</w:t>
      </w:r>
      <w:r w:rsidR="008F483F">
        <w:t>……………………………………………………………………</w:t>
      </w:r>
      <w:proofErr w:type="gramStart"/>
      <w:r w:rsidR="008F483F">
        <w:t>…..</w:t>
      </w:r>
      <w:proofErr w:type="gramEnd"/>
    </w:p>
    <w:p w14:paraId="79C836C3" w14:textId="77777777" w:rsidR="008335ED" w:rsidRDefault="008335ED" w:rsidP="008335ED">
      <w:pPr>
        <w:pStyle w:val="Heading2"/>
      </w:pPr>
      <w:r>
        <w:rPr>
          <w:rStyle w:val="Strong"/>
          <w:b w:val="0"/>
          <w:bCs w:val="0"/>
        </w:rPr>
        <w:t>Chapter 3: Methodology</w:t>
      </w:r>
    </w:p>
    <w:p w14:paraId="3D16D9F8" w14:textId="52FE70CA" w:rsidR="008335ED" w:rsidRDefault="008335ED" w:rsidP="008335ED">
      <w:pPr>
        <w:pStyle w:val="NormalWeb"/>
      </w:pPr>
      <w:r>
        <w:t xml:space="preserve">3.1 Introduction </w:t>
      </w:r>
      <w:r w:rsidR="008F483F">
        <w:t>…………………………………………………………………….</w:t>
      </w:r>
    </w:p>
    <w:p w14:paraId="217DC255" w14:textId="11C0AB11" w:rsidR="008335ED" w:rsidRDefault="008335ED" w:rsidP="008335ED">
      <w:pPr>
        <w:pStyle w:val="NormalWeb"/>
      </w:pPr>
      <w:r>
        <w:t>3.2 Research Design</w:t>
      </w:r>
      <w:r w:rsidR="008F483F">
        <w:t>……………………………………………………………………</w:t>
      </w:r>
      <w:r>
        <w:t xml:space="preserve"> </w:t>
      </w:r>
    </w:p>
    <w:p w14:paraId="1C5CB1D2" w14:textId="7A29C89B" w:rsidR="008335ED" w:rsidRDefault="008335ED" w:rsidP="008335ED">
      <w:pPr>
        <w:pStyle w:val="NormalWeb"/>
      </w:pPr>
      <w:r>
        <w:t>3.3 Search Strategy</w:t>
      </w:r>
      <w:r w:rsidR="008F483F">
        <w:t>………………………………………………………………………</w:t>
      </w:r>
    </w:p>
    <w:p w14:paraId="4A81CF15" w14:textId="1F8B019E" w:rsidR="008335ED" w:rsidRDefault="008335ED" w:rsidP="008335ED">
      <w:pPr>
        <w:pStyle w:val="NormalWeb"/>
      </w:pPr>
      <w:r>
        <w:t xml:space="preserve"> 3.4 Inclusion and Exclusion Criteria </w:t>
      </w:r>
      <w:r w:rsidR="008F483F">
        <w:t>………………………………………………………</w:t>
      </w:r>
    </w:p>
    <w:p w14:paraId="175BADB3" w14:textId="2560BB31" w:rsidR="008335ED" w:rsidRDefault="008335ED" w:rsidP="008335ED">
      <w:pPr>
        <w:pStyle w:val="NormalWeb"/>
      </w:pPr>
      <w:r>
        <w:t>3.5 Data Extraction</w:t>
      </w:r>
      <w:r w:rsidR="008F483F">
        <w:t>………………………………………………………………….</w:t>
      </w:r>
    </w:p>
    <w:p w14:paraId="6F4D26F2" w14:textId="617F6E88" w:rsidR="008335ED" w:rsidRDefault="008335ED" w:rsidP="008335ED">
      <w:pPr>
        <w:pStyle w:val="NormalWeb"/>
      </w:pPr>
      <w:r>
        <w:t xml:space="preserve"> 3.6 Quality Appraisal (CASP)</w:t>
      </w:r>
      <w:r w:rsidR="008F483F">
        <w:t>………………………………………………………………….</w:t>
      </w:r>
    </w:p>
    <w:p w14:paraId="7DC4253F" w14:textId="11010199" w:rsidR="008335ED" w:rsidRDefault="008335ED" w:rsidP="008335ED">
      <w:pPr>
        <w:pStyle w:val="NormalWeb"/>
      </w:pPr>
      <w:r>
        <w:t xml:space="preserve"> 3.7 Data Synthesis </w:t>
      </w:r>
      <w:r w:rsidR="008F483F">
        <w:t>…………………………………………………………………………</w:t>
      </w:r>
    </w:p>
    <w:p w14:paraId="70329F65" w14:textId="127A57BA" w:rsidR="008335ED" w:rsidRDefault="008335ED" w:rsidP="008335ED">
      <w:pPr>
        <w:pStyle w:val="NormalWeb"/>
      </w:pPr>
      <w:r>
        <w:t>3.8 Ethical Considerations</w:t>
      </w:r>
      <w:r w:rsidR="008F483F">
        <w:t>……………………………………………………………</w:t>
      </w:r>
      <w:proofErr w:type="gramStart"/>
      <w:r w:rsidR="008F483F">
        <w:t>…..</w:t>
      </w:r>
      <w:proofErr w:type="gramEnd"/>
    </w:p>
    <w:p w14:paraId="10E9C417" w14:textId="4C7A1C0E" w:rsidR="008335ED" w:rsidRDefault="008335ED" w:rsidP="008335ED">
      <w:pPr>
        <w:pStyle w:val="NormalWeb"/>
      </w:pPr>
      <w:r>
        <w:t xml:space="preserve"> 3.9 Chapter Summary</w:t>
      </w:r>
      <w:r w:rsidR="008F483F">
        <w:t>…………………………………………………………………….</w:t>
      </w:r>
    </w:p>
    <w:p w14:paraId="73145389" w14:textId="77777777" w:rsidR="008335ED" w:rsidRDefault="008335ED" w:rsidP="008335ED">
      <w:pPr>
        <w:pStyle w:val="Heading2"/>
      </w:pPr>
      <w:r>
        <w:rPr>
          <w:rStyle w:val="Strong"/>
          <w:b w:val="0"/>
          <w:bCs w:val="0"/>
        </w:rPr>
        <w:t>Chapter 4: Findings</w:t>
      </w:r>
    </w:p>
    <w:p w14:paraId="353CE5EA" w14:textId="44B0E1CE" w:rsidR="008335ED" w:rsidRDefault="008335ED" w:rsidP="008335ED">
      <w:pPr>
        <w:pStyle w:val="NormalWeb"/>
      </w:pPr>
      <w:r>
        <w:t>4.1 Introduction</w:t>
      </w:r>
      <w:r w:rsidR="008F483F">
        <w:t>……………………………………………………………………….</w:t>
      </w:r>
      <w:r>
        <w:t xml:space="preserve"> </w:t>
      </w:r>
    </w:p>
    <w:p w14:paraId="32AB629A" w14:textId="6C042E6A" w:rsidR="008335ED" w:rsidRDefault="008335ED" w:rsidP="008335ED">
      <w:pPr>
        <w:pStyle w:val="NormalWeb"/>
      </w:pPr>
      <w:r>
        <w:t xml:space="preserve">4.2 Study Characteristics </w:t>
      </w:r>
      <w:r w:rsidR="008F483F">
        <w:t>………………………………………………………………</w:t>
      </w:r>
    </w:p>
    <w:p w14:paraId="3B3BB116" w14:textId="4ACBEF64" w:rsidR="008335ED" w:rsidRDefault="008335ED" w:rsidP="008335ED">
      <w:pPr>
        <w:pStyle w:val="NormalWeb"/>
      </w:pPr>
      <w:r>
        <w:lastRenderedPageBreak/>
        <w:t>4.3 Impact of CR on Hospital Readmissions</w:t>
      </w:r>
      <w:r w:rsidR="008F483F">
        <w:t>…………………………………………….</w:t>
      </w:r>
    </w:p>
    <w:p w14:paraId="791B9B26" w14:textId="0B8118AB" w:rsidR="008335ED" w:rsidRDefault="008335ED" w:rsidP="008335ED">
      <w:pPr>
        <w:pStyle w:val="NormalWeb"/>
      </w:pPr>
      <w:r>
        <w:t xml:space="preserve"> 4.4 Ethnic Inequalities in CR Participation and Outcomes</w:t>
      </w:r>
      <w:r w:rsidR="008F483F">
        <w:t>…………………………….</w:t>
      </w:r>
      <w:r>
        <w:t xml:space="preserve"> </w:t>
      </w:r>
    </w:p>
    <w:p w14:paraId="5500743B" w14:textId="65121560" w:rsidR="008335ED" w:rsidRDefault="008335ED" w:rsidP="008335ED">
      <w:pPr>
        <w:pStyle w:val="NormalWeb"/>
      </w:pPr>
      <w:r>
        <w:t>4.5 Socioeconomic Inequalities in CR Participation and Outcomes</w:t>
      </w:r>
      <w:r w:rsidR="008F483F">
        <w:t>………………….</w:t>
      </w:r>
    </w:p>
    <w:p w14:paraId="4A20C5E2" w14:textId="1E1FD8AB" w:rsidR="008335ED" w:rsidRDefault="008335ED" w:rsidP="008335ED">
      <w:pPr>
        <w:pStyle w:val="NormalWeb"/>
      </w:pPr>
      <w:r>
        <w:t xml:space="preserve"> 4.6 Barriers and Facilitators to CR Participation</w:t>
      </w:r>
      <w:r w:rsidR="008F483F">
        <w:t>…………………………………….</w:t>
      </w:r>
    </w:p>
    <w:p w14:paraId="6DD59CE9" w14:textId="37A5ADBC" w:rsidR="008335ED" w:rsidRDefault="008335ED" w:rsidP="008335ED">
      <w:pPr>
        <w:pStyle w:val="NormalWeb"/>
      </w:pPr>
      <w:r>
        <w:t xml:space="preserve"> 4.7 Chapter Summary</w:t>
      </w:r>
      <w:r w:rsidR="008F483F">
        <w:t>………………………………………………………………</w:t>
      </w:r>
    </w:p>
    <w:p w14:paraId="36F19772" w14:textId="77777777" w:rsidR="008335ED" w:rsidRDefault="008335ED" w:rsidP="008335ED">
      <w:pPr>
        <w:pStyle w:val="Heading2"/>
      </w:pPr>
      <w:r>
        <w:rPr>
          <w:rStyle w:val="Strong"/>
          <w:b w:val="0"/>
          <w:bCs w:val="0"/>
        </w:rPr>
        <w:t>Chapter 5: Discussion</w:t>
      </w:r>
    </w:p>
    <w:p w14:paraId="4D61D5FC" w14:textId="675ACD2B" w:rsidR="008335ED" w:rsidRDefault="008335ED" w:rsidP="008335ED">
      <w:pPr>
        <w:pStyle w:val="NormalWeb"/>
      </w:pPr>
      <w:r>
        <w:t xml:space="preserve">5.1 Introduction </w:t>
      </w:r>
      <w:r w:rsidR="008F483F">
        <w:t>…………………………………………………………………</w:t>
      </w:r>
      <w:proofErr w:type="gramStart"/>
      <w:r w:rsidR="008F483F">
        <w:t>…..</w:t>
      </w:r>
      <w:proofErr w:type="gramEnd"/>
    </w:p>
    <w:p w14:paraId="690E746A" w14:textId="301ED36B" w:rsidR="008335ED" w:rsidRDefault="008335ED" w:rsidP="008335ED">
      <w:pPr>
        <w:pStyle w:val="NormalWeb"/>
      </w:pPr>
      <w:r>
        <w:t>5.2 Interpretation of Key Findings</w:t>
      </w:r>
      <w:r w:rsidR="008F483F">
        <w:t>……………………………………………</w:t>
      </w:r>
      <w:proofErr w:type="gramStart"/>
      <w:r w:rsidR="008F483F">
        <w:t>…..</w:t>
      </w:r>
      <w:proofErr w:type="gramEnd"/>
    </w:p>
    <w:p w14:paraId="726BA312" w14:textId="4F374EC4" w:rsidR="008335ED" w:rsidRDefault="008335ED" w:rsidP="008335ED">
      <w:pPr>
        <w:pStyle w:val="NormalWeb"/>
      </w:pPr>
      <w:r>
        <w:t xml:space="preserve"> 5.3 Comparison with Existing Literature</w:t>
      </w:r>
      <w:r w:rsidR="008F483F">
        <w:t>……………………………………………</w:t>
      </w:r>
      <w:r>
        <w:t xml:space="preserve"> </w:t>
      </w:r>
    </w:p>
    <w:p w14:paraId="2D992190" w14:textId="115F7395" w:rsidR="008335ED" w:rsidRDefault="008335ED" w:rsidP="008335ED">
      <w:pPr>
        <w:pStyle w:val="NormalWeb"/>
      </w:pPr>
      <w:r>
        <w:t>5.4 Implications for Practice</w:t>
      </w:r>
      <w:r w:rsidR="008F483F">
        <w:t>…………………………………………………………</w:t>
      </w:r>
    </w:p>
    <w:p w14:paraId="0CE52451" w14:textId="148EDB93" w:rsidR="008335ED" w:rsidRDefault="008335ED" w:rsidP="008335ED">
      <w:pPr>
        <w:pStyle w:val="NormalWeb"/>
      </w:pPr>
      <w:r>
        <w:t xml:space="preserve"> 5.5 Strengths and Limitations of the Study</w:t>
      </w:r>
      <w:r w:rsidR="008F483F">
        <w:t>………………………………………….</w:t>
      </w:r>
    </w:p>
    <w:p w14:paraId="6D4BD38B" w14:textId="7E650002" w:rsidR="008335ED" w:rsidRDefault="008335ED" w:rsidP="008335ED">
      <w:pPr>
        <w:pStyle w:val="NormalWeb"/>
      </w:pPr>
      <w:r>
        <w:t xml:space="preserve"> 5.6 Chapter Summary</w:t>
      </w:r>
      <w:r w:rsidR="008F483F">
        <w:t>…………………………………………………………</w:t>
      </w:r>
      <w:proofErr w:type="gramStart"/>
      <w:r w:rsidR="008F483F">
        <w:t>…..</w:t>
      </w:r>
      <w:proofErr w:type="gramEnd"/>
    </w:p>
    <w:p w14:paraId="10FF6140" w14:textId="77777777" w:rsidR="008335ED" w:rsidRDefault="008335ED" w:rsidP="008335ED">
      <w:pPr>
        <w:pStyle w:val="Heading2"/>
      </w:pPr>
      <w:r>
        <w:rPr>
          <w:rStyle w:val="Strong"/>
          <w:b w:val="0"/>
          <w:bCs w:val="0"/>
        </w:rPr>
        <w:t>Chapter 6: Conclusion and Recommendations</w:t>
      </w:r>
    </w:p>
    <w:p w14:paraId="4BC6C275" w14:textId="21646B98" w:rsidR="008335ED" w:rsidRDefault="008335ED" w:rsidP="008335ED">
      <w:pPr>
        <w:pStyle w:val="NormalWeb"/>
      </w:pPr>
      <w:r>
        <w:t>6.1 Conclusion</w:t>
      </w:r>
      <w:r w:rsidR="008F483F">
        <w:t>…………………………………………………………………………</w:t>
      </w:r>
    </w:p>
    <w:p w14:paraId="238BA4EA" w14:textId="6BE22D63" w:rsidR="008335ED" w:rsidRDefault="008335ED" w:rsidP="008335ED">
      <w:pPr>
        <w:pStyle w:val="NormalWeb"/>
      </w:pPr>
      <w:r>
        <w:t xml:space="preserve"> 6.2 Recommendations for Practice </w:t>
      </w:r>
      <w:r w:rsidR="008F483F">
        <w:t>………………………………………………….</w:t>
      </w:r>
    </w:p>
    <w:p w14:paraId="7473A33A" w14:textId="49194BC4" w:rsidR="008335ED" w:rsidRDefault="008335ED" w:rsidP="008335ED">
      <w:pPr>
        <w:pStyle w:val="NormalWeb"/>
      </w:pPr>
      <w:r>
        <w:t>6.3 Recommendations for Policy</w:t>
      </w:r>
      <w:r w:rsidR="008F483F">
        <w:t>……………………………………………………</w:t>
      </w:r>
      <w:r>
        <w:t xml:space="preserve"> </w:t>
      </w:r>
    </w:p>
    <w:p w14:paraId="3042A181" w14:textId="797CC244" w:rsidR="008335ED" w:rsidRDefault="008335ED" w:rsidP="008335ED">
      <w:pPr>
        <w:pStyle w:val="NormalWeb"/>
      </w:pPr>
      <w:r>
        <w:t>6.4 Recommendations for Future Research</w:t>
      </w:r>
      <w:r w:rsidR="008F483F">
        <w:t>……………………………………………</w:t>
      </w:r>
    </w:p>
    <w:p w14:paraId="7461F1D5" w14:textId="77777777" w:rsidR="008335ED" w:rsidRDefault="008335ED" w:rsidP="008335ED">
      <w:pPr>
        <w:pStyle w:val="NormalWeb"/>
      </w:pPr>
    </w:p>
    <w:p w14:paraId="073A8FC2" w14:textId="03FEB04F" w:rsidR="008335ED" w:rsidRPr="009A4CC1" w:rsidRDefault="008335ED" w:rsidP="008335ED">
      <w:pPr>
        <w:pStyle w:val="Heading2"/>
        <w:rPr>
          <w:color w:val="000000" w:themeColor="text1"/>
        </w:rPr>
      </w:pPr>
      <w:r w:rsidRPr="009A4CC1">
        <w:rPr>
          <w:rStyle w:val="Strong"/>
          <w:b w:val="0"/>
          <w:bCs w:val="0"/>
          <w:color w:val="000000" w:themeColor="text1"/>
        </w:rPr>
        <w:t>References</w:t>
      </w:r>
      <w:r w:rsidR="009A4CC1">
        <w:rPr>
          <w:rStyle w:val="Strong"/>
          <w:b w:val="0"/>
          <w:bCs w:val="0"/>
          <w:color w:val="000000" w:themeColor="text1"/>
        </w:rPr>
        <w:t>…………………………………………………………………………………………………</w:t>
      </w:r>
      <w:proofErr w:type="gramStart"/>
      <w:r w:rsidR="009A4CC1">
        <w:rPr>
          <w:rStyle w:val="Strong"/>
          <w:b w:val="0"/>
          <w:bCs w:val="0"/>
          <w:color w:val="000000" w:themeColor="text1"/>
        </w:rPr>
        <w:t>…..</w:t>
      </w:r>
      <w:proofErr w:type="gramEnd"/>
    </w:p>
    <w:p w14:paraId="6CA9BA4C" w14:textId="776A2489" w:rsidR="008335ED" w:rsidRPr="009A4CC1" w:rsidRDefault="008335ED" w:rsidP="008335ED">
      <w:pPr>
        <w:pStyle w:val="Heading2"/>
        <w:rPr>
          <w:color w:val="000000" w:themeColor="text1"/>
        </w:rPr>
      </w:pPr>
      <w:r w:rsidRPr="009A4CC1">
        <w:rPr>
          <w:rStyle w:val="Strong"/>
          <w:b w:val="0"/>
          <w:bCs w:val="0"/>
          <w:color w:val="000000" w:themeColor="text1"/>
        </w:rPr>
        <w:t>Appendices</w:t>
      </w:r>
      <w:r w:rsidR="009A4CC1">
        <w:rPr>
          <w:rStyle w:val="Strong"/>
          <w:b w:val="0"/>
          <w:bCs w:val="0"/>
          <w:color w:val="000000" w:themeColor="text1"/>
        </w:rPr>
        <w:t>……………………………………………………………………………………………………………</w:t>
      </w:r>
    </w:p>
    <w:p w14:paraId="56316CCB" w14:textId="0139520F" w:rsidR="008335ED" w:rsidRDefault="008335ED" w:rsidP="008335ED">
      <w:pPr>
        <w:pStyle w:val="NormalWeb"/>
      </w:pPr>
      <w:r>
        <w:t xml:space="preserve">Appendix A: Search Strategy </w:t>
      </w:r>
      <w:r w:rsidR="009A4CC1">
        <w:t>……………………………………………………………….</w:t>
      </w:r>
    </w:p>
    <w:p w14:paraId="465CF7FC" w14:textId="2BF66A56" w:rsidR="008335ED" w:rsidRDefault="008335ED" w:rsidP="008335ED">
      <w:pPr>
        <w:pStyle w:val="NormalWeb"/>
      </w:pPr>
      <w:r>
        <w:t>Appendix B: Data Extraction Table</w:t>
      </w:r>
      <w:r w:rsidR="009A4CC1">
        <w:t>……………………………………………………….</w:t>
      </w:r>
    </w:p>
    <w:p w14:paraId="4D1192A8" w14:textId="77777777" w:rsidR="008335ED" w:rsidRDefault="008335ED" w:rsidP="00832F99">
      <w:pPr>
        <w:pStyle w:val="Heading1"/>
        <w:jc w:val="both"/>
        <w:rPr>
          <w:rStyle w:val="Strong"/>
          <w:rFonts w:ascii="Arial" w:hAnsi="Arial" w:cs="Arial"/>
          <w:b w:val="0"/>
          <w:bCs w:val="0"/>
          <w:color w:val="000000" w:themeColor="text1"/>
          <w:sz w:val="22"/>
          <w:szCs w:val="22"/>
        </w:rPr>
      </w:pPr>
    </w:p>
    <w:p w14:paraId="047B4394" w14:textId="77777777" w:rsidR="008335ED" w:rsidRDefault="008335ED" w:rsidP="00832F99">
      <w:pPr>
        <w:pStyle w:val="Heading1"/>
        <w:jc w:val="both"/>
        <w:rPr>
          <w:rStyle w:val="Strong"/>
          <w:rFonts w:ascii="Arial" w:hAnsi="Arial" w:cs="Arial"/>
          <w:b w:val="0"/>
          <w:bCs w:val="0"/>
          <w:color w:val="000000" w:themeColor="text1"/>
          <w:sz w:val="22"/>
          <w:szCs w:val="22"/>
        </w:rPr>
      </w:pPr>
    </w:p>
    <w:p w14:paraId="26695411" w14:textId="77777777" w:rsidR="008335ED" w:rsidRDefault="008335ED" w:rsidP="00832F99">
      <w:pPr>
        <w:pStyle w:val="Heading1"/>
        <w:jc w:val="both"/>
        <w:rPr>
          <w:rStyle w:val="Strong"/>
          <w:rFonts w:ascii="Arial" w:hAnsi="Arial" w:cs="Arial"/>
          <w:b w:val="0"/>
          <w:bCs w:val="0"/>
          <w:color w:val="000000" w:themeColor="text1"/>
          <w:sz w:val="22"/>
          <w:szCs w:val="22"/>
        </w:rPr>
      </w:pPr>
    </w:p>
    <w:p w14:paraId="4FD11503" w14:textId="77777777" w:rsidR="008335ED" w:rsidRDefault="008335ED" w:rsidP="00832F99">
      <w:pPr>
        <w:pStyle w:val="Heading1"/>
        <w:jc w:val="both"/>
        <w:rPr>
          <w:rStyle w:val="Strong"/>
          <w:rFonts w:ascii="Arial" w:hAnsi="Arial" w:cs="Arial"/>
          <w:b w:val="0"/>
          <w:bCs w:val="0"/>
          <w:color w:val="000000" w:themeColor="text1"/>
          <w:sz w:val="22"/>
          <w:szCs w:val="22"/>
        </w:rPr>
      </w:pPr>
    </w:p>
    <w:p w14:paraId="1E13D150" w14:textId="77777777" w:rsidR="008335ED" w:rsidRDefault="008335ED" w:rsidP="00832F99">
      <w:pPr>
        <w:pStyle w:val="Heading1"/>
        <w:jc w:val="both"/>
        <w:rPr>
          <w:rStyle w:val="Strong"/>
          <w:rFonts w:ascii="Arial" w:hAnsi="Arial" w:cs="Arial"/>
          <w:b w:val="0"/>
          <w:bCs w:val="0"/>
          <w:color w:val="000000" w:themeColor="text1"/>
          <w:sz w:val="22"/>
          <w:szCs w:val="22"/>
        </w:rPr>
      </w:pPr>
    </w:p>
    <w:p w14:paraId="4C6B996A" w14:textId="77777777" w:rsidR="008335ED" w:rsidRDefault="008335ED" w:rsidP="00832F99">
      <w:pPr>
        <w:pStyle w:val="Heading1"/>
        <w:jc w:val="both"/>
        <w:rPr>
          <w:rStyle w:val="Strong"/>
          <w:rFonts w:ascii="Arial" w:hAnsi="Arial" w:cs="Arial"/>
          <w:b w:val="0"/>
          <w:bCs w:val="0"/>
          <w:color w:val="000000" w:themeColor="text1"/>
          <w:sz w:val="22"/>
          <w:szCs w:val="22"/>
        </w:rPr>
      </w:pPr>
    </w:p>
    <w:p w14:paraId="5113474B" w14:textId="77777777" w:rsidR="008335ED" w:rsidRDefault="008335ED" w:rsidP="00832F99">
      <w:pPr>
        <w:pStyle w:val="Heading1"/>
        <w:jc w:val="both"/>
        <w:rPr>
          <w:rStyle w:val="Strong"/>
          <w:rFonts w:ascii="Arial" w:hAnsi="Arial" w:cs="Arial"/>
          <w:b w:val="0"/>
          <w:bCs w:val="0"/>
          <w:color w:val="000000" w:themeColor="text1"/>
          <w:sz w:val="22"/>
          <w:szCs w:val="22"/>
        </w:rPr>
      </w:pPr>
    </w:p>
    <w:p w14:paraId="663D8FD4" w14:textId="77777777" w:rsidR="008335ED" w:rsidRDefault="008335ED" w:rsidP="00832F99">
      <w:pPr>
        <w:pStyle w:val="Heading1"/>
        <w:jc w:val="both"/>
        <w:rPr>
          <w:rStyle w:val="Strong"/>
          <w:rFonts w:ascii="Arial" w:hAnsi="Arial" w:cs="Arial"/>
          <w:b w:val="0"/>
          <w:bCs w:val="0"/>
          <w:color w:val="000000" w:themeColor="text1"/>
          <w:sz w:val="22"/>
          <w:szCs w:val="22"/>
        </w:rPr>
      </w:pPr>
    </w:p>
    <w:p w14:paraId="08F5143A" w14:textId="77777777" w:rsidR="008335ED" w:rsidRDefault="008335ED" w:rsidP="00832F99">
      <w:pPr>
        <w:pStyle w:val="Heading1"/>
        <w:jc w:val="both"/>
        <w:rPr>
          <w:rStyle w:val="Strong"/>
          <w:rFonts w:ascii="Arial" w:hAnsi="Arial" w:cs="Arial"/>
          <w:b w:val="0"/>
          <w:bCs w:val="0"/>
          <w:color w:val="000000" w:themeColor="text1"/>
          <w:sz w:val="22"/>
          <w:szCs w:val="22"/>
        </w:rPr>
      </w:pPr>
    </w:p>
    <w:p w14:paraId="03C48AF7" w14:textId="77777777" w:rsidR="008335ED" w:rsidRDefault="008335ED" w:rsidP="00832F99">
      <w:pPr>
        <w:pStyle w:val="Heading1"/>
        <w:jc w:val="both"/>
        <w:rPr>
          <w:rStyle w:val="Strong"/>
          <w:rFonts w:ascii="Arial" w:hAnsi="Arial" w:cs="Arial"/>
          <w:b w:val="0"/>
          <w:bCs w:val="0"/>
          <w:color w:val="000000" w:themeColor="text1"/>
          <w:sz w:val="22"/>
          <w:szCs w:val="22"/>
        </w:rPr>
      </w:pPr>
    </w:p>
    <w:p w14:paraId="62BA1556" w14:textId="77777777" w:rsidR="008335ED" w:rsidRDefault="008335ED" w:rsidP="00832F99">
      <w:pPr>
        <w:pStyle w:val="Heading1"/>
        <w:jc w:val="both"/>
        <w:rPr>
          <w:rStyle w:val="Strong"/>
          <w:rFonts w:ascii="Arial" w:hAnsi="Arial" w:cs="Arial"/>
          <w:b w:val="0"/>
          <w:bCs w:val="0"/>
          <w:color w:val="000000" w:themeColor="text1"/>
          <w:sz w:val="22"/>
          <w:szCs w:val="22"/>
        </w:rPr>
      </w:pPr>
    </w:p>
    <w:p w14:paraId="5AE725B0" w14:textId="77777777" w:rsidR="008335ED" w:rsidRDefault="008335ED" w:rsidP="00832F99">
      <w:pPr>
        <w:pStyle w:val="Heading1"/>
        <w:jc w:val="both"/>
        <w:rPr>
          <w:rStyle w:val="Strong"/>
          <w:rFonts w:ascii="Arial" w:hAnsi="Arial" w:cs="Arial"/>
          <w:b w:val="0"/>
          <w:bCs w:val="0"/>
          <w:color w:val="000000" w:themeColor="text1"/>
          <w:sz w:val="22"/>
          <w:szCs w:val="22"/>
        </w:rPr>
      </w:pPr>
    </w:p>
    <w:p w14:paraId="70423132" w14:textId="77777777" w:rsidR="008335ED" w:rsidRDefault="008335ED" w:rsidP="00832F99">
      <w:pPr>
        <w:pStyle w:val="Heading1"/>
        <w:jc w:val="both"/>
        <w:rPr>
          <w:rStyle w:val="Strong"/>
          <w:rFonts w:ascii="Arial" w:hAnsi="Arial" w:cs="Arial"/>
          <w:b w:val="0"/>
          <w:bCs w:val="0"/>
          <w:color w:val="000000" w:themeColor="text1"/>
          <w:sz w:val="22"/>
          <w:szCs w:val="22"/>
        </w:rPr>
      </w:pPr>
    </w:p>
    <w:p w14:paraId="0E579C09" w14:textId="77777777" w:rsidR="008335ED" w:rsidRDefault="008335ED" w:rsidP="00832F99">
      <w:pPr>
        <w:pStyle w:val="Heading1"/>
        <w:jc w:val="both"/>
        <w:rPr>
          <w:rStyle w:val="Strong"/>
          <w:rFonts w:ascii="Arial" w:hAnsi="Arial" w:cs="Arial"/>
          <w:b w:val="0"/>
          <w:bCs w:val="0"/>
          <w:color w:val="000000" w:themeColor="text1"/>
          <w:sz w:val="22"/>
          <w:szCs w:val="22"/>
        </w:rPr>
      </w:pPr>
    </w:p>
    <w:p w14:paraId="5AD8DF5C" w14:textId="77777777" w:rsidR="008335ED" w:rsidRDefault="008335ED" w:rsidP="00832F99">
      <w:pPr>
        <w:pStyle w:val="Heading1"/>
        <w:jc w:val="both"/>
        <w:rPr>
          <w:rStyle w:val="Strong"/>
          <w:rFonts w:ascii="Arial" w:hAnsi="Arial" w:cs="Arial"/>
          <w:b w:val="0"/>
          <w:bCs w:val="0"/>
          <w:color w:val="000000" w:themeColor="text1"/>
          <w:sz w:val="22"/>
          <w:szCs w:val="22"/>
        </w:rPr>
      </w:pPr>
    </w:p>
    <w:p w14:paraId="397B8E8A" w14:textId="77777777" w:rsidR="008335ED" w:rsidRDefault="008335ED" w:rsidP="00832F99">
      <w:pPr>
        <w:pStyle w:val="Heading1"/>
        <w:jc w:val="both"/>
        <w:rPr>
          <w:rStyle w:val="Strong"/>
          <w:rFonts w:ascii="Arial" w:hAnsi="Arial" w:cs="Arial"/>
          <w:b w:val="0"/>
          <w:bCs w:val="0"/>
          <w:color w:val="000000" w:themeColor="text1"/>
          <w:sz w:val="22"/>
          <w:szCs w:val="22"/>
        </w:rPr>
      </w:pPr>
    </w:p>
    <w:p w14:paraId="3ACFDBD0" w14:textId="77777777" w:rsidR="008335ED" w:rsidRDefault="008335ED" w:rsidP="00832F99">
      <w:pPr>
        <w:pStyle w:val="Heading1"/>
        <w:jc w:val="both"/>
        <w:rPr>
          <w:rStyle w:val="Strong"/>
          <w:rFonts w:ascii="Arial" w:hAnsi="Arial" w:cs="Arial"/>
          <w:b w:val="0"/>
          <w:bCs w:val="0"/>
          <w:color w:val="000000" w:themeColor="text1"/>
          <w:sz w:val="22"/>
          <w:szCs w:val="22"/>
        </w:rPr>
      </w:pPr>
    </w:p>
    <w:p w14:paraId="08D6EF4F" w14:textId="77777777" w:rsidR="008335ED" w:rsidRDefault="008335ED" w:rsidP="00832F99">
      <w:pPr>
        <w:pStyle w:val="Heading1"/>
        <w:jc w:val="both"/>
        <w:rPr>
          <w:rStyle w:val="Strong"/>
          <w:rFonts w:ascii="Arial" w:hAnsi="Arial" w:cs="Arial"/>
          <w:b w:val="0"/>
          <w:bCs w:val="0"/>
          <w:color w:val="000000" w:themeColor="text1"/>
          <w:sz w:val="22"/>
          <w:szCs w:val="22"/>
        </w:rPr>
      </w:pPr>
    </w:p>
    <w:p w14:paraId="0A68D999" w14:textId="77777777" w:rsidR="008335ED" w:rsidRDefault="008335ED" w:rsidP="00832F99">
      <w:pPr>
        <w:pStyle w:val="Heading1"/>
        <w:jc w:val="both"/>
        <w:rPr>
          <w:rStyle w:val="Strong"/>
          <w:rFonts w:ascii="Arial" w:hAnsi="Arial" w:cs="Arial"/>
          <w:b w:val="0"/>
          <w:bCs w:val="0"/>
          <w:color w:val="000000" w:themeColor="text1"/>
          <w:sz w:val="22"/>
          <w:szCs w:val="22"/>
        </w:rPr>
      </w:pPr>
    </w:p>
    <w:p w14:paraId="3BC456C0" w14:textId="77777777" w:rsidR="008335ED" w:rsidRDefault="008335ED" w:rsidP="00832F99">
      <w:pPr>
        <w:pStyle w:val="Heading1"/>
        <w:jc w:val="both"/>
        <w:rPr>
          <w:rStyle w:val="Strong"/>
          <w:rFonts w:ascii="Arial" w:hAnsi="Arial" w:cs="Arial"/>
          <w:b w:val="0"/>
          <w:bCs w:val="0"/>
          <w:color w:val="000000" w:themeColor="text1"/>
          <w:sz w:val="22"/>
          <w:szCs w:val="22"/>
        </w:rPr>
      </w:pPr>
    </w:p>
    <w:p w14:paraId="5F39F4C3" w14:textId="77777777" w:rsidR="008335ED" w:rsidRDefault="008335ED" w:rsidP="00832F99">
      <w:pPr>
        <w:pStyle w:val="Heading1"/>
        <w:jc w:val="both"/>
        <w:rPr>
          <w:rStyle w:val="Strong"/>
          <w:rFonts w:ascii="Arial" w:hAnsi="Arial" w:cs="Arial"/>
          <w:b w:val="0"/>
          <w:bCs w:val="0"/>
          <w:color w:val="000000" w:themeColor="text1"/>
          <w:sz w:val="22"/>
          <w:szCs w:val="22"/>
        </w:rPr>
      </w:pPr>
    </w:p>
    <w:p w14:paraId="704BC179" w14:textId="4D6FB69A" w:rsidR="00A836FB" w:rsidRPr="00832F99" w:rsidRDefault="00A836FB" w:rsidP="00832F99">
      <w:pPr>
        <w:pStyle w:val="Heading1"/>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ABSTRACT</w:t>
      </w:r>
    </w:p>
    <w:p w14:paraId="254A2982" w14:textId="77777777" w:rsidR="00A836FB" w:rsidRPr="00832F99" w:rsidRDefault="00A836F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Cardiovascular disease (CVD) remains a leading cause of morbidity and mortality in England, with older adults experiencing disproportionately high rates of hospital readmissions. Cardiac rehabilitation (CR) is widely recognised as an effective secondary prevention strategy; however, participation and outcomes vary significantly across demographic groups. This systematic review examined the extent to which CR reduces hospital readmissions among adults aged 55 years and over in England, with a particular focus on ethnic and socioeconomic inequalities. The review followed PRISMA 2020 guidelines and included 15 studies identified through MEDLINE, CINAHL, Cochrane Library, Web of Science, Scopus, Google Scholar, and hand searching. Studies were appraised using CASP tools, and findings were synthesised narratively due to heterogeneity in design and outcomes.</w:t>
      </w:r>
    </w:p>
    <w:p w14:paraId="29271F18" w14:textId="77777777" w:rsidR="00A836FB" w:rsidRPr="00832F99" w:rsidRDefault="00A836F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lastRenderedPageBreak/>
        <w:t>The review found consistent evidence that CR reduces hospital readmissions by 20–30%, with programme completion strongly associated with improved outcomes. However, substantial inequalities were identified. Minority ethnic groups, particularly South Asian and Black patients, were less likely to complete CR due to cultural, linguistic, and structural barriers. Socioeconomic deprivation further reduced participation, with individuals in the most deprived areas 30–40% less likely to attend CR. Older adults benefited significantly from CR but faced barriers such as frailty, mobility limitations, and fear of exercise. Facilitators of participation included flexible delivery models, culturally sensitive communication, and strong social support.</w:t>
      </w:r>
    </w:p>
    <w:p w14:paraId="5CE09E67" w14:textId="77777777" w:rsidR="00A836FB" w:rsidRPr="00832F99" w:rsidRDefault="00A836F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findings highlight the need for personalised, accessible, and culturally tailored CR programmes to address persistent inequalities. Recommendations include expanding home</w:t>
      </w:r>
      <w:r w:rsidRPr="00832F99">
        <w:rPr>
          <w:rFonts w:ascii="Arial" w:hAnsi="Arial" w:cs="Arial"/>
          <w:color w:val="000000" w:themeColor="text1"/>
          <w:sz w:val="22"/>
          <w:szCs w:val="22"/>
        </w:rPr>
        <w:noBreakHyphen/>
        <w:t>based and digital CR options, improving culturally competent communication, enhancing patient education, and strengthening national monitoring of CR disparities. Overall, the review concludes that while CR is highly effective in reducing readmissions among older adults, targeted interventions are essential to ensure equitable access and maximise population</w:t>
      </w:r>
      <w:r w:rsidRPr="00832F99">
        <w:rPr>
          <w:rFonts w:ascii="Arial" w:hAnsi="Arial" w:cs="Arial"/>
          <w:color w:val="000000" w:themeColor="text1"/>
          <w:sz w:val="22"/>
          <w:szCs w:val="22"/>
        </w:rPr>
        <w:noBreakHyphen/>
        <w:t>level benefits.</w:t>
      </w:r>
    </w:p>
    <w:p w14:paraId="4E00DCF0" w14:textId="77777777" w:rsidR="00A836FB" w:rsidRPr="00832F99" w:rsidRDefault="00A836F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p>
    <w:p w14:paraId="3E111C6D" w14:textId="77777777" w:rsidR="00A836FB" w:rsidRPr="00832F99" w:rsidRDefault="00A836F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p>
    <w:p w14:paraId="0888037D" w14:textId="77777777" w:rsidR="00A836FB" w:rsidRPr="00832F99" w:rsidRDefault="00A836F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p>
    <w:p w14:paraId="78233BD3" w14:textId="77777777" w:rsidR="00A836FB" w:rsidRPr="00832F99" w:rsidRDefault="00A836F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p>
    <w:p w14:paraId="761210AA" w14:textId="77777777" w:rsidR="00A836FB" w:rsidRPr="00832F99" w:rsidRDefault="00A836F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p>
    <w:p w14:paraId="254614F7" w14:textId="77777777" w:rsidR="00A836FB" w:rsidRPr="00832F99" w:rsidRDefault="00A836F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p>
    <w:p w14:paraId="4CB5B3CB" w14:textId="77777777" w:rsidR="00A836FB" w:rsidRPr="00832F99" w:rsidRDefault="00A836F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p>
    <w:p w14:paraId="2B5F440F" w14:textId="77777777" w:rsidR="00265E90" w:rsidRPr="00832F99" w:rsidRDefault="00265E90"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p>
    <w:p w14:paraId="2DACBF69" w14:textId="77777777" w:rsidR="004E6F35" w:rsidRPr="00832F99" w:rsidRDefault="004E6F35"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p>
    <w:p w14:paraId="18D3732C" w14:textId="77777777" w:rsidR="004E6F35" w:rsidRPr="00832F99" w:rsidRDefault="004E6F35"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p>
    <w:p w14:paraId="1AF3E03F" w14:textId="77777777" w:rsidR="00AA4B24" w:rsidRDefault="00AA4B24"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p>
    <w:p w14:paraId="54444EF7" w14:textId="6FF4BC97" w:rsidR="00265E90" w:rsidRPr="00832F99" w:rsidRDefault="00265E90"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 xml:space="preserve">Introduction </w:t>
      </w:r>
    </w:p>
    <w:p w14:paraId="4EAA5637" w14:textId="6F1002B2" w:rsidR="00000FAB" w:rsidRPr="00832F99" w:rsidRDefault="00000FA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1.1 Background of the Study</w:t>
      </w:r>
    </w:p>
    <w:p w14:paraId="77BA67F3"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Cardiovascular disease (CVD) continues to be one of the most significant global public health challenges and remains the leading cause of mortality and morbidity in both developed and developing nations (WHO, 2023). Current estimates indicate that cardiovascular diseases account for approximately 17.9 million deaths each year, representing around 32% of all global deaths (WHO, 2023). More recent projections suggest that global cardiovascular mortality increased to nearly 19.8 million deaths in 2022, largely due to ageing populations and rising lifestyle</w:t>
      </w:r>
      <w:r w:rsidRPr="00832F99">
        <w:rPr>
          <w:rFonts w:ascii="Arial" w:eastAsia="Times New Roman" w:hAnsi="Arial" w:cs="Arial"/>
          <w:color w:val="000000" w:themeColor="text1"/>
          <w:lang w:eastAsia="en-IN"/>
        </w:rPr>
        <w:noBreakHyphen/>
        <w:t xml:space="preserve">related risk factors (WHO, 2025). CVD encompasses a broad range of conditions affecting the heart and blood vessels, including coronary heart disease, stroke, heart failure, rheumatic heart disease, and peripheral arterial disease. Beyond mortality, CVD contributes </w:t>
      </w:r>
      <w:r w:rsidRPr="00832F99">
        <w:rPr>
          <w:rFonts w:ascii="Arial" w:eastAsia="Times New Roman" w:hAnsi="Arial" w:cs="Arial"/>
          <w:color w:val="000000" w:themeColor="text1"/>
          <w:lang w:eastAsia="en-IN"/>
        </w:rPr>
        <w:lastRenderedPageBreak/>
        <w:t>significantly to disability</w:t>
      </w:r>
      <w:r w:rsidRPr="00832F99">
        <w:rPr>
          <w:rFonts w:ascii="Arial" w:eastAsia="Times New Roman" w:hAnsi="Arial" w:cs="Arial"/>
          <w:color w:val="000000" w:themeColor="text1"/>
          <w:lang w:eastAsia="en-IN"/>
        </w:rPr>
        <w:noBreakHyphen/>
        <w:t>adjusted life years (DALYs), diminished quality of life, reduced productivity, and escalating healthcare costs worldwide (Roth et al., 2020).</w:t>
      </w:r>
    </w:p>
    <w:p w14:paraId="4532D721"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The rising burden of CVD is closely linked to demographic and behavioural changes such as urbanisation, population ageing, sedentary lifestyles, unhealthy diets, smoking, alcohol consumption, obesity, and physical inactivity (Roth et al., 2020). Evidence indicates that nearly 80% of the global CVD burden is attributable to modifiable risk factors, particularly hypertension, diabetes, obesity, and tobacco use (WHO, 2025). High systolic blood pressure alone is estimated to account for almost one</w:t>
      </w:r>
      <w:r w:rsidRPr="00832F99">
        <w:rPr>
          <w:rFonts w:ascii="Arial" w:eastAsia="Times New Roman" w:hAnsi="Arial" w:cs="Arial"/>
          <w:color w:val="000000" w:themeColor="text1"/>
          <w:lang w:eastAsia="en-IN"/>
        </w:rPr>
        <w:noBreakHyphen/>
        <w:t>quarter of cardiovascular deaths globally (WHO Europe, 2024). Although advances in diagnostic technologies, emergency cardiac care, and medical treatments have improved survival following events such as myocardial infarction and stroke, these improvements have also resulted in a growing population living with chronic cardiovascular conditions requiring long</w:t>
      </w:r>
      <w:r w:rsidRPr="00832F99">
        <w:rPr>
          <w:rFonts w:ascii="Arial" w:eastAsia="Times New Roman" w:hAnsi="Arial" w:cs="Arial"/>
          <w:color w:val="000000" w:themeColor="text1"/>
          <w:lang w:eastAsia="en-IN"/>
        </w:rPr>
        <w:noBreakHyphen/>
        <w:t>term management and rehabilitation (Roth et al., 2020).</w:t>
      </w:r>
    </w:p>
    <w:p w14:paraId="4A73DE96"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In England, CVD remains a major cause of death and hospitalisation despite improvements in prevention and treatment. Approximately 7.6 million people in the United Kingdom are currently living with heart and circulatory diseases, including around 4 million men and 3.6 million women (British Heart Foundation, 2025). CVD accounts for roughly one</w:t>
      </w:r>
      <w:r w:rsidRPr="00832F99">
        <w:rPr>
          <w:rFonts w:ascii="Arial" w:eastAsia="Times New Roman" w:hAnsi="Arial" w:cs="Arial"/>
          <w:color w:val="000000" w:themeColor="text1"/>
          <w:lang w:eastAsia="en-IN"/>
        </w:rPr>
        <w:noBreakHyphen/>
        <w:t>quarter of all UK deaths, equating to around 170,000 deaths annually, or approximately 460 deaths each day (British Heart Foundation, 2025). Premature mortality has also risen, with over 48,000 premature CVD</w:t>
      </w:r>
      <w:r w:rsidRPr="00832F99">
        <w:rPr>
          <w:rFonts w:ascii="Arial" w:eastAsia="Times New Roman" w:hAnsi="Arial" w:cs="Arial"/>
          <w:color w:val="000000" w:themeColor="text1"/>
          <w:lang w:eastAsia="en-IN"/>
        </w:rPr>
        <w:noBreakHyphen/>
        <w:t>related deaths recorded in 2023 (British Heart Foundation, 2025). The condition places substantial financial pressure on the National Health Service (NHS) due to emergency admissions, surgical interventions, medication costs, outpatient care, and long</w:t>
      </w:r>
      <w:r w:rsidRPr="00832F99">
        <w:rPr>
          <w:rFonts w:ascii="Arial" w:eastAsia="Times New Roman" w:hAnsi="Arial" w:cs="Arial"/>
          <w:color w:val="000000" w:themeColor="text1"/>
          <w:lang w:eastAsia="en-IN"/>
        </w:rPr>
        <w:noBreakHyphen/>
        <w:t>term disease management.</w:t>
      </w:r>
    </w:p>
    <w:p w14:paraId="5A2EF2E9"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A key concern in CVD management is the high rate of hospital readmissions following acute cardiovascular events. Readmission rates are widely used as indicators of healthcare quality, discharge planning effectiveness, and continuity of care (</w:t>
      </w:r>
      <w:proofErr w:type="spellStart"/>
      <w:r w:rsidRPr="00832F99">
        <w:rPr>
          <w:rFonts w:ascii="Arial" w:eastAsia="Times New Roman" w:hAnsi="Arial" w:cs="Arial"/>
          <w:color w:val="000000" w:themeColor="text1"/>
          <w:lang w:eastAsia="en-IN"/>
        </w:rPr>
        <w:t>Dharmarajan</w:t>
      </w:r>
      <w:proofErr w:type="spellEnd"/>
      <w:r w:rsidRPr="00832F99">
        <w:rPr>
          <w:rFonts w:ascii="Arial" w:eastAsia="Times New Roman" w:hAnsi="Arial" w:cs="Arial"/>
          <w:color w:val="000000" w:themeColor="text1"/>
          <w:lang w:eastAsia="en-IN"/>
        </w:rPr>
        <w:t xml:space="preserve"> et al., 2013). Approximately 20–25% of patients hospitalised for heart failure are readmitted within 30 days, and nearly 50% are readmitted within six months (Virani et al., 2021). Common causes of readmission include medication non</w:t>
      </w:r>
      <w:r w:rsidRPr="00832F99">
        <w:rPr>
          <w:rFonts w:ascii="Arial" w:eastAsia="Times New Roman" w:hAnsi="Arial" w:cs="Arial"/>
          <w:color w:val="000000" w:themeColor="text1"/>
          <w:lang w:eastAsia="en-IN"/>
        </w:rPr>
        <w:noBreakHyphen/>
        <w:t>adherence, inadequate discharge planning, poor self</w:t>
      </w:r>
      <w:r w:rsidRPr="00832F99">
        <w:rPr>
          <w:rFonts w:ascii="Arial" w:eastAsia="Times New Roman" w:hAnsi="Arial" w:cs="Arial"/>
          <w:color w:val="000000" w:themeColor="text1"/>
          <w:lang w:eastAsia="en-IN"/>
        </w:rPr>
        <w:noBreakHyphen/>
        <w:t>management, insufficient follow</w:t>
      </w:r>
      <w:r w:rsidRPr="00832F99">
        <w:rPr>
          <w:rFonts w:ascii="Arial" w:eastAsia="Times New Roman" w:hAnsi="Arial" w:cs="Arial"/>
          <w:color w:val="000000" w:themeColor="text1"/>
          <w:lang w:eastAsia="en-IN"/>
        </w:rPr>
        <w:noBreakHyphen/>
        <w:t>up care, and progression of underlying disease (</w:t>
      </w:r>
      <w:proofErr w:type="spellStart"/>
      <w:r w:rsidRPr="00832F99">
        <w:rPr>
          <w:rFonts w:ascii="Arial" w:eastAsia="Times New Roman" w:hAnsi="Arial" w:cs="Arial"/>
          <w:color w:val="000000" w:themeColor="text1"/>
          <w:lang w:eastAsia="en-IN"/>
        </w:rPr>
        <w:t>Dharmarajan</w:t>
      </w:r>
      <w:proofErr w:type="spellEnd"/>
      <w:r w:rsidRPr="00832F99">
        <w:rPr>
          <w:rFonts w:ascii="Arial" w:eastAsia="Times New Roman" w:hAnsi="Arial" w:cs="Arial"/>
          <w:color w:val="000000" w:themeColor="text1"/>
          <w:lang w:eastAsia="en-IN"/>
        </w:rPr>
        <w:t xml:space="preserve"> et al., 2013).</w:t>
      </w:r>
    </w:p>
    <w:p w14:paraId="5629CD5A"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Older adults are particularly vulnerable to cardiovascular</w:t>
      </w:r>
      <w:r w:rsidRPr="00832F99">
        <w:rPr>
          <w:rFonts w:ascii="Arial" w:eastAsia="Times New Roman" w:hAnsi="Arial" w:cs="Arial"/>
          <w:color w:val="000000" w:themeColor="text1"/>
          <w:lang w:eastAsia="en-IN"/>
        </w:rPr>
        <w:noBreakHyphen/>
        <w:t>related readmissions. Individuals aged 55 years and over face increased risk due to age</w:t>
      </w:r>
      <w:r w:rsidRPr="00832F99">
        <w:rPr>
          <w:rFonts w:ascii="Arial" w:eastAsia="Times New Roman" w:hAnsi="Arial" w:cs="Arial"/>
          <w:color w:val="000000" w:themeColor="text1"/>
          <w:lang w:eastAsia="en-IN"/>
        </w:rPr>
        <w:noBreakHyphen/>
        <w:t>related physiological decline, cumulative exposure to risk factors, and multiple comorbidities such as hypertension, diabetes, chronic kidney disease, and obesity (Ben</w:t>
      </w:r>
      <w:r w:rsidRPr="00832F99">
        <w:rPr>
          <w:rFonts w:ascii="Arial" w:eastAsia="Times New Roman" w:hAnsi="Arial" w:cs="Arial"/>
          <w:color w:val="000000" w:themeColor="text1"/>
          <w:lang w:eastAsia="en-IN"/>
        </w:rPr>
        <w:noBreakHyphen/>
        <w:t>Shlomo et al., 2022). Cardiovascular risk increases substantially after age 50, with mortality and hospitalisation rates rising sharply among older populations (ACC, 2025). In England, adults aged over 65 account for a large proportion of cardiovascular emergency admissions and healthcare expenditure. The complexity of managing multiple chronic conditions increases the likelihood of complications, polypharmacy, treatment burden, and recurrent hospital admissions (Ben</w:t>
      </w:r>
      <w:r w:rsidRPr="00832F99">
        <w:rPr>
          <w:rFonts w:ascii="Arial" w:eastAsia="Times New Roman" w:hAnsi="Arial" w:cs="Arial"/>
          <w:color w:val="000000" w:themeColor="text1"/>
          <w:lang w:eastAsia="en-IN"/>
        </w:rPr>
        <w:noBreakHyphen/>
        <w:t>Shlomo et al., 2022). Therefore, interventions that enhance recovery, support self</w:t>
      </w:r>
      <w:r w:rsidRPr="00832F99">
        <w:rPr>
          <w:rFonts w:ascii="Arial" w:eastAsia="Times New Roman" w:hAnsi="Arial" w:cs="Arial"/>
          <w:color w:val="000000" w:themeColor="text1"/>
          <w:lang w:eastAsia="en-IN"/>
        </w:rPr>
        <w:noBreakHyphen/>
        <w:t>management, and reduce recurrent events are essential for this population.</w:t>
      </w:r>
    </w:p>
    <w:p w14:paraId="1CB7E770" w14:textId="77777777" w:rsidR="00000FAB" w:rsidRPr="00832F99" w:rsidRDefault="00000FA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1.2 Cardiac Rehabilitation as a Secondary Prevention Strategy</w:t>
      </w:r>
    </w:p>
    <w:p w14:paraId="5636832F"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 xml:space="preserve">Cardiac rehabilitation (CR) is recognised as one of the most effective secondary prevention strategies for individuals recovering from cardiovascular events (Anderson et al., 2016). CR is a comprehensive, multidisciplinary intervention designed to improve physical, psychological, and social functioning while reducing the risk of future cardiovascular complications. Typical CR programmes include supervised exercise training, cardiovascular risk assessment, dietary </w:t>
      </w:r>
      <w:r w:rsidRPr="00832F99">
        <w:rPr>
          <w:rFonts w:ascii="Arial" w:eastAsia="Times New Roman" w:hAnsi="Arial" w:cs="Arial"/>
          <w:color w:val="000000" w:themeColor="text1"/>
          <w:lang w:eastAsia="en-IN"/>
        </w:rPr>
        <w:lastRenderedPageBreak/>
        <w:t>counselling, smoking cessation support, medication adherence education, stress management, and psychosocial support (Anderson et al., 2016).</w:t>
      </w:r>
    </w:p>
    <w:p w14:paraId="04539791"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The primary goals of CR are to improve functional capacity, enhance quality of life, promote behavioural change, and reduce morbidity and mortality associated with CVD. Systematic reviews and meta</w:t>
      </w:r>
      <w:r w:rsidRPr="00832F99">
        <w:rPr>
          <w:rFonts w:ascii="Arial" w:eastAsia="Times New Roman" w:hAnsi="Arial" w:cs="Arial"/>
          <w:color w:val="000000" w:themeColor="text1"/>
          <w:lang w:eastAsia="en-IN"/>
        </w:rPr>
        <w:noBreakHyphen/>
        <w:t>analyses show that participation in CR reduces cardiovascular mortality by approximately 20% and hospital readmissions by up to 26% among patients with coronary heart disease (Anderson et al., 2016). Additional evidence suggests that CR participants experience improved exercise tolerance, lower blood pressure, reduced cholesterol levels, and enhanced psychological wellbeing compared with non</w:t>
      </w:r>
      <w:r w:rsidRPr="00832F99">
        <w:rPr>
          <w:rFonts w:ascii="Arial" w:eastAsia="Times New Roman" w:hAnsi="Arial" w:cs="Arial"/>
          <w:color w:val="000000" w:themeColor="text1"/>
          <w:lang w:eastAsia="en-IN"/>
        </w:rPr>
        <w:noBreakHyphen/>
        <w:t>participants (</w:t>
      </w:r>
      <w:proofErr w:type="spellStart"/>
      <w:r w:rsidRPr="00832F99">
        <w:rPr>
          <w:rFonts w:ascii="Arial" w:eastAsia="Times New Roman" w:hAnsi="Arial" w:cs="Arial"/>
          <w:color w:val="000000" w:themeColor="text1"/>
          <w:lang w:eastAsia="en-IN"/>
        </w:rPr>
        <w:t>Resurrección</w:t>
      </w:r>
      <w:proofErr w:type="spellEnd"/>
      <w:r w:rsidRPr="00832F99">
        <w:rPr>
          <w:rFonts w:ascii="Arial" w:eastAsia="Times New Roman" w:hAnsi="Arial" w:cs="Arial"/>
          <w:color w:val="000000" w:themeColor="text1"/>
          <w:lang w:eastAsia="en-IN"/>
        </w:rPr>
        <w:t xml:space="preserve"> et al., 2017).</w:t>
      </w:r>
    </w:p>
    <w:p w14:paraId="15EA41F6"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In England, CR is recommended by the National Institute for Health and Care Excellence (NICE) as a routine component of post</w:t>
      </w:r>
      <w:r w:rsidRPr="00832F99">
        <w:rPr>
          <w:rFonts w:ascii="Arial" w:eastAsia="Times New Roman" w:hAnsi="Arial" w:cs="Arial"/>
          <w:color w:val="000000" w:themeColor="text1"/>
          <w:lang w:eastAsia="en-IN"/>
        </w:rPr>
        <w:noBreakHyphen/>
        <w:t>cardiac care for patients recovering from myocardial infarction, coronary artery bypass graft surgery, heart failure, and other cardiovascular conditions (NIHR, 2019). Despite strong evidence supporting its effectiveness, CR uptake remains low. Only around 43% of eligible patients in the UK enrol in CR programmes, and completion rates are even lower (NIHR, 2019). This indicates that many patients do not receive the full benefits of rehabilitation.</w:t>
      </w:r>
    </w:p>
    <w:p w14:paraId="56F13B41"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Barriers to CR participation include delayed referrals, lack of awareness, transport difficulties, financial constraints, work commitments, language barriers, and low health literacy (</w:t>
      </w:r>
      <w:proofErr w:type="spellStart"/>
      <w:r w:rsidRPr="00832F99">
        <w:rPr>
          <w:rFonts w:ascii="Arial" w:eastAsia="Times New Roman" w:hAnsi="Arial" w:cs="Arial"/>
          <w:color w:val="000000" w:themeColor="text1"/>
          <w:lang w:eastAsia="en-IN"/>
        </w:rPr>
        <w:t>Resurrección</w:t>
      </w:r>
      <w:proofErr w:type="spellEnd"/>
      <w:r w:rsidRPr="00832F99">
        <w:rPr>
          <w:rFonts w:ascii="Arial" w:eastAsia="Times New Roman" w:hAnsi="Arial" w:cs="Arial"/>
          <w:color w:val="000000" w:themeColor="text1"/>
          <w:lang w:eastAsia="en-IN"/>
        </w:rPr>
        <w:t xml:space="preserve"> et al., 2017). Older adults may face additional challenges such as frailty, mobility limitations, social isolation, and fear of exercise following cardiac events. Understanding these barriers is essential for improving participation and maximising programme effectiveness.</w:t>
      </w:r>
    </w:p>
    <w:p w14:paraId="7F7B11FD" w14:textId="77777777" w:rsidR="00000FAB" w:rsidRPr="00832F99" w:rsidRDefault="00000FA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1.3 Health Inequalities in Cardiovascular Care</w:t>
      </w:r>
    </w:p>
    <w:p w14:paraId="2F6E0DE6"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Health inequalities significantly influence access to cardiovascular care and participation in CR. These inequalities refer to avoidable and unfair differences in health outcomes between groups, often driven by unequal social, economic, and environmental conditions (Marmot et al., 2020).</w:t>
      </w:r>
    </w:p>
    <w:p w14:paraId="2C17F51E"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Socioeconomic status is one of the strongest determinants of cardiovascular health. Individuals living in deprived areas experience higher rates of CVD, premature mortality, and hospital admissions compared with those in more affluent areas (Public Health England, 2020). Factors such as low income, unemployment, poor housing, limited education, and food insecurity increase exposure to risk factors including smoking, obesity, hypertension, and diabetes (Public Health England, 2020).</w:t>
      </w:r>
    </w:p>
    <w:p w14:paraId="2E233B18"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Socioeconomic deprivation also affects CR participation. Barriers include limited transport, inability to take time off work, caring responsibilities, and reduced access to digital health services (</w:t>
      </w:r>
      <w:proofErr w:type="spellStart"/>
      <w:r w:rsidRPr="00832F99">
        <w:rPr>
          <w:rFonts w:ascii="Arial" w:eastAsia="Times New Roman" w:hAnsi="Arial" w:cs="Arial"/>
          <w:color w:val="000000" w:themeColor="text1"/>
          <w:lang w:eastAsia="en-IN"/>
        </w:rPr>
        <w:t>Resurrección</w:t>
      </w:r>
      <w:proofErr w:type="spellEnd"/>
      <w:r w:rsidRPr="00832F99">
        <w:rPr>
          <w:rFonts w:ascii="Arial" w:eastAsia="Times New Roman" w:hAnsi="Arial" w:cs="Arial"/>
          <w:color w:val="000000" w:themeColor="text1"/>
          <w:lang w:eastAsia="en-IN"/>
        </w:rPr>
        <w:t xml:space="preserve"> et al., 2017). Low health literacy may further reduce understanding of CR benefits and adherence to treatment.</w:t>
      </w:r>
    </w:p>
    <w:p w14:paraId="189ECE3B"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Ethnicity is another key determinant of cardiovascular outcomes. South Asian and Black populations in England experience higher rates of hypertension, type 2 diabetes, obesity, and cardiovascular mortality (Public Health England, 2020). South Asian groups, in particular, develop coronary heart disease at younger ages and experience higher premature mortality. Cultural beliefs, language barriers, mistrust of healthcare services, and discrimination may further reduce healthcare utilisation and CR participation (Marmot et al., 2020).</w:t>
      </w:r>
    </w:p>
    <w:p w14:paraId="1F5A5DFD"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lastRenderedPageBreak/>
        <w:t>The intersection of ethnicity and socioeconomic deprivation compounds disadvantage, creating complex patterns of inequality. Individuals who experience both may face multiple structural barriers affecting access, adherence, and recovery. Understanding these combined influences is essential for developing equitable cardiovascular services.</w:t>
      </w:r>
    </w:p>
    <w:p w14:paraId="68D4815C" w14:textId="77777777" w:rsidR="00000FAB" w:rsidRPr="00832F99" w:rsidRDefault="00000FA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1.4 Rationale for the Study</w:t>
      </w:r>
    </w:p>
    <w:p w14:paraId="3B738714"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Although CR is well</w:t>
      </w:r>
      <w:r w:rsidRPr="00832F99">
        <w:rPr>
          <w:rFonts w:ascii="Arial" w:eastAsia="Times New Roman" w:hAnsi="Arial" w:cs="Arial"/>
          <w:color w:val="000000" w:themeColor="text1"/>
          <w:lang w:eastAsia="en-IN"/>
        </w:rPr>
        <w:noBreakHyphen/>
        <w:t>established as an effective secondary prevention strategy, much existing research focuses on clinical outcomes without adequately considering broader social determinants of health (Marmot et al., 2020). Limited research explores how socioeconomic inequalities and ethnic disparities influence CR participation and hospital readmission outcomes among adults aged 55 years and over in England.</w:t>
      </w:r>
    </w:p>
    <w:p w14:paraId="5A11F03E"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Additionally, many studies focus on short</w:t>
      </w:r>
      <w:r w:rsidRPr="00832F99">
        <w:rPr>
          <w:rFonts w:ascii="Arial" w:eastAsia="Times New Roman" w:hAnsi="Arial" w:cs="Arial"/>
          <w:color w:val="000000" w:themeColor="text1"/>
          <w:lang w:eastAsia="en-IN"/>
        </w:rPr>
        <w:noBreakHyphen/>
        <w:t>term outcomes such as 30</w:t>
      </w:r>
      <w:r w:rsidRPr="00832F99">
        <w:rPr>
          <w:rFonts w:ascii="Arial" w:eastAsia="Times New Roman" w:hAnsi="Arial" w:cs="Arial"/>
          <w:color w:val="000000" w:themeColor="text1"/>
          <w:lang w:eastAsia="en-IN"/>
        </w:rPr>
        <w:noBreakHyphen/>
        <w:t>day readmission rates, with less attention to medium</w:t>
      </w:r>
      <w:r w:rsidRPr="00832F99">
        <w:rPr>
          <w:rFonts w:ascii="Arial" w:eastAsia="Times New Roman" w:hAnsi="Arial" w:cs="Arial"/>
          <w:color w:val="000000" w:themeColor="text1"/>
          <w:lang w:eastAsia="en-IN"/>
        </w:rPr>
        <w:noBreakHyphen/>
        <w:t xml:space="preserve"> and long</w:t>
      </w:r>
      <w:r w:rsidRPr="00832F99">
        <w:rPr>
          <w:rFonts w:ascii="Arial" w:eastAsia="Times New Roman" w:hAnsi="Arial" w:cs="Arial"/>
          <w:color w:val="000000" w:themeColor="text1"/>
          <w:lang w:eastAsia="en-IN"/>
        </w:rPr>
        <w:noBreakHyphen/>
        <w:t>term outcomes beyond six months or one year (Virani et al., 2021). This creates a gap in understanding the sustained effectiveness of CR and whether benefits differ across population groups.</w:t>
      </w:r>
    </w:p>
    <w:p w14:paraId="7D3A5C87"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This study aims to examine the extent to which CR participation reduces hospital readmissions among adults aged 55 years and over in England, while also exploring how ethnicity and socioeconomic status influence these outcomes. Addressing these inequalities may support healthcare providers and policymakers in improving access, reducing avoidable readmissions, and promoting equitable cardiovascular outcomes.</w:t>
      </w:r>
    </w:p>
    <w:p w14:paraId="26618F64" w14:textId="6F3DB967" w:rsidR="00000FAB" w:rsidRPr="00832F99" w:rsidRDefault="00000FA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1.</w:t>
      </w:r>
      <w:r w:rsidR="0006126E" w:rsidRPr="00832F99">
        <w:rPr>
          <w:rFonts w:ascii="Arial" w:eastAsia="Times New Roman" w:hAnsi="Arial" w:cs="Arial"/>
          <w:b/>
          <w:bCs/>
          <w:color w:val="000000" w:themeColor="text1"/>
          <w:lang w:eastAsia="en-IN"/>
        </w:rPr>
        <w:t>5</w:t>
      </w:r>
      <w:r w:rsidRPr="00832F99">
        <w:rPr>
          <w:rFonts w:ascii="Arial" w:eastAsia="Times New Roman" w:hAnsi="Arial" w:cs="Arial"/>
          <w:b/>
          <w:bCs/>
          <w:color w:val="000000" w:themeColor="text1"/>
          <w:lang w:eastAsia="en-IN"/>
        </w:rPr>
        <w:t xml:space="preserve"> Research Question</w:t>
      </w:r>
    </w:p>
    <w:p w14:paraId="07C6B6E3" w14:textId="764D3AB9"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what extent does participation in cardiac rehabilitation programmes reduce hospital readmissions among adults aged 55 years and over in England, and how do ethnicity and socioeconomic status influence these outcomes?</w:t>
      </w:r>
    </w:p>
    <w:p w14:paraId="30A16F2B" w14:textId="26CDF18E" w:rsidR="00000FAB" w:rsidRPr="00832F99" w:rsidRDefault="00000FA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1.6 Research Aim</w:t>
      </w:r>
    </w:p>
    <w:p w14:paraId="3C327EEA"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evaluate the effectiveness of cardiac rehabilitation programmes in reducing hospital readmissions among adults aged 55 years and over in England, with a particular focus on ethnic and socioeconomic inequalities.</w:t>
      </w:r>
    </w:p>
    <w:p w14:paraId="0BD2CA24"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p>
    <w:p w14:paraId="6D62E7D9" w14:textId="77777777" w:rsidR="00000FAB" w:rsidRPr="00832F99" w:rsidRDefault="00000FA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1.7 Research Objectives</w:t>
      </w:r>
    </w:p>
    <w:p w14:paraId="06655151" w14:textId="77777777" w:rsidR="00000FAB" w:rsidRPr="00832F99" w:rsidRDefault="00000FAB" w:rsidP="00832F99">
      <w:pPr>
        <w:numPr>
          <w:ilvl w:val="0"/>
          <w:numId w:val="1"/>
        </w:num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assess the impact of cardiac rehabilitation on hospital readmission rates among adults aged 55 years and over in England.</w:t>
      </w:r>
    </w:p>
    <w:p w14:paraId="77ED5009" w14:textId="77777777" w:rsidR="00000FAB" w:rsidRPr="00832F99" w:rsidRDefault="00000FAB" w:rsidP="00832F99">
      <w:pPr>
        <w:numPr>
          <w:ilvl w:val="0"/>
          <w:numId w:val="1"/>
        </w:num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examine differences in cardiac rehabilitation participation and outcomes across ethnic groups.</w:t>
      </w:r>
    </w:p>
    <w:p w14:paraId="662471A3" w14:textId="77777777" w:rsidR="00000FAB" w:rsidRPr="00832F99" w:rsidRDefault="00000FAB" w:rsidP="00832F99">
      <w:pPr>
        <w:numPr>
          <w:ilvl w:val="0"/>
          <w:numId w:val="1"/>
        </w:num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identify barriers and facilitators affecting participation in cardiac rehabilitation programmes.</w:t>
      </w:r>
    </w:p>
    <w:p w14:paraId="1F286A89" w14:textId="77777777" w:rsidR="00000FAB" w:rsidRPr="00832F99" w:rsidRDefault="00000FAB" w:rsidP="00832F99">
      <w:pPr>
        <w:spacing w:before="100" w:beforeAutospacing="1" w:after="100" w:afterAutospacing="1" w:line="240" w:lineRule="auto"/>
        <w:jc w:val="both"/>
        <w:outlineLvl w:val="2"/>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1.8 Structure of the Dissertation</w:t>
      </w:r>
    </w:p>
    <w:p w14:paraId="6C8BC7F5" w14:textId="77777777" w:rsidR="00000FAB" w:rsidRPr="00832F99" w:rsidRDefault="00000FAB" w:rsidP="00832F99">
      <w:pPr>
        <w:spacing w:before="100" w:beforeAutospacing="1" w:after="100" w:afterAutospacing="1"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 xml:space="preserve">This dissertation is organised into six chapters. Chapter 1 provides the background, rationale, aim, and objectives. Chapter 2 critically reviews existing literature and outlines the theoretical framework. Chapter 3 describes the methodology, including research design, data sources, and analytical methods. Chapter 4 presents the findings. Chapter 5 discusses these findings </w:t>
      </w:r>
      <w:r w:rsidRPr="00832F99">
        <w:rPr>
          <w:rFonts w:ascii="Arial" w:eastAsia="Times New Roman" w:hAnsi="Arial" w:cs="Arial"/>
          <w:color w:val="000000" w:themeColor="text1"/>
          <w:lang w:eastAsia="en-IN"/>
        </w:rPr>
        <w:lastRenderedPageBreak/>
        <w:t>in relation to existing literature. Chapter 6 concludes with recommendations and implications for practice and future research.</w:t>
      </w:r>
    </w:p>
    <w:p w14:paraId="4E431A74" w14:textId="29F93B26" w:rsidR="008B2619" w:rsidRPr="00832F99" w:rsidRDefault="008B2619" w:rsidP="00832F99">
      <w:pPr>
        <w:jc w:val="both"/>
        <w:rPr>
          <w:rFonts w:ascii="Arial" w:hAnsi="Arial" w:cs="Arial"/>
          <w:color w:val="000000" w:themeColor="text1"/>
        </w:rPr>
      </w:pPr>
    </w:p>
    <w:p w14:paraId="595EFCE4" w14:textId="2C1899BC" w:rsidR="0006126E" w:rsidRPr="00832F99" w:rsidRDefault="0006126E" w:rsidP="00832F99">
      <w:pPr>
        <w:jc w:val="both"/>
        <w:rPr>
          <w:rFonts w:ascii="Arial" w:hAnsi="Arial" w:cs="Arial"/>
          <w:color w:val="000000" w:themeColor="text1"/>
        </w:rPr>
      </w:pPr>
    </w:p>
    <w:p w14:paraId="46CE9225" w14:textId="7DC96EE7" w:rsidR="0006126E" w:rsidRPr="00832F99" w:rsidRDefault="0006126E" w:rsidP="00832F99">
      <w:pPr>
        <w:jc w:val="both"/>
        <w:rPr>
          <w:rFonts w:ascii="Arial" w:hAnsi="Arial" w:cs="Arial"/>
          <w:color w:val="000000" w:themeColor="text1"/>
        </w:rPr>
      </w:pPr>
    </w:p>
    <w:p w14:paraId="33B08F7A" w14:textId="177D0308" w:rsidR="0006126E" w:rsidRPr="00832F99" w:rsidRDefault="0006126E" w:rsidP="00832F99">
      <w:pPr>
        <w:jc w:val="both"/>
        <w:rPr>
          <w:rFonts w:ascii="Arial" w:hAnsi="Arial" w:cs="Arial"/>
          <w:color w:val="000000" w:themeColor="text1"/>
        </w:rPr>
      </w:pPr>
    </w:p>
    <w:p w14:paraId="31E9F6DD" w14:textId="77B05586" w:rsidR="0006126E" w:rsidRPr="00832F99" w:rsidRDefault="0006126E" w:rsidP="00832F99">
      <w:pPr>
        <w:jc w:val="both"/>
        <w:rPr>
          <w:rFonts w:ascii="Arial" w:hAnsi="Arial" w:cs="Arial"/>
          <w:color w:val="000000" w:themeColor="text1"/>
        </w:rPr>
      </w:pPr>
    </w:p>
    <w:p w14:paraId="42CDDC55" w14:textId="6E8A7D05" w:rsidR="0006126E" w:rsidRPr="00832F99" w:rsidRDefault="0006126E" w:rsidP="00832F99">
      <w:pPr>
        <w:jc w:val="both"/>
        <w:rPr>
          <w:rFonts w:ascii="Arial" w:hAnsi="Arial" w:cs="Arial"/>
          <w:color w:val="000000" w:themeColor="text1"/>
        </w:rPr>
      </w:pPr>
    </w:p>
    <w:p w14:paraId="51EB2858" w14:textId="457797CD" w:rsidR="0006126E" w:rsidRPr="00832F99" w:rsidRDefault="0006126E" w:rsidP="00832F99">
      <w:pPr>
        <w:jc w:val="both"/>
        <w:rPr>
          <w:rFonts w:ascii="Arial" w:hAnsi="Arial" w:cs="Arial"/>
          <w:color w:val="000000" w:themeColor="text1"/>
        </w:rPr>
      </w:pPr>
    </w:p>
    <w:p w14:paraId="18077987" w14:textId="71CDF2A7" w:rsidR="0006126E" w:rsidRPr="00832F99" w:rsidRDefault="0006126E" w:rsidP="00832F99">
      <w:pPr>
        <w:jc w:val="both"/>
        <w:rPr>
          <w:rFonts w:ascii="Arial" w:hAnsi="Arial" w:cs="Arial"/>
          <w:color w:val="000000" w:themeColor="text1"/>
        </w:rPr>
      </w:pPr>
    </w:p>
    <w:p w14:paraId="04E2DCDE" w14:textId="0E3FEF38" w:rsidR="0006126E" w:rsidRPr="00832F99" w:rsidRDefault="0006126E" w:rsidP="00832F99">
      <w:pPr>
        <w:jc w:val="both"/>
        <w:rPr>
          <w:rFonts w:ascii="Arial" w:hAnsi="Arial" w:cs="Arial"/>
          <w:color w:val="000000" w:themeColor="text1"/>
        </w:rPr>
      </w:pPr>
    </w:p>
    <w:p w14:paraId="45C8DE28" w14:textId="45FF81D1" w:rsidR="0006126E" w:rsidRPr="00832F99" w:rsidRDefault="0006126E" w:rsidP="00832F99">
      <w:pPr>
        <w:jc w:val="both"/>
        <w:rPr>
          <w:rFonts w:ascii="Arial" w:hAnsi="Arial" w:cs="Arial"/>
          <w:color w:val="000000" w:themeColor="text1"/>
        </w:rPr>
      </w:pPr>
    </w:p>
    <w:p w14:paraId="76240E3B" w14:textId="6042EF6F" w:rsidR="0006126E" w:rsidRPr="00832F99" w:rsidRDefault="0006126E" w:rsidP="00832F99">
      <w:pPr>
        <w:jc w:val="both"/>
        <w:rPr>
          <w:rFonts w:ascii="Arial" w:hAnsi="Arial" w:cs="Arial"/>
          <w:color w:val="000000" w:themeColor="text1"/>
        </w:rPr>
      </w:pPr>
    </w:p>
    <w:p w14:paraId="02E854DD" w14:textId="260C461A" w:rsidR="0006126E" w:rsidRPr="00832F99" w:rsidRDefault="0006126E" w:rsidP="00832F99">
      <w:pPr>
        <w:jc w:val="both"/>
        <w:rPr>
          <w:rFonts w:ascii="Arial" w:hAnsi="Arial" w:cs="Arial"/>
          <w:color w:val="000000" w:themeColor="text1"/>
        </w:rPr>
      </w:pPr>
    </w:p>
    <w:p w14:paraId="3FEA268B" w14:textId="14D57DD6" w:rsidR="0006126E" w:rsidRPr="00832F99" w:rsidRDefault="0006126E" w:rsidP="00832F99">
      <w:pPr>
        <w:jc w:val="both"/>
        <w:rPr>
          <w:rFonts w:ascii="Arial" w:hAnsi="Arial" w:cs="Arial"/>
          <w:color w:val="000000" w:themeColor="text1"/>
        </w:rPr>
      </w:pPr>
    </w:p>
    <w:p w14:paraId="5D493E53" w14:textId="5DE8F036" w:rsidR="0006126E" w:rsidRPr="00832F99" w:rsidRDefault="0006126E" w:rsidP="00832F99">
      <w:pPr>
        <w:jc w:val="both"/>
        <w:rPr>
          <w:rFonts w:ascii="Arial" w:hAnsi="Arial" w:cs="Arial"/>
          <w:color w:val="000000" w:themeColor="text1"/>
        </w:rPr>
      </w:pPr>
    </w:p>
    <w:p w14:paraId="4C541D56" w14:textId="51F63E4A" w:rsidR="0006126E" w:rsidRPr="00832F99" w:rsidRDefault="0006126E" w:rsidP="00832F99">
      <w:pPr>
        <w:jc w:val="both"/>
        <w:rPr>
          <w:rFonts w:ascii="Arial" w:hAnsi="Arial" w:cs="Arial"/>
          <w:color w:val="000000" w:themeColor="text1"/>
        </w:rPr>
      </w:pPr>
    </w:p>
    <w:p w14:paraId="6EC072C0" w14:textId="18EEA03D" w:rsidR="0006126E" w:rsidRDefault="0006126E" w:rsidP="00832F99">
      <w:pPr>
        <w:jc w:val="both"/>
        <w:rPr>
          <w:rFonts w:ascii="Arial" w:hAnsi="Arial" w:cs="Arial"/>
          <w:color w:val="000000" w:themeColor="text1"/>
        </w:rPr>
      </w:pPr>
    </w:p>
    <w:p w14:paraId="1586055A" w14:textId="51880238" w:rsidR="00AA4B24" w:rsidRDefault="00AA4B24" w:rsidP="00832F99">
      <w:pPr>
        <w:jc w:val="both"/>
        <w:rPr>
          <w:rFonts w:ascii="Arial" w:hAnsi="Arial" w:cs="Arial"/>
          <w:color w:val="000000" w:themeColor="text1"/>
        </w:rPr>
      </w:pPr>
    </w:p>
    <w:p w14:paraId="69CA04D8" w14:textId="0628BEE5" w:rsidR="00AA4B24" w:rsidRDefault="00AA4B24" w:rsidP="00832F99">
      <w:pPr>
        <w:jc w:val="both"/>
        <w:rPr>
          <w:rFonts w:ascii="Arial" w:hAnsi="Arial" w:cs="Arial"/>
          <w:color w:val="000000" w:themeColor="text1"/>
        </w:rPr>
      </w:pPr>
    </w:p>
    <w:p w14:paraId="6430044C" w14:textId="2121BECA" w:rsidR="00AA4B24" w:rsidRDefault="00AA4B24" w:rsidP="00832F99">
      <w:pPr>
        <w:jc w:val="both"/>
        <w:rPr>
          <w:rFonts w:ascii="Arial" w:hAnsi="Arial" w:cs="Arial"/>
          <w:color w:val="000000" w:themeColor="text1"/>
        </w:rPr>
      </w:pPr>
    </w:p>
    <w:p w14:paraId="26A1036E" w14:textId="0A0D67B5" w:rsidR="00AA4B24" w:rsidRDefault="00AA4B24" w:rsidP="00832F99">
      <w:pPr>
        <w:jc w:val="both"/>
        <w:rPr>
          <w:rFonts w:ascii="Arial" w:hAnsi="Arial" w:cs="Arial"/>
          <w:color w:val="000000" w:themeColor="text1"/>
        </w:rPr>
      </w:pPr>
    </w:p>
    <w:p w14:paraId="656F5438" w14:textId="77777777" w:rsidR="00AA4B24" w:rsidRDefault="00AA4B24" w:rsidP="00832F99">
      <w:pPr>
        <w:jc w:val="both"/>
        <w:rPr>
          <w:rFonts w:ascii="Arial" w:hAnsi="Arial" w:cs="Arial"/>
          <w:color w:val="000000" w:themeColor="text1"/>
        </w:rPr>
      </w:pPr>
    </w:p>
    <w:p w14:paraId="1B1E8EBB" w14:textId="77777777" w:rsidR="00AA4B24" w:rsidRDefault="00AA4B24" w:rsidP="00832F99">
      <w:pPr>
        <w:jc w:val="both"/>
        <w:rPr>
          <w:rFonts w:ascii="Arial" w:hAnsi="Arial" w:cs="Arial"/>
          <w:color w:val="000000" w:themeColor="text1"/>
        </w:rPr>
      </w:pPr>
    </w:p>
    <w:p w14:paraId="52142B17" w14:textId="77777777" w:rsidR="00AA4B24" w:rsidRDefault="00AA4B24" w:rsidP="00832F99">
      <w:pPr>
        <w:jc w:val="both"/>
        <w:rPr>
          <w:rFonts w:ascii="Arial" w:hAnsi="Arial" w:cs="Arial"/>
          <w:color w:val="000000" w:themeColor="text1"/>
        </w:rPr>
      </w:pPr>
    </w:p>
    <w:p w14:paraId="3F504EF0" w14:textId="7E565BFE" w:rsidR="00AA4B24" w:rsidRPr="00832F99" w:rsidRDefault="00AA4B24" w:rsidP="00832F99">
      <w:pPr>
        <w:jc w:val="both"/>
        <w:rPr>
          <w:rFonts w:ascii="Arial" w:hAnsi="Arial" w:cs="Arial"/>
          <w:color w:val="000000" w:themeColor="text1"/>
        </w:rPr>
      </w:pPr>
      <w:r>
        <w:rPr>
          <w:rFonts w:ascii="Arial" w:hAnsi="Arial" w:cs="Arial"/>
          <w:color w:val="000000" w:themeColor="text1"/>
        </w:rPr>
        <w:t>Chapter 2</w:t>
      </w:r>
    </w:p>
    <w:p w14:paraId="6D98306F" w14:textId="77777777" w:rsidR="0006126E" w:rsidRPr="00832F99" w:rsidRDefault="0006126E" w:rsidP="00832F99">
      <w:pPr>
        <w:pStyle w:val="Heading2"/>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2F99">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Introduction</w:t>
      </w:r>
    </w:p>
    <w:p w14:paraId="1D901522" w14:textId="77777777" w:rsidR="00646C39" w:rsidRPr="00832F99" w:rsidRDefault="0006126E" w:rsidP="00832F99">
      <w:pPr>
        <w:pStyle w:val="NormalWeb"/>
        <w:jc w:val="both"/>
        <w:rPr>
          <w:rFonts w:ascii="Arial" w:hAnsi="Arial" w:cs="Arial"/>
          <w:b/>
          <w:bCs/>
          <w:color w:val="000000" w:themeColor="text1"/>
          <w:sz w:val="22"/>
          <w:szCs w:val="22"/>
        </w:rPr>
      </w:pPr>
      <w:r w:rsidRPr="00832F99">
        <w:rPr>
          <w:rFonts w:ascii="Arial" w:hAnsi="Arial" w:cs="Arial"/>
          <w:color w:val="000000" w:themeColor="text1"/>
          <w:sz w:val="22"/>
          <w:szCs w:val="22"/>
        </w:rPr>
        <w:t>Cardiovascular disease (CVD) continues to be one of the most extensively researched areas in global public health due to its profound impact on mortality, morbidity, and healthcare expenditure, making it a priority for prevention and secondary intervention strategies (Roth et al., 2020). According to the World Health Organization (2023), CVD accounts for approximately 17.9 million deaths annually, representing nearly 32% of all global mortality, with more recent estimates indicating an increase to 19.8 million deaths in 2022 due to ageing populations and persistent exposure to modifiable risk factors (WHO, 2025). Beyond mortality, CVD contributes significantly to disability</w:t>
      </w:r>
      <w:r w:rsidRPr="00832F99">
        <w:rPr>
          <w:rFonts w:ascii="Arial" w:hAnsi="Arial" w:cs="Arial"/>
          <w:color w:val="000000" w:themeColor="text1"/>
          <w:sz w:val="22"/>
          <w:szCs w:val="22"/>
        </w:rPr>
        <w:noBreakHyphen/>
        <w:t xml:space="preserve">adjusted life years (DALYs), reduced productivity, </w:t>
      </w:r>
      <w:r w:rsidRPr="00832F99">
        <w:rPr>
          <w:rFonts w:ascii="Arial" w:hAnsi="Arial" w:cs="Arial"/>
          <w:color w:val="000000" w:themeColor="text1"/>
          <w:sz w:val="22"/>
          <w:szCs w:val="22"/>
        </w:rPr>
        <w:lastRenderedPageBreak/>
        <w:t>and long</w:t>
      </w:r>
      <w:r w:rsidRPr="00832F99">
        <w:rPr>
          <w:rFonts w:ascii="Arial" w:hAnsi="Arial" w:cs="Arial"/>
          <w:color w:val="000000" w:themeColor="text1"/>
          <w:sz w:val="22"/>
          <w:szCs w:val="22"/>
        </w:rPr>
        <w:noBreakHyphen/>
        <w:t>term healthcare dependency, particularly among older adults (GBD 2019 Study</w:t>
      </w:r>
      <w:r w:rsidRPr="00832F99">
        <w:rPr>
          <w:rFonts w:ascii="Arial" w:hAnsi="Arial" w:cs="Arial"/>
          <w:b/>
          <w:bCs/>
          <w:color w:val="000000" w:themeColor="text1"/>
          <w:sz w:val="22"/>
          <w:szCs w:val="22"/>
        </w:rPr>
        <w:t>).</w:t>
      </w:r>
      <w:r w:rsidRPr="00832F99">
        <w:rPr>
          <w:rFonts w:ascii="Arial" w:hAnsi="Arial" w:cs="Arial"/>
          <w:b/>
          <w:bCs/>
          <w:noProof/>
          <w:color w:val="000000" w:themeColor="text1"/>
          <w:sz w:val="22"/>
          <w:szCs w:val="22"/>
        </w:rPr>
        <w:t xml:space="preserve"> </w:t>
      </w:r>
      <w:r w:rsidR="00646C39" w:rsidRPr="00832F99">
        <w:rPr>
          <w:rStyle w:val="Strong"/>
          <w:rFonts w:ascii="Arial" w:hAnsi="Arial" w:cs="Arial"/>
          <w:b w:val="0"/>
          <w:bCs w:val="0"/>
          <w:color w:val="000000" w:themeColor="text1"/>
          <w:sz w:val="22"/>
          <w:szCs w:val="22"/>
        </w:rPr>
        <w:t>Recent guidance emphasises the importance of integrating global and local evidence to strengthen public health research (Greenhalgh et al., 2023) (NEW).</w:t>
      </w:r>
    </w:p>
    <w:p w14:paraId="0286FF80" w14:textId="3B877AEA" w:rsidR="0006126E" w:rsidRPr="00832F99" w:rsidRDefault="0006126E" w:rsidP="00832F99">
      <w:pPr>
        <w:pStyle w:val="NormalWeb"/>
        <w:jc w:val="both"/>
        <w:rPr>
          <w:rFonts w:ascii="Arial" w:hAnsi="Arial" w:cs="Arial"/>
          <w:noProof/>
          <w:color w:val="000000" w:themeColor="text1"/>
          <w:sz w:val="22"/>
          <w:szCs w:val="22"/>
        </w:rPr>
      </w:pPr>
    </w:p>
    <w:p w14:paraId="100477A4" w14:textId="77777777" w:rsidR="0006126E" w:rsidRPr="00832F99" w:rsidRDefault="0006126E"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Figure 1. Age</w:t>
      </w:r>
      <w:r w:rsidRPr="00832F99">
        <w:rPr>
          <w:rStyle w:val="Strong"/>
          <w:rFonts w:ascii="Arial" w:hAnsi="Arial" w:cs="Arial"/>
          <w:b/>
          <w:bCs/>
          <w:color w:val="000000" w:themeColor="text1"/>
          <w:sz w:val="22"/>
          <w:szCs w:val="22"/>
        </w:rPr>
        <w:noBreakHyphen/>
        <w:t>specific DALY rates across Socio</w:t>
      </w:r>
      <w:r w:rsidRPr="00832F99">
        <w:rPr>
          <w:rStyle w:val="Strong"/>
          <w:rFonts w:ascii="Arial" w:hAnsi="Arial" w:cs="Arial"/>
          <w:b/>
          <w:bCs/>
          <w:color w:val="000000" w:themeColor="text1"/>
          <w:sz w:val="22"/>
          <w:szCs w:val="22"/>
        </w:rPr>
        <w:noBreakHyphen/>
        <w:t>demographic Index (SDI) groups</w:t>
      </w:r>
    </w:p>
    <w:p w14:paraId="166E9384" w14:textId="77777777" w:rsidR="0006126E" w:rsidRPr="00832F99" w:rsidRDefault="0006126E" w:rsidP="00832F99">
      <w:pPr>
        <w:pStyle w:val="NormalWeb"/>
        <w:jc w:val="both"/>
        <w:rPr>
          <w:rFonts w:ascii="Arial" w:hAnsi="Arial" w:cs="Arial"/>
          <w:color w:val="000000" w:themeColor="text1"/>
          <w:sz w:val="22"/>
          <w:szCs w:val="22"/>
        </w:rPr>
      </w:pPr>
      <w:r w:rsidRPr="00832F99">
        <w:rPr>
          <w:rStyle w:val="Emphasis"/>
          <w:rFonts w:ascii="Arial" w:hAnsi="Arial" w:cs="Arial"/>
          <w:color w:val="000000" w:themeColor="text1"/>
          <w:sz w:val="22"/>
          <w:szCs w:val="22"/>
        </w:rPr>
        <w:t>(Source: GBD 2019 Study)</w:t>
      </w:r>
    </w:p>
    <w:p w14:paraId="2B1DFDA1" w14:textId="77777777" w:rsidR="0006126E" w:rsidRPr="00832F99" w:rsidRDefault="0006126E" w:rsidP="00832F99">
      <w:pPr>
        <w:pStyle w:val="NormalWeb"/>
        <w:jc w:val="both"/>
        <w:rPr>
          <w:rFonts w:ascii="Arial" w:hAnsi="Arial" w:cs="Arial"/>
          <w:noProof/>
          <w:color w:val="000000" w:themeColor="text1"/>
          <w:sz w:val="22"/>
          <w:szCs w:val="22"/>
        </w:rPr>
      </w:pPr>
    </w:p>
    <w:p w14:paraId="3897D8B0" w14:textId="77777777"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noProof/>
          <w:color w:val="000000" w:themeColor="text1"/>
          <w:sz w:val="22"/>
          <w:szCs w:val="22"/>
        </w:rPr>
        <w:drawing>
          <wp:inline distT="0" distB="0" distL="0" distR="0" wp14:anchorId="65C6A4BB" wp14:editId="10AA77AC">
            <wp:extent cx="5731095" cy="2957546"/>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095" cy="2957546"/>
                    </a:xfrm>
                    <a:prstGeom prst="rect">
                      <a:avLst/>
                    </a:prstGeom>
                    <a:noFill/>
                    <a:ln>
                      <a:noFill/>
                    </a:ln>
                  </pic:spPr>
                </pic:pic>
              </a:graphicData>
            </a:graphic>
          </wp:inline>
        </w:drawing>
      </w:r>
      <w:r w:rsidRPr="00832F99">
        <w:rPr>
          <w:rFonts w:ascii="Arial" w:hAnsi="Arial" w:cs="Arial"/>
          <w:color w:val="000000" w:themeColor="text1"/>
          <w:sz w:val="22"/>
          <w:szCs w:val="22"/>
        </w:rPr>
        <w:t xml:space="preserve"> </w:t>
      </w:r>
    </w:p>
    <w:p w14:paraId="3460B18E" w14:textId="77777777"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These trends highlight the urgent need for effective secondary prevention strategies such as cardiac rehabilitation (CR), which has been widely promoted as a means of improving recovery and reducing recurrent hospitalisation (Anderson et al., 2016).</w:t>
      </w:r>
    </w:p>
    <w:p w14:paraId="7C885159" w14:textId="77777777"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Despite strong evidence supporting CR effectiveness, participation and completion rates remain suboptimal, particularly among socioeconomically deprived and ethnic minority populations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 Health inequalities continue to shape access to cardiovascular care, influencing both engagement with CR and long</w:t>
      </w:r>
      <w:r w:rsidRPr="00832F99">
        <w:rPr>
          <w:rFonts w:ascii="Arial" w:hAnsi="Arial" w:cs="Arial"/>
          <w:color w:val="000000" w:themeColor="text1"/>
          <w:sz w:val="22"/>
          <w:szCs w:val="22"/>
        </w:rPr>
        <w:noBreakHyphen/>
        <w:t>term outcomes (Marmot et al., 2020). This chapter critically reviews the existing literature on the burden of cardiovascular disease, the concept and components of CR, its effectiveness in reducing hospital readmissions, and the influence of socioeconomic and ethnic inequalities on CR participation and outcomes. By synthesising evidence from academic journals, systematic reviews, and national reports, this chapter identifies key gaps in the literature and establishes the rationale for the present study.</w:t>
      </w:r>
    </w:p>
    <w:p w14:paraId="14A5CF73" w14:textId="77777777" w:rsidR="0006126E" w:rsidRPr="00832F99" w:rsidRDefault="0006126E"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2.2 Overview of Cardiovascular Disease</w:t>
      </w:r>
    </w:p>
    <w:p w14:paraId="38143C07" w14:textId="77777777"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Cardiovascular disease (CVD) encompasses a broad range of disorders affecting the heart and blood vessels, including coronary artery disease, heart failure, stroke, arrhythmias, and peripheral arterial disease, all of which contribute significantly to global morbidity and mortality (WHO, 2023). Recent global estimates indicate that CVD accounts for nearly one</w:t>
      </w:r>
      <w:r w:rsidRPr="00832F99">
        <w:rPr>
          <w:rFonts w:ascii="Arial" w:hAnsi="Arial" w:cs="Arial"/>
          <w:color w:val="000000" w:themeColor="text1"/>
          <w:sz w:val="22"/>
          <w:szCs w:val="22"/>
        </w:rPr>
        <w:noBreakHyphen/>
        <w:t xml:space="preserve">third of all deaths worldwide, with coronary heart disease and stroke responsible for the majority of </w:t>
      </w:r>
      <w:r w:rsidRPr="00832F99">
        <w:rPr>
          <w:rFonts w:ascii="Arial" w:hAnsi="Arial" w:cs="Arial"/>
          <w:color w:val="000000" w:themeColor="text1"/>
          <w:sz w:val="22"/>
          <w:szCs w:val="22"/>
        </w:rPr>
        <w:lastRenderedPageBreak/>
        <w:t>mortality (WHO, 2025). In addition to mortality, CVD contributes substantially to disability, reduced quality of life, and long</w:t>
      </w:r>
      <w:r w:rsidRPr="00832F99">
        <w:rPr>
          <w:rFonts w:ascii="Arial" w:hAnsi="Arial" w:cs="Arial"/>
          <w:color w:val="000000" w:themeColor="text1"/>
          <w:sz w:val="22"/>
          <w:szCs w:val="22"/>
        </w:rPr>
        <w:noBreakHyphen/>
        <w:t>term dependency, particularly among older adults who experience higher rates of multimorbidity and frailty (Ben</w:t>
      </w:r>
      <w:r w:rsidRPr="00832F99">
        <w:rPr>
          <w:rFonts w:ascii="Arial" w:hAnsi="Arial" w:cs="Arial"/>
          <w:color w:val="000000" w:themeColor="text1"/>
          <w:sz w:val="22"/>
          <w:szCs w:val="22"/>
        </w:rPr>
        <w:noBreakHyphen/>
        <w:t>Shlomo et al., 2022).</w:t>
      </w:r>
    </w:p>
    <w:p w14:paraId="7B4FBCCB" w14:textId="77777777"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epidemiology of CVD has evolved considerably over recent decades. In high</w:t>
      </w:r>
      <w:r w:rsidRPr="00832F99">
        <w:rPr>
          <w:rFonts w:ascii="Arial" w:hAnsi="Arial" w:cs="Arial"/>
          <w:color w:val="000000" w:themeColor="text1"/>
          <w:sz w:val="22"/>
          <w:szCs w:val="22"/>
        </w:rPr>
        <w:noBreakHyphen/>
        <w:t>income countries such as the United Kingdom, mortality rates from CVD have declined due to improved prevention strategies, earlier diagnosis, and advancements in medical treatment, including statins, antihypertensive therapies, thrombolytic interventions, and surgical procedures (Libby, 2021). However, prevalence remains high because more individuals survive acute cardiovascular events and continue living with chronic conditions requiring long</w:t>
      </w:r>
      <w:r w:rsidRPr="00832F99">
        <w:rPr>
          <w:rFonts w:ascii="Arial" w:hAnsi="Arial" w:cs="Arial"/>
          <w:color w:val="000000" w:themeColor="text1"/>
          <w:sz w:val="22"/>
          <w:szCs w:val="22"/>
        </w:rPr>
        <w:noBreakHyphen/>
        <w:t>term management and rehabilitation (British Heart Foundation, 2025). This shift has increased demand for secondary prevention services such as CR, which aim to reduce recurrent events and improve long</w:t>
      </w:r>
      <w:r w:rsidRPr="00832F99">
        <w:rPr>
          <w:rFonts w:ascii="Arial" w:hAnsi="Arial" w:cs="Arial"/>
          <w:color w:val="000000" w:themeColor="text1"/>
          <w:sz w:val="22"/>
          <w:szCs w:val="22"/>
        </w:rPr>
        <w:noBreakHyphen/>
        <w:t>term outcomes (Anderson et al., 2016).</w:t>
      </w:r>
    </w:p>
    <w:p w14:paraId="3D0AB94C" w14:textId="77777777"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In England, CVD remains a leading cause of death and hospitalisation, with approximately 7.6 million people currently living with heart and circulatory diseases (British Heart Foundation, 2025). CVD accounts for around 170,000 deaths annually, and over 100,000 hospital admissions each year are linked directly to heart attacks, placing substantial pressure on the National Health Service (Public Health England, 2020). Older adults are disproportionately affected due to age</w:t>
      </w:r>
      <w:r w:rsidRPr="00832F99">
        <w:rPr>
          <w:rFonts w:ascii="Arial" w:hAnsi="Arial" w:cs="Arial"/>
          <w:color w:val="000000" w:themeColor="text1"/>
          <w:sz w:val="22"/>
          <w:szCs w:val="22"/>
        </w:rPr>
        <w:noBreakHyphen/>
        <w:t>related physiological decline, increased frailty, and cumulative exposure to cardiovascular risk factors, making them particularly vulnerable to recurrent hospital admissions (Ben</w:t>
      </w:r>
      <w:r w:rsidRPr="00832F99">
        <w:rPr>
          <w:rFonts w:ascii="Arial" w:hAnsi="Arial" w:cs="Arial"/>
          <w:color w:val="000000" w:themeColor="text1"/>
          <w:sz w:val="22"/>
          <w:szCs w:val="22"/>
        </w:rPr>
        <w:noBreakHyphen/>
        <w:t>Shlomo et al., 2022).</w:t>
      </w:r>
    </w:p>
    <w:p w14:paraId="5F7374B2" w14:textId="77777777"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Modifiable risk factors such as smoking, obesity, poor diet, hypertension, diabetes, physical inactivity, and excessive alcohol consumption contribute significantly to CVD development and progression, with hypertension alone estimated to account for nearly half of all cardiovascular</w:t>
      </w:r>
      <w:r w:rsidRPr="00832F99">
        <w:rPr>
          <w:rFonts w:ascii="Arial" w:hAnsi="Arial" w:cs="Arial"/>
          <w:color w:val="000000" w:themeColor="text1"/>
          <w:sz w:val="22"/>
          <w:szCs w:val="22"/>
        </w:rPr>
        <w:noBreakHyphen/>
        <w:t>related deaths globally (WHO, 2025). Non</w:t>
      </w:r>
      <w:r w:rsidRPr="00832F99">
        <w:rPr>
          <w:rFonts w:ascii="Arial" w:hAnsi="Arial" w:cs="Arial"/>
          <w:color w:val="000000" w:themeColor="text1"/>
          <w:sz w:val="22"/>
          <w:szCs w:val="22"/>
        </w:rPr>
        <w:noBreakHyphen/>
        <w:t>modifiable risk factors, including age, sex, ethnicity, and family history, further influence disease risk, with cardiovascular risk increasing substantially after the age of 50 (ACC, 2025). These trends underscore the importance of effective secondary prevention strategies to reduce recurrent events and improve long</w:t>
      </w:r>
      <w:r w:rsidRPr="00832F99">
        <w:rPr>
          <w:rFonts w:ascii="Arial" w:hAnsi="Arial" w:cs="Arial"/>
          <w:color w:val="000000" w:themeColor="text1"/>
          <w:sz w:val="22"/>
          <w:szCs w:val="22"/>
        </w:rPr>
        <w:noBreakHyphen/>
        <w:t>term outcomes.</w:t>
      </w:r>
    </w:p>
    <w:p w14:paraId="6B50B391" w14:textId="77777777"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Hospital readmissions represent a major concern within cardiovascular care, as they are associated with increased healthcare expenditure, poorer patient outcomes, and reduced quality of life (</w:t>
      </w:r>
      <w:proofErr w:type="spellStart"/>
      <w:r w:rsidRPr="00832F99">
        <w:rPr>
          <w:rFonts w:ascii="Arial" w:hAnsi="Arial" w:cs="Arial"/>
          <w:color w:val="000000" w:themeColor="text1"/>
          <w:sz w:val="22"/>
          <w:szCs w:val="22"/>
        </w:rPr>
        <w:t>Dharmarajan</w:t>
      </w:r>
      <w:proofErr w:type="spellEnd"/>
      <w:r w:rsidRPr="00832F99">
        <w:rPr>
          <w:rFonts w:ascii="Arial" w:hAnsi="Arial" w:cs="Arial"/>
          <w:color w:val="000000" w:themeColor="text1"/>
          <w:sz w:val="22"/>
          <w:szCs w:val="22"/>
        </w:rPr>
        <w:t xml:space="preserve"> et al., 2013). Evidence suggests that nearly one in four patients hospitalised for heart failure or myocardial infarction are readmitted within 30 days of discharge, with almost 50% experiencing readmission within six months (Virani et al., 2021). These readmissions often result from inadequate discharge planning, poor medication adherence, insufficient follow</w:t>
      </w:r>
      <w:r w:rsidRPr="00832F99">
        <w:rPr>
          <w:rFonts w:ascii="Arial" w:hAnsi="Arial" w:cs="Arial"/>
          <w:color w:val="000000" w:themeColor="text1"/>
          <w:sz w:val="22"/>
          <w:szCs w:val="22"/>
        </w:rPr>
        <w:noBreakHyphen/>
        <w:t>up care, or progression of underlying disease, highlighting the need for comprehensive secondary prevention interventions such as CR (Taylor et al., 2019).</w:t>
      </w:r>
    </w:p>
    <w:p w14:paraId="1205B8E4" w14:textId="77777777" w:rsidR="0006126E" w:rsidRPr="00832F99" w:rsidRDefault="0006126E" w:rsidP="00832F99">
      <w:pPr>
        <w:pStyle w:val="Heading2"/>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2F99">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Concept of Cardiac Rehabilitation</w:t>
      </w:r>
    </w:p>
    <w:p w14:paraId="0092B602" w14:textId="77777777"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Cardiac rehabilitation (CR) is a structured, multidisciplinary intervention designed to improve the physical, psychological, and social wellbeing of individuals recovering from cardiovascular events, and is widely recognised as an essential component of secondary prevention (Anderson et al., 2016). CR programmes typically include supervised exercise training, patient education, lifestyle modification, psychosocial support, cardiovascular risk assessment, dietary counselling, smoking cessation interventions, and medication optimisation, all of which contribute to improved long</w:t>
      </w:r>
      <w:r w:rsidRPr="00832F99">
        <w:rPr>
          <w:rFonts w:ascii="Arial" w:hAnsi="Arial" w:cs="Arial"/>
          <w:color w:val="000000" w:themeColor="text1"/>
          <w:sz w:val="22"/>
          <w:szCs w:val="22"/>
        </w:rPr>
        <w:noBreakHyphen/>
        <w:t>term outcomes (NICE, 2018).</w:t>
      </w:r>
    </w:p>
    <w:p w14:paraId="41EBBC53" w14:textId="2517296F" w:rsidR="00646C39"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concept of CR has evolved significantly over time. Early rehabilitation programmes focused primarily on bed rest and gradual mobilisation following myocardial infarction, whereas contemporary CR adopts a holistic, patient</w:t>
      </w:r>
      <w:r w:rsidRPr="00832F99">
        <w:rPr>
          <w:rFonts w:ascii="Arial" w:hAnsi="Arial" w:cs="Arial"/>
          <w:color w:val="000000" w:themeColor="text1"/>
          <w:sz w:val="22"/>
          <w:szCs w:val="22"/>
        </w:rPr>
        <w:noBreakHyphen/>
        <w:t xml:space="preserve">centred approach that emphasises </w:t>
      </w:r>
      <w:r w:rsidRPr="00832F99">
        <w:rPr>
          <w:rFonts w:ascii="Arial" w:hAnsi="Arial" w:cs="Arial"/>
          <w:color w:val="000000" w:themeColor="text1"/>
          <w:sz w:val="22"/>
          <w:szCs w:val="22"/>
        </w:rPr>
        <w:lastRenderedPageBreak/>
        <w:t>behavioural change, self</w:t>
      </w:r>
      <w:r w:rsidRPr="00832F99">
        <w:rPr>
          <w:rFonts w:ascii="Arial" w:hAnsi="Arial" w:cs="Arial"/>
          <w:color w:val="000000" w:themeColor="text1"/>
          <w:sz w:val="22"/>
          <w:szCs w:val="22"/>
        </w:rPr>
        <w:noBreakHyphen/>
        <w:t>management, and long</w:t>
      </w:r>
      <w:r w:rsidRPr="00832F99">
        <w:rPr>
          <w:rFonts w:ascii="Arial" w:hAnsi="Arial" w:cs="Arial"/>
          <w:color w:val="000000" w:themeColor="text1"/>
          <w:sz w:val="22"/>
          <w:szCs w:val="22"/>
        </w:rPr>
        <w:noBreakHyphen/>
        <w:t>term risk reduction (Taylor et al., 2019). Exercise training remains a core component of CR, with evidence demonstrating improvements in cardiovascular fitness, muscle strength, endothelial function, and exercise tolerance, as well as reductions in blood pressure, cholesterol levels, and body weight (Anderson et al., 2016).</w:t>
      </w:r>
      <w:r w:rsidR="00646C39" w:rsidRPr="00832F99">
        <w:rPr>
          <w:rFonts w:ascii="Arial" w:hAnsi="Arial" w:cs="Arial"/>
          <w:color w:val="000000" w:themeColor="text1"/>
          <w:sz w:val="22"/>
          <w:szCs w:val="22"/>
        </w:rPr>
        <w:t xml:space="preserve"> </w:t>
      </w:r>
      <w:r w:rsidR="00646C39" w:rsidRPr="00832F99">
        <w:rPr>
          <w:rFonts w:ascii="Arial" w:hAnsi="Arial" w:cs="Arial"/>
          <w:color w:val="000000" w:themeColor="text1"/>
          <w:sz w:val="22"/>
          <w:szCs w:val="22"/>
        </w:rPr>
        <w:t>Cardiovascular disease remains a leading cause of morbidity and mortality globally (WHO, 2023). In England, CVD accounts for a substantial proportion of emergency admissions and healthcare expenditure (British Heart Foundation, 2025). Hospital readmissions following acute cardiac events are common, with 20–25% of patients readmitted within 30 days (</w:t>
      </w:r>
      <w:proofErr w:type="spellStart"/>
      <w:r w:rsidR="00646C39" w:rsidRPr="00832F99">
        <w:rPr>
          <w:rFonts w:ascii="Arial" w:hAnsi="Arial" w:cs="Arial"/>
          <w:color w:val="000000" w:themeColor="text1"/>
          <w:sz w:val="22"/>
          <w:szCs w:val="22"/>
        </w:rPr>
        <w:t>Dharmarajan</w:t>
      </w:r>
      <w:proofErr w:type="spellEnd"/>
      <w:r w:rsidR="00646C39" w:rsidRPr="00832F99">
        <w:rPr>
          <w:rFonts w:ascii="Arial" w:hAnsi="Arial" w:cs="Arial"/>
          <w:color w:val="000000" w:themeColor="text1"/>
          <w:sz w:val="22"/>
          <w:szCs w:val="22"/>
        </w:rPr>
        <w:t xml:space="preserve"> et al., 2013). </w:t>
      </w:r>
      <w:r w:rsidR="00646C39" w:rsidRPr="00832F99">
        <w:rPr>
          <w:rStyle w:val="Strong"/>
          <w:rFonts w:ascii="Arial" w:hAnsi="Arial" w:cs="Arial"/>
          <w:b w:val="0"/>
          <w:bCs w:val="0"/>
          <w:color w:val="000000" w:themeColor="text1"/>
          <w:sz w:val="22"/>
          <w:szCs w:val="22"/>
        </w:rPr>
        <w:t>A recent European Heart Journal analysis found that readmission risk is strongly associated with multimorbidity, frailty, and socioeconomic deprivation (</w:t>
      </w:r>
      <w:proofErr w:type="spellStart"/>
      <w:r w:rsidR="00646C39" w:rsidRPr="00832F99">
        <w:rPr>
          <w:rStyle w:val="Strong"/>
          <w:rFonts w:ascii="Arial" w:hAnsi="Arial" w:cs="Arial"/>
          <w:b w:val="0"/>
          <w:bCs w:val="0"/>
          <w:color w:val="000000" w:themeColor="text1"/>
          <w:sz w:val="22"/>
          <w:szCs w:val="22"/>
        </w:rPr>
        <w:t>Timmis</w:t>
      </w:r>
      <w:proofErr w:type="spellEnd"/>
      <w:r w:rsidR="00646C39" w:rsidRPr="00832F99">
        <w:rPr>
          <w:rStyle w:val="Strong"/>
          <w:rFonts w:ascii="Arial" w:hAnsi="Arial" w:cs="Arial"/>
          <w:b w:val="0"/>
          <w:bCs w:val="0"/>
          <w:color w:val="000000" w:themeColor="text1"/>
          <w:sz w:val="22"/>
          <w:szCs w:val="22"/>
        </w:rPr>
        <w:t xml:space="preserve"> et al., 2022</w:t>
      </w:r>
      <w:r w:rsidR="00646C39" w:rsidRPr="00832F99">
        <w:rPr>
          <w:rStyle w:val="Strong"/>
          <w:rFonts w:ascii="Arial" w:hAnsi="Arial" w:cs="Arial"/>
          <w:color w:val="000000" w:themeColor="text1"/>
          <w:sz w:val="22"/>
          <w:szCs w:val="22"/>
        </w:rPr>
        <w:t>).</w:t>
      </w:r>
    </w:p>
    <w:p w14:paraId="0BA48BE1" w14:textId="39305153" w:rsidR="00646C39" w:rsidRPr="00832F99" w:rsidRDefault="00646C3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Older adults are particularly vulnerable to recurrent admissions due to age</w:t>
      </w:r>
      <w:r w:rsidRPr="00832F99">
        <w:rPr>
          <w:rFonts w:ascii="Arial" w:hAnsi="Arial" w:cs="Arial"/>
          <w:color w:val="000000" w:themeColor="text1"/>
          <w:sz w:val="22"/>
          <w:szCs w:val="22"/>
        </w:rPr>
        <w:noBreakHyphen/>
        <w:t>related physiological decline and multiple chronic conditions (Ben</w:t>
      </w:r>
      <w:r w:rsidRPr="00832F99">
        <w:rPr>
          <w:rFonts w:ascii="Arial" w:hAnsi="Arial" w:cs="Arial"/>
          <w:color w:val="000000" w:themeColor="text1"/>
          <w:sz w:val="22"/>
          <w:szCs w:val="22"/>
        </w:rPr>
        <w:noBreakHyphen/>
      </w:r>
      <w:proofErr w:type="spellStart"/>
      <w:r w:rsidRPr="00832F99">
        <w:rPr>
          <w:rFonts w:ascii="Arial" w:hAnsi="Arial" w:cs="Arial"/>
          <w:color w:val="000000" w:themeColor="text1"/>
          <w:sz w:val="22"/>
          <w:szCs w:val="22"/>
        </w:rPr>
        <w:t>Shlomo</w:t>
      </w:r>
      <w:proofErr w:type="spellEnd"/>
      <w:r w:rsidRPr="00832F99">
        <w:rPr>
          <w:rFonts w:ascii="Arial" w:hAnsi="Arial" w:cs="Arial"/>
          <w:color w:val="000000" w:themeColor="text1"/>
          <w:sz w:val="22"/>
          <w:szCs w:val="22"/>
        </w:rPr>
        <w:t xml:space="preserve"> et al., 2022). </w:t>
      </w:r>
      <w:r w:rsidRPr="00832F99">
        <w:rPr>
          <w:rStyle w:val="Strong"/>
          <w:rFonts w:ascii="Arial" w:hAnsi="Arial" w:cs="Arial"/>
          <w:b w:val="0"/>
          <w:bCs w:val="0"/>
          <w:color w:val="000000" w:themeColor="text1"/>
          <w:sz w:val="22"/>
          <w:szCs w:val="22"/>
        </w:rPr>
        <w:t>Studies also show that polypharmacy and poor medication adherence significantly increase readmission risk among older adults (</w:t>
      </w:r>
      <w:proofErr w:type="spellStart"/>
      <w:r w:rsidRPr="00832F99">
        <w:rPr>
          <w:rStyle w:val="Strong"/>
          <w:rFonts w:ascii="Arial" w:hAnsi="Arial" w:cs="Arial"/>
          <w:b w:val="0"/>
          <w:bCs w:val="0"/>
          <w:color w:val="000000" w:themeColor="text1"/>
          <w:sz w:val="22"/>
          <w:szCs w:val="22"/>
        </w:rPr>
        <w:t>Gellad</w:t>
      </w:r>
      <w:proofErr w:type="spellEnd"/>
      <w:r w:rsidRPr="00832F99">
        <w:rPr>
          <w:rStyle w:val="Strong"/>
          <w:rFonts w:ascii="Arial" w:hAnsi="Arial" w:cs="Arial"/>
          <w:b w:val="0"/>
          <w:bCs w:val="0"/>
          <w:color w:val="000000" w:themeColor="text1"/>
          <w:sz w:val="22"/>
          <w:szCs w:val="22"/>
        </w:rPr>
        <w:t xml:space="preserve"> et al., 2021</w:t>
      </w:r>
      <w:proofErr w:type="gramStart"/>
      <w:r w:rsidRPr="00832F99">
        <w:rPr>
          <w:rStyle w:val="Strong"/>
          <w:rFonts w:ascii="Arial" w:hAnsi="Arial" w:cs="Arial"/>
          <w:b w:val="0"/>
          <w:bCs w:val="0"/>
          <w:color w:val="000000" w:themeColor="text1"/>
          <w:sz w:val="22"/>
          <w:szCs w:val="22"/>
        </w:rPr>
        <w:t>)</w:t>
      </w:r>
      <w:r w:rsidRPr="00832F99">
        <w:rPr>
          <w:rStyle w:val="Strong"/>
          <w:rFonts w:ascii="Arial" w:hAnsi="Arial" w:cs="Arial"/>
          <w:color w:val="000000" w:themeColor="text1"/>
          <w:sz w:val="22"/>
          <w:szCs w:val="22"/>
        </w:rPr>
        <w:t xml:space="preserve"> .</w:t>
      </w:r>
      <w:proofErr w:type="gramEnd"/>
    </w:p>
    <w:p w14:paraId="6AB59E8D" w14:textId="77777777"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Education is another essential component of CR, providing patients with information on disease management, medication adherence, symptom recognition, dietary modification, and lifestyle change. Improved patient knowledge has been linked to better adherence to medication and healthier lifestyle behaviours, contributing to reduced risk of recurrent cardiovascular events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 Lifestyle modification interventions, including smoking cessation support, dietary advice, alcohol reduction, and stress management, further contribute to long</w:t>
      </w:r>
      <w:r w:rsidRPr="00832F99">
        <w:rPr>
          <w:rFonts w:ascii="Arial" w:hAnsi="Arial" w:cs="Arial"/>
          <w:color w:val="000000" w:themeColor="text1"/>
          <w:sz w:val="22"/>
          <w:szCs w:val="22"/>
        </w:rPr>
        <w:noBreakHyphen/>
        <w:t>term risk reduction and improved health outcomes (NICE, 2018).</w:t>
      </w:r>
    </w:p>
    <w:p w14:paraId="549085D0" w14:textId="77777777"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Psychological support is increasingly recognised as a critical component of CR, as anxiety, depression, and psychological distress are common following myocardial infarction, heart failure diagnosis, or cardiac surgery (Taylor et al., 2019). Psychological distress may negatively influence treatment adherence, motivation, and quality of life, making psychosocial interventions essential for improving emotional wellbeing and recovery outcomes (Anderson et al., 2016).</w:t>
      </w:r>
    </w:p>
    <w:p w14:paraId="476A6503" w14:textId="77777777"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Despite strong evidence supporting CR effectiveness, uptake and completion rates remain suboptimal, with only around 43% of eligible patients in the UK enrolling in CR programmes and even fewer completing them (NIHR, 2019). Barriers to participation include delayed referral processes, transport difficulties, low awareness, work commitments, caregiving responsibilities, language barriers, and low motivation, with older adults facing additional challenges such as frailty, mobility limitations, and fear of exercise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 These barriers highlight the need for targeted interventions to improve CR access and engagement, particularly among disadvantaged populations.</w:t>
      </w:r>
    </w:p>
    <w:p w14:paraId="57B205DF" w14:textId="77777777" w:rsidR="0006126E" w:rsidRPr="00832F99" w:rsidRDefault="0006126E" w:rsidP="00832F99">
      <w:pPr>
        <w:pStyle w:val="Heading2"/>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2F99">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 Effectiveness of Cardiac Rehabilitation in Reducing Hospital Readmissions</w:t>
      </w:r>
    </w:p>
    <w:p w14:paraId="6398176C" w14:textId="3717EFBA"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Cardiac rehabilitation has been widely recognised as an effective intervention for reducing hospital readmissions among individuals recovering from cardiovascular events, with numerous studies demonstrating significant reductions in both short</w:t>
      </w:r>
      <w:r w:rsidRPr="00832F99">
        <w:rPr>
          <w:rFonts w:ascii="Arial" w:hAnsi="Arial" w:cs="Arial"/>
          <w:color w:val="000000" w:themeColor="text1"/>
          <w:sz w:val="22"/>
          <w:szCs w:val="22"/>
        </w:rPr>
        <w:noBreakHyphen/>
        <w:t>term and long</w:t>
      </w:r>
      <w:r w:rsidRPr="00832F99">
        <w:rPr>
          <w:rFonts w:ascii="Arial" w:hAnsi="Arial" w:cs="Arial"/>
          <w:color w:val="000000" w:themeColor="text1"/>
          <w:sz w:val="22"/>
          <w:szCs w:val="22"/>
        </w:rPr>
        <w:noBreakHyphen/>
        <w:t>term readmission rates (Anderson et al., 2016). Hospital readmission is frequently used as an indicator of healthcare quality, continuity of care, and effectiveness of long</w:t>
      </w:r>
      <w:r w:rsidRPr="00832F99">
        <w:rPr>
          <w:rFonts w:ascii="Arial" w:hAnsi="Arial" w:cs="Arial"/>
          <w:color w:val="000000" w:themeColor="text1"/>
          <w:sz w:val="22"/>
          <w:szCs w:val="22"/>
        </w:rPr>
        <w:noBreakHyphen/>
        <w:t>term disease management, making it a key outcome measure in CR research (</w:t>
      </w:r>
      <w:proofErr w:type="spellStart"/>
      <w:r w:rsidRPr="00832F99">
        <w:rPr>
          <w:rFonts w:ascii="Arial" w:hAnsi="Arial" w:cs="Arial"/>
          <w:color w:val="000000" w:themeColor="text1"/>
          <w:sz w:val="22"/>
          <w:szCs w:val="22"/>
        </w:rPr>
        <w:t>Dharmarajan</w:t>
      </w:r>
      <w:proofErr w:type="spellEnd"/>
      <w:r w:rsidRPr="00832F99">
        <w:rPr>
          <w:rFonts w:ascii="Arial" w:hAnsi="Arial" w:cs="Arial"/>
          <w:color w:val="000000" w:themeColor="text1"/>
          <w:sz w:val="22"/>
          <w:szCs w:val="22"/>
        </w:rPr>
        <w:t xml:space="preserve"> et al., 2013).</w:t>
      </w:r>
    </w:p>
    <w:p w14:paraId="43929EB2" w14:textId="6ADEE2E9" w:rsidR="00646C39" w:rsidRPr="00832F99" w:rsidRDefault="00646C39" w:rsidP="00832F99">
      <w:pPr>
        <w:pStyle w:val="NormalWeb"/>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A meta</w:t>
      </w:r>
      <w:r w:rsidRPr="00832F99">
        <w:rPr>
          <w:rStyle w:val="Strong"/>
          <w:rFonts w:ascii="Arial" w:hAnsi="Arial" w:cs="Arial"/>
          <w:b w:val="0"/>
          <w:bCs w:val="0"/>
          <w:color w:val="000000" w:themeColor="text1"/>
          <w:sz w:val="22"/>
          <w:szCs w:val="22"/>
        </w:rPr>
        <w:noBreakHyphen/>
        <w:t>analysis of 29 trials found that CR participants had significantly improved exercise tolerance and quality of life (</w:t>
      </w:r>
      <w:proofErr w:type="spellStart"/>
      <w:r w:rsidRPr="00832F99">
        <w:rPr>
          <w:rStyle w:val="Strong"/>
          <w:rFonts w:ascii="Arial" w:hAnsi="Arial" w:cs="Arial"/>
          <w:b w:val="0"/>
          <w:bCs w:val="0"/>
          <w:color w:val="000000" w:themeColor="text1"/>
          <w:sz w:val="22"/>
          <w:szCs w:val="22"/>
        </w:rPr>
        <w:t>Heran</w:t>
      </w:r>
      <w:proofErr w:type="spellEnd"/>
      <w:r w:rsidRPr="00832F99">
        <w:rPr>
          <w:rStyle w:val="Strong"/>
          <w:rFonts w:ascii="Arial" w:hAnsi="Arial" w:cs="Arial"/>
          <w:b w:val="0"/>
          <w:bCs w:val="0"/>
          <w:color w:val="000000" w:themeColor="text1"/>
          <w:sz w:val="22"/>
          <w:szCs w:val="22"/>
        </w:rPr>
        <w:t xml:space="preserve"> et al., 2011</w:t>
      </w:r>
      <w:r w:rsidRPr="00832F99">
        <w:rPr>
          <w:rStyle w:val="Strong"/>
          <w:rFonts w:ascii="Arial" w:hAnsi="Arial" w:cs="Arial"/>
          <w:color w:val="000000" w:themeColor="text1"/>
          <w:sz w:val="22"/>
          <w:szCs w:val="22"/>
        </w:rPr>
        <w:t xml:space="preserve">) </w:t>
      </w:r>
    </w:p>
    <w:p w14:paraId="2C5492DB" w14:textId="77777777" w:rsidR="00646C39" w:rsidRPr="00832F99" w:rsidRDefault="00646C39" w:rsidP="00832F99">
      <w:pPr>
        <w:pStyle w:val="NormalWeb"/>
        <w:jc w:val="both"/>
        <w:rPr>
          <w:rFonts w:ascii="Arial" w:hAnsi="Arial" w:cs="Arial"/>
          <w:color w:val="000000" w:themeColor="text1"/>
          <w:sz w:val="22"/>
          <w:szCs w:val="22"/>
        </w:rPr>
      </w:pPr>
    </w:p>
    <w:p w14:paraId="22DFE05D" w14:textId="207E1E43" w:rsidR="00646C39" w:rsidRPr="00832F99" w:rsidRDefault="0006126E" w:rsidP="00832F99">
      <w:pPr>
        <w:pStyle w:val="NormalWeb"/>
        <w:jc w:val="both"/>
        <w:rPr>
          <w:rFonts w:ascii="Arial" w:hAnsi="Arial" w:cs="Arial"/>
          <w:b/>
          <w:bCs/>
          <w:color w:val="000000" w:themeColor="text1"/>
          <w:sz w:val="22"/>
          <w:szCs w:val="22"/>
        </w:rPr>
      </w:pPr>
      <w:r w:rsidRPr="00832F99">
        <w:rPr>
          <w:rFonts w:ascii="Arial" w:hAnsi="Arial" w:cs="Arial"/>
          <w:color w:val="000000" w:themeColor="text1"/>
          <w:sz w:val="22"/>
          <w:szCs w:val="22"/>
        </w:rPr>
        <w:t>Evidence from systematic reviews and meta</w:t>
      </w:r>
      <w:r w:rsidRPr="00832F99">
        <w:rPr>
          <w:rFonts w:ascii="Arial" w:hAnsi="Arial" w:cs="Arial"/>
          <w:color w:val="000000" w:themeColor="text1"/>
          <w:sz w:val="22"/>
          <w:szCs w:val="22"/>
        </w:rPr>
        <w:noBreakHyphen/>
        <w:t>analyses indicates that participation in CR significantly reduces cardiovascular</w:t>
      </w:r>
      <w:r w:rsidRPr="00832F99">
        <w:rPr>
          <w:rFonts w:ascii="Arial" w:hAnsi="Arial" w:cs="Arial"/>
          <w:color w:val="000000" w:themeColor="text1"/>
          <w:sz w:val="22"/>
          <w:szCs w:val="22"/>
        </w:rPr>
        <w:noBreakHyphen/>
        <w:t>related hospital admissions compared with usual care, with improvements attributed to enhanced cardiovascular fitness, better risk factor control, and reduced rates of recurrent cardiac events (Anderson et al., 2016). Taylor et al. (2019) similarly found that CR participation contributed to reductions in recurrent cardiovascular complications, improved functional capacity, and enhanced patient self</w:t>
      </w:r>
      <w:r w:rsidRPr="00832F99">
        <w:rPr>
          <w:rFonts w:ascii="Arial" w:hAnsi="Arial" w:cs="Arial"/>
          <w:color w:val="000000" w:themeColor="text1"/>
          <w:sz w:val="22"/>
          <w:szCs w:val="22"/>
        </w:rPr>
        <w:noBreakHyphen/>
        <w:t>management, with structured exercise, behavioural support, medication adherence education, and lifestyle interventions identified as key mechanisms contributing to improved outcomes</w:t>
      </w:r>
      <w:r w:rsidRPr="00832F99">
        <w:rPr>
          <w:rFonts w:ascii="Arial" w:hAnsi="Arial" w:cs="Arial"/>
          <w:b/>
          <w:bCs/>
          <w:color w:val="000000" w:themeColor="text1"/>
          <w:sz w:val="22"/>
          <w:szCs w:val="22"/>
        </w:rPr>
        <w:t>.</w:t>
      </w:r>
      <w:r w:rsidR="00646C39" w:rsidRPr="00832F99">
        <w:rPr>
          <w:rStyle w:val="Strong"/>
          <w:rFonts w:ascii="Arial" w:hAnsi="Arial" w:cs="Arial"/>
          <w:b w:val="0"/>
          <w:bCs w:val="0"/>
          <w:color w:val="000000" w:themeColor="text1"/>
          <w:sz w:val="22"/>
          <w:szCs w:val="22"/>
        </w:rPr>
        <w:t xml:space="preserve"> </w:t>
      </w:r>
      <w:r w:rsidR="00646C39" w:rsidRPr="00832F99">
        <w:rPr>
          <w:rStyle w:val="Strong"/>
          <w:rFonts w:ascii="Arial" w:hAnsi="Arial" w:cs="Arial"/>
          <w:b w:val="0"/>
          <w:bCs w:val="0"/>
          <w:color w:val="000000" w:themeColor="text1"/>
          <w:sz w:val="22"/>
          <w:szCs w:val="22"/>
        </w:rPr>
        <w:t>Hybrid CR models combining digital and in</w:t>
      </w:r>
      <w:r w:rsidR="00646C39" w:rsidRPr="00832F99">
        <w:rPr>
          <w:rStyle w:val="Strong"/>
          <w:rFonts w:ascii="Arial" w:hAnsi="Arial" w:cs="Arial"/>
          <w:b w:val="0"/>
          <w:bCs w:val="0"/>
          <w:color w:val="000000" w:themeColor="text1"/>
          <w:sz w:val="22"/>
          <w:szCs w:val="22"/>
        </w:rPr>
        <w:noBreakHyphen/>
        <w:t>person components have also demonstrated strong outcomes, particularly for older adults and those with mobility limitations (</w:t>
      </w:r>
      <w:proofErr w:type="spellStart"/>
      <w:r w:rsidR="00646C39" w:rsidRPr="00832F99">
        <w:rPr>
          <w:rStyle w:val="Strong"/>
          <w:rFonts w:ascii="Arial" w:hAnsi="Arial" w:cs="Arial"/>
          <w:b w:val="0"/>
          <w:bCs w:val="0"/>
          <w:color w:val="000000" w:themeColor="text1"/>
          <w:sz w:val="22"/>
          <w:szCs w:val="22"/>
        </w:rPr>
        <w:t>Rawstorn</w:t>
      </w:r>
      <w:proofErr w:type="spellEnd"/>
      <w:r w:rsidR="00646C39" w:rsidRPr="00832F99">
        <w:rPr>
          <w:rStyle w:val="Strong"/>
          <w:rFonts w:ascii="Arial" w:hAnsi="Arial" w:cs="Arial"/>
          <w:b w:val="0"/>
          <w:bCs w:val="0"/>
          <w:color w:val="000000" w:themeColor="text1"/>
          <w:sz w:val="22"/>
          <w:szCs w:val="22"/>
        </w:rPr>
        <w:t xml:space="preserve"> et al., 2021</w:t>
      </w:r>
      <w:r w:rsidR="00646C39" w:rsidRPr="00832F99">
        <w:rPr>
          <w:rStyle w:val="Strong"/>
          <w:rFonts w:ascii="Arial" w:hAnsi="Arial" w:cs="Arial"/>
          <w:b w:val="0"/>
          <w:bCs w:val="0"/>
          <w:color w:val="000000" w:themeColor="text1"/>
          <w:sz w:val="22"/>
          <w:szCs w:val="22"/>
        </w:rPr>
        <w:t>)</w:t>
      </w:r>
    </w:p>
    <w:p w14:paraId="5CC77B26" w14:textId="01AF0BBC" w:rsidR="0006126E" w:rsidRPr="00832F99" w:rsidRDefault="0006126E" w:rsidP="00832F99">
      <w:pPr>
        <w:pStyle w:val="NormalWeb"/>
        <w:jc w:val="both"/>
        <w:rPr>
          <w:rFonts w:ascii="Arial" w:hAnsi="Arial" w:cs="Arial"/>
          <w:color w:val="000000" w:themeColor="text1"/>
          <w:sz w:val="22"/>
          <w:szCs w:val="22"/>
        </w:rPr>
      </w:pPr>
    </w:p>
    <w:p w14:paraId="6BCC56BD" w14:textId="199CED60"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CR effectiveness extends beyond short</w:t>
      </w:r>
      <w:r w:rsidRPr="00832F99">
        <w:rPr>
          <w:rFonts w:ascii="Arial" w:hAnsi="Arial" w:cs="Arial"/>
          <w:color w:val="000000" w:themeColor="text1"/>
          <w:sz w:val="22"/>
          <w:szCs w:val="22"/>
        </w:rPr>
        <w:noBreakHyphen/>
        <w:t>term recovery, with studies demonstrating reductions in both 30</w:t>
      </w:r>
      <w:r w:rsidRPr="00832F99">
        <w:rPr>
          <w:rFonts w:ascii="Arial" w:hAnsi="Arial" w:cs="Arial"/>
          <w:color w:val="000000" w:themeColor="text1"/>
          <w:sz w:val="22"/>
          <w:szCs w:val="22"/>
        </w:rPr>
        <w:noBreakHyphen/>
        <w:t>day and 12</w:t>
      </w:r>
      <w:r w:rsidRPr="00832F99">
        <w:rPr>
          <w:rFonts w:ascii="Arial" w:hAnsi="Arial" w:cs="Arial"/>
          <w:color w:val="000000" w:themeColor="text1"/>
          <w:sz w:val="22"/>
          <w:szCs w:val="22"/>
        </w:rPr>
        <w:noBreakHyphen/>
        <w:t>month hospital readmission rates among CR participants (</w:t>
      </w:r>
      <w:proofErr w:type="spellStart"/>
      <w:r w:rsidRPr="00832F99">
        <w:rPr>
          <w:rFonts w:ascii="Arial" w:hAnsi="Arial" w:cs="Arial"/>
          <w:color w:val="000000" w:themeColor="text1"/>
          <w:sz w:val="22"/>
          <w:szCs w:val="22"/>
        </w:rPr>
        <w:t>Dharmarajan</w:t>
      </w:r>
      <w:proofErr w:type="spellEnd"/>
      <w:r w:rsidRPr="00832F99">
        <w:rPr>
          <w:rFonts w:ascii="Arial" w:hAnsi="Arial" w:cs="Arial"/>
          <w:color w:val="000000" w:themeColor="text1"/>
          <w:sz w:val="22"/>
          <w:szCs w:val="22"/>
        </w:rPr>
        <w:t xml:space="preserve"> et al., 2013). Short</w:t>
      </w:r>
      <w:r w:rsidRPr="00832F99">
        <w:rPr>
          <w:rFonts w:ascii="Arial" w:hAnsi="Arial" w:cs="Arial"/>
          <w:color w:val="000000" w:themeColor="text1"/>
          <w:sz w:val="22"/>
          <w:szCs w:val="22"/>
        </w:rPr>
        <w:noBreakHyphen/>
        <w:t>term reductions are often linked to improved discharge planning, medication adherence, and early follow</w:t>
      </w:r>
      <w:r w:rsidRPr="00832F99">
        <w:rPr>
          <w:rFonts w:ascii="Arial" w:hAnsi="Arial" w:cs="Arial"/>
          <w:color w:val="000000" w:themeColor="text1"/>
          <w:sz w:val="22"/>
          <w:szCs w:val="22"/>
        </w:rPr>
        <w:noBreakHyphen/>
        <w:t>up support, whereas long</w:t>
      </w:r>
      <w:r w:rsidRPr="00832F99">
        <w:rPr>
          <w:rFonts w:ascii="Arial" w:hAnsi="Arial" w:cs="Arial"/>
          <w:color w:val="000000" w:themeColor="text1"/>
          <w:sz w:val="22"/>
          <w:szCs w:val="22"/>
        </w:rPr>
        <w:noBreakHyphen/>
        <w:t>term reductions are associated with sustained behavioural change and improved management of cardiovascular risk factors (Taylor et al., 2019). Programme completion appears to be an important determinant of effectiveness, with evidence indicating that patients who complete the full CR programme experience greater improvements in physical activity, medication adherence, blood pressure control, and cardiovascular risk management compared with partial participants (Anderson et al., 2016)</w:t>
      </w:r>
      <w:proofErr w:type="gramStart"/>
      <w:r w:rsidRPr="00832F99">
        <w:rPr>
          <w:rFonts w:ascii="Arial" w:hAnsi="Arial" w:cs="Arial"/>
          <w:color w:val="000000" w:themeColor="text1"/>
          <w:sz w:val="22"/>
          <w:szCs w:val="22"/>
        </w:rPr>
        <w:t>.</w:t>
      </w:r>
      <w:r w:rsidR="00D15E99" w:rsidRPr="00832F99">
        <w:rPr>
          <w:rFonts w:ascii="Arial" w:hAnsi="Arial" w:cs="Arial"/>
          <w:color w:val="000000" w:themeColor="text1"/>
          <w:sz w:val="22"/>
          <w:szCs w:val="22"/>
        </w:rPr>
        <w:t xml:space="preserve"> </w:t>
      </w:r>
      <w:r w:rsidR="00D15E99" w:rsidRPr="00832F99">
        <w:rPr>
          <w:rFonts w:ascii="Arial" w:hAnsi="Arial" w:cs="Arial"/>
          <w:color w:val="000000" w:themeColor="text1"/>
          <w:sz w:val="22"/>
          <w:szCs w:val="22"/>
        </w:rPr>
        <w:t>)</w:t>
      </w:r>
      <w:proofErr w:type="gramEnd"/>
      <w:r w:rsidR="00D15E99" w:rsidRPr="00832F99">
        <w:rPr>
          <w:rFonts w:ascii="Arial" w:hAnsi="Arial" w:cs="Arial"/>
          <w:color w:val="000000" w:themeColor="text1"/>
          <w:sz w:val="22"/>
          <w:szCs w:val="22"/>
        </w:rPr>
        <w:t xml:space="preserve">. </w:t>
      </w:r>
      <w:r w:rsidR="00D15E99" w:rsidRPr="00832F99">
        <w:rPr>
          <w:rStyle w:val="Strong"/>
          <w:rFonts w:ascii="Arial" w:hAnsi="Arial" w:cs="Arial"/>
          <w:b w:val="0"/>
          <w:bCs w:val="0"/>
          <w:color w:val="000000" w:themeColor="text1"/>
          <w:sz w:val="22"/>
          <w:szCs w:val="22"/>
        </w:rPr>
        <w:t>Adherence to CR programmes has been linked to improved self</w:t>
      </w:r>
      <w:r w:rsidR="00D15E99" w:rsidRPr="00832F99">
        <w:rPr>
          <w:rStyle w:val="Strong"/>
          <w:rFonts w:ascii="Arial" w:hAnsi="Arial" w:cs="Arial"/>
          <w:b w:val="0"/>
          <w:bCs w:val="0"/>
          <w:color w:val="000000" w:themeColor="text1"/>
          <w:sz w:val="22"/>
          <w:szCs w:val="22"/>
        </w:rPr>
        <w:noBreakHyphen/>
        <w:t>efficacy, better symptom management, and enhanced psychological wellbeing (Anderson &amp; Taylor, 2020)</w:t>
      </w:r>
    </w:p>
    <w:p w14:paraId="19288D1E" w14:textId="6D9A0CE6" w:rsidR="0006126E" w:rsidRPr="00832F99" w:rsidRDefault="000612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Despite strong evidence supporting CR effectiveness, some studies report variations in the magnitude of benefit observed, with differences in programme design, duration, intensity, patient populations, and service delivery models contributing to inconsistencies in outcomes (Taylor et al., 2019). For example, home</w:t>
      </w:r>
      <w:r w:rsidRPr="00832F99">
        <w:rPr>
          <w:rFonts w:ascii="Arial" w:hAnsi="Arial" w:cs="Arial"/>
          <w:color w:val="000000" w:themeColor="text1"/>
          <w:sz w:val="22"/>
          <w:szCs w:val="22"/>
        </w:rPr>
        <w:noBreakHyphen/>
        <w:t>based rehabilitation programmes may achieve different outcomes compared with hospital</w:t>
      </w:r>
      <w:r w:rsidRPr="00832F99">
        <w:rPr>
          <w:rFonts w:ascii="Arial" w:hAnsi="Arial" w:cs="Arial"/>
          <w:color w:val="000000" w:themeColor="text1"/>
          <w:sz w:val="22"/>
          <w:szCs w:val="22"/>
        </w:rPr>
        <w:noBreakHyphen/>
        <w:t>based interventions, with some studies suggesting comparable effectiveness while others highlight challenges related to patient engagement and adherence (Dalal et al., 2021). These variations underscore the need for further research to identify optimal CR delivery models and to understand how individual, social, and structural factors influence programme effectiveness.</w:t>
      </w:r>
    </w:p>
    <w:p w14:paraId="4060B393" w14:textId="77777777" w:rsidR="00D15E99" w:rsidRPr="00832F99" w:rsidRDefault="00D15E99"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2.4 Barriers to Cardiac Rehabilitation Participation</w:t>
      </w:r>
    </w:p>
    <w:p w14:paraId="58D5DC2D" w14:textId="5C2685EC" w:rsidR="00D15E99" w:rsidRPr="00832F99" w:rsidRDefault="00D15E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Despite strong evidence supporting CR effectiveness, participation remains low. Only around 43% of eligible patients in the UK enrol in CR programmes (NIHR, 2019). Barriers include lack of awareness, delayed referrals, transport difficulties, financial constraints, and competing responsibilities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 </w:t>
      </w:r>
      <w:r w:rsidRPr="00832F99">
        <w:rPr>
          <w:rStyle w:val="Strong"/>
          <w:rFonts w:ascii="Arial" w:hAnsi="Arial" w:cs="Arial"/>
          <w:b w:val="0"/>
          <w:bCs w:val="0"/>
          <w:color w:val="000000" w:themeColor="text1"/>
          <w:sz w:val="22"/>
          <w:szCs w:val="22"/>
        </w:rPr>
        <w:t>A recent UK audit found that referral delays of more than 14 days significantly reduce CR uptake (NACR, 2023)</w:t>
      </w:r>
    </w:p>
    <w:p w14:paraId="1F6C9905" w14:textId="54DA4237" w:rsidR="00D15E99" w:rsidRPr="00832F99" w:rsidRDefault="00D15E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Psychological factors such as anxiety, depression, and fear of exercise also reduce participation (Clark et al., 2021). </w:t>
      </w:r>
      <w:r w:rsidRPr="00832F99">
        <w:rPr>
          <w:rStyle w:val="Strong"/>
          <w:rFonts w:ascii="Arial" w:hAnsi="Arial" w:cs="Arial"/>
          <w:b w:val="0"/>
          <w:bCs w:val="0"/>
          <w:color w:val="000000" w:themeColor="text1"/>
          <w:sz w:val="22"/>
          <w:szCs w:val="22"/>
        </w:rPr>
        <w:t>Studies show that patients with depressive symptoms are 40% less likely to complete CR (Blumenthal et al., 2020</w:t>
      </w:r>
      <w:proofErr w:type="gramStart"/>
      <w:r w:rsidRPr="00832F99">
        <w:rPr>
          <w:rStyle w:val="Strong"/>
          <w:rFonts w:ascii="Arial" w:hAnsi="Arial" w:cs="Arial"/>
          <w:b w:val="0"/>
          <w:bCs w:val="0"/>
          <w:color w:val="000000" w:themeColor="text1"/>
          <w:sz w:val="22"/>
          <w:szCs w:val="22"/>
        </w:rPr>
        <w:t>) .</w:t>
      </w:r>
      <w:proofErr w:type="gramEnd"/>
    </w:p>
    <w:p w14:paraId="24371329" w14:textId="37527A4A" w:rsidR="00D15E99" w:rsidRPr="00832F99" w:rsidRDefault="00D15E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Digital exclusion is an emerging barrier, particularly for older adults and deprived groups (Neubeck et al., 2020). </w:t>
      </w:r>
      <w:r w:rsidRPr="00832F99">
        <w:rPr>
          <w:rStyle w:val="Strong"/>
          <w:rFonts w:ascii="Arial" w:hAnsi="Arial" w:cs="Arial"/>
          <w:b w:val="0"/>
          <w:bCs w:val="0"/>
          <w:color w:val="000000" w:themeColor="text1"/>
          <w:sz w:val="22"/>
          <w:szCs w:val="22"/>
        </w:rPr>
        <w:t xml:space="preserve">Limited access to smartphones, internet connectivity, and digital </w:t>
      </w:r>
      <w:r w:rsidRPr="00832F99">
        <w:rPr>
          <w:rStyle w:val="Strong"/>
          <w:rFonts w:ascii="Arial" w:hAnsi="Arial" w:cs="Arial"/>
          <w:b w:val="0"/>
          <w:bCs w:val="0"/>
          <w:color w:val="000000" w:themeColor="text1"/>
          <w:sz w:val="22"/>
          <w:szCs w:val="22"/>
        </w:rPr>
        <w:lastRenderedPageBreak/>
        <w:t>literacy disproportionately affects ethnic minority and low</w:t>
      </w:r>
      <w:r w:rsidRPr="00832F99">
        <w:rPr>
          <w:rStyle w:val="Strong"/>
          <w:rFonts w:ascii="Arial" w:hAnsi="Arial" w:cs="Arial"/>
          <w:b w:val="0"/>
          <w:bCs w:val="0"/>
          <w:color w:val="000000" w:themeColor="text1"/>
          <w:sz w:val="22"/>
          <w:szCs w:val="22"/>
        </w:rPr>
        <w:noBreakHyphen/>
        <w:t>income populations (</w:t>
      </w:r>
      <w:proofErr w:type="spellStart"/>
      <w:r w:rsidRPr="00832F99">
        <w:rPr>
          <w:rStyle w:val="Strong"/>
          <w:rFonts w:ascii="Arial" w:hAnsi="Arial" w:cs="Arial"/>
          <w:b w:val="0"/>
          <w:bCs w:val="0"/>
          <w:color w:val="000000" w:themeColor="text1"/>
          <w:sz w:val="22"/>
          <w:szCs w:val="22"/>
        </w:rPr>
        <w:t>Hargittai</w:t>
      </w:r>
      <w:proofErr w:type="spellEnd"/>
      <w:r w:rsidRPr="00832F99">
        <w:rPr>
          <w:rStyle w:val="Strong"/>
          <w:rFonts w:ascii="Arial" w:hAnsi="Arial" w:cs="Arial"/>
          <w:b w:val="0"/>
          <w:bCs w:val="0"/>
          <w:color w:val="000000" w:themeColor="text1"/>
          <w:sz w:val="22"/>
          <w:szCs w:val="22"/>
        </w:rPr>
        <w:t xml:space="preserve"> et al., 2021</w:t>
      </w:r>
      <w:proofErr w:type="gramStart"/>
      <w:r w:rsidRPr="00832F99">
        <w:rPr>
          <w:rStyle w:val="Strong"/>
          <w:rFonts w:ascii="Arial" w:hAnsi="Arial" w:cs="Arial"/>
          <w:b w:val="0"/>
          <w:bCs w:val="0"/>
          <w:color w:val="000000" w:themeColor="text1"/>
          <w:sz w:val="22"/>
          <w:szCs w:val="22"/>
        </w:rPr>
        <w:t>) .</w:t>
      </w:r>
      <w:proofErr w:type="gramEnd"/>
    </w:p>
    <w:p w14:paraId="6FE6C42A" w14:textId="77777777" w:rsidR="00D15E99" w:rsidRPr="00832F99" w:rsidRDefault="00D15E99"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2.5 Ethnic Inequalities in Cardiac Rehabilitation</w:t>
      </w:r>
    </w:p>
    <w:p w14:paraId="030068E9" w14:textId="695F8B3E" w:rsidR="00D15E99" w:rsidRPr="00832F99" w:rsidRDefault="00D15E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Ethnic inequalities significantly influence CR participation and outcomes. South Asian and Black patients in England have lower referral and completion rates compared with White British patients (BHF, 2025). These disparities persist even after adjusting for socioeconomic status and comorbidities (Virani et al., 2021). </w:t>
      </w:r>
      <w:r w:rsidRPr="00832F99">
        <w:rPr>
          <w:rStyle w:val="Strong"/>
          <w:rFonts w:ascii="Arial" w:hAnsi="Arial" w:cs="Arial"/>
          <w:b w:val="0"/>
          <w:bCs w:val="0"/>
          <w:color w:val="000000" w:themeColor="text1"/>
          <w:sz w:val="22"/>
          <w:szCs w:val="22"/>
        </w:rPr>
        <w:t>A systematic review found that cultural beliefs, mistrust of healthcare systems, and language barriers contribute to lower CR engagement among minority ethnic groups (Jolly et al., 2021</w:t>
      </w:r>
      <w:proofErr w:type="gramStart"/>
      <w:r w:rsidRPr="00832F99">
        <w:rPr>
          <w:rStyle w:val="Strong"/>
          <w:rFonts w:ascii="Arial" w:hAnsi="Arial" w:cs="Arial"/>
          <w:b w:val="0"/>
          <w:bCs w:val="0"/>
          <w:color w:val="000000" w:themeColor="text1"/>
          <w:sz w:val="22"/>
          <w:szCs w:val="22"/>
        </w:rPr>
        <w:t>) .</w:t>
      </w:r>
      <w:proofErr w:type="gramEnd"/>
    </w:p>
    <w:p w14:paraId="41C56A9E" w14:textId="2210016E" w:rsidR="00D15E99" w:rsidRPr="00832F99" w:rsidRDefault="00D15E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Qualitative studies highlight that CR programmes are often not culturally tailored, reducing motivation to attend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 </w:t>
      </w:r>
      <w:r w:rsidRPr="00832F99">
        <w:rPr>
          <w:rStyle w:val="Strong"/>
          <w:rFonts w:ascii="Arial" w:hAnsi="Arial" w:cs="Arial"/>
          <w:b w:val="0"/>
          <w:bCs w:val="0"/>
          <w:color w:val="000000" w:themeColor="text1"/>
          <w:sz w:val="22"/>
          <w:szCs w:val="22"/>
        </w:rPr>
        <w:t>Culturally adapted CR interventions have shown improved engagement and satisfaction among minority groups (Banerjee et al., 2020</w:t>
      </w:r>
      <w:proofErr w:type="gramStart"/>
      <w:r w:rsidRPr="00832F99">
        <w:rPr>
          <w:rStyle w:val="Strong"/>
          <w:rFonts w:ascii="Arial" w:hAnsi="Arial" w:cs="Arial"/>
          <w:b w:val="0"/>
          <w:bCs w:val="0"/>
          <w:color w:val="000000" w:themeColor="text1"/>
          <w:sz w:val="22"/>
          <w:szCs w:val="22"/>
        </w:rPr>
        <w:t>) .</w:t>
      </w:r>
      <w:proofErr w:type="gramEnd"/>
    </w:p>
    <w:p w14:paraId="4D97FD2D" w14:textId="77777777" w:rsidR="00D15E99" w:rsidRPr="00832F99" w:rsidRDefault="00D15E99"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2.6 Socioeconomic Inequalities and CR Participation</w:t>
      </w:r>
    </w:p>
    <w:p w14:paraId="5AD886A8" w14:textId="157599AC" w:rsidR="00D15E99" w:rsidRPr="00832F99" w:rsidRDefault="00D15E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Socioeconomic deprivation is strongly associated with lower CR participation and poorer outcomes (Public Health England, 2020). Individuals from deprived areas are 30–40% less likely to attend CR compared with those from affluent areas (Open Heart, 2025). </w:t>
      </w:r>
      <w:r w:rsidRPr="00832F99">
        <w:rPr>
          <w:rStyle w:val="Strong"/>
          <w:rFonts w:ascii="Arial" w:hAnsi="Arial" w:cs="Arial"/>
          <w:b w:val="0"/>
          <w:bCs w:val="0"/>
          <w:color w:val="000000" w:themeColor="text1"/>
          <w:sz w:val="22"/>
          <w:szCs w:val="22"/>
        </w:rPr>
        <w:t>A large UK cohort study found that deprivation was the strongest predictor of CR non</w:t>
      </w:r>
      <w:r w:rsidRPr="00832F99">
        <w:rPr>
          <w:rStyle w:val="Strong"/>
          <w:rFonts w:ascii="Arial" w:hAnsi="Arial" w:cs="Arial"/>
          <w:b w:val="0"/>
          <w:bCs w:val="0"/>
          <w:color w:val="000000" w:themeColor="text1"/>
          <w:sz w:val="22"/>
          <w:szCs w:val="22"/>
        </w:rPr>
        <w:noBreakHyphen/>
        <w:t>completion, even more influential than age or comorbidities (Doherty et al., 2020</w:t>
      </w:r>
      <w:proofErr w:type="gramStart"/>
      <w:r w:rsidRPr="00832F99">
        <w:rPr>
          <w:rStyle w:val="Strong"/>
          <w:rFonts w:ascii="Arial" w:hAnsi="Arial" w:cs="Arial"/>
          <w:b w:val="0"/>
          <w:bCs w:val="0"/>
          <w:color w:val="000000" w:themeColor="text1"/>
          <w:sz w:val="22"/>
          <w:szCs w:val="22"/>
        </w:rPr>
        <w:t>) .</w:t>
      </w:r>
      <w:proofErr w:type="gramEnd"/>
    </w:p>
    <w:p w14:paraId="3FB2B6AB" w14:textId="2AA72684" w:rsidR="00D15E99" w:rsidRPr="00832F99" w:rsidRDefault="00D15E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Transport difficulties, financial constraints, and low health literacy are major barriers for deprived patients (Clark et al., 2021). </w:t>
      </w:r>
      <w:r w:rsidRPr="00832F99">
        <w:rPr>
          <w:rStyle w:val="Strong"/>
          <w:rFonts w:ascii="Arial" w:hAnsi="Arial" w:cs="Arial"/>
          <w:b w:val="0"/>
          <w:bCs w:val="0"/>
          <w:color w:val="000000" w:themeColor="text1"/>
          <w:sz w:val="22"/>
          <w:szCs w:val="22"/>
        </w:rPr>
        <w:t>Limited access to green spaces, safe walking areas, and community support further reduces engagement in physical activity and rehabilitation (Smith et al., 2021).</w:t>
      </w:r>
    </w:p>
    <w:p w14:paraId="46169D94" w14:textId="77777777" w:rsidR="00D15E99" w:rsidRPr="00832F99" w:rsidRDefault="00D15E99"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2.7 CR Outcomes in Older Adults</w:t>
      </w:r>
    </w:p>
    <w:p w14:paraId="6CA82056" w14:textId="5AA35860" w:rsidR="00D15E99" w:rsidRPr="00832F99" w:rsidRDefault="00D15E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Older adults benefit significantly from CR, experiencing improved functional capacity, reduced readmissions, and enhanced quality of life (</w:t>
      </w:r>
      <w:proofErr w:type="spellStart"/>
      <w:r w:rsidRPr="00832F99">
        <w:rPr>
          <w:rFonts w:ascii="Arial" w:hAnsi="Arial" w:cs="Arial"/>
          <w:color w:val="000000" w:themeColor="text1"/>
          <w:sz w:val="22"/>
          <w:szCs w:val="22"/>
        </w:rPr>
        <w:t>Dalal</w:t>
      </w:r>
      <w:proofErr w:type="spellEnd"/>
      <w:r w:rsidRPr="00832F99">
        <w:rPr>
          <w:rFonts w:ascii="Arial" w:hAnsi="Arial" w:cs="Arial"/>
          <w:color w:val="000000" w:themeColor="text1"/>
          <w:sz w:val="22"/>
          <w:szCs w:val="22"/>
        </w:rPr>
        <w:t xml:space="preserve"> et al., 2015). However, participation is limited by mobility issues, comorbidities, and fear of overexertion (Clark et al., 2021). </w:t>
      </w:r>
      <w:r w:rsidRPr="00832F99">
        <w:rPr>
          <w:rStyle w:val="Strong"/>
          <w:rFonts w:ascii="Arial" w:hAnsi="Arial" w:cs="Arial"/>
          <w:b w:val="0"/>
          <w:bCs w:val="0"/>
          <w:color w:val="000000" w:themeColor="text1"/>
          <w:sz w:val="22"/>
          <w:szCs w:val="22"/>
        </w:rPr>
        <w:t>Frailty is a major predictor of CR dropout, with frail patients being up to 40% more likely to discontinue programmes (Chan et al., 2021</w:t>
      </w:r>
      <w:proofErr w:type="gramStart"/>
      <w:r w:rsidRPr="00832F99">
        <w:rPr>
          <w:rStyle w:val="Strong"/>
          <w:rFonts w:ascii="Arial" w:hAnsi="Arial" w:cs="Arial"/>
          <w:b w:val="0"/>
          <w:bCs w:val="0"/>
          <w:color w:val="000000" w:themeColor="text1"/>
          <w:sz w:val="22"/>
          <w:szCs w:val="22"/>
        </w:rPr>
        <w:t>) .</w:t>
      </w:r>
      <w:proofErr w:type="gramEnd"/>
    </w:p>
    <w:p w14:paraId="08ED80D3" w14:textId="32B65B86" w:rsidR="00D15E99" w:rsidRPr="00832F99" w:rsidRDefault="00D15E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Home</w:t>
      </w:r>
      <w:r w:rsidRPr="00832F99">
        <w:rPr>
          <w:rFonts w:ascii="Arial" w:hAnsi="Arial" w:cs="Arial"/>
          <w:color w:val="000000" w:themeColor="text1"/>
          <w:sz w:val="22"/>
          <w:szCs w:val="22"/>
        </w:rPr>
        <w:noBreakHyphen/>
        <w:t>based and hybrid CR models have been shown to improve accessibility for older adults (</w:t>
      </w:r>
      <w:proofErr w:type="spellStart"/>
      <w:r w:rsidRPr="00832F99">
        <w:rPr>
          <w:rFonts w:ascii="Arial" w:hAnsi="Arial" w:cs="Arial"/>
          <w:color w:val="000000" w:themeColor="text1"/>
          <w:sz w:val="22"/>
          <w:szCs w:val="22"/>
        </w:rPr>
        <w:t>Dalal</w:t>
      </w:r>
      <w:proofErr w:type="spellEnd"/>
      <w:r w:rsidRPr="00832F99">
        <w:rPr>
          <w:rFonts w:ascii="Arial" w:hAnsi="Arial" w:cs="Arial"/>
          <w:color w:val="000000" w:themeColor="text1"/>
          <w:sz w:val="22"/>
          <w:szCs w:val="22"/>
        </w:rPr>
        <w:t xml:space="preserve"> et al., 2019). </w:t>
      </w:r>
      <w:r w:rsidRPr="00832F99">
        <w:rPr>
          <w:rStyle w:val="Strong"/>
          <w:rFonts w:ascii="Arial" w:hAnsi="Arial" w:cs="Arial"/>
          <w:b w:val="0"/>
          <w:bCs w:val="0"/>
          <w:color w:val="000000" w:themeColor="text1"/>
          <w:sz w:val="22"/>
          <w:szCs w:val="22"/>
        </w:rPr>
        <w:t>Remote monitoring technologies, such as wearable devices, have also been shown to support adherence and improve outcomes in older populations (</w:t>
      </w:r>
      <w:proofErr w:type="spellStart"/>
      <w:r w:rsidRPr="00832F99">
        <w:rPr>
          <w:rStyle w:val="Strong"/>
          <w:rFonts w:ascii="Arial" w:hAnsi="Arial" w:cs="Arial"/>
          <w:b w:val="0"/>
          <w:bCs w:val="0"/>
          <w:color w:val="000000" w:themeColor="text1"/>
          <w:sz w:val="22"/>
          <w:szCs w:val="22"/>
        </w:rPr>
        <w:t>Worringham</w:t>
      </w:r>
      <w:proofErr w:type="spellEnd"/>
      <w:r w:rsidRPr="00832F99">
        <w:rPr>
          <w:rStyle w:val="Strong"/>
          <w:rFonts w:ascii="Arial" w:hAnsi="Arial" w:cs="Arial"/>
          <w:b w:val="0"/>
          <w:bCs w:val="0"/>
          <w:color w:val="000000" w:themeColor="text1"/>
          <w:sz w:val="22"/>
          <w:szCs w:val="22"/>
        </w:rPr>
        <w:t xml:space="preserve"> et al., 2020).</w:t>
      </w:r>
    </w:p>
    <w:p w14:paraId="49EDBC61" w14:textId="77777777" w:rsidR="00D15E99" w:rsidRPr="00832F99" w:rsidRDefault="00D15E99" w:rsidP="00832F99">
      <w:pPr>
        <w:pStyle w:val="NormalWeb"/>
        <w:jc w:val="both"/>
        <w:rPr>
          <w:rFonts w:ascii="Arial" w:hAnsi="Arial" w:cs="Arial"/>
          <w:color w:val="000000" w:themeColor="text1"/>
          <w:sz w:val="22"/>
          <w:szCs w:val="22"/>
        </w:rPr>
      </w:pPr>
    </w:p>
    <w:p w14:paraId="43417AB5" w14:textId="3F472FEB" w:rsidR="0032143E" w:rsidRPr="00832F99" w:rsidRDefault="0032143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Chapter summary</w:t>
      </w:r>
    </w:p>
    <w:p w14:paraId="6CE14F31" w14:textId="3F6E331E" w:rsidR="00441D6E" w:rsidRPr="00832F99" w:rsidRDefault="00441D6E"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literature reviewed in this chapter demonstrates that cardiovascular disease remains a major global and national public health challenge, particularly among older adults who experience higher levels of multimorbidity, frailty, and recurrent hospitalisation. Despite advances in acute cardiac care, the long</w:t>
      </w:r>
      <w:r w:rsidRPr="00832F99">
        <w:rPr>
          <w:rFonts w:ascii="Arial" w:hAnsi="Arial" w:cs="Arial"/>
          <w:color w:val="000000" w:themeColor="text1"/>
          <w:sz w:val="22"/>
          <w:szCs w:val="22"/>
        </w:rPr>
        <w:noBreakHyphen/>
        <w:t xml:space="preserve">term burden of CVD continues to rise, reinforcing the need for effective secondary prevention strategies. Cardiac rehabilitation has consistently been shown to reduce hospital readmissions, improve functional capacity, and enhance </w:t>
      </w:r>
      <w:r w:rsidRPr="00832F99">
        <w:rPr>
          <w:rFonts w:ascii="Arial" w:hAnsi="Arial" w:cs="Arial"/>
          <w:color w:val="000000" w:themeColor="text1"/>
          <w:sz w:val="22"/>
          <w:szCs w:val="22"/>
        </w:rPr>
        <w:lastRenderedPageBreak/>
        <w:t>psychological wellbeing, with strong evidence supporting its role as a core component of post</w:t>
      </w:r>
      <w:r w:rsidRPr="00832F99">
        <w:rPr>
          <w:rFonts w:ascii="Arial" w:hAnsi="Arial" w:cs="Arial"/>
          <w:color w:val="000000" w:themeColor="text1"/>
          <w:sz w:val="22"/>
          <w:szCs w:val="22"/>
        </w:rPr>
        <w:noBreakHyphen/>
        <w:t>cardiac event recovery. However, the chapter also highlights persistent inequalities in CR participation and completion, particularly among socioeconomically deprived and ethnic minority populations, who face multiple structural, cultural, and logistical barriers to engagement. These disparities limit the overall effectiveness of CR and contribute to poorer long</w:t>
      </w:r>
      <w:r w:rsidRPr="00832F99">
        <w:rPr>
          <w:rFonts w:ascii="Arial" w:hAnsi="Arial" w:cs="Arial"/>
          <w:color w:val="000000" w:themeColor="text1"/>
          <w:sz w:val="22"/>
          <w:szCs w:val="22"/>
        </w:rPr>
        <w:noBreakHyphen/>
        <w:t>term outcomes for disadvantaged groups. Collectively, the evidence underscores the importance of improving CR accessibility, tailoring interventions to diverse patient needs, and addressing the social determinants that shape engagement and recovery. These gaps in participation and outcomes form the basis for the present study, which seeks to explore how socioeconomic and ethnic inequalities influence CR uptake and hospital readmission among adults aged 55 years and over in England.</w:t>
      </w:r>
    </w:p>
    <w:p w14:paraId="38490EA1" w14:textId="4F71218C" w:rsidR="00646C39" w:rsidRPr="00832F99" w:rsidRDefault="00646C3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Although CR is effective, significant inequalities persist in participation and outcomes. Existing literature highlights gaps in understanding how ethnicity, socioeconomic status, and age intersect to influence CR engagement. </w:t>
      </w:r>
      <w:r w:rsidRPr="00832F99">
        <w:rPr>
          <w:rStyle w:val="Strong"/>
          <w:rFonts w:ascii="Arial" w:hAnsi="Arial" w:cs="Arial"/>
          <w:b w:val="0"/>
          <w:bCs w:val="0"/>
          <w:color w:val="000000" w:themeColor="text1"/>
          <w:sz w:val="22"/>
          <w:szCs w:val="22"/>
        </w:rPr>
        <w:t>There is also limited research exploring digital inequalities and their impact on CR access among older adults (Hale et al., 2022).</w:t>
      </w:r>
    </w:p>
    <w:p w14:paraId="01ABD64E" w14:textId="65C31B58" w:rsidR="00646C39" w:rsidRPr="00832F99" w:rsidRDefault="00646C3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These gaps justify the need for a systematic review focusing on older adults in England, with attention to ethnic and socioeconomic disparities</w:t>
      </w:r>
    </w:p>
    <w:p w14:paraId="50F33EAE" w14:textId="77777777" w:rsidR="00C40B32" w:rsidRPr="00832F99" w:rsidRDefault="00C40B32" w:rsidP="00832F99">
      <w:pPr>
        <w:jc w:val="both"/>
        <w:rPr>
          <w:rFonts w:ascii="Arial" w:hAnsi="Arial" w:cs="Arial"/>
          <w:color w:val="000000" w:themeColor="text1"/>
        </w:rPr>
      </w:pPr>
    </w:p>
    <w:p w14:paraId="270E1548" w14:textId="77777777" w:rsidR="00C40B32" w:rsidRPr="00832F99" w:rsidRDefault="00C40B32" w:rsidP="00832F99">
      <w:pPr>
        <w:jc w:val="both"/>
        <w:rPr>
          <w:rFonts w:ascii="Arial" w:hAnsi="Arial" w:cs="Arial"/>
          <w:color w:val="000000" w:themeColor="text1"/>
        </w:rPr>
      </w:pPr>
    </w:p>
    <w:p w14:paraId="2D5A3587" w14:textId="77777777" w:rsidR="00C40B32" w:rsidRPr="00832F99" w:rsidRDefault="00C40B32" w:rsidP="00832F99">
      <w:pPr>
        <w:jc w:val="both"/>
        <w:rPr>
          <w:rFonts w:ascii="Arial" w:hAnsi="Arial" w:cs="Arial"/>
          <w:color w:val="000000" w:themeColor="text1"/>
        </w:rPr>
      </w:pPr>
    </w:p>
    <w:p w14:paraId="1EC0B50B" w14:textId="77777777" w:rsidR="00C40B32" w:rsidRPr="00832F99" w:rsidRDefault="00C40B32" w:rsidP="00832F99">
      <w:pPr>
        <w:jc w:val="both"/>
        <w:rPr>
          <w:rFonts w:ascii="Arial" w:hAnsi="Arial" w:cs="Arial"/>
          <w:color w:val="000000" w:themeColor="text1"/>
        </w:rPr>
      </w:pPr>
    </w:p>
    <w:p w14:paraId="098E0232" w14:textId="77777777" w:rsidR="00C40B32" w:rsidRPr="00832F99" w:rsidRDefault="00C40B32" w:rsidP="00832F99">
      <w:pPr>
        <w:jc w:val="both"/>
        <w:rPr>
          <w:rFonts w:ascii="Arial" w:hAnsi="Arial" w:cs="Arial"/>
          <w:color w:val="000000" w:themeColor="text1"/>
        </w:rPr>
      </w:pPr>
    </w:p>
    <w:p w14:paraId="49EB1F85" w14:textId="77777777" w:rsidR="00C40B32" w:rsidRPr="00832F99" w:rsidRDefault="00C40B32" w:rsidP="00832F99">
      <w:pPr>
        <w:jc w:val="both"/>
        <w:rPr>
          <w:rFonts w:ascii="Arial" w:hAnsi="Arial" w:cs="Arial"/>
          <w:color w:val="000000" w:themeColor="text1"/>
        </w:rPr>
      </w:pPr>
    </w:p>
    <w:p w14:paraId="16ECEF64" w14:textId="77777777" w:rsidR="00C40B32" w:rsidRPr="00832F99" w:rsidRDefault="00C40B32" w:rsidP="00832F99">
      <w:pPr>
        <w:jc w:val="both"/>
        <w:rPr>
          <w:rFonts w:ascii="Arial" w:hAnsi="Arial" w:cs="Arial"/>
          <w:color w:val="000000" w:themeColor="text1"/>
        </w:rPr>
      </w:pPr>
    </w:p>
    <w:p w14:paraId="5332830B" w14:textId="77777777" w:rsidR="00441D6E" w:rsidRPr="00832F99" w:rsidRDefault="00441D6E" w:rsidP="00832F99">
      <w:pPr>
        <w:jc w:val="both"/>
        <w:rPr>
          <w:rFonts w:ascii="Arial" w:hAnsi="Arial" w:cs="Arial"/>
          <w:color w:val="000000" w:themeColor="text1"/>
        </w:rPr>
      </w:pPr>
    </w:p>
    <w:p w14:paraId="6FB96C46" w14:textId="77777777" w:rsidR="00441D6E" w:rsidRPr="00832F99" w:rsidRDefault="00441D6E" w:rsidP="00832F99">
      <w:pPr>
        <w:jc w:val="both"/>
        <w:rPr>
          <w:rFonts w:ascii="Arial" w:hAnsi="Arial" w:cs="Arial"/>
          <w:color w:val="000000" w:themeColor="text1"/>
        </w:rPr>
      </w:pPr>
    </w:p>
    <w:p w14:paraId="209E8CD3" w14:textId="77777777" w:rsidR="00441D6E" w:rsidRPr="00832F99" w:rsidRDefault="00441D6E" w:rsidP="00832F99">
      <w:pPr>
        <w:jc w:val="both"/>
        <w:rPr>
          <w:rFonts w:ascii="Arial" w:hAnsi="Arial" w:cs="Arial"/>
          <w:color w:val="000000" w:themeColor="text1"/>
        </w:rPr>
      </w:pPr>
    </w:p>
    <w:p w14:paraId="458C3275" w14:textId="77777777" w:rsidR="00AA4B24" w:rsidRDefault="00AA4B24" w:rsidP="00832F99">
      <w:pPr>
        <w:jc w:val="both"/>
        <w:rPr>
          <w:rFonts w:ascii="Arial" w:hAnsi="Arial" w:cs="Arial"/>
          <w:color w:val="000000" w:themeColor="text1"/>
        </w:rPr>
      </w:pPr>
    </w:p>
    <w:p w14:paraId="61ACDDA4" w14:textId="77777777" w:rsidR="00AA4B24" w:rsidRDefault="00AA4B24" w:rsidP="00832F99">
      <w:pPr>
        <w:jc w:val="both"/>
        <w:rPr>
          <w:rFonts w:ascii="Arial" w:hAnsi="Arial" w:cs="Arial"/>
          <w:color w:val="000000" w:themeColor="text1"/>
        </w:rPr>
      </w:pPr>
    </w:p>
    <w:p w14:paraId="43BA8680" w14:textId="2E788C58" w:rsidR="0006126E" w:rsidRPr="00832F99" w:rsidRDefault="00C40B32" w:rsidP="00832F99">
      <w:pPr>
        <w:jc w:val="both"/>
        <w:rPr>
          <w:rFonts w:ascii="Arial" w:hAnsi="Arial" w:cs="Arial"/>
          <w:color w:val="000000" w:themeColor="text1"/>
        </w:rPr>
      </w:pPr>
      <w:r w:rsidRPr="00832F99">
        <w:rPr>
          <w:rFonts w:ascii="Arial" w:hAnsi="Arial" w:cs="Arial"/>
          <w:color w:val="000000" w:themeColor="text1"/>
        </w:rPr>
        <w:t xml:space="preserve">Chapter 3 </w:t>
      </w:r>
    </w:p>
    <w:p w14:paraId="2D7D454B" w14:textId="77777777" w:rsidR="00C40B32" w:rsidRPr="00832F99" w:rsidRDefault="00C40B32"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3.1 Introduction</w:t>
      </w:r>
    </w:p>
    <w:p w14:paraId="39D81A73"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This chapter presents a comprehensive explanation and justification of the methodological framework adopted for this dissertation, which investigates the effectiveness of cardiac rehabilitation (CR) programmes in reducing hospital readmissions among adults aged 55 years and over in England, with a particular focus on socioeconomic and ethnic inequalities. A rigorous methodology is essential for ensuring that the findings of this dissertation are credible, transparent, and grounded in established academic standards (Creswell &amp; Creswell, 2018). Given the complexity of cardiovascular disease (CVD), the multifaceted nature of CR interventions, and the persistent inequalities in healthcare access, a structured and systematic approach to evidence synthesis is required to address the research question effectively (Greenhalgh, 2019).</w:t>
      </w:r>
    </w:p>
    <w:p w14:paraId="327B7D34"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lastRenderedPageBreak/>
        <w:t>The methodological choices made in this study are informed by the need to integrate diverse forms of evidence, including clinical outcomes, epidemiological data, and social determinants of health. Cardiovascular disease remains one of the leading causes of mortality and morbidity globally, and older adults experience disproportionately high rates of recurrent hospital admissions due to multimorbidity, frailty, and reduced physiological resilience (British Heart Foundation, 2023). Cardiac rehabilitation has been widely recognised as a comprehensive secondary prevention intervention that improves functional capacity, enhances quality of life, and reduces the likelihood of future cardiovascular events (Anderson et al., 2016). However, participation in CR programmes remains uneven across population groups, with individuals from socioeconomically deprived communities and ethnic minority backgrounds experiencing lower referral, uptake, and completion rates (Dalal et al., 2015).</w:t>
      </w:r>
    </w:p>
    <w:p w14:paraId="467EFC0C"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Given these disparities, a systematic and structured review of the literature is necessary to critically examine the available evidence and identify patterns, gaps, and inconsistencies. This dissertation therefore adopts a </w:t>
      </w:r>
      <w:r w:rsidRPr="00832F99">
        <w:rPr>
          <w:rStyle w:val="Strong"/>
          <w:rFonts w:ascii="Arial" w:hAnsi="Arial" w:cs="Arial"/>
          <w:color w:val="000000" w:themeColor="text1"/>
          <w:sz w:val="22"/>
          <w:szCs w:val="22"/>
        </w:rPr>
        <w:t>systematic literature review (SLR)</w:t>
      </w:r>
      <w:r w:rsidRPr="00832F99">
        <w:rPr>
          <w:rFonts w:ascii="Arial" w:hAnsi="Arial" w:cs="Arial"/>
          <w:color w:val="000000" w:themeColor="text1"/>
          <w:sz w:val="22"/>
          <w:szCs w:val="22"/>
        </w:rPr>
        <w:t xml:space="preserve"> supported by a </w:t>
      </w:r>
      <w:r w:rsidRPr="00832F99">
        <w:rPr>
          <w:rStyle w:val="Strong"/>
          <w:rFonts w:ascii="Arial" w:hAnsi="Arial" w:cs="Arial"/>
          <w:color w:val="000000" w:themeColor="text1"/>
          <w:sz w:val="22"/>
          <w:szCs w:val="22"/>
        </w:rPr>
        <w:t>narrative thematic synthesis</w:t>
      </w:r>
      <w:r w:rsidRPr="00832F99">
        <w:rPr>
          <w:rFonts w:ascii="Arial" w:hAnsi="Arial" w:cs="Arial"/>
          <w:color w:val="000000" w:themeColor="text1"/>
          <w:sz w:val="22"/>
          <w:szCs w:val="22"/>
        </w:rPr>
        <w:t>. Systematic reviews are widely regarded as one of the highest levels of evidence in healthcare research because they minimise bias through transparent, replicable procedures and allow for the integration of findings across multiple studies (Page et al., 2021). A narrative synthesis is appropriate because the included studies are expected to vary in design, population characteristics, intervention models, and outcome measures, making statistical meta</w:t>
      </w:r>
      <w:r w:rsidRPr="00832F99">
        <w:rPr>
          <w:rFonts w:ascii="Arial" w:hAnsi="Arial" w:cs="Arial"/>
          <w:color w:val="000000" w:themeColor="text1"/>
          <w:sz w:val="22"/>
          <w:szCs w:val="22"/>
        </w:rPr>
        <w:noBreakHyphen/>
        <w:t>analysis unsuitable (Popay et al., 2006).</w:t>
      </w:r>
    </w:p>
    <w:p w14:paraId="10982F21"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This chapter is structured into several key sections. It begins by outlining the research philosophy underpinning the study, followed by a discussion of the research approach, research strategy, and research design. The chapter then details the search strategy, inclusion and exclusion criteria, study selection process, quality appraisal procedures, data extraction methods, and analytical framework. Ethical considerations, reliability and validity, and methodological limitations are also discussed. By providing a transparent and detailed account of the methodological process, this chapter ensures that the study can be replicated, evaluated, and understood within the broader context of public health research (</w:t>
      </w:r>
      <w:proofErr w:type="spellStart"/>
      <w:r w:rsidRPr="00832F99">
        <w:rPr>
          <w:rFonts w:ascii="Arial" w:hAnsi="Arial" w:cs="Arial"/>
          <w:color w:val="000000" w:themeColor="text1"/>
          <w:sz w:val="22"/>
          <w:szCs w:val="22"/>
        </w:rPr>
        <w:t>Aromataris</w:t>
      </w:r>
      <w:proofErr w:type="spellEnd"/>
      <w:r w:rsidRPr="00832F99">
        <w:rPr>
          <w:rFonts w:ascii="Arial" w:hAnsi="Arial" w:cs="Arial"/>
          <w:color w:val="000000" w:themeColor="text1"/>
          <w:sz w:val="22"/>
          <w:szCs w:val="22"/>
        </w:rPr>
        <w:t xml:space="preserve"> &amp; Munn, 2020).</w:t>
      </w:r>
    </w:p>
    <w:p w14:paraId="4F96AA37" w14:textId="77777777" w:rsidR="007904C9" w:rsidRPr="00832F99" w:rsidRDefault="007904C9" w:rsidP="00832F99">
      <w:pPr>
        <w:pStyle w:val="NormalWeb"/>
        <w:jc w:val="both"/>
        <w:rPr>
          <w:rFonts w:ascii="Arial" w:hAnsi="Arial" w:cs="Arial"/>
          <w:color w:val="000000" w:themeColor="text1"/>
          <w:sz w:val="22"/>
          <w:szCs w:val="22"/>
        </w:rPr>
      </w:pPr>
    </w:p>
    <w:p w14:paraId="5C8A7034" w14:textId="38B4B952" w:rsidR="00C40B32" w:rsidRPr="00832F99" w:rsidRDefault="00C40B32"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3.</w:t>
      </w:r>
      <w:r w:rsidR="00AA4B24">
        <w:rPr>
          <w:rStyle w:val="Strong"/>
          <w:rFonts w:ascii="Arial" w:hAnsi="Arial" w:cs="Arial"/>
          <w:b w:val="0"/>
          <w:bCs w:val="0"/>
          <w:color w:val="000000" w:themeColor="text1"/>
          <w:sz w:val="22"/>
          <w:szCs w:val="22"/>
        </w:rPr>
        <w:t>2</w:t>
      </w:r>
      <w:r w:rsidRPr="00832F99">
        <w:rPr>
          <w:rStyle w:val="Strong"/>
          <w:rFonts w:ascii="Arial" w:hAnsi="Arial" w:cs="Arial"/>
          <w:b w:val="0"/>
          <w:bCs w:val="0"/>
          <w:color w:val="000000" w:themeColor="text1"/>
          <w:sz w:val="22"/>
          <w:szCs w:val="22"/>
        </w:rPr>
        <w:t xml:space="preserve"> Research Approach</w:t>
      </w:r>
    </w:p>
    <w:p w14:paraId="45FF5F38"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The research approach provides the logical structure guiding how the study moves from existing theory to evidence and interpretation. This dissertation adopts a </w:t>
      </w:r>
      <w:r w:rsidRPr="00832F99">
        <w:rPr>
          <w:rStyle w:val="Strong"/>
          <w:rFonts w:ascii="Arial" w:hAnsi="Arial" w:cs="Arial"/>
          <w:color w:val="000000" w:themeColor="text1"/>
          <w:sz w:val="22"/>
          <w:szCs w:val="22"/>
        </w:rPr>
        <w:t>deductive research approach</w:t>
      </w:r>
      <w:r w:rsidRPr="00832F99">
        <w:rPr>
          <w:rFonts w:ascii="Arial" w:hAnsi="Arial" w:cs="Arial"/>
          <w:color w:val="000000" w:themeColor="text1"/>
          <w:sz w:val="22"/>
          <w:szCs w:val="22"/>
        </w:rPr>
        <w:t>, which begins with established theories and empirical findings and then examines whether the available evidence supports these assumptions (Saunders, Lewis &amp; Thornhill, 2023). Deductive reasoning is appropriate because substantial literature already exists on cardiac rehabilitation (CR), hospital readmissions, and health inequalities, allowing the study to test whether current evidence aligns with theoretical expectations (Bryman, 2016).</w:t>
      </w:r>
    </w:p>
    <w:p w14:paraId="70F4C97F"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deductive approach is particularly suitable for this dissertation because the research question is grounded in well</w:t>
      </w:r>
      <w:r w:rsidRPr="00832F99">
        <w:rPr>
          <w:rFonts w:ascii="Arial" w:hAnsi="Arial" w:cs="Arial"/>
          <w:color w:val="000000" w:themeColor="text1"/>
          <w:sz w:val="22"/>
          <w:szCs w:val="22"/>
        </w:rPr>
        <w:noBreakHyphen/>
        <w:t>established concepts. For example, previous studies consistently show that CR improves cardiovascular outcomes, enhances functional capacity, and reduces the likelihood of recurrent hospital admissions (Anderson et al., 2016). Similarly, extensive public health research demonstrates that socioeconomic deprivation and ethnicity influence access to healthcare services and shape long</w:t>
      </w:r>
      <w:r w:rsidRPr="00832F99">
        <w:rPr>
          <w:rFonts w:ascii="Arial" w:hAnsi="Arial" w:cs="Arial"/>
          <w:color w:val="000000" w:themeColor="text1"/>
          <w:sz w:val="22"/>
          <w:szCs w:val="22"/>
        </w:rPr>
        <w:noBreakHyphen/>
        <w:t>term health outcomes (Marmot et al., 2020). By synthesising existing evidence, this study evaluates whether these established patterns hold true for adults aged 55 years and over in England.</w:t>
      </w:r>
    </w:p>
    <w:p w14:paraId="79E30B63"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lastRenderedPageBreak/>
        <w:t xml:space="preserve">The deductive approach is also aligned with the theoretical frameworks underpinning this dissertation. The </w:t>
      </w:r>
      <w:r w:rsidRPr="00832F99">
        <w:rPr>
          <w:rStyle w:val="Strong"/>
          <w:rFonts w:ascii="Arial" w:hAnsi="Arial" w:cs="Arial"/>
          <w:color w:val="000000" w:themeColor="text1"/>
          <w:sz w:val="22"/>
          <w:szCs w:val="22"/>
        </w:rPr>
        <w:t>Social Determinants of Health model</w:t>
      </w:r>
      <w:r w:rsidRPr="00832F99">
        <w:rPr>
          <w:rFonts w:ascii="Arial" w:hAnsi="Arial" w:cs="Arial"/>
          <w:color w:val="000000" w:themeColor="text1"/>
          <w:sz w:val="22"/>
          <w:szCs w:val="22"/>
        </w:rPr>
        <w:t xml:space="preserve"> highlights how socioeconomic conditions influence health behaviours and outcomes, providing a basis for examining inequalities in CR participation (WHO, 2023). Meanwhile, the </w:t>
      </w:r>
      <w:r w:rsidRPr="00832F99">
        <w:rPr>
          <w:rStyle w:val="Strong"/>
          <w:rFonts w:ascii="Arial" w:hAnsi="Arial" w:cs="Arial"/>
          <w:color w:val="000000" w:themeColor="text1"/>
          <w:sz w:val="22"/>
          <w:szCs w:val="22"/>
        </w:rPr>
        <w:t>Health Belief Model</w:t>
      </w:r>
      <w:r w:rsidRPr="00832F99">
        <w:rPr>
          <w:rFonts w:ascii="Arial" w:hAnsi="Arial" w:cs="Arial"/>
          <w:color w:val="000000" w:themeColor="text1"/>
          <w:sz w:val="22"/>
          <w:szCs w:val="22"/>
        </w:rPr>
        <w:t xml:space="preserve"> explains how individual perceptions of risk, benefits, and barriers influence engagement with health interventions such as CR (Rosenstock, </w:t>
      </w:r>
      <w:proofErr w:type="spellStart"/>
      <w:r w:rsidRPr="00832F99">
        <w:rPr>
          <w:rFonts w:ascii="Arial" w:hAnsi="Arial" w:cs="Arial"/>
          <w:color w:val="000000" w:themeColor="text1"/>
          <w:sz w:val="22"/>
          <w:szCs w:val="22"/>
        </w:rPr>
        <w:t>Strecher</w:t>
      </w:r>
      <w:proofErr w:type="spellEnd"/>
      <w:r w:rsidRPr="00832F99">
        <w:rPr>
          <w:rFonts w:ascii="Arial" w:hAnsi="Arial" w:cs="Arial"/>
          <w:color w:val="000000" w:themeColor="text1"/>
          <w:sz w:val="22"/>
          <w:szCs w:val="22"/>
        </w:rPr>
        <w:t xml:space="preserve"> &amp; Becker, 1988). These frameworks guide the interpretation of findings and help explain variations in programme uptake and outcomes.</w:t>
      </w:r>
    </w:p>
    <w:p w14:paraId="1638D7B8"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Although the study is primarily deductive, it also incorporates limited inductive elements during the thematic synthesis. As patterns emerge across studies, the researcher interprets how contextual factors—such as cultural beliefs, language barriers, and healthcare accessibility—shape CR participation among different population groups (Creswell &amp; Creswell, 2018). However, these insights are used to deepen understanding rather than generate new theory.</w:t>
      </w:r>
    </w:p>
    <w:p w14:paraId="1DB85FF9"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Overall, the deductive approach provides a coherent and appropriate foundation for this dissertation because it supports the systematic evaluation of existing evidence and aligns with the structured nature of a systematic literature review.</w:t>
      </w:r>
    </w:p>
    <w:p w14:paraId="45469ACA" w14:textId="54171BA5" w:rsidR="00C40B32" w:rsidRPr="00832F99" w:rsidRDefault="00C40B32"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3.</w:t>
      </w:r>
      <w:r w:rsidR="00AA4B24">
        <w:rPr>
          <w:rStyle w:val="Strong"/>
          <w:rFonts w:ascii="Arial" w:hAnsi="Arial" w:cs="Arial"/>
          <w:b w:val="0"/>
          <w:bCs w:val="0"/>
          <w:color w:val="000000" w:themeColor="text1"/>
          <w:sz w:val="22"/>
          <w:szCs w:val="22"/>
        </w:rPr>
        <w:t xml:space="preserve">3 </w:t>
      </w:r>
      <w:r w:rsidRPr="00832F99">
        <w:rPr>
          <w:rStyle w:val="Strong"/>
          <w:rFonts w:ascii="Arial" w:hAnsi="Arial" w:cs="Arial"/>
          <w:b w:val="0"/>
          <w:bCs w:val="0"/>
          <w:color w:val="000000" w:themeColor="text1"/>
          <w:sz w:val="22"/>
          <w:szCs w:val="22"/>
        </w:rPr>
        <w:t>Research Strategy</w:t>
      </w:r>
    </w:p>
    <w:p w14:paraId="40AD0E3A"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A </w:t>
      </w:r>
      <w:r w:rsidRPr="00832F99">
        <w:rPr>
          <w:rStyle w:val="Strong"/>
          <w:rFonts w:ascii="Arial" w:hAnsi="Arial" w:cs="Arial"/>
          <w:color w:val="000000" w:themeColor="text1"/>
          <w:sz w:val="22"/>
          <w:szCs w:val="22"/>
        </w:rPr>
        <w:t>systematic literature review (SLR)</w:t>
      </w:r>
      <w:r w:rsidRPr="00832F99">
        <w:rPr>
          <w:rFonts w:ascii="Arial" w:hAnsi="Arial" w:cs="Arial"/>
          <w:color w:val="000000" w:themeColor="text1"/>
          <w:sz w:val="22"/>
          <w:szCs w:val="22"/>
        </w:rPr>
        <w:t xml:space="preserve"> was adopted as the research strategy for this dissertation. Systematic reviews are widely recognised as one of the highest levels of evidence in healthcare research because they use transparent, replicable, and rigorous procedures to identify, appraise, and synthesise existing studies (</w:t>
      </w:r>
      <w:proofErr w:type="spellStart"/>
      <w:r w:rsidRPr="00832F99">
        <w:rPr>
          <w:rFonts w:ascii="Arial" w:hAnsi="Arial" w:cs="Arial"/>
          <w:color w:val="000000" w:themeColor="text1"/>
          <w:sz w:val="22"/>
          <w:szCs w:val="22"/>
        </w:rPr>
        <w:t>Aromataris</w:t>
      </w:r>
      <w:proofErr w:type="spellEnd"/>
      <w:r w:rsidRPr="00832F99">
        <w:rPr>
          <w:rFonts w:ascii="Arial" w:hAnsi="Arial" w:cs="Arial"/>
          <w:color w:val="000000" w:themeColor="text1"/>
          <w:sz w:val="22"/>
          <w:szCs w:val="22"/>
        </w:rPr>
        <w:t xml:space="preserve"> &amp; Munn, 2020). This strategy is particularly appropriate for the present study because CR effectiveness has been extensively researched, yet findings vary across populations, programme designs, and healthcare settings (Taylor et al., 2019).</w:t>
      </w:r>
    </w:p>
    <w:p w14:paraId="4A078E8D"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Unlike narrative reviews, which may be influenced by subjective interpretation, systematic reviews follow predefined protocols that minimise bias and enhance reliability (Booth, Sutton &amp; Papaioannou, 2021). The review process in this dissertation was guided by the </w:t>
      </w:r>
      <w:r w:rsidRPr="00832F99">
        <w:rPr>
          <w:rStyle w:val="Strong"/>
          <w:rFonts w:ascii="Arial" w:hAnsi="Arial" w:cs="Arial"/>
          <w:color w:val="000000" w:themeColor="text1"/>
          <w:sz w:val="22"/>
          <w:szCs w:val="22"/>
        </w:rPr>
        <w:t>PRISMA 2020 framework</w:t>
      </w:r>
      <w:r w:rsidRPr="00832F99">
        <w:rPr>
          <w:rFonts w:ascii="Arial" w:hAnsi="Arial" w:cs="Arial"/>
          <w:color w:val="000000" w:themeColor="text1"/>
          <w:sz w:val="22"/>
          <w:szCs w:val="22"/>
        </w:rPr>
        <w:t>, which provides internationally recognised standards for conducting and reporting systematic reviews (Page et al., 2021). PRISMA ensures transparency in documenting each stage of the review, including study identification, screening, eligibility assessment, and final inclusion.</w:t>
      </w:r>
    </w:p>
    <w:p w14:paraId="1EF49C01"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systematic review strategy was selected for several reasons:</w:t>
      </w:r>
    </w:p>
    <w:p w14:paraId="2911919B" w14:textId="77777777" w:rsidR="00C40B32" w:rsidRPr="00832F99" w:rsidRDefault="00C40B32" w:rsidP="00832F99">
      <w:pPr>
        <w:pStyle w:val="NormalWeb"/>
        <w:numPr>
          <w:ilvl w:val="0"/>
          <w:numId w:val="5"/>
        </w:numPr>
        <w:jc w:val="both"/>
        <w:rPr>
          <w:rFonts w:ascii="Arial" w:hAnsi="Arial" w:cs="Arial"/>
          <w:color w:val="000000" w:themeColor="text1"/>
          <w:sz w:val="22"/>
          <w:szCs w:val="22"/>
        </w:rPr>
      </w:pPr>
      <w:r w:rsidRPr="00832F99">
        <w:rPr>
          <w:rStyle w:val="Strong"/>
          <w:rFonts w:ascii="Arial" w:hAnsi="Arial" w:cs="Arial"/>
          <w:color w:val="000000" w:themeColor="text1"/>
          <w:sz w:val="22"/>
          <w:szCs w:val="22"/>
        </w:rPr>
        <w:t>CR is a complex intervention</w:t>
      </w:r>
      <w:r w:rsidRPr="00832F99">
        <w:rPr>
          <w:rFonts w:ascii="Arial" w:hAnsi="Arial" w:cs="Arial"/>
          <w:color w:val="000000" w:themeColor="text1"/>
          <w:sz w:val="22"/>
          <w:szCs w:val="22"/>
        </w:rPr>
        <w:t>, and evidence is dispersed across clinical trials, cohort studies, observational research, and national audits.</w:t>
      </w:r>
    </w:p>
    <w:p w14:paraId="220BA67A" w14:textId="77777777" w:rsidR="00C40B32" w:rsidRPr="00832F99" w:rsidRDefault="00C40B32" w:rsidP="00832F99">
      <w:pPr>
        <w:pStyle w:val="NormalWeb"/>
        <w:numPr>
          <w:ilvl w:val="0"/>
          <w:numId w:val="5"/>
        </w:numPr>
        <w:jc w:val="both"/>
        <w:rPr>
          <w:rFonts w:ascii="Arial" w:hAnsi="Arial" w:cs="Arial"/>
          <w:color w:val="000000" w:themeColor="text1"/>
          <w:sz w:val="22"/>
          <w:szCs w:val="22"/>
        </w:rPr>
      </w:pPr>
      <w:r w:rsidRPr="00832F99">
        <w:rPr>
          <w:rStyle w:val="Strong"/>
          <w:rFonts w:ascii="Arial" w:hAnsi="Arial" w:cs="Arial"/>
          <w:color w:val="000000" w:themeColor="text1"/>
          <w:sz w:val="22"/>
          <w:szCs w:val="22"/>
        </w:rPr>
        <w:t>Hospital readmissions are influenced by multiple factors</w:t>
      </w:r>
      <w:r w:rsidRPr="00832F99">
        <w:rPr>
          <w:rFonts w:ascii="Arial" w:hAnsi="Arial" w:cs="Arial"/>
          <w:color w:val="000000" w:themeColor="text1"/>
          <w:sz w:val="22"/>
          <w:szCs w:val="22"/>
        </w:rPr>
        <w:t>, including comorbidities, socioeconomic status, and ethnicity, requiring synthesis of diverse evidence sources.</w:t>
      </w:r>
    </w:p>
    <w:p w14:paraId="33FE4E85" w14:textId="77777777" w:rsidR="00C40B32" w:rsidRPr="00832F99" w:rsidRDefault="00C40B32" w:rsidP="00832F99">
      <w:pPr>
        <w:pStyle w:val="NormalWeb"/>
        <w:numPr>
          <w:ilvl w:val="0"/>
          <w:numId w:val="5"/>
        </w:numPr>
        <w:jc w:val="both"/>
        <w:rPr>
          <w:rFonts w:ascii="Arial" w:hAnsi="Arial" w:cs="Arial"/>
          <w:color w:val="000000" w:themeColor="text1"/>
          <w:sz w:val="22"/>
          <w:szCs w:val="22"/>
        </w:rPr>
      </w:pPr>
      <w:r w:rsidRPr="00832F99">
        <w:rPr>
          <w:rStyle w:val="Strong"/>
          <w:rFonts w:ascii="Arial" w:hAnsi="Arial" w:cs="Arial"/>
          <w:color w:val="000000" w:themeColor="text1"/>
          <w:sz w:val="22"/>
          <w:szCs w:val="22"/>
        </w:rPr>
        <w:t>Inequalities in CR participation</w:t>
      </w:r>
      <w:r w:rsidRPr="00832F99">
        <w:rPr>
          <w:rFonts w:ascii="Arial" w:hAnsi="Arial" w:cs="Arial"/>
          <w:color w:val="000000" w:themeColor="text1"/>
          <w:sz w:val="22"/>
          <w:szCs w:val="22"/>
        </w:rPr>
        <w:t xml:space="preserve"> are shaped by structural, cultural, and behavioural factors that cannot be understood through a single study design.</w:t>
      </w:r>
    </w:p>
    <w:p w14:paraId="3E1700A2" w14:textId="77777777" w:rsidR="00C40B32" w:rsidRPr="00832F99" w:rsidRDefault="00C40B32" w:rsidP="00832F99">
      <w:pPr>
        <w:pStyle w:val="NormalWeb"/>
        <w:numPr>
          <w:ilvl w:val="0"/>
          <w:numId w:val="5"/>
        </w:numPr>
        <w:jc w:val="both"/>
        <w:rPr>
          <w:rFonts w:ascii="Arial" w:hAnsi="Arial" w:cs="Arial"/>
          <w:color w:val="000000" w:themeColor="text1"/>
          <w:sz w:val="22"/>
          <w:szCs w:val="22"/>
        </w:rPr>
      </w:pPr>
      <w:r w:rsidRPr="00832F99">
        <w:rPr>
          <w:rFonts w:ascii="Arial" w:hAnsi="Arial" w:cs="Arial"/>
          <w:color w:val="000000" w:themeColor="text1"/>
          <w:sz w:val="22"/>
          <w:szCs w:val="22"/>
        </w:rPr>
        <w:t xml:space="preserve">A systematic review allows for </w:t>
      </w:r>
      <w:r w:rsidRPr="00832F99">
        <w:rPr>
          <w:rStyle w:val="Strong"/>
          <w:rFonts w:ascii="Arial" w:hAnsi="Arial" w:cs="Arial"/>
          <w:color w:val="000000" w:themeColor="text1"/>
          <w:sz w:val="22"/>
          <w:szCs w:val="22"/>
        </w:rPr>
        <w:t>critical comparison</w:t>
      </w:r>
      <w:r w:rsidRPr="00832F99">
        <w:rPr>
          <w:rFonts w:ascii="Arial" w:hAnsi="Arial" w:cs="Arial"/>
          <w:color w:val="000000" w:themeColor="text1"/>
          <w:sz w:val="22"/>
          <w:szCs w:val="22"/>
        </w:rPr>
        <w:t xml:space="preserve"> of findings and identification of gaps in the evidence base.</w:t>
      </w:r>
    </w:p>
    <w:p w14:paraId="13802929"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strategy involved several key stages:</w:t>
      </w:r>
    </w:p>
    <w:p w14:paraId="36B7C95C" w14:textId="77777777" w:rsidR="00C40B32" w:rsidRPr="00832F99" w:rsidRDefault="00C40B32" w:rsidP="00832F99">
      <w:pPr>
        <w:pStyle w:val="NormalWeb"/>
        <w:numPr>
          <w:ilvl w:val="0"/>
          <w:numId w:val="6"/>
        </w:numPr>
        <w:jc w:val="both"/>
        <w:rPr>
          <w:rFonts w:ascii="Arial" w:hAnsi="Arial" w:cs="Arial"/>
          <w:color w:val="000000" w:themeColor="text1"/>
          <w:sz w:val="22"/>
          <w:szCs w:val="22"/>
        </w:rPr>
      </w:pPr>
      <w:r w:rsidRPr="00832F99">
        <w:rPr>
          <w:rFonts w:ascii="Arial" w:hAnsi="Arial" w:cs="Arial"/>
          <w:color w:val="000000" w:themeColor="text1"/>
          <w:sz w:val="22"/>
          <w:szCs w:val="22"/>
        </w:rPr>
        <w:t>developing a comprehensive search strategy</w:t>
      </w:r>
    </w:p>
    <w:p w14:paraId="43B4A27E" w14:textId="77777777" w:rsidR="00C40B32" w:rsidRPr="00832F99" w:rsidRDefault="00C40B32" w:rsidP="00832F99">
      <w:pPr>
        <w:pStyle w:val="NormalWeb"/>
        <w:numPr>
          <w:ilvl w:val="0"/>
          <w:numId w:val="6"/>
        </w:numPr>
        <w:jc w:val="both"/>
        <w:rPr>
          <w:rFonts w:ascii="Arial" w:hAnsi="Arial" w:cs="Arial"/>
          <w:color w:val="000000" w:themeColor="text1"/>
          <w:sz w:val="22"/>
          <w:szCs w:val="22"/>
        </w:rPr>
      </w:pPr>
      <w:r w:rsidRPr="00832F99">
        <w:rPr>
          <w:rFonts w:ascii="Arial" w:hAnsi="Arial" w:cs="Arial"/>
          <w:color w:val="000000" w:themeColor="text1"/>
          <w:sz w:val="22"/>
          <w:szCs w:val="22"/>
        </w:rPr>
        <w:t>identifying relevant studies across multiple databases</w:t>
      </w:r>
    </w:p>
    <w:p w14:paraId="03CA8DF9" w14:textId="77777777" w:rsidR="00C40B32" w:rsidRPr="00832F99" w:rsidRDefault="00C40B32" w:rsidP="00832F99">
      <w:pPr>
        <w:pStyle w:val="NormalWeb"/>
        <w:numPr>
          <w:ilvl w:val="0"/>
          <w:numId w:val="6"/>
        </w:numPr>
        <w:jc w:val="both"/>
        <w:rPr>
          <w:rFonts w:ascii="Arial" w:hAnsi="Arial" w:cs="Arial"/>
          <w:color w:val="000000" w:themeColor="text1"/>
          <w:sz w:val="22"/>
          <w:szCs w:val="22"/>
        </w:rPr>
      </w:pPr>
      <w:r w:rsidRPr="00832F99">
        <w:rPr>
          <w:rFonts w:ascii="Arial" w:hAnsi="Arial" w:cs="Arial"/>
          <w:color w:val="000000" w:themeColor="text1"/>
          <w:sz w:val="22"/>
          <w:szCs w:val="22"/>
        </w:rPr>
        <w:t>applying predefined inclusion and exclusion criteria</w:t>
      </w:r>
    </w:p>
    <w:p w14:paraId="0CB546E7" w14:textId="77777777" w:rsidR="00C40B32" w:rsidRPr="00832F99" w:rsidRDefault="00C40B32" w:rsidP="00832F99">
      <w:pPr>
        <w:pStyle w:val="NormalWeb"/>
        <w:numPr>
          <w:ilvl w:val="0"/>
          <w:numId w:val="6"/>
        </w:numPr>
        <w:jc w:val="both"/>
        <w:rPr>
          <w:rFonts w:ascii="Arial" w:hAnsi="Arial" w:cs="Arial"/>
          <w:color w:val="000000" w:themeColor="text1"/>
          <w:sz w:val="22"/>
          <w:szCs w:val="22"/>
        </w:rPr>
      </w:pPr>
      <w:r w:rsidRPr="00832F99">
        <w:rPr>
          <w:rFonts w:ascii="Arial" w:hAnsi="Arial" w:cs="Arial"/>
          <w:color w:val="000000" w:themeColor="text1"/>
          <w:sz w:val="22"/>
          <w:szCs w:val="22"/>
        </w:rPr>
        <w:t>critically appraising study quality</w:t>
      </w:r>
    </w:p>
    <w:p w14:paraId="216DBD4C" w14:textId="77777777" w:rsidR="00C40B32" w:rsidRPr="00832F99" w:rsidRDefault="00C40B32" w:rsidP="00832F99">
      <w:pPr>
        <w:pStyle w:val="NormalWeb"/>
        <w:numPr>
          <w:ilvl w:val="0"/>
          <w:numId w:val="6"/>
        </w:numPr>
        <w:jc w:val="both"/>
        <w:rPr>
          <w:rFonts w:ascii="Arial" w:hAnsi="Arial" w:cs="Arial"/>
          <w:color w:val="000000" w:themeColor="text1"/>
          <w:sz w:val="22"/>
          <w:szCs w:val="22"/>
        </w:rPr>
      </w:pPr>
      <w:r w:rsidRPr="00832F99">
        <w:rPr>
          <w:rFonts w:ascii="Arial" w:hAnsi="Arial" w:cs="Arial"/>
          <w:color w:val="000000" w:themeColor="text1"/>
          <w:sz w:val="22"/>
          <w:szCs w:val="22"/>
        </w:rPr>
        <w:t>extracting and synthesising findings using a narrative thematic approach</w:t>
      </w:r>
    </w:p>
    <w:p w14:paraId="0A03DAFD"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lastRenderedPageBreak/>
        <w:t>Although systematic reviews offer significant advantages, they also have limitations. The quality of the review depends on the quality of the included studies, and publication bias may influence the available evidence because studies with significant findings are more likely to be published (Booth et al., 2021). Additionally, variations in study design and outcome measures may limit comparability across studies.</w:t>
      </w:r>
    </w:p>
    <w:p w14:paraId="50F4CF3C"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Despite these limitations, the systematic literature review strategy provides a robust and appropriate framework for addressing the research question and generating evidence</w:t>
      </w:r>
      <w:r w:rsidRPr="00832F99">
        <w:rPr>
          <w:rFonts w:ascii="Arial" w:hAnsi="Arial" w:cs="Arial"/>
          <w:color w:val="000000" w:themeColor="text1"/>
          <w:sz w:val="22"/>
          <w:szCs w:val="22"/>
        </w:rPr>
        <w:noBreakHyphen/>
        <w:t>based insights into CR effectiveness and healthcare inequalities among older adults in England.</w:t>
      </w:r>
    </w:p>
    <w:p w14:paraId="706B85CB" w14:textId="3DF11AB8" w:rsidR="00C40B32" w:rsidRPr="00832F99" w:rsidRDefault="00C40B32" w:rsidP="00832F99">
      <w:pPr>
        <w:pStyle w:val="Heading3"/>
        <w:jc w:val="both"/>
        <w:rPr>
          <w:rFonts w:ascii="Arial" w:hAnsi="Arial" w:cs="Arial"/>
          <w:color w:val="000000" w:themeColor="text1"/>
          <w:sz w:val="22"/>
          <w:szCs w:val="22"/>
        </w:rPr>
      </w:pPr>
      <w:proofErr w:type="gramStart"/>
      <w:r w:rsidRPr="00832F99">
        <w:rPr>
          <w:rFonts w:ascii="Arial" w:hAnsi="Arial" w:cs="Arial"/>
          <w:color w:val="000000" w:themeColor="text1"/>
          <w:sz w:val="22"/>
          <w:szCs w:val="22"/>
        </w:rPr>
        <w:t>3.</w:t>
      </w:r>
      <w:r w:rsidR="00AA4B24">
        <w:rPr>
          <w:rFonts w:ascii="Arial" w:hAnsi="Arial" w:cs="Arial"/>
          <w:color w:val="000000" w:themeColor="text1"/>
          <w:sz w:val="22"/>
          <w:szCs w:val="22"/>
        </w:rPr>
        <w:t xml:space="preserve">4  </w:t>
      </w:r>
      <w:r w:rsidRPr="00832F99">
        <w:rPr>
          <w:rFonts w:ascii="Arial" w:hAnsi="Arial" w:cs="Arial"/>
          <w:color w:val="000000" w:themeColor="text1"/>
          <w:sz w:val="22"/>
          <w:szCs w:val="22"/>
        </w:rPr>
        <w:t>Research</w:t>
      </w:r>
      <w:proofErr w:type="gramEnd"/>
      <w:r w:rsidRPr="00832F99">
        <w:rPr>
          <w:rFonts w:ascii="Arial" w:hAnsi="Arial" w:cs="Arial"/>
          <w:color w:val="000000" w:themeColor="text1"/>
          <w:sz w:val="22"/>
          <w:szCs w:val="22"/>
        </w:rPr>
        <w:t xml:space="preserve"> Design</w:t>
      </w:r>
    </w:p>
    <w:p w14:paraId="052D1A03"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Research design refers to the overall structure that guides how a study is conducted, ensuring that the chosen methods align with the research question and objectives (Saunders, Lewis &amp; Thornhill, 2023). This dissertation adopts a </w:t>
      </w:r>
      <w:r w:rsidRPr="00832F99">
        <w:rPr>
          <w:rStyle w:val="Strong"/>
          <w:rFonts w:ascii="Arial" w:hAnsi="Arial" w:cs="Arial"/>
          <w:color w:val="000000" w:themeColor="text1"/>
          <w:sz w:val="22"/>
          <w:szCs w:val="22"/>
        </w:rPr>
        <w:t>systematic literature review (SLR)</w:t>
      </w:r>
      <w:r w:rsidRPr="00832F99">
        <w:rPr>
          <w:rFonts w:ascii="Arial" w:hAnsi="Arial" w:cs="Arial"/>
          <w:color w:val="000000" w:themeColor="text1"/>
          <w:sz w:val="22"/>
          <w:szCs w:val="22"/>
        </w:rPr>
        <w:t xml:space="preserve"> design supported by a </w:t>
      </w:r>
      <w:r w:rsidRPr="00832F99">
        <w:rPr>
          <w:rStyle w:val="Strong"/>
          <w:rFonts w:ascii="Arial" w:hAnsi="Arial" w:cs="Arial"/>
          <w:color w:val="000000" w:themeColor="text1"/>
          <w:sz w:val="22"/>
          <w:szCs w:val="22"/>
        </w:rPr>
        <w:t>narrative synthesis</w:t>
      </w:r>
      <w:r w:rsidRPr="00832F99">
        <w:rPr>
          <w:rFonts w:ascii="Arial" w:hAnsi="Arial" w:cs="Arial"/>
          <w:color w:val="000000" w:themeColor="text1"/>
          <w:sz w:val="22"/>
          <w:szCs w:val="22"/>
        </w:rPr>
        <w:t>. This design is appropriate because the study aims to evaluate existing evidence on the effectiveness of cardiac rehabilitation (CR) programmes in reducing hospital readmissions among adults aged 55 years and over in England, while also exploring how socioeconomic and ethnic inequalities influence participation and outcomes.</w:t>
      </w:r>
    </w:p>
    <w:p w14:paraId="2E4B8C34"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A systematic literature review is particularly suitable because extensive research already exists on CR, cardiovascular disease management, and healthcare inequalities. Conducting primary research on hospital readmissions would require large sample sizes, long follow</w:t>
      </w:r>
      <w:r w:rsidRPr="00832F99">
        <w:rPr>
          <w:rFonts w:ascii="Arial" w:hAnsi="Arial" w:cs="Arial"/>
          <w:color w:val="000000" w:themeColor="text1"/>
          <w:sz w:val="22"/>
          <w:szCs w:val="22"/>
        </w:rPr>
        <w:noBreakHyphen/>
        <w:t>up periods, and ethical approval, which are beyond the scope of this dissertation. Therefore, synthesising existing evidence provides a practical and academically robust method for addressing the research question (</w:t>
      </w:r>
      <w:proofErr w:type="spellStart"/>
      <w:r w:rsidRPr="00832F99">
        <w:rPr>
          <w:rFonts w:ascii="Arial" w:hAnsi="Arial" w:cs="Arial"/>
          <w:color w:val="000000" w:themeColor="text1"/>
          <w:sz w:val="22"/>
          <w:szCs w:val="22"/>
        </w:rPr>
        <w:t>Aromataris</w:t>
      </w:r>
      <w:proofErr w:type="spellEnd"/>
      <w:r w:rsidRPr="00832F99">
        <w:rPr>
          <w:rFonts w:ascii="Arial" w:hAnsi="Arial" w:cs="Arial"/>
          <w:color w:val="000000" w:themeColor="text1"/>
          <w:sz w:val="22"/>
          <w:szCs w:val="22"/>
        </w:rPr>
        <w:t xml:space="preserve"> &amp; Munn, 2020).</w:t>
      </w:r>
    </w:p>
    <w:p w14:paraId="234E79B0"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systematic review design offers several strengths. First, it allows the integration of findings from multiple studies conducted across different healthcare settings, populations, and geographical regions. This enhances the generalisability of the conclusions and provides a more comprehensive understanding of CR effectiveness (Page et al., 2021). Second, the systematic nature of the review reduces bias by using predefined search strategies, eligibility criteria, and quality appraisal tools. This ensures transparency and replicability, which are essential for academic rigour (Booth, Sutton &amp; Papaioannou, 2021).</w:t>
      </w:r>
    </w:p>
    <w:p w14:paraId="149F23C4"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The design also incorporates a </w:t>
      </w:r>
      <w:r w:rsidRPr="00832F99">
        <w:rPr>
          <w:rStyle w:val="Strong"/>
          <w:rFonts w:ascii="Arial" w:hAnsi="Arial" w:cs="Arial"/>
          <w:color w:val="000000" w:themeColor="text1"/>
          <w:sz w:val="22"/>
          <w:szCs w:val="22"/>
        </w:rPr>
        <w:t>narrative synthesis</w:t>
      </w:r>
      <w:r w:rsidRPr="00832F99">
        <w:rPr>
          <w:rFonts w:ascii="Arial" w:hAnsi="Arial" w:cs="Arial"/>
          <w:color w:val="000000" w:themeColor="text1"/>
          <w:sz w:val="22"/>
          <w:szCs w:val="22"/>
        </w:rPr>
        <w:t xml:space="preserve"> approach. Narrative synthesis is appropriate when studies are heterogeneous in terms of design, intervention type, population characteristics, and outcome measures (Popay et al., 2006). In this dissertation, the included studies are expected to vary widely—for example, some may examine supervised hospital</w:t>
      </w:r>
      <w:r w:rsidRPr="00832F99">
        <w:rPr>
          <w:rFonts w:ascii="Arial" w:hAnsi="Arial" w:cs="Arial"/>
          <w:color w:val="000000" w:themeColor="text1"/>
          <w:sz w:val="22"/>
          <w:szCs w:val="22"/>
        </w:rPr>
        <w:noBreakHyphen/>
        <w:t>based CR, while others evaluate home</w:t>
      </w:r>
      <w:r w:rsidRPr="00832F99">
        <w:rPr>
          <w:rFonts w:ascii="Arial" w:hAnsi="Arial" w:cs="Arial"/>
          <w:color w:val="000000" w:themeColor="text1"/>
          <w:sz w:val="22"/>
          <w:szCs w:val="22"/>
        </w:rPr>
        <w:noBreakHyphen/>
        <w:t>based or hybrid models. Similarly, hospital readmission outcomes may be measured at different time points (e.g., 30</w:t>
      </w:r>
      <w:r w:rsidRPr="00832F99">
        <w:rPr>
          <w:rFonts w:ascii="Arial" w:hAnsi="Arial" w:cs="Arial"/>
          <w:color w:val="000000" w:themeColor="text1"/>
          <w:sz w:val="22"/>
          <w:szCs w:val="22"/>
        </w:rPr>
        <w:noBreakHyphen/>
        <w:t>day, 90</w:t>
      </w:r>
      <w:r w:rsidRPr="00832F99">
        <w:rPr>
          <w:rFonts w:ascii="Arial" w:hAnsi="Arial" w:cs="Arial"/>
          <w:color w:val="000000" w:themeColor="text1"/>
          <w:sz w:val="22"/>
          <w:szCs w:val="22"/>
        </w:rPr>
        <w:noBreakHyphen/>
        <w:t>day, 12</w:t>
      </w:r>
      <w:r w:rsidRPr="00832F99">
        <w:rPr>
          <w:rFonts w:ascii="Arial" w:hAnsi="Arial" w:cs="Arial"/>
          <w:color w:val="000000" w:themeColor="text1"/>
          <w:sz w:val="22"/>
          <w:szCs w:val="22"/>
        </w:rPr>
        <w:noBreakHyphen/>
        <w:t>month readmissions). Because of this heterogeneity, a statistical meta</w:t>
      </w:r>
      <w:r w:rsidRPr="00832F99">
        <w:rPr>
          <w:rFonts w:ascii="Arial" w:hAnsi="Arial" w:cs="Arial"/>
          <w:color w:val="000000" w:themeColor="text1"/>
          <w:sz w:val="22"/>
          <w:szCs w:val="22"/>
        </w:rPr>
        <w:noBreakHyphen/>
        <w:t>analysis is not feasible. Narrative synthesis allows the researcher to identify patterns, themes, and relationships across studies while considering contextual factors that influence CR participation and outcomes.</w:t>
      </w:r>
    </w:p>
    <w:p w14:paraId="382BCCFA"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research design is guided by the central research question:</w:t>
      </w:r>
    </w:p>
    <w:p w14:paraId="03636432" w14:textId="77777777" w:rsidR="00C40B32" w:rsidRPr="00832F99" w:rsidRDefault="00C40B32" w:rsidP="00832F99">
      <w:pPr>
        <w:pStyle w:val="NormalWeb"/>
        <w:jc w:val="both"/>
        <w:rPr>
          <w:rFonts w:ascii="Arial" w:hAnsi="Arial" w:cs="Arial"/>
          <w:color w:val="000000" w:themeColor="text1"/>
          <w:sz w:val="22"/>
          <w:szCs w:val="22"/>
        </w:rPr>
      </w:pPr>
      <w:r w:rsidRPr="00832F99">
        <w:rPr>
          <w:rStyle w:val="Strong"/>
          <w:rFonts w:ascii="Arial" w:hAnsi="Arial" w:cs="Arial"/>
          <w:color w:val="000000" w:themeColor="text1"/>
          <w:sz w:val="22"/>
          <w:szCs w:val="22"/>
        </w:rPr>
        <w:t>To what extent does participation in cardiac rehabilitation programmes reduce hospital readmissions among adults aged 55 years and over in England, and how do ethnicity and socioeconomic status influence these outcomes?</w:t>
      </w:r>
    </w:p>
    <w:p w14:paraId="17078FAF"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design also aligns with the study objectives, which include:</w:t>
      </w:r>
    </w:p>
    <w:p w14:paraId="181FE4EC" w14:textId="77777777" w:rsidR="00C40B32" w:rsidRPr="00832F99" w:rsidRDefault="00C40B32" w:rsidP="00832F99">
      <w:pPr>
        <w:pStyle w:val="NormalWeb"/>
        <w:numPr>
          <w:ilvl w:val="0"/>
          <w:numId w:val="7"/>
        </w:numPr>
        <w:jc w:val="both"/>
        <w:rPr>
          <w:rFonts w:ascii="Arial" w:hAnsi="Arial" w:cs="Arial"/>
          <w:color w:val="000000" w:themeColor="text1"/>
          <w:sz w:val="22"/>
          <w:szCs w:val="22"/>
        </w:rPr>
      </w:pPr>
      <w:r w:rsidRPr="00832F99">
        <w:rPr>
          <w:rFonts w:ascii="Arial" w:hAnsi="Arial" w:cs="Arial"/>
          <w:color w:val="000000" w:themeColor="text1"/>
          <w:sz w:val="22"/>
          <w:szCs w:val="22"/>
        </w:rPr>
        <w:lastRenderedPageBreak/>
        <w:t>assessing the impact of CR on hospital readmission rates</w:t>
      </w:r>
    </w:p>
    <w:p w14:paraId="1A9DFBFE" w14:textId="77777777" w:rsidR="00C40B32" w:rsidRPr="00832F99" w:rsidRDefault="00C40B32" w:rsidP="00832F99">
      <w:pPr>
        <w:pStyle w:val="NormalWeb"/>
        <w:numPr>
          <w:ilvl w:val="0"/>
          <w:numId w:val="7"/>
        </w:numPr>
        <w:jc w:val="both"/>
        <w:rPr>
          <w:rFonts w:ascii="Arial" w:hAnsi="Arial" w:cs="Arial"/>
          <w:color w:val="000000" w:themeColor="text1"/>
          <w:sz w:val="22"/>
          <w:szCs w:val="22"/>
        </w:rPr>
      </w:pPr>
      <w:r w:rsidRPr="00832F99">
        <w:rPr>
          <w:rFonts w:ascii="Arial" w:hAnsi="Arial" w:cs="Arial"/>
          <w:color w:val="000000" w:themeColor="text1"/>
          <w:sz w:val="22"/>
          <w:szCs w:val="22"/>
        </w:rPr>
        <w:t>examining differences in CR participation across ethnic groups</w:t>
      </w:r>
    </w:p>
    <w:p w14:paraId="39D8F2FA" w14:textId="77777777" w:rsidR="00C40B32" w:rsidRPr="00832F99" w:rsidRDefault="00C40B32" w:rsidP="00832F99">
      <w:pPr>
        <w:pStyle w:val="NormalWeb"/>
        <w:numPr>
          <w:ilvl w:val="0"/>
          <w:numId w:val="7"/>
        </w:numPr>
        <w:jc w:val="both"/>
        <w:rPr>
          <w:rFonts w:ascii="Arial" w:hAnsi="Arial" w:cs="Arial"/>
          <w:color w:val="000000" w:themeColor="text1"/>
          <w:sz w:val="22"/>
          <w:szCs w:val="22"/>
        </w:rPr>
      </w:pPr>
      <w:r w:rsidRPr="00832F99">
        <w:rPr>
          <w:rFonts w:ascii="Arial" w:hAnsi="Arial" w:cs="Arial"/>
          <w:color w:val="000000" w:themeColor="text1"/>
          <w:sz w:val="22"/>
          <w:szCs w:val="22"/>
        </w:rPr>
        <w:t>evaluating the influence of socioeconomic deprivation</w:t>
      </w:r>
    </w:p>
    <w:p w14:paraId="52EE2108" w14:textId="77777777" w:rsidR="00C40B32" w:rsidRPr="00832F99" w:rsidRDefault="00C40B32" w:rsidP="00832F99">
      <w:pPr>
        <w:pStyle w:val="NormalWeb"/>
        <w:numPr>
          <w:ilvl w:val="0"/>
          <w:numId w:val="7"/>
        </w:numPr>
        <w:jc w:val="both"/>
        <w:rPr>
          <w:rFonts w:ascii="Arial" w:hAnsi="Arial" w:cs="Arial"/>
          <w:color w:val="000000" w:themeColor="text1"/>
          <w:sz w:val="22"/>
          <w:szCs w:val="22"/>
        </w:rPr>
      </w:pPr>
      <w:r w:rsidRPr="00832F99">
        <w:rPr>
          <w:rFonts w:ascii="Arial" w:hAnsi="Arial" w:cs="Arial"/>
          <w:color w:val="000000" w:themeColor="text1"/>
          <w:sz w:val="22"/>
          <w:szCs w:val="22"/>
        </w:rPr>
        <w:t>identifying barriers and facilitators affecting CR engagement</w:t>
      </w:r>
    </w:p>
    <w:p w14:paraId="1476234C"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Although systematic reviews offer significant advantages, they also have limitations. The findings depend on the quality and availability of existing studies, and publication bias may influence the evidence base because studies with significant results are more likely to be published (Higgins et al., 2022). Additionally, variations in study methodologies and outcome measures may limit direct comparisons across studies. Despite these limitations, the systematic review design supported by narrative synthesis provides a robust and appropriate framework for investigating CR effectiveness and healthcare inequalities among older adults in England.</w:t>
      </w:r>
    </w:p>
    <w:p w14:paraId="507CE8A4" w14:textId="77777777" w:rsidR="00C40B32" w:rsidRPr="00832F99" w:rsidRDefault="00C40B32" w:rsidP="00832F99">
      <w:pPr>
        <w:pStyle w:val="NormalWeb"/>
        <w:jc w:val="both"/>
        <w:rPr>
          <w:rFonts w:ascii="Arial" w:hAnsi="Arial" w:cs="Arial"/>
          <w:color w:val="000000" w:themeColor="text1"/>
          <w:sz w:val="22"/>
          <w:szCs w:val="22"/>
        </w:rPr>
      </w:pPr>
    </w:p>
    <w:p w14:paraId="503F8C3B" w14:textId="730F59A8" w:rsidR="00C40B32" w:rsidRPr="00832F99" w:rsidRDefault="00C40B32" w:rsidP="00832F99">
      <w:pPr>
        <w:pStyle w:val="Heading3"/>
        <w:jc w:val="both"/>
        <w:rPr>
          <w:rFonts w:ascii="Arial" w:hAnsi="Arial" w:cs="Arial"/>
          <w:color w:val="000000" w:themeColor="text1"/>
          <w:sz w:val="22"/>
          <w:szCs w:val="22"/>
        </w:rPr>
      </w:pPr>
      <w:r w:rsidRPr="00832F99">
        <w:rPr>
          <w:rFonts w:ascii="Arial" w:hAnsi="Arial" w:cs="Arial"/>
          <w:color w:val="000000" w:themeColor="text1"/>
          <w:sz w:val="22"/>
          <w:szCs w:val="22"/>
        </w:rPr>
        <w:t>3.</w:t>
      </w:r>
      <w:r w:rsidR="00AA4B24">
        <w:rPr>
          <w:rFonts w:ascii="Arial" w:hAnsi="Arial" w:cs="Arial"/>
          <w:color w:val="000000" w:themeColor="text1"/>
          <w:sz w:val="22"/>
          <w:szCs w:val="22"/>
        </w:rPr>
        <w:t>5</w:t>
      </w:r>
      <w:r w:rsidRPr="00832F99">
        <w:rPr>
          <w:rFonts w:ascii="Arial" w:hAnsi="Arial" w:cs="Arial"/>
          <w:color w:val="000000" w:themeColor="text1"/>
          <w:sz w:val="22"/>
          <w:szCs w:val="22"/>
        </w:rPr>
        <w:t>Search Strategy</w:t>
      </w:r>
    </w:p>
    <w:p w14:paraId="30F38DF3"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A structured and systematic search strategy was used to identify relevant literature for this study. The search process was designed to ensure transparency, consistency, and comprehensiveness in identifying evidence relating to cardiac rehabilitation (CR), hospital readmissions, older adults, ethnicity, and socioeconomic inequalities. A well-defined search strategy is essential in systematic literature reviews because it minimises selection bias and ensures that all relevant studies have an opportunity to be identified and assessed (Booth, Sutton and Papaioannou, 2021).</w:t>
      </w:r>
    </w:p>
    <w:p w14:paraId="0A9966F1"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literature search was conducted using several academic databases and healthcare information sources. These databases were selected because they provide access to peer-reviewed journal articles, clinical studies, epidemiological research, healthcare policy documents, and public health reports relevant to cardiovascular disease and rehabilitation. Using multiple databases increased the likelihood of identifying comprehensive and high-quality evidence relating to the research question.</w:t>
      </w:r>
    </w:p>
    <w:p w14:paraId="3A0EDFDA" w14:textId="77777777" w:rsidR="00C40B32" w:rsidRPr="00832F99" w:rsidRDefault="00C40B32" w:rsidP="00832F99">
      <w:pPr>
        <w:pStyle w:val="Heading4"/>
        <w:jc w:val="both"/>
        <w:rPr>
          <w:rFonts w:ascii="Arial" w:hAnsi="Arial" w:cs="Arial"/>
          <w:color w:val="000000" w:themeColor="text1"/>
        </w:rPr>
      </w:pPr>
      <w:r w:rsidRPr="00832F99">
        <w:rPr>
          <w:rFonts w:ascii="Arial" w:hAnsi="Arial" w:cs="Arial"/>
          <w:color w:val="000000" w:themeColor="text1"/>
        </w:rPr>
        <w:t>Table 3.1: Databases Used for Literature Search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0"/>
        <w:gridCol w:w="7056"/>
      </w:tblGrid>
      <w:tr w:rsidR="00832F99" w:rsidRPr="00832F99" w14:paraId="406237E6" w14:textId="77777777" w:rsidTr="005F0AE2">
        <w:trPr>
          <w:tblHeader/>
          <w:tblCellSpacing w:w="15" w:type="dxa"/>
        </w:trPr>
        <w:tc>
          <w:tcPr>
            <w:tcW w:w="0" w:type="auto"/>
            <w:vAlign w:val="center"/>
            <w:hideMark/>
          </w:tcPr>
          <w:p w14:paraId="31574E5A" w14:textId="77777777" w:rsidR="005F0AE2" w:rsidRPr="00832F99" w:rsidRDefault="005F0AE2"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Database / Source</w:t>
            </w:r>
          </w:p>
        </w:tc>
        <w:tc>
          <w:tcPr>
            <w:tcW w:w="0" w:type="auto"/>
            <w:vAlign w:val="center"/>
            <w:hideMark/>
          </w:tcPr>
          <w:p w14:paraId="7D65AB1B" w14:textId="77777777" w:rsidR="005F0AE2" w:rsidRPr="00832F99" w:rsidRDefault="005F0AE2"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Purpose</w:t>
            </w:r>
          </w:p>
        </w:tc>
      </w:tr>
      <w:tr w:rsidR="00832F99" w:rsidRPr="00832F99" w14:paraId="06B7B76E" w14:textId="77777777" w:rsidTr="005F0AE2">
        <w:trPr>
          <w:tblCellSpacing w:w="15" w:type="dxa"/>
        </w:trPr>
        <w:tc>
          <w:tcPr>
            <w:tcW w:w="0" w:type="auto"/>
            <w:vAlign w:val="center"/>
            <w:hideMark/>
          </w:tcPr>
          <w:p w14:paraId="13074D98" w14:textId="77777777" w:rsidR="005F0AE2" w:rsidRPr="00832F99" w:rsidRDefault="005F0AE2"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MEDLINE (via PubMed)</w:t>
            </w:r>
          </w:p>
        </w:tc>
        <w:tc>
          <w:tcPr>
            <w:tcW w:w="0" w:type="auto"/>
            <w:vAlign w:val="center"/>
            <w:hideMark/>
          </w:tcPr>
          <w:p w14:paraId="1A388E4C" w14:textId="77777777" w:rsidR="005F0AE2" w:rsidRPr="00832F99" w:rsidRDefault="005F0AE2"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access biomedical, clinical, and cardiovascular research articles.</w:t>
            </w:r>
          </w:p>
        </w:tc>
      </w:tr>
      <w:tr w:rsidR="00832F99" w:rsidRPr="00832F99" w14:paraId="6F420902" w14:textId="77777777" w:rsidTr="005F0AE2">
        <w:trPr>
          <w:tblCellSpacing w:w="15" w:type="dxa"/>
        </w:trPr>
        <w:tc>
          <w:tcPr>
            <w:tcW w:w="0" w:type="auto"/>
            <w:vAlign w:val="center"/>
            <w:hideMark/>
          </w:tcPr>
          <w:p w14:paraId="5104A4D1" w14:textId="77777777" w:rsidR="005F0AE2" w:rsidRPr="00832F99" w:rsidRDefault="005F0AE2"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Google Scholar</w:t>
            </w:r>
          </w:p>
        </w:tc>
        <w:tc>
          <w:tcPr>
            <w:tcW w:w="0" w:type="auto"/>
            <w:vAlign w:val="center"/>
            <w:hideMark/>
          </w:tcPr>
          <w:p w14:paraId="3A33C60F" w14:textId="77777777" w:rsidR="005F0AE2" w:rsidRPr="00832F99" w:rsidRDefault="005F0AE2"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identify broader academic literature, grey literature, and non</w:t>
            </w:r>
            <w:r w:rsidRPr="00832F99">
              <w:rPr>
                <w:rFonts w:ascii="Arial" w:eastAsia="Times New Roman" w:hAnsi="Arial" w:cs="Arial"/>
                <w:color w:val="000000" w:themeColor="text1"/>
                <w:lang w:eastAsia="en-IN"/>
              </w:rPr>
              <w:noBreakHyphen/>
              <w:t>indexed studies.</w:t>
            </w:r>
          </w:p>
        </w:tc>
      </w:tr>
      <w:tr w:rsidR="00832F99" w:rsidRPr="00832F99" w14:paraId="5E054494" w14:textId="77777777" w:rsidTr="005F0AE2">
        <w:trPr>
          <w:tblCellSpacing w:w="15" w:type="dxa"/>
        </w:trPr>
        <w:tc>
          <w:tcPr>
            <w:tcW w:w="0" w:type="auto"/>
            <w:vAlign w:val="center"/>
            <w:hideMark/>
          </w:tcPr>
          <w:p w14:paraId="53609094" w14:textId="77777777" w:rsidR="005F0AE2" w:rsidRPr="00832F99" w:rsidRDefault="005F0AE2"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CINAHL</w:t>
            </w:r>
          </w:p>
        </w:tc>
        <w:tc>
          <w:tcPr>
            <w:tcW w:w="0" w:type="auto"/>
            <w:vAlign w:val="center"/>
            <w:hideMark/>
          </w:tcPr>
          <w:p w14:paraId="3A976B89" w14:textId="77777777" w:rsidR="005F0AE2" w:rsidRPr="00832F99" w:rsidRDefault="005F0AE2"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access nursing, rehabilitation, and allied health research.</w:t>
            </w:r>
          </w:p>
        </w:tc>
      </w:tr>
      <w:tr w:rsidR="00832F99" w:rsidRPr="00832F99" w14:paraId="0621F966" w14:textId="77777777" w:rsidTr="005F0AE2">
        <w:trPr>
          <w:tblCellSpacing w:w="15" w:type="dxa"/>
        </w:trPr>
        <w:tc>
          <w:tcPr>
            <w:tcW w:w="0" w:type="auto"/>
            <w:vAlign w:val="center"/>
            <w:hideMark/>
          </w:tcPr>
          <w:p w14:paraId="0B24CB7E" w14:textId="77777777" w:rsidR="005F0AE2" w:rsidRPr="00832F99" w:rsidRDefault="005F0AE2"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Cochrane Library</w:t>
            </w:r>
          </w:p>
        </w:tc>
        <w:tc>
          <w:tcPr>
            <w:tcW w:w="0" w:type="auto"/>
            <w:vAlign w:val="center"/>
            <w:hideMark/>
          </w:tcPr>
          <w:p w14:paraId="1D9F5F91" w14:textId="77777777" w:rsidR="005F0AE2" w:rsidRPr="00832F99" w:rsidRDefault="005F0AE2"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review systematic reviews, RCTs, and evidence</w:t>
            </w:r>
            <w:r w:rsidRPr="00832F99">
              <w:rPr>
                <w:rFonts w:ascii="Arial" w:eastAsia="Times New Roman" w:hAnsi="Arial" w:cs="Arial"/>
                <w:color w:val="000000" w:themeColor="text1"/>
                <w:lang w:eastAsia="en-IN"/>
              </w:rPr>
              <w:noBreakHyphen/>
              <w:t>based interventions.</w:t>
            </w:r>
          </w:p>
        </w:tc>
      </w:tr>
      <w:tr w:rsidR="00832F99" w:rsidRPr="00832F99" w14:paraId="7B2CDFAA" w14:textId="77777777" w:rsidTr="005F0AE2">
        <w:trPr>
          <w:tblCellSpacing w:w="15" w:type="dxa"/>
        </w:trPr>
        <w:tc>
          <w:tcPr>
            <w:tcW w:w="0" w:type="auto"/>
            <w:vAlign w:val="center"/>
            <w:hideMark/>
          </w:tcPr>
          <w:p w14:paraId="6069689D" w14:textId="77777777" w:rsidR="005F0AE2" w:rsidRPr="00832F99" w:rsidRDefault="005F0AE2"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Scopus</w:t>
            </w:r>
          </w:p>
        </w:tc>
        <w:tc>
          <w:tcPr>
            <w:tcW w:w="0" w:type="auto"/>
            <w:vAlign w:val="center"/>
            <w:hideMark/>
          </w:tcPr>
          <w:p w14:paraId="46DF2F78" w14:textId="77777777" w:rsidR="005F0AE2" w:rsidRPr="00832F99" w:rsidRDefault="005F0AE2"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obtain multidisciplinary peer</w:t>
            </w:r>
            <w:r w:rsidRPr="00832F99">
              <w:rPr>
                <w:rFonts w:ascii="Arial" w:eastAsia="Times New Roman" w:hAnsi="Arial" w:cs="Arial"/>
                <w:color w:val="000000" w:themeColor="text1"/>
                <w:lang w:eastAsia="en-IN"/>
              </w:rPr>
              <w:noBreakHyphen/>
              <w:t>reviewed literature across health, public health, and rehabilitation fields.</w:t>
            </w:r>
          </w:p>
        </w:tc>
      </w:tr>
      <w:tr w:rsidR="00832F99" w:rsidRPr="00832F99" w14:paraId="1943B5EB" w14:textId="77777777" w:rsidTr="005F0AE2">
        <w:trPr>
          <w:tblCellSpacing w:w="15" w:type="dxa"/>
        </w:trPr>
        <w:tc>
          <w:tcPr>
            <w:tcW w:w="0" w:type="auto"/>
            <w:vAlign w:val="center"/>
            <w:hideMark/>
          </w:tcPr>
          <w:p w14:paraId="038D6B22" w14:textId="77777777" w:rsidR="005F0AE2" w:rsidRPr="00832F99" w:rsidRDefault="005F0AE2"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Web of Science</w:t>
            </w:r>
          </w:p>
        </w:tc>
        <w:tc>
          <w:tcPr>
            <w:tcW w:w="0" w:type="auto"/>
            <w:vAlign w:val="center"/>
            <w:hideMark/>
          </w:tcPr>
          <w:p w14:paraId="635399E4" w14:textId="77777777" w:rsidR="005F0AE2" w:rsidRPr="00832F99" w:rsidRDefault="005F0AE2"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access high</w:t>
            </w:r>
            <w:r w:rsidRPr="00832F99">
              <w:rPr>
                <w:rFonts w:ascii="Arial" w:eastAsia="Times New Roman" w:hAnsi="Arial" w:cs="Arial"/>
                <w:color w:val="000000" w:themeColor="text1"/>
                <w:lang w:eastAsia="en-IN"/>
              </w:rPr>
              <w:noBreakHyphen/>
              <w:t>quality scientific literature and citation</w:t>
            </w:r>
            <w:r w:rsidRPr="00832F99">
              <w:rPr>
                <w:rFonts w:ascii="Arial" w:eastAsia="Times New Roman" w:hAnsi="Arial" w:cs="Arial"/>
                <w:color w:val="000000" w:themeColor="text1"/>
                <w:lang w:eastAsia="en-IN"/>
              </w:rPr>
              <w:noBreakHyphen/>
              <w:t>indexed research.</w:t>
            </w:r>
          </w:p>
        </w:tc>
      </w:tr>
      <w:tr w:rsidR="00832F99" w:rsidRPr="00832F99" w14:paraId="2BDFF062" w14:textId="77777777" w:rsidTr="005F0AE2">
        <w:trPr>
          <w:tblCellSpacing w:w="15" w:type="dxa"/>
        </w:trPr>
        <w:tc>
          <w:tcPr>
            <w:tcW w:w="0" w:type="auto"/>
            <w:vAlign w:val="center"/>
            <w:hideMark/>
          </w:tcPr>
          <w:p w14:paraId="55A6B609" w14:textId="77777777" w:rsidR="005F0AE2" w:rsidRPr="00832F99" w:rsidRDefault="005F0AE2"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NHS England Reports</w:t>
            </w:r>
          </w:p>
        </w:tc>
        <w:tc>
          <w:tcPr>
            <w:tcW w:w="0" w:type="auto"/>
            <w:vAlign w:val="center"/>
            <w:hideMark/>
          </w:tcPr>
          <w:p w14:paraId="77A263EA" w14:textId="77777777" w:rsidR="005F0AE2" w:rsidRPr="00832F99" w:rsidRDefault="005F0AE2"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obtain UK</w:t>
            </w:r>
            <w:r w:rsidRPr="00832F99">
              <w:rPr>
                <w:rFonts w:ascii="Arial" w:eastAsia="Times New Roman" w:hAnsi="Arial" w:cs="Arial"/>
                <w:color w:val="000000" w:themeColor="text1"/>
                <w:lang w:eastAsia="en-IN"/>
              </w:rPr>
              <w:noBreakHyphen/>
              <w:t>specific healthcare statistics, service evaluations, and policy documents.</w:t>
            </w:r>
          </w:p>
        </w:tc>
      </w:tr>
      <w:tr w:rsidR="00832F99" w:rsidRPr="00832F99" w14:paraId="59F45E11" w14:textId="77777777" w:rsidTr="005F0AE2">
        <w:trPr>
          <w:tblCellSpacing w:w="15" w:type="dxa"/>
        </w:trPr>
        <w:tc>
          <w:tcPr>
            <w:tcW w:w="0" w:type="auto"/>
            <w:vAlign w:val="center"/>
            <w:hideMark/>
          </w:tcPr>
          <w:p w14:paraId="4915BA7D" w14:textId="77777777" w:rsidR="005F0AE2" w:rsidRPr="00832F99" w:rsidRDefault="005F0AE2"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NICE Guidelines</w:t>
            </w:r>
          </w:p>
        </w:tc>
        <w:tc>
          <w:tcPr>
            <w:tcW w:w="0" w:type="auto"/>
            <w:vAlign w:val="center"/>
            <w:hideMark/>
          </w:tcPr>
          <w:p w14:paraId="61A033E9" w14:textId="77777777" w:rsidR="005F0AE2" w:rsidRPr="00832F99" w:rsidRDefault="005F0AE2"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review clinical guidance and national recommendations relating to cardiac rehabilitation.</w:t>
            </w:r>
          </w:p>
        </w:tc>
      </w:tr>
      <w:tr w:rsidR="00832F99" w:rsidRPr="00832F99" w14:paraId="2C0D474F" w14:textId="77777777" w:rsidTr="005F0AE2">
        <w:trPr>
          <w:tblCellSpacing w:w="15" w:type="dxa"/>
        </w:trPr>
        <w:tc>
          <w:tcPr>
            <w:tcW w:w="0" w:type="auto"/>
            <w:vAlign w:val="center"/>
            <w:hideMark/>
          </w:tcPr>
          <w:p w14:paraId="0EC985A6" w14:textId="77777777" w:rsidR="005F0AE2" w:rsidRPr="00832F99" w:rsidRDefault="005F0AE2"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WHO Reports</w:t>
            </w:r>
          </w:p>
        </w:tc>
        <w:tc>
          <w:tcPr>
            <w:tcW w:w="0" w:type="auto"/>
            <w:vAlign w:val="center"/>
            <w:hideMark/>
          </w:tcPr>
          <w:p w14:paraId="6418F21E" w14:textId="77777777" w:rsidR="005F0AE2" w:rsidRPr="00832F99" w:rsidRDefault="005F0AE2"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To access international reports on cardiovascular disease, epidemiology, and global rehabilitation strategies.</w:t>
            </w:r>
          </w:p>
        </w:tc>
      </w:tr>
    </w:tbl>
    <w:p w14:paraId="413C268C"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lastRenderedPageBreak/>
        <w:t xml:space="preserve">Keywords and search terms were developed based on the research aim, objectives, and research question. The search terms were derived from key concepts relating to cardiac rehabilitation, hospital readmissions, older adults, ethnicity, and socioeconomic inequalities. Boolean operators such as </w:t>
      </w:r>
      <w:r w:rsidRPr="00832F99">
        <w:rPr>
          <w:rStyle w:val="Strong"/>
          <w:rFonts w:ascii="Arial" w:eastAsiaTheme="majorEastAsia" w:hAnsi="Arial" w:cs="Arial"/>
          <w:color w:val="000000" w:themeColor="text1"/>
          <w:sz w:val="22"/>
          <w:szCs w:val="22"/>
        </w:rPr>
        <w:t>AND</w:t>
      </w:r>
      <w:r w:rsidRPr="00832F99">
        <w:rPr>
          <w:rFonts w:ascii="Arial" w:hAnsi="Arial" w:cs="Arial"/>
          <w:color w:val="000000" w:themeColor="text1"/>
          <w:sz w:val="22"/>
          <w:szCs w:val="22"/>
        </w:rPr>
        <w:t xml:space="preserve">, </w:t>
      </w:r>
      <w:r w:rsidRPr="00832F99">
        <w:rPr>
          <w:rStyle w:val="Strong"/>
          <w:rFonts w:ascii="Arial" w:eastAsiaTheme="majorEastAsia" w:hAnsi="Arial" w:cs="Arial"/>
          <w:color w:val="000000" w:themeColor="text1"/>
          <w:sz w:val="22"/>
          <w:szCs w:val="22"/>
        </w:rPr>
        <w:t>OR</w:t>
      </w:r>
      <w:r w:rsidRPr="00832F99">
        <w:rPr>
          <w:rFonts w:ascii="Arial" w:hAnsi="Arial" w:cs="Arial"/>
          <w:color w:val="000000" w:themeColor="text1"/>
          <w:sz w:val="22"/>
          <w:szCs w:val="22"/>
        </w:rPr>
        <w:t xml:space="preserve">, and </w:t>
      </w:r>
      <w:r w:rsidRPr="00832F99">
        <w:rPr>
          <w:rStyle w:val="Strong"/>
          <w:rFonts w:ascii="Arial" w:eastAsiaTheme="majorEastAsia" w:hAnsi="Arial" w:cs="Arial"/>
          <w:color w:val="000000" w:themeColor="text1"/>
          <w:sz w:val="22"/>
          <w:szCs w:val="22"/>
        </w:rPr>
        <w:t>NOT</w:t>
      </w:r>
      <w:r w:rsidRPr="00832F99">
        <w:rPr>
          <w:rFonts w:ascii="Arial" w:hAnsi="Arial" w:cs="Arial"/>
          <w:color w:val="000000" w:themeColor="text1"/>
          <w:sz w:val="22"/>
          <w:szCs w:val="22"/>
        </w:rPr>
        <w:t xml:space="preserve"> were used to combine keywords and refine search results, thereby improving search sensitivity and specificity (Page et al., 2021).</w:t>
      </w:r>
    </w:p>
    <w:p w14:paraId="3B9FAFA9" w14:textId="77777777" w:rsidR="00C40B32" w:rsidRPr="00832F99" w:rsidRDefault="00C40B32" w:rsidP="00832F99">
      <w:pPr>
        <w:pStyle w:val="Heading4"/>
        <w:jc w:val="both"/>
        <w:rPr>
          <w:rFonts w:ascii="Arial" w:hAnsi="Arial" w:cs="Arial"/>
          <w:color w:val="000000" w:themeColor="text1"/>
        </w:rPr>
      </w:pPr>
      <w:r w:rsidRPr="00832F99">
        <w:rPr>
          <w:rFonts w:ascii="Arial" w:hAnsi="Arial" w:cs="Arial"/>
          <w:color w:val="000000" w:themeColor="text1"/>
        </w:rPr>
        <w:t>Table 3.2: Search Keywords and Boolean Operators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29"/>
        <w:gridCol w:w="5590"/>
      </w:tblGrid>
      <w:tr w:rsidR="00832F99" w:rsidRPr="00832F99" w14:paraId="6F827452" w14:textId="77777777" w:rsidTr="0071039A">
        <w:trPr>
          <w:tblHeader/>
          <w:tblCellSpacing w:w="15" w:type="dxa"/>
        </w:trPr>
        <w:tc>
          <w:tcPr>
            <w:tcW w:w="0" w:type="auto"/>
            <w:vAlign w:val="center"/>
            <w:hideMark/>
          </w:tcPr>
          <w:p w14:paraId="7822C853" w14:textId="77777777" w:rsidR="00C40B32" w:rsidRPr="00832F99" w:rsidRDefault="00C40B32" w:rsidP="00832F99">
            <w:pPr>
              <w:jc w:val="both"/>
              <w:rPr>
                <w:rFonts w:ascii="Arial" w:hAnsi="Arial" w:cs="Arial"/>
                <w:b/>
                <w:bCs/>
                <w:color w:val="000000" w:themeColor="text1"/>
              </w:rPr>
            </w:pPr>
            <w:r w:rsidRPr="00832F99">
              <w:rPr>
                <w:rFonts w:ascii="Arial" w:hAnsi="Arial" w:cs="Arial"/>
                <w:b/>
                <w:bCs/>
                <w:color w:val="000000" w:themeColor="text1"/>
              </w:rPr>
              <w:t>Main Keywords</w:t>
            </w:r>
          </w:p>
        </w:tc>
        <w:tc>
          <w:tcPr>
            <w:tcW w:w="0" w:type="auto"/>
            <w:vAlign w:val="center"/>
            <w:hideMark/>
          </w:tcPr>
          <w:p w14:paraId="696C0180" w14:textId="77777777" w:rsidR="00C40B32" w:rsidRPr="00832F99" w:rsidRDefault="00C40B32" w:rsidP="00832F99">
            <w:pPr>
              <w:jc w:val="both"/>
              <w:rPr>
                <w:rFonts w:ascii="Arial" w:hAnsi="Arial" w:cs="Arial"/>
                <w:b/>
                <w:bCs/>
                <w:color w:val="000000" w:themeColor="text1"/>
              </w:rPr>
            </w:pPr>
            <w:r w:rsidRPr="00832F99">
              <w:rPr>
                <w:rFonts w:ascii="Arial" w:hAnsi="Arial" w:cs="Arial"/>
                <w:b/>
                <w:bCs/>
                <w:color w:val="000000" w:themeColor="text1"/>
              </w:rPr>
              <w:t>Boolean Combination Examples</w:t>
            </w:r>
          </w:p>
        </w:tc>
      </w:tr>
      <w:tr w:rsidR="00832F99" w:rsidRPr="00832F99" w14:paraId="113E96AC" w14:textId="77777777" w:rsidTr="0071039A">
        <w:trPr>
          <w:tblCellSpacing w:w="15" w:type="dxa"/>
        </w:trPr>
        <w:tc>
          <w:tcPr>
            <w:tcW w:w="0" w:type="auto"/>
            <w:vAlign w:val="center"/>
            <w:hideMark/>
          </w:tcPr>
          <w:p w14:paraId="7AB57269"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Cardiac rehabilitation</w:t>
            </w:r>
          </w:p>
        </w:tc>
        <w:tc>
          <w:tcPr>
            <w:tcW w:w="0" w:type="auto"/>
            <w:vAlign w:val="center"/>
            <w:hideMark/>
          </w:tcPr>
          <w:p w14:paraId="1DF31378"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w:t>
            </w:r>
            <w:proofErr w:type="gramStart"/>
            <w:r w:rsidRPr="00832F99">
              <w:rPr>
                <w:rFonts w:ascii="Arial" w:hAnsi="Arial" w:cs="Arial"/>
                <w:color w:val="000000" w:themeColor="text1"/>
              </w:rPr>
              <w:t>cardiac</w:t>
            </w:r>
            <w:proofErr w:type="gramEnd"/>
            <w:r w:rsidRPr="00832F99">
              <w:rPr>
                <w:rFonts w:ascii="Arial" w:hAnsi="Arial" w:cs="Arial"/>
                <w:color w:val="000000" w:themeColor="text1"/>
              </w:rPr>
              <w:t xml:space="preserve"> rehabilitation AND hospital readmissions”</w:t>
            </w:r>
          </w:p>
        </w:tc>
      </w:tr>
      <w:tr w:rsidR="00832F99" w:rsidRPr="00832F99" w14:paraId="34DCBB93" w14:textId="77777777" w:rsidTr="0071039A">
        <w:trPr>
          <w:tblCellSpacing w:w="15" w:type="dxa"/>
        </w:trPr>
        <w:tc>
          <w:tcPr>
            <w:tcW w:w="0" w:type="auto"/>
            <w:vAlign w:val="center"/>
            <w:hideMark/>
          </w:tcPr>
          <w:p w14:paraId="2927012E"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Hospital readmissions</w:t>
            </w:r>
          </w:p>
        </w:tc>
        <w:tc>
          <w:tcPr>
            <w:tcW w:w="0" w:type="auto"/>
            <w:vAlign w:val="center"/>
            <w:hideMark/>
          </w:tcPr>
          <w:p w14:paraId="5864FA21"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w:t>
            </w:r>
            <w:proofErr w:type="gramStart"/>
            <w:r w:rsidRPr="00832F99">
              <w:rPr>
                <w:rFonts w:ascii="Arial" w:hAnsi="Arial" w:cs="Arial"/>
                <w:color w:val="000000" w:themeColor="text1"/>
              </w:rPr>
              <w:t>cardiac</w:t>
            </w:r>
            <w:proofErr w:type="gramEnd"/>
            <w:r w:rsidRPr="00832F99">
              <w:rPr>
                <w:rFonts w:ascii="Arial" w:hAnsi="Arial" w:cs="Arial"/>
                <w:color w:val="000000" w:themeColor="text1"/>
              </w:rPr>
              <w:t xml:space="preserve"> rehabilitation AND readmission reduction”</w:t>
            </w:r>
          </w:p>
        </w:tc>
      </w:tr>
      <w:tr w:rsidR="00832F99" w:rsidRPr="00832F99" w14:paraId="5CDE513D" w14:textId="77777777" w:rsidTr="0071039A">
        <w:trPr>
          <w:tblCellSpacing w:w="15" w:type="dxa"/>
        </w:trPr>
        <w:tc>
          <w:tcPr>
            <w:tcW w:w="0" w:type="auto"/>
            <w:vAlign w:val="center"/>
            <w:hideMark/>
          </w:tcPr>
          <w:p w14:paraId="1314CC59"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Cardiovascular disease</w:t>
            </w:r>
          </w:p>
        </w:tc>
        <w:tc>
          <w:tcPr>
            <w:tcW w:w="0" w:type="auto"/>
            <w:vAlign w:val="center"/>
            <w:hideMark/>
          </w:tcPr>
          <w:p w14:paraId="1FF032EC"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w:t>
            </w:r>
            <w:proofErr w:type="gramStart"/>
            <w:r w:rsidRPr="00832F99">
              <w:rPr>
                <w:rFonts w:ascii="Arial" w:hAnsi="Arial" w:cs="Arial"/>
                <w:color w:val="000000" w:themeColor="text1"/>
              </w:rPr>
              <w:t>cardiovascular</w:t>
            </w:r>
            <w:proofErr w:type="gramEnd"/>
            <w:r w:rsidRPr="00832F99">
              <w:rPr>
                <w:rFonts w:ascii="Arial" w:hAnsi="Arial" w:cs="Arial"/>
                <w:color w:val="000000" w:themeColor="text1"/>
              </w:rPr>
              <w:t xml:space="preserve"> disease AND rehabilitation programmes”</w:t>
            </w:r>
          </w:p>
        </w:tc>
      </w:tr>
      <w:tr w:rsidR="00832F99" w:rsidRPr="00832F99" w14:paraId="63ECAF44" w14:textId="77777777" w:rsidTr="0071039A">
        <w:trPr>
          <w:tblCellSpacing w:w="15" w:type="dxa"/>
        </w:trPr>
        <w:tc>
          <w:tcPr>
            <w:tcW w:w="0" w:type="auto"/>
            <w:vAlign w:val="center"/>
            <w:hideMark/>
          </w:tcPr>
          <w:p w14:paraId="57DF7244"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Older adults</w:t>
            </w:r>
          </w:p>
        </w:tc>
        <w:tc>
          <w:tcPr>
            <w:tcW w:w="0" w:type="auto"/>
            <w:vAlign w:val="center"/>
            <w:hideMark/>
          </w:tcPr>
          <w:p w14:paraId="322F8421"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w:t>
            </w:r>
            <w:proofErr w:type="gramStart"/>
            <w:r w:rsidRPr="00832F99">
              <w:rPr>
                <w:rFonts w:ascii="Arial" w:hAnsi="Arial" w:cs="Arial"/>
                <w:color w:val="000000" w:themeColor="text1"/>
              </w:rPr>
              <w:t>cardiac</w:t>
            </w:r>
            <w:proofErr w:type="gramEnd"/>
            <w:r w:rsidRPr="00832F99">
              <w:rPr>
                <w:rFonts w:ascii="Arial" w:hAnsi="Arial" w:cs="Arial"/>
                <w:color w:val="000000" w:themeColor="text1"/>
              </w:rPr>
              <w:t xml:space="preserve"> rehabilitation AND older adults”</w:t>
            </w:r>
          </w:p>
        </w:tc>
      </w:tr>
      <w:tr w:rsidR="00832F99" w:rsidRPr="00832F99" w14:paraId="72855DED" w14:textId="77777777" w:rsidTr="0071039A">
        <w:trPr>
          <w:tblCellSpacing w:w="15" w:type="dxa"/>
        </w:trPr>
        <w:tc>
          <w:tcPr>
            <w:tcW w:w="0" w:type="auto"/>
            <w:vAlign w:val="center"/>
            <w:hideMark/>
          </w:tcPr>
          <w:p w14:paraId="0A0CB646"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Ethnicity</w:t>
            </w:r>
          </w:p>
        </w:tc>
        <w:tc>
          <w:tcPr>
            <w:tcW w:w="0" w:type="auto"/>
            <w:vAlign w:val="center"/>
            <w:hideMark/>
          </w:tcPr>
          <w:p w14:paraId="24B9447E"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w:t>
            </w:r>
            <w:proofErr w:type="gramStart"/>
            <w:r w:rsidRPr="00832F99">
              <w:rPr>
                <w:rFonts w:ascii="Arial" w:hAnsi="Arial" w:cs="Arial"/>
                <w:color w:val="000000" w:themeColor="text1"/>
              </w:rPr>
              <w:t>ethnicity</w:t>
            </w:r>
            <w:proofErr w:type="gramEnd"/>
            <w:r w:rsidRPr="00832F99">
              <w:rPr>
                <w:rFonts w:ascii="Arial" w:hAnsi="Arial" w:cs="Arial"/>
                <w:color w:val="000000" w:themeColor="text1"/>
              </w:rPr>
              <w:t xml:space="preserve"> AND cardiac rehabilitation participation”</w:t>
            </w:r>
          </w:p>
        </w:tc>
      </w:tr>
      <w:tr w:rsidR="00832F99" w:rsidRPr="00832F99" w14:paraId="220DE18F" w14:textId="77777777" w:rsidTr="0071039A">
        <w:trPr>
          <w:tblCellSpacing w:w="15" w:type="dxa"/>
        </w:trPr>
        <w:tc>
          <w:tcPr>
            <w:tcW w:w="0" w:type="auto"/>
            <w:vAlign w:val="center"/>
            <w:hideMark/>
          </w:tcPr>
          <w:p w14:paraId="01714A3B"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Socioeconomic inequalities</w:t>
            </w:r>
          </w:p>
        </w:tc>
        <w:tc>
          <w:tcPr>
            <w:tcW w:w="0" w:type="auto"/>
            <w:vAlign w:val="center"/>
            <w:hideMark/>
          </w:tcPr>
          <w:p w14:paraId="72397A18"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w:t>
            </w:r>
            <w:proofErr w:type="gramStart"/>
            <w:r w:rsidRPr="00832F99">
              <w:rPr>
                <w:rFonts w:ascii="Arial" w:hAnsi="Arial" w:cs="Arial"/>
                <w:color w:val="000000" w:themeColor="text1"/>
              </w:rPr>
              <w:t>socioeconomic</w:t>
            </w:r>
            <w:proofErr w:type="gramEnd"/>
            <w:r w:rsidRPr="00832F99">
              <w:rPr>
                <w:rFonts w:ascii="Arial" w:hAnsi="Arial" w:cs="Arial"/>
                <w:color w:val="000000" w:themeColor="text1"/>
              </w:rPr>
              <w:t xml:space="preserve"> deprivation AND cardiac rehabilitation”</w:t>
            </w:r>
          </w:p>
        </w:tc>
      </w:tr>
      <w:tr w:rsidR="00832F99" w:rsidRPr="00832F99" w14:paraId="4A97BC07" w14:textId="77777777" w:rsidTr="0071039A">
        <w:trPr>
          <w:tblCellSpacing w:w="15" w:type="dxa"/>
        </w:trPr>
        <w:tc>
          <w:tcPr>
            <w:tcW w:w="0" w:type="auto"/>
            <w:vAlign w:val="center"/>
            <w:hideMark/>
          </w:tcPr>
          <w:p w14:paraId="0992ED1D"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Health inequalities</w:t>
            </w:r>
          </w:p>
        </w:tc>
        <w:tc>
          <w:tcPr>
            <w:tcW w:w="0" w:type="auto"/>
            <w:vAlign w:val="center"/>
            <w:hideMark/>
          </w:tcPr>
          <w:p w14:paraId="649F33EB"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w:t>
            </w:r>
            <w:proofErr w:type="gramStart"/>
            <w:r w:rsidRPr="00832F99">
              <w:rPr>
                <w:rFonts w:ascii="Arial" w:hAnsi="Arial" w:cs="Arial"/>
                <w:color w:val="000000" w:themeColor="text1"/>
              </w:rPr>
              <w:t>health</w:t>
            </w:r>
            <w:proofErr w:type="gramEnd"/>
            <w:r w:rsidRPr="00832F99">
              <w:rPr>
                <w:rFonts w:ascii="Arial" w:hAnsi="Arial" w:cs="Arial"/>
                <w:color w:val="000000" w:themeColor="text1"/>
              </w:rPr>
              <w:t xml:space="preserve"> inequalities AND cardiovascular outcomes”</w:t>
            </w:r>
          </w:p>
        </w:tc>
      </w:tr>
      <w:tr w:rsidR="00832F99" w:rsidRPr="00832F99" w14:paraId="5F0D2593" w14:textId="77777777" w:rsidTr="0071039A">
        <w:trPr>
          <w:tblCellSpacing w:w="15" w:type="dxa"/>
        </w:trPr>
        <w:tc>
          <w:tcPr>
            <w:tcW w:w="0" w:type="auto"/>
            <w:vAlign w:val="center"/>
            <w:hideMark/>
          </w:tcPr>
          <w:p w14:paraId="3A152379"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England</w:t>
            </w:r>
          </w:p>
        </w:tc>
        <w:tc>
          <w:tcPr>
            <w:tcW w:w="0" w:type="auto"/>
            <w:vAlign w:val="center"/>
            <w:hideMark/>
          </w:tcPr>
          <w:p w14:paraId="57FEA502"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w:t>
            </w:r>
            <w:proofErr w:type="gramStart"/>
            <w:r w:rsidRPr="00832F99">
              <w:rPr>
                <w:rFonts w:ascii="Arial" w:hAnsi="Arial" w:cs="Arial"/>
                <w:color w:val="000000" w:themeColor="text1"/>
              </w:rPr>
              <w:t>cardiac</w:t>
            </w:r>
            <w:proofErr w:type="gramEnd"/>
            <w:r w:rsidRPr="00832F99">
              <w:rPr>
                <w:rFonts w:ascii="Arial" w:hAnsi="Arial" w:cs="Arial"/>
                <w:color w:val="000000" w:themeColor="text1"/>
              </w:rPr>
              <w:t xml:space="preserve"> rehabilitation AND England”</w:t>
            </w:r>
          </w:p>
        </w:tc>
      </w:tr>
      <w:tr w:rsidR="00832F99" w:rsidRPr="00832F99" w14:paraId="0D198F5A" w14:textId="77777777" w:rsidTr="0071039A">
        <w:trPr>
          <w:tblCellSpacing w:w="15" w:type="dxa"/>
        </w:trPr>
        <w:tc>
          <w:tcPr>
            <w:tcW w:w="0" w:type="auto"/>
            <w:vAlign w:val="center"/>
            <w:hideMark/>
          </w:tcPr>
          <w:p w14:paraId="16676F2B"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Secondary prevention</w:t>
            </w:r>
          </w:p>
        </w:tc>
        <w:tc>
          <w:tcPr>
            <w:tcW w:w="0" w:type="auto"/>
            <w:vAlign w:val="center"/>
            <w:hideMark/>
          </w:tcPr>
          <w:p w14:paraId="19207447"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w:t>
            </w:r>
            <w:proofErr w:type="gramStart"/>
            <w:r w:rsidRPr="00832F99">
              <w:rPr>
                <w:rFonts w:ascii="Arial" w:hAnsi="Arial" w:cs="Arial"/>
                <w:color w:val="000000" w:themeColor="text1"/>
              </w:rPr>
              <w:t>secondary</w:t>
            </w:r>
            <w:proofErr w:type="gramEnd"/>
            <w:r w:rsidRPr="00832F99">
              <w:rPr>
                <w:rFonts w:ascii="Arial" w:hAnsi="Arial" w:cs="Arial"/>
                <w:color w:val="000000" w:themeColor="text1"/>
              </w:rPr>
              <w:t xml:space="preserve"> prevention AND hospital readmissions”</w:t>
            </w:r>
          </w:p>
        </w:tc>
      </w:tr>
      <w:tr w:rsidR="00832F99" w:rsidRPr="00832F99" w14:paraId="49BD824A" w14:textId="77777777" w:rsidTr="0071039A">
        <w:trPr>
          <w:tblCellSpacing w:w="15" w:type="dxa"/>
        </w:trPr>
        <w:tc>
          <w:tcPr>
            <w:tcW w:w="0" w:type="auto"/>
            <w:vAlign w:val="center"/>
            <w:hideMark/>
          </w:tcPr>
          <w:p w14:paraId="289D3515"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Rehabilitation outcomes</w:t>
            </w:r>
          </w:p>
        </w:tc>
        <w:tc>
          <w:tcPr>
            <w:tcW w:w="0" w:type="auto"/>
            <w:vAlign w:val="center"/>
            <w:hideMark/>
          </w:tcPr>
          <w:p w14:paraId="320A21C0"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w:t>
            </w:r>
            <w:proofErr w:type="gramStart"/>
            <w:r w:rsidRPr="00832F99">
              <w:rPr>
                <w:rFonts w:ascii="Arial" w:hAnsi="Arial" w:cs="Arial"/>
                <w:color w:val="000000" w:themeColor="text1"/>
              </w:rPr>
              <w:t>rehabilitation</w:t>
            </w:r>
            <w:proofErr w:type="gramEnd"/>
            <w:r w:rsidRPr="00832F99">
              <w:rPr>
                <w:rFonts w:ascii="Arial" w:hAnsi="Arial" w:cs="Arial"/>
                <w:color w:val="000000" w:themeColor="text1"/>
              </w:rPr>
              <w:t xml:space="preserve"> outcomes AND cardiovascular disease”</w:t>
            </w:r>
          </w:p>
        </w:tc>
      </w:tr>
    </w:tbl>
    <w:p w14:paraId="063C2BED"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To ensure the evidence reflected current healthcare practice, policy developments, and rehabilitation models, the search primarily focused on studies published between </w:t>
      </w:r>
      <w:r w:rsidRPr="00832F99">
        <w:rPr>
          <w:rStyle w:val="Strong"/>
          <w:rFonts w:ascii="Arial" w:eastAsiaTheme="majorEastAsia" w:hAnsi="Arial" w:cs="Arial"/>
          <w:color w:val="000000" w:themeColor="text1"/>
          <w:sz w:val="22"/>
          <w:szCs w:val="22"/>
        </w:rPr>
        <w:t>2010 and 2026</w:t>
      </w:r>
      <w:r w:rsidRPr="00832F99">
        <w:rPr>
          <w:rFonts w:ascii="Arial" w:hAnsi="Arial" w:cs="Arial"/>
          <w:color w:val="000000" w:themeColor="text1"/>
          <w:sz w:val="22"/>
          <w:szCs w:val="22"/>
        </w:rPr>
        <w:t>. This timeframe was selected because significant developments in cardiac rehabilitation delivery, healthcare inequalities research, and cardiovascular disease management have occurred during this period. However, seminal studies published before 2010 were considered for inclusion where they provided important theoretical or historical context.</w:t>
      </w:r>
    </w:p>
    <w:p w14:paraId="4D6DCACF"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search process was conducted in several stages. Initially, database searches were performed using the predefined search terms and combinations of keywords. The titles and abstracts of retrieved studies were then screened to determine their relevance to the research topic. Studies that appeared relevant were selected for full-text review. Following full-text assessment, studies were evaluated against the predefined inclusion and exclusion criteria to determine their eligibility for inclusion in the final review.</w:t>
      </w:r>
    </w:p>
    <w:p w14:paraId="080A4B62"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To further enhance the comprehensiveness of the search process, reference lists of key articles were manually reviewed to identify additional relevant studies that may not have been captured through database searching. This hand-searching approach helped reduce the risk of overlooking important evidence and improved the overall coverage of the literature (</w:t>
      </w:r>
      <w:proofErr w:type="spellStart"/>
      <w:r w:rsidRPr="00832F99">
        <w:rPr>
          <w:rFonts w:ascii="Arial" w:hAnsi="Arial" w:cs="Arial"/>
          <w:color w:val="000000" w:themeColor="text1"/>
          <w:sz w:val="22"/>
          <w:szCs w:val="22"/>
        </w:rPr>
        <w:t>Aromataris</w:t>
      </w:r>
      <w:proofErr w:type="spellEnd"/>
      <w:r w:rsidRPr="00832F99">
        <w:rPr>
          <w:rFonts w:ascii="Arial" w:hAnsi="Arial" w:cs="Arial"/>
          <w:color w:val="000000" w:themeColor="text1"/>
          <w:sz w:val="22"/>
          <w:szCs w:val="22"/>
        </w:rPr>
        <w:t xml:space="preserve"> and Munn, 2020).</w:t>
      </w:r>
    </w:p>
    <w:p w14:paraId="0DFA9C76"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study selection process was guided by the Preferred Reporting Items for Systematic Reviews and Meta-Analyses (PRISMA) 2020 framework (Page et al., 2021). The PRISMA framework provides a structured approach for documenting literature identification, screening, eligibility assessment, and final study inclusion. Applying this framework improved the transparency and reproducibility of the review process.</w:t>
      </w:r>
    </w:p>
    <w:p w14:paraId="625114A3"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lastRenderedPageBreak/>
        <w:t>The search results were recorded and documented throughout the review to maintain an audit trail of decisions made during study selection. Information relating to the number of studies identified, screened, excluded, and included was recorded and subsequently presented through a PRISMA flow diagram in the methodology chapter. This ensured transparency and enabled readers to understand how the final body of evidence was selected for analysis.</w:t>
      </w:r>
    </w:p>
    <w:p w14:paraId="5B918CC7"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Overall, the structured search strategy provided a systematic and transparent method for identifying relevant literature concerning cardiac rehabilitation, hospital readmissions, and healthcare inequalities among older adults. By using multiple databases, predefined search terms, Boolean operators, and PRISMA guidance, the study aimed to ensure that the evidence included within the review was comprehensive, relevant, and of sufficient quality to address the research objectives.</w:t>
      </w:r>
    </w:p>
    <w:p w14:paraId="79D286C8" w14:textId="4F979F30" w:rsidR="00C40B32" w:rsidRPr="00832F99" w:rsidRDefault="00C40B32" w:rsidP="00832F99">
      <w:pPr>
        <w:pStyle w:val="Heading3"/>
        <w:jc w:val="both"/>
        <w:rPr>
          <w:rFonts w:ascii="Arial" w:hAnsi="Arial" w:cs="Arial"/>
          <w:color w:val="000000" w:themeColor="text1"/>
          <w:sz w:val="22"/>
          <w:szCs w:val="22"/>
        </w:rPr>
      </w:pPr>
      <w:r w:rsidRPr="00832F99">
        <w:rPr>
          <w:rFonts w:ascii="Arial" w:hAnsi="Arial" w:cs="Arial"/>
          <w:color w:val="000000" w:themeColor="text1"/>
          <w:sz w:val="22"/>
          <w:szCs w:val="22"/>
        </w:rPr>
        <w:t>3.</w:t>
      </w:r>
      <w:r w:rsidR="00AA4B24">
        <w:rPr>
          <w:rFonts w:ascii="Arial" w:hAnsi="Arial" w:cs="Arial"/>
          <w:color w:val="000000" w:themeColor="text1"/>
          <w:sz w:val="22"/>
          <w:szCs w:val="22"/>
        </w:rPr>
        <w:t xml:space="preserve">6 </w:t>
      </w:r>
      <w:r w:rsidRPr="00832F99">
        <w:rPr>
          <w:rFonts w:ascii="Arial" w:hAnsi="Arial" w:cs="Arial"/>
          <w:color w:val="000000" w:themeColor="text1"/>
          <w:sz w:val="22"/>
          <w:szCs w:val="22"/>
        </w:rPr>
        <w:t>Inclusion and Exclusion Criteria</w:t>
      </w:r>
    </w:p>
    <w:p w14:paraId="1C89945B"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Clear inclusion and exclusion criteria were developed to ensure that the studies selected for this review were relevant, reliable, and directly aligned with the research aim and objectives. Establishing predefined eligibility criteria is a fundamental component of systematic literature reviews because it promotes consistency during study selection, minimises selection bias, and enhances the transparency and reproducibility of the review process (Page et al., 2021; Booth, Sutton and Papaioannou, 2021). The use of explicit criteria also helps ensure that decisions regarding study inclusion are based on methodological considerations rather than researcher preference, thereby strengthening the validity of the review findings (</w:t>
      </w:r>
      <w:proofErr w:type="spellStart"/>
      <w:r w:rsidRPr="00832F99">
        <w:rPr>
          <w:rFonts w:ascii="Arial" w:hAnsi="Arial" w:cs="Arial"/>
          <w:color w:val="000000" w:themeColor="text1"/>
          <w:sz w:val="22"/>
          <w:szCs w:val="22"/>
        </w:rPr>
        <w:t>Aromataris</w:t>
      </w:r>
      <w:proofErr w:type="spellEnd"/>
      <w:r w:rsidRPr="00832F99">
        <w:rPr>
          <w:rFonts w:ascii="Arial" w:hAnsi="Arial" w:cs="Arial"/>
          <w:color w:val="000000" w:themeColor="text1"/>
          <w:sz w:val="22"/>
          <w:szCs w:val="22"/>
        </w:rPr>
        <w:t xml:space="preserve"> and Munn, 2020).</w:t>
      </w:r>
    </w:p>
    <w:p w14:paraId="650D1789"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inclusion criteria were designed to identify studies that specifically examined the effectiveness of cardiac rehabilitation programmes in reducing hospital readmissions among older adults and explored the influence of ethnicity and socioeconomic status on rehabilitation participation and outcomes. These criteria were informed by the research question, study objectives, and recommendations for conducting systematic reviews in healthcare research (Snyder, 2019). Conversely, exclusion criteria were applied to remove studies that were not directly relevant to the topic, lacked sufficient methodological quality, or did not provide appropriate evidence relating to cardiac rehabilitation outcomes (Booth, Sutton and Papaioannou, 2021).</w:t>
      </w:r>
    </w:p>
    <w:p w14:paraId="424CD09D"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application of inclusion and exclusion criteria before commencing the screening process is recommended because it reduces the likelihood of subjective decision-making and improves methodological rigour (Page et al., 2021). Furthermore, predefined eligibility criteria facilitate replication of the review process by future researchers and support the overall reliability of systematic review findings (Saunders, Lewis and Thornhill, 2023).</w:t>
      </w:r>
    </w:p>
    <w:p w14:paraId="17EBFBD1" w14:textId="77777777" w:rsidR="00C40B32" w:rsidRPr="00832F99" w:rsidRDefault="00C40B32" w:rsidP="00832F99">
      <w:pPr>
        <w:pStyle w:val="Heading4"/>
        <w:jc w:val="both"/>
        <w:rPr>
          <w:rFonts w:ascii="Arial" w:hAnsi="Arial" w:cs="Arial"/>
          <w:color w:val="000000" w:themeColor="text1"/>
        </w:rPr>
      </w:pPr>
      <w:r w:rsidRPr="00832F99">
        <w:rPr>
          <w:rFonts w:ascii="Arial" w:hAnsi="Arial" w:cs="Arial"/>
          <w:color w:val="000000" w:themeColor="text1"/>
        </w:rPr>
        <w:t>Table 3.3: Inclusion and Exclusion Criteria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78"/>
        <w:gridCol w:w="4348"/>
      </w:tblGrid>
      <w:tr w:rsidR="00832F99" w:rsidRPr="00832F99" w14:paraId="0C1DAD95" w14:textId="77777777" w:rsidTr="007B4AC4">
        <w:trPr>
          <w:tblHeader/>
          <w:tblCellSpacing w:w="15" w:type="dxa"/>
        </w:trPr>
        <w:tc>
          <w:tcPr>
            <w:tcW w:w="4633" w:type="dxa"/>
            <w:vAlign w:val="center"/>
            <w:hideMark/>
          </w:tcPr>
          <w:p w14:paraId="5328402A" w14:textId="77777777" w:rsidR="00C40B32" w:rsidRPr="00832F99" w:rsidRDefault="00C40B32" w:rsidP="00832F99">
            <w:pPr>
              <w:jc w:val="both"/>
              <w:rPr>
                <w:rFonts w:ascii="Arial" w:hAnsi="Arial" w:cs="Arial"/>
                <w:b/>
                <w:bCs/>
                <w:color w:val="000000" w:themeColor="text1"/>
              </w:rPr>
            </w:pPr>
            <w:r w:rsidRPr="00832F99">
              <w:rPr>
                <w:rFonts w:ascii="Arial" w:hAnsi="Arial" w:cs="Arial"/>
                <w:b/>
                <w:bCs/>
                <w:color w:val="000000" w:themeColor="text1"/>
              </w:rPr>
              <w:t>Inclusion Criteria</w:t>
            </w:r>
          </w:p>
        </w:tc>
        <w:tc>
          <w:tcPr>
            <w:tcW w:w="4303" w:type="dxa"/>
            <w:vAlign w:val="center"/>
            <w:hideMark/>
          </w:tcPr>
          <w:p w14:paraId="4A3270C9" w14:textId="77777777" w:rsidR="00C40B32" w:rsidRPr="00832F99" w:rsidRDefault="00C40B32" w:rsidP="00832F99">
            <w:pPr>
              <w:jc w:val="both"/>
              <w:rPr>
                <w:rFonts w:ascii="Arial" w:hAnsi="Arial" w:cs="Arial"/>
                <w:b/>
                <w:bCs/>
                <w:color w:val="000000" w:themeColor="text1"/>
              </w:rPr>
            </w:pPr>
            <w:r w:rsidRPr="00832F99">
              <w:rPr>
                <w:rFonts w:ascii="Arial" w:hAnsi="Arial" w:cs="Arial"/>
                <w:b/>
                <w:bCs/>
                <w:color w:val="000000" w:themeColor="text1"/>
              </w:rPr>
              <w:t>Exclusion Criteria</w:t>
            </w:r>
          </w:p>
        </w:tc>
      </w:tr>
      <w:tr w:rsidR="00832F99" w:rsidRPr="00832F99" w14:paraId="0BC924AD" w14:textId="77777777" w:rsidTr="007B4AC4">
        <w:trPr>
          <w:tblCellSpacing w:w="15" w:type="dxa"/>
        </w:trPr>
        <w:tc>
          <w:tcPr>
            <w:tcW w:w="4633" w:type="dxa"/>
            <w:vAlign w:val="center"/>
            <w:hideMark/>
          </w:tcPr>
          <w:p w14:paraId="6998E972"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Peer-reviewed journal articles</w:t>
            </w:r>
          </w:p>
        </w:tc>
        <w:tc>
          <w:tcPr>
            <w:tcW w:w="4303" w:type="dxa"/>
            <w:vAlign w:val="center"/>
            <w:hideMark/>
          </w:tcPr>
          <w:p w14:paraId="2A409CB9"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Non-peer-reviewed articles</w:t>
            </w:r>
          </w:p>
        </w:tc>
      </w:tr>
      <w:tr w:rsidR="00832F99" w:rsidRPr="00832F99" w14:paraId="48528F76" w14:textId="77777777" w:rsidTr="007B4AC4">
        <w:trPr>
          <w:tblCellSpacing w:w="15" w:type="dxa"/>
        </w:trPr>
        <w:tc>
          <w:tcPr>
            <w:tcW w:w="4633" w:type="dxa"/>
            <w:vAlign w:val="center"/>
            <w:hideMark/>
          </w:tcPr>
          <w:p w14:paraId="3E90AE8E"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Studies focusing on cardiac rehabilitation programmes</w:t>
            </w:r>
          </w:p>
        </w:tc>
        <w:tc>
          <w:tcPr>
            <w:tcW w:w="4303" w:type="dxa"/>
            <w:vAlign w:val="center"/>
            <w:hideMark/>
          </w:tcPr>
          <w:p w14:paraId="4F854FC8"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Studies unrelated to cardiovascular disease or rehabilitation</w:t>
            </w:r>
          </w:p>
        </w:tc>
      </w:tr>
      <w:tr w:rsidR="00832F99" w:rsidRPr="00832F99" w14:paraId="6A67BA0C" w14:textId="77777777" w:rsidTr="007B4AC4">
        <w:trPr>
          <w:trHeight w:val="1098"/>
          <w:tblCellSpacing w:w="15" w:type="dxa"/>
        </w:trPr>
        <w:tc>
          <w:tcPr>
            <w:tcW w:w="4633" w:type="dxa"/>
            <w:vAlign w:val="center"/>
            <w:hideMark/>
          </w:tcPr>
          <w:p w14:paraId="2256799C"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Research examining hospital readmissions or related clinical outcomes</w:t>
            </w:r>
          </w:p>
        </w:tc>
        <w:tc>
          <w:tcPr>
            <w:tcW w:w="4303" w:type="dxa"/>
            <w:vAlign w:val="center"/>
            <w:hideMark/>
          </w:tcPr>
          <w:p w14:paraId="6A84240B"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Studies without readmission or rehabilitation outcome measures</w:t>
            </w:r>
          </w:p>
        </w:tc>
      </w:tr>
      <w:tr w:rsidR="00832F99" w:rsidRPr="00832F99" w14:paraId="491C1631" w14:textId="77777777" w:rsidTr="007B4AC4">
        <w:trPr>
          <w:tblCellSpacing w:w="15" w:type="dxa"/>
        </w:trPr>
        <w:tc>
          <w:tcPr>
            <w:tcW w:w="4633" w:type="dxa"/>
            <w:vAlign w:val="center"/>
            <w:hideMark/>
          </w:tcPr>
          <w:p w14:paraId="28594876"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lastRenderedPageBreak/>
              <w:t>Studies involving adults aged 55 years and over</w:t>
            </w:r>
          </w:p>
        </w:tc>
        <w:tc>
          <w:tcPr>
            <w:tcW w:w="4303" w:type="dxa"/>
            <w:vAlign w:val="center"/>
            <w:hideMark/>
          </w:tcPr>
          <w:p w14:paraId="043D9224"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Studies involving younger populations only</w:t>
            </w:r>
          </w:p>
        </w:tc>
      </w:tr>
      <w:tr w:rsidR="00832F99" w:rsidRPr="00832F99" w14:paraId="419326EB" w14:textId="77777777" w:rsidTr="007B4AC4">
        <w:trPr>
          <w:tblCellSpacing w:w="15" w:type="dxa"/>
        </w:trPr>
        <w:tc>
          <w:tcPr>
            <w:tcW w:w="4633" w:type="dxa"/>
            <w:vAlign w:val="center"/>
            <w:hideMark/>
          </w:tcPr>
          <w:p w14:paraId="558C2898"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Studies examining ethnicity, socioeconomic status, or health inequalities</w:t>
            </w:r>
          </w:p>
        </w:tc>
        <w:tc>
          <w:tcPr>
            <w:tcW w:w="4303" w:type="dxa"/>
            <w:vAlign w:val="center"/>
            <w:hideMark/>
          </w:tcPr>
          <w:p w14:paraId="7CFE4467"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Studies with no consideration of inequality-related factors</w:t>
            </w:r>
          </w:p>
        </w:tc>
      </w:tr>
      <w:tr w:rsidR="00832F99" w:rsidRPr="00832F99" w14:paraId="61525884" w14:textId="77777777" w:rsidTr="007B4AC4">
        <w:trPr>
          <w:tblCellSpacing w:w="15" w:type="dxa"/>
        </w:trPr>
        <w:tc>
          <w:tcPr>
            <w:tcW w:w="4633" w:type="dxa"/>
            <w:vAlign w:val="center"/>
            <w:hideMark/>
          </w:tcPr>
          <w:p w14:paraId="4548D6D1"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Quantitative, qualitative, or mixed-methods studies</w:t>
            </w:r>
          </w:p>
        </w:tc>
        <w:tc>
          <w:tcPr>
            <w:tcW w:w="4303" w:type="dxa"/>
            <w:vAlign w:val="center"/>
            <w:hideMark/>
          </w:tcPr>
          <w:p w14:paraId="1665FAC7"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Studies lacking clear methodology or reliable data</w:t>
            </w:r>
          </w:p>
        </w:tc>
      </w:tr>
      <w:tr w:rsidR="00832F99" w:rsidRPr="00832F99" w14:paraId="45B4FC7A" w14:textId="77777777" w:rsidTr="007B4AC4">
        <w:trPr>
          <w:tblCellSpacing w:w="15" w:type="dxa"/>
        </w:trPr>
        <w:tc>
          <w:tcPr>
            <w:tcW w:w="4633" w:type="dxa"/>
            <w:vAlign w:val="center"/>
            <w:hideMark/>
          </w:tcPr>
          <w:p w14:paraId="2F1AB0F2"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Publications written in English</w:t>
            </w:r>
          </w:p>
        </w:tc>
        <w:tc>
          <w:tcPr>
            <w:tcW w:w="4303" w:type="dxa"/>
            <w:vAlign w:val="center"/>
            <w:hideMark/>
          </w:tcPr>
          <w:p w14:paraId="2E030A75"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Non-English publications</w:t>
            </w:r>
          </w:p>
        </w:tc>
      </w:tr>
      <w:tr w:rsidR="00832F99" w:rsidRPr="00832F99" w14:paraId="78562C06" w14:textId="77777777" w:rsidTr="007B4AC4">
        <w:trPr>
          <w:tblCellSpacing w:w="15" w:type="dxa"/>
        </w:trPr>
        <w:tc>
          <w:tcPr>
            <w:tcW w:w="4633" w:type="dxa"/>
            <w:vAlign w:val="center"/>
            <w:hideMark/>
          </w:tcPr>
          <w:p w14:paraId="4B46A338"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Studies published between 2010 and 2026</w:t>
            </w:r>
          </w:p>
        </w:tc>
        <w:tc>
          <w:tcPr>
            <w:tcW w:w="4303" w:type="dxa"/>
            <w:vAlign w:val="center"/>
            <w:hideMark/>
          </w:tcPr>
          <w:p w14:paraId="6FF07F72"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Studies published before 2010 unless considered historically significant</w:t>
            </w:r>
          </w:p>
        </w:tc>
      </w:tr>
      <w:tr w:rsidR="00832F99" w:rsidRPr="00832F99" w14:paraId="62866E62" w14:textId="77777777" w:rsidTr="007B4AC4">
        <w:trPr>
          <w:tblCellSpacing w:w="15" w:type="dxa"/>
        </w:trPr>
        <w:tc>
          <w:tcPr>
            <w:tcW w:w="4633" w:type="dxa"/>
            <w:vAlign w:val="center"/>
            <w:hideMark/>
          </w:tcPr>
          <w:p w14:paraId="1CE3ECE0"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 xml:space="preserve">Research conducted in the UK </w:t>
            </w:r>
            <w:ins w:id="0" w:author="Ping Wu" w:date="2026-06-03T09:18:00Z">
              <w:r w:rsidRPr="00832F99">
                <w:rPr>
                  <w:rFonts w:ascii="Arial" w:hAnsi="Arial" w:cs="Arial"/>
                  <w:color w:val="000000" w:themeColor="text1"/>
                </w:rPr>
                <w:t>population</w:t>
              </w:r>
            </w:ins>
            <w:del w:id="1" w:author="Ping Wu" w:date="2026-06-03T09:18:00Z">
              <w:r w:rsidRPr="00832F99" w:rsidDel="00307B33">
                <w:rPr>
                  <w:rFonts w:ascii="Arial" w:hAnsi="Arial" w:cs="Arial"/>
                  <w:color w:val="000000" w:themeColor="text1"/>
                </w:rPr>
                <w:delText>or comparable healthcare systems</w:delText>
              </w:r>
            </w:del>
          </w:p>
        </w:tc>
        <w:tc>
          <w:tcPr>
            <w:tcW w:w="4303" w:type="dxa"/>
            <w:vAlign w:val="center"/>
            <w:hideMark/>
          </w:tcPr>
          <w:p w14:paraId="6F03093D"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Studies conducted in unrelated healthcare contexts</w:t>
            </w:r>
          </w:p>
        </w:tc>
      </w:tr>
      <w:tr w:rsidR="00832F99" w:rsidRPr="00832F99" w14:paraId="324AC3C9" w14:textId="77777777" w:rsidTr="007B4AC4">
        <w:trPr>
          <w:tblCellSpacing w:w="15" w:type="dxa"/>
        </w:trPr>
        <w:tc>
          <w:tcPr>
            <w:tcW w:w="4633" w:type="dxa"/>
            <w:vAlign w:val="center"/>
            <w:hideMark/>
          </w:tcPr>
          <w:p w14:paraId="5A457DF1" w14:textId="0219DD95"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Reports from recognised healthcare organisations</w:t>
            </w:r>
            <w:ins w:id="2" w:author="Ping Wu" w:date="2026-06-03T09:19:00Z">
              <w:r w:rsidRPr="00832F99">
                <w:rPr>
                  <w:rFonts w:ascii="Arial" w:hAnsi="Arial" w:cs="Arial"/>
                  <w:color w:val="000000" w:themeColor="text1"/>
                </w:rPr>
                <w:t xml:space="preserve"> including</w:t>
              </w:r>
            </w:ins>
            <w:r w:rsidR="00CC6BED" w:rsidRPr="00832F99">
              <w:rPr>
                <w:rFonts w:ascii="Arial" w:hAnsi="Arial" w:cs="Arial"/>
                <w:color w:val="000000" w:themeColor="text1"/>
              </w:rPr>
              <w:t xml:space="preserve"> </w:t>
            </w:r>
            <w:r w:rsidR="00CC6BED" w:rsidRPr="00832F99">
              <w:rPr>
                <w:rStyle w:val="Strong"/>
                <w:rFonts w:ascii="Arial" w:hAnsi="Arial" w:cs="Arial"/>
                <w:b w:val="0"/>
                <w:bCs w:val="0"/>
                <w:color w:val="000000" w:themeColor="text1"/>
              </w:rPr>
              <w:t>NHS England, Public Health England, the National Institute for Health and Care Excellence (NICE), and the World Health Organization (WHO</w:t>
            </w:r>
            <w:r w:rsidR="00CC6BED" w:rsidRPr="00832F99">
              <w:rPr>
                <w:rStyle w:val="Strong"/>
                <w:rFonts w:ascii="Arial" w:hAnsi="Arial" w:cs="Arial"/>
                <w:color w:val="000000" w:themeColor="text1"/>
              </w:rPr>
              <w:t>)</w:t>
            </w:r>
            <w:ins w:id="3" w:author="Ping Wu" w:date="2026-06-03T09:19:00Z">
              <w:r w:rsidRPr="00832F99">
                <w:rPr>
                  <w:rFonts w:ascii="Arial" w:hAnsi="Arial" w:cs="Arial"/>
                  <w:color w:val="000000" w:themeColor="text1"/>
                </w:rPr>
                <w:t xml:space="preserve"> ….</w:t>
              </w:r>
            </w:ins>
          </w:p>
        </w:tc>
        <w:tc>
          <w:tcPr>
            <w:tcW w:w="4303" w:type="dxa"/>
            <w:vAlign w:val="center"/>
            <w:hideMark/>
          </w:tcPr>
          <w:p w14:paraId="36FD664F"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Conference abstracts without full-text availability</w:t>
            </w:r>
          </w:p>
        </w:tc>
      </w:tr>
    </w:tbl>
    <w:p w14:paraId="7945BCC0"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decision to include studies published between 2010 and 2026 was intended to ensure that the evidence reflected contemporary healthcare practices, rehabilitation models, and policy developments relating to cardiovascular disease management (NICE, 2023). However, landmark studies published before this period were considered where they provided important theoretical foundations or significantly influenced the development of cardiac rehabilitation services (Anderson et al., 2016).</w:t>
      </w:r>
    </w:p>
    <w:p w14:paraId="0366FD93"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Studies involving adults aged 55 years and over were prioritised because this age group experiences a higher prevalence of cardiovascular disease and is more likely to require cardiac rehabilitation following acute cardiac events (British Heart Foundation, 2023). Additionally, older adults often experience greater healthcare needs, increased risk of hospital readmissions, and higher levels of multimorbidity, making them a particularly relevant population for this investigation (World Health Organization, 2024).</w:t>
      </w:r>
    </w:p>
    <w:p w14:paraId="211AB291"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To further strengthen the study selection process, the review adopted a PEO (Population, Exposure, Outcome) framework. The PEO framework is widely used within public health and healthcare systematic reviews because it provides a structured method for defining review questions and identifying relevant evidence (Bettany-Saltikov, 2016). The framework also assists researchers in maintaining focus throughout the screening and selection process by clearly specifying the characteristics of studies to be included (</w:t>
      </w:r>
      <w:proofErr w:type="spellStart"/>
      <w:r w:rsidRPr="00832F99">
        <w:rPr>
          <w:rFonts w:ascii="Arial" w:hAnsi="Arial" w:cs="Arial"/>
          <w:color w:val="000000" w:themeColor="text1"/>
          <w:sz w:val="22"/>
          <w:szCs w:val="22"/>
        </w:rPr>
        <w:t>Aromataris</w:t>
      </w:r>
      <w:proofErr w:type="spellEnd"/>
      <w:r w:rsidRPr="00832F99">
        <w:rPr>
          <w:rFonts w:ascii="Arial" w:hAnsi="Arial" w:cs="Arial"/>
          <w:color w:val="000000" w:themeColor="text1"/>
          <w:sz w:val="22"/>
          <w:szCs w:val="22"/>
        </w:rPr>
        <w:t xml:space="preserve"> and Munn, 2020).</w:t>
      </w:r>
    </w:p>
    <w:p w14:paraId="18412711" w14:textId="77777777" w:rsidR="00C40B32" w:rsidRPr="00832F99" w:rsidRDefault="00C40B32" w:rsidP="00832F99">
      <w:pPr>
        <w:pStyle w:val="Heading4"/>
        <w:jc w:val="both"/>
        <w:rPr>
          <w:rFonts w:ascii="Arial" w:hAnsi="Arial" w:cs="Arial"/>
          <w:color w:val="000000" w:themeColor="text1"/>
        </w:rPr>
      </w:pPr>
      <w:r w:rsidRPr="00832F99">
        <w:rPr>
          <w:rFonts w:ascii="Arial" w:hAnsi="Arial" w:cs="Arial"/>
          <w:color w:val="000000" w:themeColor="text1"/>
        </w:rPr>
        <w:t>Table 3.4: PEO Framework for Study Selection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8"/>
        <w:gridCol w:w="7618"/>
      </w:tblGrid>
      <w:tr w:rsidR="00832F99" w:rsidRPr="00832F99" w14:paraId="76C884B6" w14:textId="77777777" w:rsidTr="0071039A">
        <w:trPr>
          <w:tblHeader/>
          <w:tblCellSpacing w:w="15" w:type="dxa"/>
        </w:trPr>
        <w:tc>
          <w:tcPr>
            <w:tcW w:w="0" w:type="auto"/>
            <w:vAlign w:val="center"/>
            <w:hideMark/>
          </w:tcPr>
          <w:p w14:paraId="1684681B" w14:textId="77777777" w:rsidR="00C40B32" w:rsidRPr="00832F99" w:rsidRDefault="00C40B32" w:rsidP="00832F99">
            <w:pPr>
              <w:jc w:val="both"/>
              <w:rPr>
                <w:rFonts w:ascii="Arial" w:hAnsi="Arial" w:cs="Arial"/>
                <w:b/>
                <w:bCs/>
                <w:color w:val="000000" w:themeColor="text1"/>
              </w:rPr>
            </w:pPr>
            <w:r w:rsidRPr="00832F99">
              <w:rPr>
                <w:rFonts w:ascii="Arial" w:hAnsi="Arial" w:cs="Arial"/>
                <w:b/>
                <w:bCs/>
                <w:color w:val="000000" w:themeColor="text1"/>
              </w:rPr>
              <w:t>Component</w:t>
            </w:r>
          </w:p>
        </w:tc>
        <w:tc>
          <w:tcPr>
            <w:tcW w:w="0" w:type="auto"/>
            <w:vAlign w:val="center"/>
            <w:hideMark/>
          </w:tcPr>
          <w:p w14:paraId="709A9EBC" w14:textId="77777777" w:rsidR="00C40B32" w:rsidRPr="00832F99" w:rsidRDefault="00C40B32" w:rsidP="00832F99">
            <w:pPr>
              <w:jc w:val="both"/>
              <w:rPr>
                <w:rFonts w:ascii="Arial" w:hAnsi="Arial" w:cs="Arial"/>
                <w:b/>
                <w:bCs/>
                <w:color w:val="000000" w:themeColor="text1"/>
              </w:rPr>
            </w:pPr>
            <w:r w:rsidRPr="00832F99">
              <w:rPr>
                <w:rFonts w:ascii="Arial" w:hAnsi="Arial" w:cs="Arial"/>
                <w:b/>
                <w:bCs/>
                <w:color w:val="000000" w:themeColor="text1"/>
              </w:rPr>
              <w:t>Description</w:t>
            </w:r>
          </w:p>
        </w:tc>
      </w:tr>
      <w:tr w:rsidR="00832F99" w:rsidRPr="00832F99" w14:paraId="297BBC8E" w14:textId="77777777" w:rsidTr="0071039A">
        <w:trPr>
          <w:tblCellSpacing w:w="15" w:type="dxa"/>
        </w:trPr>
        <w:tc>
          <w:tcPr>
            <w:tcW w:w="0" w:type="auto"/>
            <w:vAlign w:val="center"/>
            <w:hideMark/>
          </w:tcPr>
          <w:p w14:paraId="0598220C"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Population (P)</w:t>
            </w:r>
          </w:p>
        </w:tc>
        <w:tc>
          <w:tcPr>
            <w:tcW w:w="0" w:type="auto"/>
            <w:vAlign w:val="center"/>
            <w:hideMark/>
          </w:tcPr>
          <w:p w14:paraId="385ED770"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Adults aged 55 years and over with cardiovascular disease in England or comparable healthcare settings</w:t>
            </w:r>
          </w:p>
        </w:tc>
      </w:tr>
      <w:tr w:rsidR="00832F99" w:rsidRPr="00832F99" w14:paraId="310E549A" w14:textId="77777777" w:rsidTr="0071039A">
        <w:trPr>
          <w:tblCellSpacing w:w="15" w:type="dxa"/>
        </w:trPr>
        <w:tc>
          <w:tcPr>
            <w:tcW w:w="0" w:type="auto"/>
            <w:vAlign w:val="center"/>
            <w:hideMark/>
          </w:tcPr>
          <w:p w14:paraId="0AFD5766"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Exposure (E)</w:t>
            </w:r>
          </w:p>
        </w:tc>
        <w:tc>
          <w:tcPr>
            <w:tcW w:w="0" w:type="auto"/>
            <w:vAlign w:val="center"/>
            <w:hideMark/>
          </w:tcPr>
          <w:p w14:paraId="340EA64B"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Participation in cardiac rehabilitation programmes</w:t>
            </w:r>
          </w:p>
        </w:tc>
      </w:tr>
      <w:tr w:rsidR="00832F99" w:rsidRPr="00832F99" w14:paraId="0DFB786D" w14:textId="77777777" w:rsidTr="0071039A">
        <w:trPr>
          <w:tblCellSpacing w:w="15" w:type="dxa"/>
        </w:trPr>
        <w:tc>
          <w:tcPr>
            <w:tcW w:w="0" w:type="auto"/>
            <w:vAlign w:val="center"/>
            <w:hideMark/>
          </w:tcPr>
          <w:p w14:paraId="0DD06B1E"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lastRenderedPageBreak/>
              <w:t>Outcome (O)</w:t>
            </w:r>
          </w:p>
        </w:tc>
        <w:tc>
          <w:tcPr>
            <w:tcW w:w="0" w:type="auto"/>
            <w:vAlign w:val="center"/>
            <w:hideMark/>
          </w:tcPr>
          <w:p w14:paraId="0FAA2934"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 xml:space="preserve">Hospital readmission rates and </w:t>
            </w:r>
            <w:del w:id="4" w:author="Ping Wu" w:date="2026-06-03T09:21:00Z">
              <w:r w:rsidRPr="00832F99" w:rsidDel="00307B33">
                <w:rPr>
                  <w:rFonts w:ascii="Arial" w:hAnsi="Arial" w:cs="Arial"/>
                  <w:color w:val="000000" w:themeColor="text1"/>
                </w:rPr>
                <w:delText>the influence of ethnic and socioeconomic inequalities on rehabilitation outcomes</w:delText>
              </w:r>
            </w:del>
          </w:p>
        </w:tc>
      </w:tr>
    </w:tbl>
    <w:p w14:paraId="03479A7C"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PEO framework ensured that all included studies directly addressed the relationship between cardiac rehabilitation participation and hospital readmissions while also considering factors associated with healthcare inequalities. This contributed to the relevance and consistency of the final evidence base (Bettany-Saltikov, 2016).</w:t>
      </w:r>
    </w:p>
    <w:p w14:paraId="2828977C" w14:textId="536BFE48" w:rsidR="00917871"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Following implementation of the search strategy, studies were screened through a multi-stage selection process consistent with PRISMA 2020 recommendations (Page et al., 2021). Initially, records identified through database searches were exported and duplicate records were removed. The remaining studies were then screened according to their titles and abstracts to determine their relevance to the research question. Studies that appeared potentially eligible proceeded to full-text assessment.</w:t>
      </w:r>
    </w:p>
    <w:p w14:paraId="146D53CE" w14:textId="1B3D6419" w:rsidR="0020012A" w:rsidRPr="00832F99" w:rsidRDefault="0020012A"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3.5: Database Search Results and Screening Process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96"/>
        <w:gridCol w:w="1650"/>
        <w:gridCol w:w="1039"/>
        <w:gridCol w:w="3131"/>
      </w:tblGrid>
      <w:tr w:rsidR="00832F99" w:rsidRPr="00832F99" w14:paraId="69C8460C" w14:textId="77777777" w:rsidTr="00917871">
        <w:trPr>
          <w:tblHeader/>
          <w:tblCellSpacing w:w="15" w:type="dxa"/>
        </w:trPr>
        <w:tc>
          <w:tcPr>
            <w:tcW w:w="0" w:type="auto"/>
            <w:vAlign w:val="center"/>
            <w:hideMark/>
          </w:tcPr>
          <w:p w14:paraId="38483222" w14:textId="77777777" w:rsidR="00917871" w:rsidRPr="00832F99" w:rsidRDefault="00917871"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Database / Source</w:t>
            </w:r>
          </w:p>
        </w:tc>
        <w:tc>
          <w:tcPr>
            <w:tcW w:w="0" w:type="auto"/>
            <w:vAlign w:val="center"/>
            <w:hideMark/>
          </w:tcPr>
          <w:p w14:paraId="44B82422" w14:textId="77777777" w:rsidR="00917871" w:rsidRPr="00832F99" w:rsidRDefault="00917871"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Search Results</w:t>
            </w:r>
          </w:p>
        </w:tc>
        <w:tc>
          <w:tcPr>
            <w:tcW w:w="0" w:type="auto"/>
            <w:vAlign w:val="center"/>
            <w:hideMark/>
          </w:tcPr>
          <w:p w14:paraId="674F07C3" w14:textId="77777777" w:rsidR="00917871" w:rsidRPr="00832F99" w:rsidRDefault="00917871"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Excluded</w:t>
            </w:r>
          </w:p>
        </w:tc>
        <w:tc>
          <w:tcPr>
            <w:tcW w:w="0" w:type="auto"/>
            <w:vAlign w:val="center"/>
            <w:hideMark/>
          </w:tcPr>
          <w:p w14:paraId="5DE9B4C1" w14:textId="77777777" w:rsidR="00917871" w:rsidRPr="00832F99" w:rsidRDefault="00917871"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Included for Full</w:t>
            </w:r>
            <w:r w:rsidRPr="00832F99">
              <w:rPr>
                <w:rFonts w:ascii="Arial" w:eastAsia="Times New Roman" w:hAnsi="Arial" w:cs="Arial"/>
                <w:b/>
                <w:bCs/>
                <w:color w:val="000000" w:themeColor="text1"/>
                <w:lang w:eastAsia="en-IN"/>
              </w:rPr>
              <w:noBreakHyphen/>
              <w:t>Text Review</w:t>
            </w:r>
          </w:p>
        </w:tc>
      </w:tr>
      <w:tr w:rsidR="00832F99" w:rsidRPr="00832F99" w14:paraId="501DFDCF" w14:textId="77777777" w:rsidTr="00917871">
        <w:trPr>
          <w:tblCellSpacing w:w="15" w:type="dxa"/>
        </w:trPr>
        <w:tc>
          <w:tcPr>
            <w:tcW w:w="0" w:type="auto"/>
            <w:vAlign w:val="center"/>
            <w:hideMark/>
          </w:tcPr>
          <w:p w14:paraId="433436D1" w14:textId="77777777" w:rsidR="00917871" w:rsidRPr="00832F99" w:rsidRDefault="00917871"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MEDLINE (via PubMed)</w:t>
            </w:r>
          </w:p>
        </w:tc>
        <w:tc>
          <w:tcPr>
            <w:tcW w:w="0" w:type="auto"/>
            <w:vAlign w:val="center"/>
            <w:hideMark/>
          </w:tcPr>
          <w:p w14:paraId="4527BE73"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420</w:t>
            </w:r>
          </w:p>
        </w:tc>
        <w:tc>
          <w:tcPr>
            <w:tcW w:w="0" w:type="auto"/>
            <w:vAlign w:val="center"/>
            <w:hideMark/>
          </w:tcPr>
          <w:p w14:paraId="20C22968"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340</w:t>
            </w:r>
          </w:p>
        </w:tc>
        <w:tc>
          <w:tcPr>
            <w:tcW w:w="0" w:type="auto"/>
            <w:vAlign w:val="center"/>
            <w:hideMark/>
          </w:tcPr>
          <w:p w14:paraId="53BB3646"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80</w:t>
            </w:r>
          </w:p>
        </w:tc>
      </w:tr>
      <w:tr w:rsidR="00832F99" w:rsidRPr="00832F99" w14:paraId="00A67D39" w14:textId="77777777" w:rsidTr="00917871">
        <w:trPr>
          <w:tblCellSpacing w:w="15" w:type="dxa"/>
        </w:trPr>
        <w:tc>
          <w:tcPr>
            <w:tcW w:w="0" w:type="auto"/>
            <w:vAlign w:val="center"/>
            <w:hideMark/>
          </w:tcPr>
          <w:p w14:paraId="299EDAFF" w14:textId="77777777" w:rsidR="00917871" w:rsidRPr="00832F99" w:rsidRDefault="00917871"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CINAHL</w:t>
            </w:r>
          </w:p>
        </w:tc>
        <w:tc>
          <w:tcPr>
            <w:tcW w:w="0" w:type="auto"/>
            <w:vAlign w:val="center"/>
            <w:hideMark/>
          </w:tcPr>
          <w:p w14:paraId="4E443896"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310</w:t>
            </w:r>
          </w:p>
        </w:tc>
        <w:tc>
          <w:tcPr>
            <w:tcW w:w="0" w:type="auto"/>
            <w:vAlign w:val="center"/>
            <w:hideMark/>
          </w:tcPr>
          <w:p w14:paraId="2A3BA511"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250</w:t>
            </w:r>
          </w:p>
        </w:tc>
        <w:tc>
          <w:tcPr>
            <w:tcW w:w="0" w:type="auto"/>
            <w:vAlign w:val="center"/>
            <w:hideMark/>
          </w:tcPr>
          <w:p w14:paraId="4D383718"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60</w:t>
            </w:r>
          </w:p>
        </w:tc>
      </w:tr>
      <w:tr w:rsidR="00832F99" w:rsidRPr="00832F99" w14:paraId="30CCF3FE" w14:textId="77777777" w:rsidTr="00917871">
        <w:trPr>
          <w:tblCellSpacing w:w="15" w:type="dxa"/>
        </w:trPr>
        <w:tc>
          <w:tcPr>
            <w:tcW w:w="0" w:type="auto"/>
            <w:vAlign w:val="center"/>
            <w:hideMark/>
          </w:tcPr>
          <w:p w14:paraId="0E1E9D98" w14:textId="77777777" w:rsidR="00917871" w:rsidRPr="00832F99" w:rsidRDefault="00917871"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Cochrane Library</w:t>
            </w:r>
          </w:p>
        </w:tc>
        <w:tc>
          <w:tcPr>
            <w:tcW w:w="0" w:type="auto"/>
            <w:vAlign w:val="center"/>
            <w:hideMark/>
          </w:tcPr>
          <w:p w14:paraId="4790984D"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220</w:t>
            </w:r>
          </w:p>
        </w:tc>
        <w:tc>
          <w:tcPr>
            <w:tcW w:w="0" w:type="auto"/>
            <w:vAlign w:val="center"/>
            <w:hideMark/>
          </w:tcPr>
          <w:p w14:paraId="112F9D47"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180</w:t>
            </w:r>
          </w:p>
        </w:tc>
        <w:tc>
          <w:tcPr>
            <w:tcW w:w="0" w:type="auto"/>
            <w:vAlign w:val="center"/>
            <w:hideMark/>
          </w:tcPr>
          <w:p w14:paraId="6AB159BF"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40</w:t>
            </w:r>
          </w:p>
        </w:tc>
      </w:tr>
      <w:tr w:rsidR="00832F99" w:rsidRPr="00832F99" w14:paraId="6129319F" w14:textId="77777777" w:rsidTr="00917871">
        <w:trPr>
          <w:tblCellSpacing w:w="15" w:type="dxa"/>
        </w:trPr>
        <w:tc>
          <w:tcPr>
            <w:tcW w:w="0" w:type="auto"/>
            <w:vAlign w:val="center"/>
            <w:hideMark/>
          </w:tcPr>
          <w:p w14:paraId="41B91790" w14:textId="77777777" w:rsidR="00917871" w:rsidRPr="00832F99" w:rsidRDefault="00917871"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Scopus</w:t>
            </w:r>
          </w:p>
        </w:tc>
        <w:tc>
          <w:tcPr>
            <w:tcW w:w="0" w:type="auto"/>
            <w:vAlign w:val="center"/>
            <w:hideMark/>
          </w:tcPr>
          <w:p w14:paraId="74C9C34E"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260</w:t>
            </w:r>
          </w:p>
        </w:tc>
        <w:tc>
          <w:tcPr>
            <w:tcW w:w="0" w:type="auto"/>
            <w:vAlign w:val="center"/>
            <w:hideMark/>
          </w:tcPr>
          <w:p w14:paraId="7B5678ED"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210</w:t>
            </w:r>
          </w:p>
        </w:tc>
        <w:tc>
          <w:tcPr>
            <w:tcW w:w="0" w:type="auto"/>
            <w:vAlign w:val="center"/>
            <w:hideMark/>
          </w:tcPr>
          <w:p w14:paraId="3F6A0406"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50</w:t>
            </w:r>
          </w:p>
        </w:tc>
      </w:tr>
      <w:tr w:rsidR="00832F99" w:rsidRPr="00832F99" w14:paraId="26526CA1" w14:textId="77777777" w:rsidTr="00917871">
        <w:trPr>
          <w:tblCellSpacing w:w="15" w:type="dxa"/>
        </w:trPr>
        <w:tc>
          <w:tcPr>
            <w:tcW w:w="0" w:type="auto"/>
            <w:vAlign w:val="center"/>
            <w:hideMark/>
          </w:tcPr>
          <w:p w14:paraId="046179A1" w14:textId="77777777" w:rsidR="00917871" w:rsidRPr="00832F99" w:rsidRDefault="00917871"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Web of Science</w:t>
            </w:r>
          </w:p>
        </w:tc>
        <w:tc>
          <w:tcPr>
            <w:tcW w:w="0" w:type="auto"/>
            <w:vAlign w:val="center"/>
            <w:hideMark/>
          </w:tcPr>
          <w:p w14:paraId="2A83D94D"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200</w:t>
            </w:r>
          </w:p>
        </w:tc>
        <w:tc>
          <w:tcPr>
            <w:tcW w:w="0" w:type="auto"/>
            <w:vAlign w:val="center"/>
            <w:hideMark/>
          </w:tcPr>
          <w:p w14:paraId="1F342136"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160</w:t>
            </w:r>
          </w:p>
        </w:tc>
        <w:tc>
          <w:tcPr>
            <w:tcW w:w="0" w:type="auto"/>
            <w:vAlign w:val="center"/>
            <w:hideMark/>
          </w:tcPr>
          <w:p w14:paraId="2DEADDF9"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40</w:t>
            </w:r>
          </w:p>
        </w:tc>
      </w:tr>
      <w:tr w:rsidR="00832F99" w:rsidRPr="00832F99" w14:paraId="627A1FA2" w14:textId="77777777" w:rsidTr="00917871">
        <w:trPr>
          <w:tblCellSpacing w:w="15" w:type="dxa"/>
        </w:trPr>
        <w:tc>
          <w:tcPr>
            <w:tcW w:w="0" w:type="auto"/>
            <w:vAlign w:val="center"/>
            <w:hideMark/>
          </w:tcPr>
          <w:p w14:paraId="431E27CB" w14:textId="77777777" w:rsidR="00917871" w:rsidRPr="00832F99" w:rsidRDefault="00917871"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Google Scholar</w:t>
            </w:r>
          </w:p>
        </w:tc>
        <w:tc>
          <w:tcPr>
            <w:tcW w:w="0" w:type="auto"/>
            <w:vAlign w:val="center"/>
            <w:hideMark/>
          </w:tcPr>
          <w:p w14:paraId="76E95F46"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150</w:t>
            </w:r>
          </w:p>
        </w:tc>
        <w:tc>
          <w:tcPr>
            <w:tcW w:w="0" w:type="auto"/>
            <w:vAlign w:val="center"/>
            <w:hideMark/>
          </w:tcPr>
          <w:p w14:paraId="71F8FA09"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120</w:t>
            </w:r>
          </w:p>
        </w:tc>
        <w:tc>
          <w:tcPr>
            <w:tcW w:w="0" w:type="auto"/>
            <w:vAlign w:val="center"/>
            <w:hideMark/>
          </w:tcPr>
          <w:p w14:paraId="779D23FA"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30</w:t>
            </w:r>
          </w:p>
        </w:tc>
      </w:tr>
      <w:tr w:rsidR="00832F99" w:rsidRPr="00832F99" w14:paraId="4DBA1A30" w14:textId="77777777" w:rsidTr="00917871">
        <w:trPr>
          <w:tblCellSpacing w:w="15" w:type="dxa"/>
        </w:trPr>
        <w:tc>
          <w:tcPr>
            <w:tcW w:w="0" w:type="auto"/>
            <w:vAlign w:val="center"/>
            <w:hideMark/>
          </w:tcPr>
          <w:p w14:paraId="021C86C3" w14:textId="77777777" w:rsidR="00917871" w:rsidRPr="00832F99" w:rsidRDefault="00917871"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Hand Search</w:t>
            </w:r>
          </w:p>
        </w:tc>
        <w:tc>
          <w:tcPr>
            <w:tcW w:w="0" w:type="auto"/>
            <w:vAlign w:val="center"/>
            <w:hideMark/>
          </w:tcPr>
          <w:p w14:paraId="1B6A9273"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40</w:t>
            </w:r>
          </w:p>
        </w:tc>
        <w:tc>
          <w:tcPr>
            <w:tcW w:w="0" w:type="auto"/>
            <w:vAlign w:val="center"/>
            <w:hideMark/>
          </w:tcPr>
          <w:p w14:paraId="628114AD"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35</w:t>
            </w:r>
          </w:p>
        </w:tc>
        <w:tc>
          <w:tcPr>
            <w:tcW w:w="0" w:type="auto"/>
            <w:vAlign w:val="center"/>
            <w:hideMark/>
          </w:tcPr>
          <w:p w14:paraId="0D032BF5"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color w:val="000000" w:themeColor="text1"/>
                <w:lang w:eastAsia="en-IN"/>
              </w:rPr>
              <w:t>5</w:t>
            </w:r>
          </w:p>
        </w:tc>
      </w:tr>
      <w:tr w:rsidR="00832F99" w:rsidRPr="00832F99" w14:paraId="2F3B5803" w14:textId="77777777" w:rsidTr="00917871">
        <w:trPr>
          <w:tblCellSpacing w:w="15" w:type="dxa"/>
        </w:trPr>
        <w:tc>
          <w:tcPr>
            <w:tcW w:w="0" w:type="auto"/>
            <w:vAlign w:val="center"/>
            <w:hideMark/>
          </w:tcPr>
          <w:p w14:paraId="778B8883" w14:textId="77777777" w:rsidR="00917871" w:rsidRPr="00832F99" w:rsidRDefault="00917871" w:rsidP="00832F99">
            <w:pPr>
              <w:spacing w:after="0" w:line="240" w:lineRule="auto"/>
              <w:jc w:val="both"/>
              <w:rPr>
                <w:rFonts w:ascii="Arial" w:eastAsia="Times New Roman" w:hAnsi="Arial" w:cs="Arial"/>
                <w:b/>
                <w:bCs/>
                <w:color w:val="000000" w:themeColor="text1"/>
                <w:lang w:eastAsia="en-IN"/>
              </w:rPr>
            </w:pPr>
            <w:r w:rsidRPr="00832F99">
              <w:rPr>
                <w:rFonts w:ascii="Arial" w:eastAsia="Times New Roman" w:hAnsi="Arial" w:cs="Arial"/>
                <w:b/>
                <w:bCs/>
                <w:color w:val="000000" w:themeColor="text1"/>
                <w:lang w:eastAsia="en-IN"/>
              </w:rPr>
              <w:t>Total</w:t>
            </w:r>
          </w:p>
        </w:tc>
        <w:tc>
          <w:tcPr>
            <w:tcW w:w="0" w:type="auto"/>
            <w:vAlign w:val="center"/>
            <w:hideMark/>
          </w:tcPr>
          <w:p w14:paraId="3F010B11"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b/>
                <w:bCs/>
                <w:color w:val="000000" w:themeColor="text1"/>
                <w:lang w:eastAsia="en-IN"/>
              </w:rPr>
              <w:t>1,600</w:t>
            </w:r>
          </w:p>
        </w:tc>
        <w:tc>
          <w:tcPr>
            <w:tcW w:w="0" w:type="auto"/>
            <w:vAlign w:val="center"/>
            <w:hideMark/>
          </w:tcPr>
          <w:p w14:paraId="26126039"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b/>
                <w:bCs/>
                <w:color w:val="000000" w:themeColor="text1"/>
                <w:lang w:eastAsia="en-IN"/>
              </w:rPr>
              <w:t>1,295</w:t>
            </w:r>
          </w:p>
        </w:tc>
        <w:tc>
          <w:tcPr>
            <w:tcW w:w="0" w:type="auto"/>
            <w:vAlign w:val="center"/>
            <w:hideMark/>
          </w:tcPr>
          <w:p w14:paraId="2A022467" w14:textId="77777777" w:rsidR="00917871" w:rsidRPr="00832F99" w:rsidRDefault="00917871" w:rsidP="00832F99">
            <w:pPr>
              <w:spacing w:after="0" w:line="240" w:lineRule="auto"/>
              <w:jc w:val="both"/>
              <w:rPr>
                <w:rFonts w:ascii="Arial" w:eastAsia="Times New Roman" w:hAnsi="Arial" w:cs="Arial"/>
                <w:color w:val="000000" w:themeColor="text1"/>
                <w:lang w:eastAsia="en-IN"/>
              </w:rPr>
            </w:pPr>
            <w:r w:rsidRPr="00832F99">
              <w:rPr>
                <w:rFonts w:ascii="Arial" w:eastAsia="Times New Roman" w:hAnsi="Arial" w:cs="Arial"/>
                <w:b/>
                <w:bCs/>
                <w:color w:val="000000" w:themeColor="text1"/>
                <w:lang w:eastAsia="en-IN"/>
              </w:rPr>
              <w:t>305</w:t>
            </w:r>
          </w:p>
        </w:tc>
      </w:tr>
    </w:tbl>
    <w:p w14:paraId="7CB88DB0" w14:textId="0F8CF55A" w:rsidR="00C40B32" w:rsidRPr="00832F99" w:rsidRDefault="00D05A93"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The title and abstract screening stage enabled the removal of studies that clearly failed to meet the eligibility criteria. </w:t>
      </w:r>
      <w:r w:rsidR="00C40B32" w:rsidRPr="00832F99">
        <w:rPr>
          <w:rFonts w:ascii="Arial" w:hAnsi="Arial" w:cs="Arial"/>
          <w:color w:val="000000" w:themeColor="text1"/>
          <w:sz w:val="22"/>
          <w:szCs w:val="22"/>
        </w:rPr>
        <w:t>Common reasons for exclusion included a lack of focus on cardiac rehabilitation, absence of hospital readmission outcomes, studies involving younger populations, or articles unrelated to healthcare inequalities. Screening titles and abstracts before conducting full-text reviews is recommended because it improves efficiency and reduces the workload associated with assessing large volumes of literature (Booth, Sutton and Papaioannou, 2021).</w:t>
      </w:r>
    </w:p>
    <w:p w14:paraId="4F209924"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Following initial screening, full-text articles were assessed against the predefined inclusion and exclusion criteria. Full-text screening allowed a more detailed evaluation of study relevance, methodological quality, participant characteristics, and outcome measures (</w:t>
      </w:r>
      <w:proofErr w:type="spellStart"/>
      <w:r w:rsidRPr="00832F99">
        <w:rPr>
          <w:rFonts w:ascii="Arial" w:hAnsi="Arial" w:cs="Arial"/>
          <w:color w:val="000000" w:themeColor="text1"/>
          <w:sz w:val="22"/>
          <w:szCs w:val="22"/>
        </w:rPr>
        <w:t>Aromataris</w:t>
      </w:r>
      <w:proofErr w:type="spellEnd"/>
      <w:r w:rsidRPr="00832F99">
        <w:rPr>
          <w:rFonts w:ascii="Arial" w:hAnsi="Arial" w:cs="Arial"/>
          <w:color w:val="000000" w:themeColor="text1"/>
          <w:sz w:val="22"/>
          <w:szCs w:val="22"/>
        </w:rPr>
        <w:t xml:space="preserve"> and Munn, 2020).</w:t>
      </w:r>
    </w:p>
    <w:p w14:paraId="309FCBD3" w14:textId="77777777" w:rsidR="00C40B32" w:rsidRPr="00832F99" w:rsidRDefault="00C40B32" w:rsidP="00832F99">
      <w:pPr>
        <w:pStyle w:val="Heading4"/>
        <w:jc w:val="both"/>
        <w:rPr>
          <w:rFonts w:ascii="Arial" w:hAnsi="Arial" w:cs="Arial"/>
          <w:color w:val="000000" w:themeColor="text1"/>
        </w:rPr>
      </w:pPr>
      <w:r w:rsidRPr="00832F99">
        <w:rPr>
          <w:rFonts w:ascii="Arial" w:hAnsi="Arial" w:cs="Arial"/>
          <w:color w:val="000000" w:themeColor="text1"/>
        </w:rPr>
        <w:t>Table 3.6: Full-Text Screening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17"/>
        <w:gridCol w:w="2031"/>
      </w:tblGrid>
      <w:tr w:rsidR="00832F99" w:rsidRPr="00832F99" w14:paraId="715B215D" w14:textId="77777777" w:rsidTr="0071039A">
        <w:trPr>
          <w:tblHeader/>
          <w:tblCellSpacing w:w="15" w:type="dxa"/>
        </w:trPr>
        <w:tc>
          <w:tcPr>
            <w:tcW w:w="0" w:type="auto"/>
            <w:vAlign w:val="center"/>
            <w:hideMark/>
          </w:tcPr>
          <w:p w14:paraId="7D5B3E02" w14:textId="77777777" w:rsidR="00C40B32" w:rsidRPr="00832F99" w:rsidRDefault="00C40B32" w:rsidP="00832F99">
            <w:pPr>
              <w:jc w:val="both"/>
              <w:rPr>
                <w:rFonts w:ascii="Arial" w:hAnsi="Arial" w:cs="Arial"/>
                <w:b/>
                <w:bCs/>
                <w:color w:val="000000" w:themeColor="text1"/>
              </w:rPr>
            </w:pPr>
            <w:r w:rsidRPr="00832F99">
              <w:rPr>
                <w:rFonts w:ascii="Arial" w:hAnsi="Arial" w:cs="Arial"/>
                <w:b/>
                <w:bCs/>
                <w:color w:val="000000" w:themeColor="text1"/>
              </w:rPr>
              <w:t>Screening Stage</w:t>
            </w:r>
          </w:p>
        </w:tc>
        <w:tc>
          <w:tcPr>
            <w:tcW w:w="0" w:type="auto"/>
            <w:vAlign w:val="center"/>
            <w:hideMark/>
          </w:tcPr>
          <w:p w14:paraId="3066C332" w14:textId="77777777" w:rsidR="00C40B32" w:rsidRPr="00832F99" w:rsidRDefault="00C40B32" w:rsidP="00832F99">
            <w:pPr>
              <w:jc w:val="both"/>
              <w:rPr>
                <w:rFonts w:ascii="Arial" w:hAnsi="Arial" w:cs="Arial"/>
                <w:b/>
                <w:bCs/>
                <w:color w:val="000000" w:themeColor="text1"/>
              </w:rPr>
            </w:pPr>
            <w:r w:rsidRPr="00832F99">
              <w:rPr>
                <w:rFonts w:ascii="Arial" w:hAnsi="Arial" w:cs="Arial"/>
                <w:b/>
                <w:bCs/>
                <w:color w:val="000000" w:themeColor="text1"/>
              </w:rPr>
              <w:t>Number of Studies</w:t>
            </w:r>
          </w:p>
        </w:tc>
      </w:tr>
      <w:tr w:rsidR="00832F99" w:rsidRPr="00832F99" w14:paraId="3B3FE9B8" w14:textId="77777777" w:rsidTr="0071039A">
        <w:trPr>
          <w:tblCellSpacing w:w="15" w:type="dxa"/>
        </w:trPr>
        <w:tc>
          <w:tcPr>
            <w:tcW w:w="0" w:type="auto"/>
            <w:vAlign w:val="center"/>
            <w:hideMark/>
          </w:tcPr>
          <w:p w14:paraId="501BE292"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Full-text articles assessed for eligibility</w:t>
            </w:r>
          </w:p>
        </w:tc>
        <w:tc>
          <w:tcPr>
            <w:tcW w:w="0" w:type="auto"/>
            <w:vAlign w:val="center"/>
            <w:hideMark/>
          </w:tcPr>
          <w:p w14:paraId="58CFE98F"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120</w:t>
            </w:r>
          </w:p>
        </w:tc>
      </w:tr>
      <w:tr w:rsidR="00832F99" w:rsidRPr="00832F99" w14:paraId="0AAFD33C" w14:textId="77777777" w:rsidTr="0071039A">
        <w:trPr>
          <w:tblCellSpacing w:w="15" w:type="dxa"/>
        </w:trPr>
        <w:tc>
          <w:tcPr>
            <w:tcW w:w="0" w:type="auto"/>
            <w:vAlign w:val="center"/>
            <w:hideMark/>
          </w:tcPr>
          <w:p w14:paraId="1DF5F85C"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Full-text articles excluded</w:t>
            </w:r>
          </w:p>
        </w:tc>
        <w:tc>
          <w:tcPr>
            <w:tcW w:w="0" w:type="auto"/>
            <w:vAlign w:val="center"/>
            <w:hideMark/>
          </w:tcPr>
          <w:p w14:paraId="0045A3F6"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105</w:t>
            </w:r>
          </w:p>
        </w:tc>
      </w:tr>
      <w:tr w:rsidR="00832F99" w:rsidRPr="00832F99" w14:paraId="2E3C0CD6" w14:textId="77777777" w:rsidTr="0071039A">
        <w:trPr>
          <w:tblCellSpacing w:w="15" w:type="dxa"/>
        </w:trPr>
        <w:tc>
          <w:tcPr>
            <w:tcW w:w="0" w:type="auto"/>
            <w:vAlign w:val="center"/>
            <w:hideMark/>
          </w:tcPr>
          <w:p w14:paraId="1647677D"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Studies included in final review</w:t>
            </w:r>
          </w:p>
        </w:tc>
        <w:tc>
          <w:tcPr>
            <w:tcW w:w="0" w:type="auto"/>
            <w:vAlign w:val="center"/>
            <w:hideMark/>
          </w:tcPr>
          <w:p w14:paraId="4C59DB3A"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15</w:t>
            </w:r>
          </w:p>
        </w:tc>
      </w:tr>
    </w:tbl>
    <w:p w14:paraId="50C537EC" w14:textId="77777777" w:rsidR="00C40B32" w:rsidRPr="00832F99" w:rsidRDefault="00C40B32" w:rsidP="00832F99">
      <w:pPr>
        <w:pStyle w:val="Heading1"/>
        <w:jc w:val="both"/>
        <w:rPr>
          <w:rFonts w:ascii="Arial" w:eastAsia="Arial" w:hAnsi="Arial" w:cs="Arial"/>
          <w:b/>
          <w:bCs/>
          <w:color w:val="000000" w:themeColor="text1"/>
          <w:sz w:val="22"/>
          <w:szCs w:val="22"/>
          <w:lang w:val="en-US"/>
        </w:rPr>
      </w:pPr>
      <w:bookmarkStart w:id="5" w:name="_Toc218672600"/>
      <w:r w:rsidRPr="00832F99">
        <w:rPr>
          <w:rFonts w:ascii="Arial" w:eastAsia="Arial" w:hAnsi="Arial" w:cs="Arial"/>
          <w:color w:val="000000" w:themeColor="text1"/>
          <w:sz w:val="22"/>
          <w:szCs w:val="22"/>
          <w:lang w:val="en-US"/>
        </w:rPr>
        <w:lastRenderedPageBreak/>
        <w:t>Figure 1: PRISMA Flow chart (page et al., 2021)</w:t>
      </w:r>
      <w:bookmarkEnd w:id="5"/>
      <w:ins w:id="6" w:author="Ping Wu" w:date="2026-06-03T09:25:00Z">
        <w:r w:rsidRPr="00832F99">
          <w:rPr>
            <w:rFonts w:ascii="Arial" w:eastAsia="Arial" w:hAnsi="Arial" w:cs="Arial"/>
            <w:color w:val="000000" w:themeColor="text1"/>
            <w:sz w:val="22"/>
            <w:szCs w:val="22"/>
            <w:lang w:val="en-US"/>
          </w:rPr>
          <w:t xml:space="preserve"> </w:t>
        </w:r>
      </w:ins>
      <w:ins w:id="7" w:author="Ping Wu" w:date="2026-06-03T09:26:00Z">
        <w:r w:rsidRPr="00832F99">
          <w:rPr>
            <w:rFonts w:ascii="Arial" w:eastAsia="Arial" w:hAnsi="Arial" w:cs="Arial"/>
            <w:color w:val="000000" w:themeColor="text1"/>
            <w:sz w:val="22"/>
            <w:szCs w:val="22"/>
            <w:lang w:val="en-US"/>
          </w:rPr>
          <w:t>Explain what’s hand search in methodology</w:t>
        </w:r>
      </w:ins>
    </w:p>
    <w:p w14:paraId="38FF2BD5" w14:textId="77777777" w:rsidR="00C40B32" w:rsidRPr="00832F99" w:rsidRDefault="00C40B32" w:rsidP="00832F99">
      <w:pPr>
        <w:pStyle w:val="Heading1"/>
        <w:jc w:val="both"/>
        <w:rPr>
          <w:rFonts w:ascii="Arial" w:eastAsia="Arial" w:hAnsi="Arial" w:cs="Arial"/>
          <w:color w:val="000000" w:themeColor="text1"/>
          <w:sz w:val="22"/>
          <w:szCs w:val="22"/>
          <w:lang w:val="en-US"/>
        </w:rPr>
      </w:pPr>
      <w:r w:rsidRPr="00832F99">
        <w:rPr>
          <w:rFonts w:ascii="Arial" w:eastAsia="Arial" w:hAnsi="Arial" w:cs="Arial"/>
          <w:noProof/>
          <w:color w:val="000000" w:themeColor="text1"/>
          <w:sz w:val="22"/>
          <w:szCs w:val="22"/>
          <w:highlight w:val="black"/>
          <w:lang w:val="en-US"/>
        </w:rPr>
        <w:drawing>
          <wp:inline distT="0" distB="0" distL="0" distR="0" wp14:anchorId="0638B167" wp14:editId="66B46D84">
            <wp:extent cx="5259705" cy="43908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5361006" cy="4475412"/>
                    </a:xfrm>
                    <a:prstGeom prst="rect">
                      <a:avLst/>
                    </a:prstGeom>
                  </pic:spPr>
                </pic:pic>
              </a:graphicData>
            </a:graphic>
          </wp:inline>
        </w:drawing>
      </w:r>
    </w:p>
    <w:p w14:paraId="30414EB7"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Studies excluded at the full-text stage were removed for several reasons, including inadequate reporting of outcomes, lack of relevance to cardiac rehabilitation, insufficient methodological quality, duplication of findings, or failure to examine hospital readmission outcomes. Excluding studies based on predefined criteria helped maintain consistency and improve the overall quality of the evidence included within the review (Page et al., 2021).</w:t>
      </w:r>
    </w:p>
    <w:p w14:paraId="54758F22" w14:textId="72570414"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The study selection process was guided by the Preferred Reporting Items </w:t>
      </w:r>
      <w:proofErr w:type="gramStart"/>
      <w:r w:rsidRPr="00832F99">
        <w:rPr>
          <w:rFonts w:ascii="Arial" w:hAnsi="Arial" w:cs="Arial"/>
          <w:color w:val="000000" w:themeColor="text1"/>
          <w:sz w:val="22"/>
          <w:szCs w:val="22"/>
        </w:rPr>
        <w:t xml:space="preserve">for </w:t>
      </w:r>
      <w:r w:rsidRPr="00832F99">
        <w:rPr>
          <w:rFonts w:ascii="Arial" w:hAnsi="Arial" w:cs="Arial"/>
          <w:color w:val="000000" w:themeColor="text1"/>
          <w:sz w:val="22"/>
          <w:szCs w:val="22"/>
          <w:rPrChange w:id="8" w:author="Ping Wu" w:date="2026-06-03T08:59:00Z">
            <w:rPr/>
          </w:rPrChange>
        </w:rPr>
        <w:t xml:space="preserve"> PRISMA</w:t>
      </w:r>
      <w:proofErr w:type="gramEnd"/>
      <w:r w:rsidRPr="00832F99">
        <w:rPr>
          <w:rFonts w:ascii="Arial" w:hAnsi="Arial" w:cs="Arial"/>
          <w:color w:val="000000" w:themeColor="text1"/>
          <w:sz w:val="22"/>
          <w:szCs w:val="22"/>
        </w:rPr>
        <w:t xml:space="preserve"> 2020 framework (Page et al., 2021). PRISMA is internationally recognised as the gold standard for reporting systematic reviews because it promotes transparency and accountability throughout the review process (Booth, Sutton and Papaioannou, 2021). The framework provides guidance for documenting the number of studies identified, screened, excluded, and included, thereby enabling readers to understand how the final evidence base was developed.</w:t>
      </w:r>
    </w:p>
    <w:p w14:paraId="3D00DE39"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A PRISMA flow diagram was used to visually present the study selection process and illustrate the progression of records through the identification, screening, eligibility, and inclusion stages. The use of a PRISMA flow diagram enhances transparency and allows readers to assess the comprehensiveness of the review process (Page et al., 2021).</w:t>
      </w:r>
    </w:p>
    <w:p w14:paraId="655A067F"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Overall, the application of clearly defined inclusion and exclusion criteria ensured that only relevant, high-quality, and methodologically appropriate evidence was included within the review. The use of the PEO framework, structured screening procedures, and PRISMA guidance strengthened the transparency, reliability, and validity of the study selection process. Consequently, the final body of literature provided a robust evidence base for examining the effectiveness of cardiac rehabilitation programmes in reducing hospital readmissions and </w:t>
      </w:r>
      <w:r w:rsidRPr="00832F99">
        <w:rPr>
          <w:rFonts w:ascii="Arial" w:hAnsi="Arial" w:cs="Arial"/>
          <w:color w:val="000000" w:themeColor="text1"/>
          <w:sz w:val="22"/>
          <w:szCs w:val="22"/>
        </w:rPr>
        <w:lastRenderedPageBreak/>
        <w:t>exploring the impact of ethnic and socioeconomic inequalities on rehabilitation participation and outcomes among older adults in England.</w:t>
      </w:r>
    </w:p>
    <w:p w14:paraId="49B83584" w14:textId="46EA4F65" w:rsidR="00C40B32" w:rsidRPr="00832F99" w:rsidRDefault="00C40B32" w:rsidP="00832F99">
      <w:pPr>
        <w:pStyle w:val="Heading3"/>
        <w:jc w:val="both"/>
        <w:rPr>
          <w:rFonts w:ascii="Arial" w:hAnsi="Arial" w:cs="Arial"/>
          <w:color w:val="000000" w:themeColor="text1"/>
          <w:sz w:val="22"/>
          <w:szCs w:val="22"/>
        </w:rPr>
      </w:pPr>
      <w:r w:rsidRPr="00832F99">
        <w:rPr>
          <w:rFonts w:ascii="Arial" w:hAnsi="Arial" w:cs="Arial"/>
          <w:color w:val="000000" w:themeColor="text1"/>
          <w:sz w:val="22"/>
          <w:szCs w:val="22"/>
        </w:rPr>
        <w:t>3.</w:t>
      </w:r>
      <w:r w:rsidR="00AA4B24">
        <w:rPr>
          <w:rFonts w:ascii="Arial" w:hAnsi="Arial" w:cs="Arial"/>
          <w:color w:val="000000" w:themeColor="text1"/>
          <w:sz w:val="22"/>
          <w:szCs w:val="22"/>
        </w:rPr>
        <w:t xml:space="preserve">7 </w:t>
      </w:r>
      <w:r w:rsidRPr="00832F99">
        <w:rPr>
          <w:rFonts w:ascii="Arial" w:hAnsi="Arial" w:cs="Arial"/>
          <w:color w:val="000000" w:themeColor="text1"/>
          <w:sz w:val="22"/>
          <w:szCs w:val="22"/>
        </w:rPr>
        <w:t>Quality Appraisal</w:t>
      </w:r>
    </w:p>
    <w:p w14:paraId="3AE9DAB3"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Quality appraisal represents a critical stage within the systematic literature review process because it enables researchers to assess the methodological quality, credibility, reliability, and validity of the studies included in the review (</w:t>
      </w:r>
      <w:proofErr w:type="spellStart"/>
      <w:r w:rsidRPr="00832F99">
        <w:rPr>
          <w:rFonts w:ascii="Arial" w:hAnsi="Arial" w:cs="Arial"/>
          <w:color w:val="000000" w:themeColor="text1"/>
          <w:sz w:val="22"/>
          <w:szCs w:val="22"/>
        </w:rPr>
        <w:t>Aromataris</w:t>
      </w:r>
      <w:proofErr w:type="spellEnd"/>
      <w:r w:rsidRPr="00832F99">
        <w:rPr>
          <w:rFonts w:ascii="Arial" w:hAnsi="Arial" w:cs="Arial"/>
          <w:color w:val="000000" w:themeColor="text1"/>
          <w:sz w:val="22"/>
          <w:szCs w:val="22"/>
        </w:rPr>
        <w:t xml:space="preserve"> and Munn, 2020). Systematic reviews that fail to evaluate study quality may risk drawing conclusions from weak or biased evidence, potentially compromising the validity of the review findings (Booth, Sutton and Papaioannou, 2021). Consequently, quality appraisal was undertaken to ensure that the evidence included in this dissertation was methodologically robust and relevant to the research objectives.</w:t>
      </w:r>
    </w:p>
    <w:p w14:paraId="3877E563"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primary purpose of quality appraisal is to identify the strengths and weaknesses of individual studies and determine the extent to which their findings can be considered trustworthy (Page et al., 2021). Assessing methodological quality is particularly important in healthcare research because variations in study design, sample selection, outcome measurement, and analytical techniques can significantly influence reported results (Greenhalgh, 2019). In studies investigating cardiac rehabilitation and hospital readmissions, methodological differences may affect conclusions regarding programme effectiveness and the impact of socioeconomic and ethnic inequalities.</w:t>
      </w:r>
    </w:p>
    <w:p w14:paraId="6AA7D111"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To assess the quality of the selected studies, this review utilised the Critical Appraisal Skills Programme (CASP) checklists. CASP is one of the most widely recognised appraisal frameworks used within healthcare, nursing, public health, and social science research (CASP, 2024). The tool provides a structured approach for evaluating the methodological rigour of research and has been extensively applied in systematic reviews involving quantitative, qualitative, and mixed-methods studies (Long, French and Brooks, 2020).</w:t>
      </w:r>
    </w:p>
    <w:p w14:paraId="430C6BAB"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decision to use the CASP framework was based on its flexibility and suitability for evaluating multiple study designs. The literature included within this review consisted primarily of cohort studies, observational studies, systematic reviews, and healthcare evaluations examining the effectiveness of cardiac rehabilitation programmes. CASP provides specific appraisal criteria for each of these study types, enabling a consistent and systematic assessment process (CASP, 2024).</w:t>
      </w:r>
    </w:p>
    <w:p w14:paraId="4E8B4794"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Each study was assessed against a number of key methodological criteria. These criteria included the clarity of research aims, appropriateness of the research design, sampling procedures, data collection methods, consideration of potential bias, analytical rigour, ethical considerations, and the relevance of the findings to the research question (</w:t>
      </w:r>
      <w:proofErr w:type="spellStart"/>
      <w:r w:rsidRPr="00832F99">
        <w:rPr>
          <w:rFonts w:ascii="Arial" w:hAnsi="Arial" w:cs="Arial"/>
          <w:color w:val="000000" w:themeColor="text1"/>
          <w:sz w:val="22"/>
          <w:szCs w:val="22"/>
        </w:rPr>
        <w:t>Aromataris</w:t>
      </w:r>
      <w:proofErr w:type="spellEnd"/>
      <w:r w:rsidRPr="00832F99">
        <w:rPr>
          <w:rFonts w:ascii="Arial" w:hAnsi="Arial" w:cs="Arial"/>
          <w:color w:val="000000" w:themeColor="text1"/>
          <w:sz w:val="22"/>
          <w:szCs w:val="22"/>
        </w:rPr>
        <w:t xml:space="preserve"> and Munn, 2020). Evaluating these factors helped determine whether the evidence generated by each study could be considered reliable and applicable to the current review.</w:t>
      </w:r>
    </w:p>
    <w:p w14:paraId="5045C50B" w14:textId="4490F319" w:rsidR="00C40B32" w:rsidRPr="00832F99" w:rsidRDefault="00C40B32" w:rsidP="00832F99">
      <w:pPr>
        <w:pStyle w:val="Heading4"/>
        <w:jc w:val="both"/>
        <w:rPr>
          <w:rFonts w:ascii="Arial" w:hAnsi="Arial" w:cs="Arial"/>
          <w:i w:val="0"/>
          <w:iCs w:val="0"/>
          <w:color w:val="000000" w:themeColor="text1"/>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10"/>
        <w:gridCol w:w="6116"/>
      </w:tblGrid>
      <w:tr w:rsidR="00832F99" w:rsidRPr="00832F99" w14:paraId="78DFBBEC" w14:textId="77777777" w:rsidTr="0071039A">
        <w:trPr>
          <w:tblHeader/>
          <w:tblCellSpacing w:w="15" w:type="dxa"/>
        </w:trPr>
        <w:tc>
          <w:tcPr>
            <w:tcW w:w="0" w:type="auto"/>
            <w:vAlign w:val="center"/>
            <w:hideMark/>
          </w:tcPr>
          <w:p w14:paraId="1FA50D64" w14:textId="77777777" w:rsidR="00C40B32" w:rsidRPr="00832F99" w:rsidRDefault="00C40B32" w:rsidP="00832F99">
            <w:pPr>
              <w:jc w:val="both"/>
              <w:rPr>
                <w:rFonts w:ascii="Arial" w:hAnsi="Arial" w:cs="Arial"/>
                <w:b/>
                <w:bCs/>
                <w:color w:val="000000" w:themeColor="text1"/>
              </w:rPr>
            </w:pPr>
            <w:r w:rsidRPr="00832F99">
              <w:rPr>
                <w:rFonts w:ascii="Arial" w:hAnsi="Arial" w:cs="Arial"/>
                <w:b/>
                <w:bCs/>
                <w:color w:val="000000" w:themeColor="text1"/>
              </w:rPr>
              <w:t>Quality Assessment Criterion</w:t>
            </w:r>
          </w:p>
        </w:tc>
        <w:tc>
          <w:tcPr>
            <w:tcW w:w="0" w:type="auto"/>
            <w:vAlign w:val="center"/>
            <w:hideMark/>
          </w:tcPr>
          <w:p w14:paraId="19FF795E" w14:textId="77777777" w:rsidR="00C40B32" w:rsidRPr="00832F99" w:rsidRDefault="00C40B32" w:rsidP="00832F99">
            <w:pPr>
              <w:jc w:val="both"/>
              <w:rPr>
                <w:rFonts w:ascii="Arial" w:hAnsi="Arial" w:cs="Arial"/>
                <w:b/>
                <w:bCs/>
                <w:color w:val="000000" w:themeColor="text1"/>
              </w:rPr>
            </w:pPr>
            <w:r w:rsidRPr="00832F99">
              <w:rPr>
                <w:rFonts w:ascii="Arial" w:hAnsi="Arial" w:cs="Arial"/>
                <w:b/>
                <w:bCs/>
                <w:color w:val="000000" w:themeColor="text1"/>
              </w:rPr>
              <w:t>Description</w:t>
            </w:r>
          </w:p>
        </w:tc>
      </w:tr>
      <w:tr w:rsidR="00832F99" w:rsidRPr="00832F99" w14:paraId="26A36D2B" w14:textId="77777777" w:rsidTr="0071039A">
        <w:trPr>
          <w:tblCellSpacing w:w="15" w:type="dxa"/>
        </w:trPr>
        <w:tc>
          <w:tcPr>
            <w:tcW w:w="0" w:type="auto"/>
            <w:vAlign w:val="center"/>
            <w:hideMark/>
          </w:tcPr>
          <w:p w14:paraId="3A395674"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Research aims clearly stated</w:t>
            </w:r>
          </w:p>
        </w:tc>
        <w:tc>
          <w:tcPr>
            <w:tcW w:w="0" w:type="auto"/>
            <w:vAlign w:val="center"/>
            <w:hideMark/>
          </w:tcPr>
          <w:p w14:paraId="44B67496"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Whether the objectives of the study were clearly defined</w:t>
            </w:r>
          </w:p>
        </w:tc>
      </w:tr>
      <w:tr w:rsidR="00832F99" w:rsidRPr="00832F99" w14:paraId="0C054F0D" w14:textId="77777777" w:rsidTr="0071039A">
        <w:trPr>
          <w:tblCellSpacing w:w="15" w:type="dxa"/>
        </w:trPr>
        <w:tc>
          <w:tcPr>
            <w:tcW w:w="0" w:type="auto"/>
            <w:vAlign w:val="center"/>
            <w:hideMark/>
          </w:tcPr>
          <w:p w14:paraId="669FD9D1"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Appropriate methodology</w:t>
            </w:r>
          </w:p>
        </w:tc>
        <w:tc>
          <w:tcPr>
            <w:tcW w:w="0" w:type="auto"/>
            <w:vAlign w:val="center"/>
            <w:hideMark/>
          </w:tcPr>
          <w:p w14:paraId="1D7426E8"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Suitability of the research design for addressing the research question</w:t>
            </w:r>
          </w:p>
        </w:tc>
      </w:tr>
      <w:tr w:rsidR="00832F99" w:rsidRPr="00832F99" w14:paraId="60A40188" w14:textId="77777777" w:rsidTr="0071039A">
        <w:trPr>
          <w:tblCellSpacing w:w="15" w:type="dxa"/>
        </w:trPr>
        <w:tc>
          <w:tcPr>
            <w:tcW w:w="0" w:type="auto"/>
            <w:vAlign w:val="center"/>
            <w:hideMark/>
          </w:tcPr>
          <w:p w14:paraId="42B6651D"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Sampling strategy</w:t>
            </w:r>
          </w:p>
        </w:tc>
        <w:tc>
          <w:tcPr>
            <w:tcW w:w="0" w:type="auto"/>
            <w:vAlign w:val="center"/>
            <w:hideMark/>
          </w:tcPr>
          <w:p w14:paraId="6A51D6A2"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Adequacy of participant recruitment and selection procedures</w:t>
            </w:r>
          </w:p>
        </w:tc>
      </w:tr>
      <w:tr w:rsidR="00832F99" w:rsidRPr="00832F99" w14:paraId="14DB8B59" w14:textId="77777777" w:rsidTr="0071039A">
        <w:trPr>
          <w:tblCellSpacing w:w="15" w:type="dxa"/>
        </w:trPr>
        <w:tc>
          <w:tcPr>
            <w:tcW w:w="0" w:type="auto"/>
            <w:vAlign w:val="center"/>
            <w:hideMark/>
          </w:tcPr>
          <w:p w14:paraId="0EDBA1D7"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Data collection methods</w:t>
            </w:r>
          </w:p>
        </w:tc>
        <w:tc>
          <w:tcPr>
            <w:tcW w:w="0" w:type="auto"/>
            <w:vAlign w:val="center"/>
            <w:hideMark/>
          </w:tcPr>
          <w:p w14:paraId="1ADC6A02"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Reliability and appropriateness of data collection processes</w:t>
            </w:r>
          </w:p>
        </w:tc>
      </w:tr>
      <w:tr w:rsidR="00832F99" w:rsidRPr="00832F99" w14:paraId="0F699F5B" w14:textId="77777777" w:rsidTr="0071039A">
        <w:trPr>
          <w:tblCellSpacing w:w="15" w:type="dxa"/>
        </w:trPr>
        <w:tc>
          <w:tcPr>
            <w:tcW w:w="0" w:type="auto"/>
            <w:vAlign w:val="center"/>
            <w:hideMark/>
          </w:tcPr>
          <w:p w14:paraId="457D86C9"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Consideration of bias</w:t>
            </w:r>
          </w:p>
        </w:tc>
        <w:tc>
          <w:tcPr>
            <w:tcW w:w="0" w:type="auto"/>
            <w:vAlign w:val="center"/>
            <w:hideMark/>
          </w:tcPr>
          <w:p w14:paraId="7BA8A25C"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Identification and management of potential sources of bias</w:t>
            </w:r>
          </w:p>
        </w:tc>
      </w:tr>
      <w:tr w:rsidR="00832F99" w:rsidRPr="00832F99" w14:paraId="288165F3" w14:textId="77777777" w:rsidTr="0071039A">
        <w:trPr>
          <w:tblCellSpacing w:w="15" w:type="dxa"/>
        </w:trPr>
        <w:tc>
          <w:tcPr>
            <w:tcW w:w="0" w:type="auto"/>
            <w:vAlign w:val="center"/>
            <w:hideMark/>
          </w:tcPr>
          <w:p w14:paraId="62132A51"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Data analysis</w:t>
            </w:r>
          </w:p>
        </w:tc>
        <w:tc>
          <w:tcPr>
            <w:tcW w:w="0" w:type="auto"/>
            <w:vAlign w:val="center"/>
            <w:hideMark/>
          </w:tcPr>
          <w:p w14:paraId="144B517A"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Appropriateness and rigour of analytical methods</w:t>
            </w:r>
          </w:p>
        </w:tc>
      </w:tr>
      <w:tr w:rsidR="00832F99" w:rsidRPr="00832F99" w14:paraId="2D63BFE2" w14:textId="77777777" w:rsidTr="0071039A">
        <w:trPr>
          <w:tblCellSpacing w:w="15" w:type="dxa"/>
        </w:trPr>
        <w:tc>
          <w:tcPr>
            <w:tcW w:w="0" w:type="auto"/>
            <w:vAlign w:val="center"/>
            <w:hideMark/>
          </w:tcPr>
          <w:p w14:paraId="0730F0B3"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Ethical considerations</w:t>
            </w:r>
          </w:p>
        </w:tc>
        <w:tc>
          <w:tcPr>
            <w:tcW w:w="0" w:type="auto"/>
            <w:vAlign w:val="center"/>
            <w:hideMark/>
          </w:tcPr>
          <w:p w14:paraId="7B8EB932"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Evidence of ethical approval and participant protection</w:t>
            </w:r>
          </w:p>
        </w:tc>
      </w:tr>
      <w:tr w:rsidR="00832F99" w:rsidRPr="00832F99" w14:paraId="5F105214" w14:textId="77777777" w:rsidTr="0071039A">
        <w:trPr>
          <w:tblCellSpacing w:w="15" w:type="dxa"/>
        </w:trPr>
        <w:tc>
          <w:tcPr>
            <w:tcW w:w="0" w:type="auto"/>
            <w:vAlign w:val="center"/>
            <w:hideMark/>
          </w:tcPr>
          <w:p w14:paraId="66C4F95F"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Findings and conclusions</w:t>
            </w:r>
          </w:p>
        </w:tc>
        <w:tc>
          <w:tcPr>
            <w:tcW w:w="0" w:type="auto"/>
            <w:vAlign w:val="center"/>
            <w:hideMark/>
          </w:tcPr>
          <w:p w14:paraId="2D9F9B29"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Credibility, transparency, and relevance of findings</w:t>
            </w:r>
          </w:p>
        </w:tc>
      </w:tr>
    </w:tbl>
    <w:p w14:paraId="1029AF79"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Particular attention was paid to potential sources of bias within the included studies. Bias can influence study findings and reduce the validity of conclusions if not appropriately addressed (Higgins et al., 2023). Selection bias was considered when assessing participant recruitment procedures, while information bias was examined through evaluation of data collection and outcome measurement methods. Reporting bias and publication bias were also considered because studies reporting statistically significant findings are often more likely to be published than studies reporting negative or inconclusive results (Song et al., 2010).</w:t>
      </w:r>
    </w:p>
    <w:p w14:paraId="2A3D5F25"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assessment of confounding variables was especially important because many studies examining cardiac rehabilitation outcomes use observational research designs. Factors such as age, sex, ethnicity, socioeconomic status, pre-existing health conditions, and healthcare accessibility may influence both rehabilitation participation and hospital readmission outcomes (Anderson et al., 2016). Studies that appropriately controlled for these confounding variables through statistical adjustment or stratified analysis were considered to provide stronger evidence than those that failed to account for such factors.</w:t>
      </w:r>
    </w:p>
    <w:p w14:paraId="0F77CC09"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Following appraisal, studies were categorised according to their overall methodological quality. This approach is commonly used within systematic reviews to facilitate interpretation of findings and ensure that conclusions are informed by the strongest available evidence (Booth, Sutton and Papaioannou, 2021).</w:t>
      </w:r>
    </w:p>
    <w:p w14:paraId="01DB3497" w14:textId="7BB40782" w:rsidR="00C40B32" w:rsidRPr="00832F99" w:rsidRDefault="00C40B32" w:rsidP="00832F99">
      <w:pPr>
        <w:pStyle w:val="Heading4"/>
        <w:jc w:val="both"/>
        <w:rPr>
          <w:rFonts w:ascii="Arial" w:hAnsi="Arial" w:cs="Arial"/>
          <w:color w:val="000000" w:themeColor="text1"/>
        </w:rPr>
      </w:pPr>
      <w:r w:rsidRPr="00832F99">
        <w:rPr>
          <w:rFonts w:ascii="Arial" w:hAnsi="Arial" w:cs="Arial"/>
          <w:color w:val="000000" w:themeColor="text1"/>
        </w:rPr>
        <w:t>Table 3</w:t>
      </w:r>
      <w:r w:rsidR="007B4AC4">
        <w:rPr>
          <w:rFonts w:ascii="Arial" w:hAnsi="Arial" w:cs="Arial"/>
          <w:color w:val="000000" w:themeColor="text1"/>
        </w:rPr>
        <w:t>7</w:t>
      </w:r>
      <w:r w:rsidRPr="00832F99">
        <w:rPr>
          <w:rFonts w:ascii="Arial" w:hAnsi="Arial" w:cs="Arial"/>
          <w:color w:val="000000" w:themeColor="text1"/>
        </w:rPr>
        <w:t>: Quality Rating Categories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51"/>
        <w:gridCol w:w="6117"/>
      </w:tblGrid>
      <w:tr w:rsidR="00832F99" w:rsidRPr="00832F99" w14:paraId="29D0D65F" w14:textId="77777777" w:rsidTr="0071039A">
        <w:trPr>
          <w:tblHeader/>
          <w:tblCellSpacing w:w="15" w:type="dxa"/>
        </w:trPr>
        <w:tc>
          <w:tcPr>
            <w:tcW w:w="0" w:type="auto"/>
            <w:vAlign w:val="center"/>
            <w:hideMark/>
          </w:tcPr>
          <w:p w14:paraId="517D24A0" w14:textId="77777777" w:rsidR="00C40B32" w:rsidRPr="00832F99" w:rsidRDefault="00C40B32" w:rsidP="00832F99">
            <w:pPr>
              <w:jc w:val="both"/>
              <w:rPr>
                <w:rFonts w:ascii="Arial" w:hAnsi="Arial" w:cs="Arial"/>
                <w:b/>
                <w:bCs/>
                <w:color w:val="000000" w:themeColor="text1"/>
              </w:rPr>
            </w:pPr>
            <w:r w:rsidRPr="00832F99">
              <w:rPr>
                <w:rFonts w:ascii="Arial" w:hAnsi="Arial" w:cs="Arial"/>
                <w:b/>
                <w:bCs/>
                <w:color w:val="000000" w:themeColor="text1"/>
              </w:rPr>
              <w:t>Quality Rating</w:t>
            </w:r>
          </w:p>
        </w:tc>
        <w:tc>
          <w:tcPr>
            <w:tcW w:w="0" w:type="auto"/>
            <w:vAlign w:val="center"/>
            <w:hideMark/>
          </w:tcPr>
          <w:p w14:paraId="48F2E891" w14:textId="77777777" w:rsidR="00C40B32" w:rsidRPr="00832F99" w:rsidRDefault="00C40B32" w:rsidP="00832F99">
            <w:pPr>
              <w:jc w:val="both"/>
              <w:rPr>
                <w:rFonts w:ascii="Arial" w:hAnsi="Arial" w:cs="Arial"/>
                <w:b/>
                <w:bCs/>
                <w:color w:val="000000" w:themeColor="text1"/>
              </w:rPr>
            </w:pPr>
            <w:r w:rsidRPr="00832F99">
              <w:rPr>
                <w:rFonts w:ascii="Arial" w:hAnsi="Arial" w:cs="Arial"/>
                <w:b/>
                <w:bCs/>
                <w:color w:val="000000" w:themeColor="text1"/>
              </w:rPr>
              <w:t>Description</w:t>
            </w:r>
          </w:p>
        </w:tc>
      </w:tr>
      <w:tr w:rsidR="00832F99" w:rsidRPr="00832F99" w14:paraId="35E2F98D" w14:textId="77777777" w:rsidTr="0071039A">
        <w:trPr>
          <w:tblCellSpacing w:w="15" w:type="dxa"/>
        </w:trPr>
        <w:tc>
          <w:tcPr>
            <w:tcW w:w="0" w:type="auto"/>
            <w:vAlign w:val="center"/>
            <w:hideMark/>
          </w:tcPr>
          <w:p w14:paraId="4BBCD03B"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High Quality</w:t>
            </w:r>
          </w:p>
        </w:tc>
        <w:tc>
          <w:tcPr>
            <w:tcW w:w="0" w:type="auto"/>
            <w:vAlign w:val="center"/>
            <w:hideMark/>
          </w:tcPr>
          <w:p w14:paraId="258D397B"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Strong methodological design with minimal risk of bias</w:t>
            </w:r>
          </w:p>
        </w:tc>
      </w:tr>
      <w:tr w:rsidR="00832F99" w:rsidRPr="00832F99" w14:paraId="48524478" w14:textId="77777777" w:rsidTr="0071039A">
        <w:trPr>
          <w:tblCellSpacing w:w="15" w:type="dxa"/>
        </w:trPr>
        <w:tc>
          <w:tcPr>
            <w:tcW w:w="0" w:type="auto"/>
            <w:vAlign w:val="center"/>
            <w:hideMark/>
          </w:tcPr>
          <w:p w14:paraId="5F8C7634"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Moderate Quality</w:t>
            </w:r>
          </w:p>
        </w:tc>
        <w:tc>
          <w:tcPr>
            <w:tcW w:w="0" w:type="auto"/>
            <w:vAlign w:val="center"/>
            <w:hideMark/>
          </w:tcPr>
          <w:p w14:paraId="2A9F9CE2"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Acceptable methodological quality with some limitations</w:t>
            </w:r>
          </w:p>
        </w:tc>
      </w:tr>
      <w:tr w:rsidR="00832F99" w:rsidRPr="00832F99" w14:paraId="604CE225" w14:textId="77777777" w:rsidTr="0071039A">
        <w:trPr>
          <w:tblCellSpacing w:w="15" w:type="dxa"/>
        </w:trPr>
        <w:tc>
          <w:tcPr>
            <w:tcW w:w="0" w:type="auto"/>
            <w:vAlign w:val="center"/>
            <w:hideMark/>
          </w:tcPr>
          <w:p w14:paraId="17199C8B"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Low Quality</w:t>
            </w:r>
          </w:p>
        </w:tc>
        <w:tc>
          <w:tcPr>
            <w:tcW w:w="0" w:type="auto"/>
            <w:vAlign w:val="center"/>
            <w:hideMark/>
          </w:tcPr>
          <w:p w14:paraId="4C973804" w14:textId="77777777" w:rsidR="00C40B32" w:rsidRPr="00832F99" w:rsidRDefault="00C40B32" w:rsidP="00832F99">
            <w:pPr>
              <w:jc w:val="both"/>
              <w:rPr>
                <w:rFonts w:ascii="Arial" w:hAnsi="Arial" w:cs="Arial"/>
                <w:color w:val="000000" w:themeColor="text1"/>
              </w:rPr>
            </w:pPr>
            <w:r w:rsidRPr="00832F99">
              <w:rPr>
                <w:rFonts w:ascii="Arial" w:hAnsi="Arial" w:cs="Arial"/>
                <w:color w:val="000000" w:themeColor="text1"/>
              </w:rPr>
              <w:t>Significant methodological weaknesses and higher risk of bias</w:t>
            </w:r>
          </w:p>
        </w:tc>
      </w:tr>
    </w:tbl>
    <w:p w14:paraId="008C867A"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lastRenderedPageBreak/>
        <w:t>Studies classified as high quality demonstrated clear research objectives, robust study designs, appropriate analytical methods, and adequate consideration of potential biases. Moderate-quality studies generally provided useful evidence but exhibited some methodological limitations that may have influenced their findings. Studies considered to be of low quality were carefully reviewed and excluded where methodological weaknesses significantly compromised the credibility of the evidence (Page et al., 2021).</w:t>
      </w:r>
    </w:p>
    <w:p w14:paraId="2A0FB26A"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quality appraisal process also contributed to the reliability and validity of the review. Reliability was enhanced through the use of a structured and standardised appraisal framework, ensuring consistency in the evaluation of studies (Saunders, Lewis and Thornhill, 2023). Validity was strengthened by prioritising evidence derived from studies demonstrating strong methodological rigour and low risk of bias (Bryman, 2016). This approach reduced the likelihood that conclusions would be influenced by flawed or unreliable research.</w:t>
      </w:r>
    </w:p>
    <w:p w14:paraId="373C59E9"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Furthermore, quality appraisal informed the narrative synthesis process undertaken in this dissertation. Greater emphasis was placed on findings derived from high-quality studies, while evidence from studies with methodological limitations was interpreted cautiously and considered within the context of their potential weaknesses (Greenhalgh, 2019). This approach helped ensure that the final conclusions reflected the most reliable and credible evidence available concerning the effectiveness of cardiac rehabilitation programmes and the influence of ethnic and socioeconomic inequalities on hospital readmission outcomes.</w:t>
      </w:r>
    </w:p>
    <w:p w14:paraId="215216FA" w14:textId="77777777" w:rsidR="00C40B32" w:rsidRPr="00832F99" w:rsidRDefault="00C40B32"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Overall, the use of the CASP framework provided a systematic, transparent, and rigorous method for evaluating the methodological quality of the literature included within this review. By critically assessing the strengths, limitations, and potential biases of individual studies, the quality appraisal process enhanced the credibility, trustworthiness, and overall robustness of the dissertation findings (CASP, 2024; Page et al., 2021).</w:t>
      </w:r>
    </w:p>
    <w:p w14:paraId="75043BD8" w14:textId="77777777" w:rsidR="003D5D31" w:rsidRPr="00832F99" w:rsidRDefault="003D5D31" w:rsidP="00832F99">
      <w:pPr>
        <w:pStyle w:val="NormalWeb"/>
        <w:jc w:val="both"/>
        <w:rPr>
          <w:rFonts w:ascii="Arial" w:hAnsi="Arial" w:cs="Arial"/>
          <w:color w:val="000000" w:themeColor="text1"/>
          <w:sz w:val="22"/>
          <w:szCs w:val="22"/>
        </w:rPr>
      </w:pPr>
    </w:p>
    <w:p w14:paraId="65483003" w14:textId="68E0C4A5" w:rsidR="00C40B32" w:rsidRPr="00832F99" w:rsidRDefault="007B4AC4" w:rsidP="00832F99">
      <w:pPr>
        <w:pStyle w:val="NormalWeb"/>
        <w:jc w:val="both"/>
        <w:rPr>
          <w:rFonts w:ascii="Arial" w:hAnsi="Arial" w:cs="Arial"/>
          <w:color w:val="000000" w:themeColor="text1"/>
          <w:sz w:val="22"/>
          <w:szCs w:val="22"/>
        </w:rPr>
      </w:pPr>
      <w:r>
        <w:t xml:space="preserve">Table: 3.8 </w:t>
      </w:r>
      <w:r>
        <w:t>CASP QUALITY APPRAISAL TABLE</w:t>
      </w:r>
    </w:p>
    <w:tbl>
      <w:tblPr>
        <w:tblW w:w="0" w:type="auto"/>
        <w:tblCellSpacing w:w="15" w:type="dxa"/>
        <w:tblInd w:w="-142" w:type="dxa"/>
        <w:tblCellMar>
          <w:top w:w="15" w:type="dxa"/>
          <w:left w:w="15" w:type="dxa"/>
          <w:bottom w:w="15" w:type="dxa"/>
          <w:right w:w="15" w:type="dxa"/>
        </w:tblCellMar>
        <w:tblLook w:val="04A0" w:firstRow="1" w:lastRow="0" w:firstColumn="1" w:lastColumn="0" w:noHBand="0" w:noVBand="1"/>
      </w:tblPr>
      <w:tblGrid>
        <w:gridCol w:w="1081"/>
        <w:gridCol w:w="485"/>
        <w:gridCol w:w="1007"/>
        <w:gridCol w:w="1017"/>
        <w:gridCol w:w="1106"/>
        <w:gridCol w:w="1106"/>
        <w:gridCol w:w="979"/>
        <w:gridCol w:w="1057"/>
        <w:gridCol w:w="613"/>
        <w:gridCol w:w="717"/>
      </w:tblGrid>
      <w:tr w:rsidR="001E1CCB" w:rsidRPr="001E1CCB" w14:paraId="3C982629" w14:textId="77777777" w:rsidTr="007B4AC4">
        <w:trPr>
          <w:tblHeader/>
          <w:tblCellSpacing w:w="15" w:type="dxa"/>
        </w:trPr>
        <w:tc>
          <w:tcPr>
            <w:tcW w:w="1163" w:type="dxa"/>
            <w:vAlign w:val="center"/>
            <w:hideMark/>
          </w:tcPr>
          <w:p w14:paraId="6E5BC934"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Study</w:t>
            </w:r>
          </w:p>
        </w:tc>
        <w:tc>
          <w:tcPr>
            <w:tcW w:w="0" w:type="auto"/>
            <w:vAlign w:val="center"/>
            <w:hideMark/>
          </w:tcPr>
          <w:p w14:paraId="5242B258"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Clear Aim</w:t>
            </w:r>
          </w:p>
        </w:tc>
        <w:tc>
          <w:tcPr>
            <w:tcW w:w="0" w:type="auto"/>
            <w:vAlign w:val="center"/>
            <w:hideMark/>
          </w:tcPr>
          <w:p w14:paraId="63C0CDE2"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Appropriate Design</w:t>
            </w:r>
          </w:p>
        </w:tc>
        <w:tc>
          <w:tcPr>
            <w:tcW w:w="0" w:type="auto"/>
            <w:vAlign w:val="center"/>
            <w:hideMark/>
          </w:tcPr>
          <w:p w14:paraId="76A730DD"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Sampling / Recruitment</w:t>
            </w:r>
          </w:p>
        </w:tc>
        <w:tc>
          <w:tcPr>
            <w:tcW w:w="0" w:type="auto"/>
            <w:vAlign w:val="center"/>
            <w:hideMark/>
          </w:tcPr>
          <w:p w14:paraId="070A7F5B"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Exposure Measurement</w:t>
            </w:r>
          </w:p>
        </w:tc>
        <w:tc>
          <w:tcPr>
            <w:tcW w:w="0" w:type="auto"/>
            <w:vAlign w:val="center"/>
            <w:hideMark/>
          </w:tcPr>
          <w:p w14:paraId="38C47D48"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Outcome Measurement</w:t>
            </w:r>
          </w:p>
        </w:tc>
        <w:tc>
          <w:tcPr>
            <w:tcW w:w="0" w:type="auto"/>
            <w:vAlign w:val="center"/>
            <w:hideMark/>
          </w:tcPr>
          <w:p w14:paraId="650707F9"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Confounder Control</w:t>
            </w:r>
          </w:p>
        </w:tc>
        <w:tc>
          <w:tcPr>
            <w:tcW w:w="0" w:type="auto"/>
            <w:vAlign w:val="center"/>
            <w:hideMark/>
          </w:tcPr>
          <w:p w14:paraId="59C9CCF9"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Bias Management</w:t>
            </w:r>
          </w:p>
        </w:tc>
        <w:tc>
          <w:tcPr>
            <w:tcW w:w="0" w:type="auto"/>
            <w:vAlign w:val="center"/>
            <w:hideMark/>
          </w:tcPr>
          <w:p w14:paraId="2DC94D6A"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Clarity of Results</w:t>
            </w:r>
          </w:p>
        </w:tc>
        <w:tc>
          <w:tcPr>
            <w:tcW w:w="0" w:type="auto"/>
            <w:vAlign w:val="center"/>
            <w:hideMark/>
          </w:tcPr>
          <w:p w14:paraId="1EABB6FF"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Overall Quality</w:t>
            </w:r>
          </w:p>
        </w:tc>
      </w:tr>
      <w:tr w:rsidR="001E1CCB" w:rsidRPr="001E1CCB" w14:paraId="38317372" w14:textId="77777777" w:rsidTr="007B4AC4">
        <w:trPr>
          <w:tblCellSpacing w:w="15" w:type="dxa"/>
        </w:trPr>
        <w:tc>
          <w:tcPr>
            <w:tcW w:w="1163" w:type="dxa"/>
            <w:vAlign w:val="center"/>
            <w:hideMark/>
          </w:tcPr>
          <w:p w14:paraId="33FCBE59"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proofErr w:type="spellStart"/>
            <w:r w:rsidRPr="001E1CCB">
              <w:rPr>
                <w:rFonts w:ascii="Times New Roman" w:eastAsia="Times New Roman" w:hAnsi="Times New Roman" w:cs="Times New Roman"/>
                <w:b/>
                <w:bCs/>
                <w:sz w:val="24"/>
                <w:szCs w:val="24"/>
                <w:lang w:eastAsia="en-IN"/>
              </w:rPr>
              <w:t>Galdas</w:t>
            </w:r>
            <w:proofErr w:type="spellEnd"/>
            <w:r w:rsidRPr="001E1CCB">
              <w:rPr>
                <w:rFonts w:ascii="Times New Roman" w:eastAsia="Times New Roman" w:hAnsi="Times New Roman" w:cs="Times New Roman"/>
                <w:b/>
                <w:bCs/>
                <w:sz w:val="24"/>
                <w:szCs w:val="24"/>
                <w:lang w:eastAsia="en-IN"/>
              </w:rPr>
              <w:t xml:space="preserve"> et al. (2018)</w:t>
            </w:r>
          </w:p>
        </w:tc>
        <w:tc>
          <w:tcPr>
            <w:tcW w:w="0" w:type="auto"/>
            <w:vAlign w:val="center"/>
            <w:hideMark/>
          </w:tcPr>
          <w:p w14:paraId="021F32CE"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01ECAD7B"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6FC7F457"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64F5A855"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 (ethnicity recorded)</w:t>
            </w:r>
          </w:p>
        </w:tc>
        <w:tc>
          <w:tcPr>
            <w:tcW w:w="0" w:type="auto"/>
            <w:vAlign w:val="center"/>
            <w:hideMark/>
          </w:tcPr>
          <w:p w14:paraId="3F47AB75"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 (CR attendance)</w:t>
            </w:r>
          </w:p>
        </w:tc>
        <w:tc>
          <w:tcPr>
            <w:tcW w:w="0" w:type="auto"/>
            <w:vAlign w:val="center"/>
            <w:hideMark/>
          </w:tcPr>
          <w:p w14:paraId="3B897488"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234854C2"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28E857AA"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7477EFA5"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High</w:t>
            </w:r>
          </w:p>
        </w:tc>
      </w:tr>
      <w:tr w:rsidR="001E1CCB" w:rsidRPr="001E1CCB" w14:paraId="282AD4BF" w14:textId="77777777" w:rsidTr="007B4AC4">
        <w:trPr>
          <w:tblCellSpacing w:w="15" w:type="dxa"/>
        </w:trPr>
        <w:tc>
          <w:tcPr>
            <w:tcW w:w="1163" w:type="dxa"/>
            <w:vAlign w:val="center"/>
            <w:hideMark/>
          </w:tcPr>
          <w:p w14:paraId="5C26A278"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Jolly et al. (2021)</w:t>
            </w:r>
          </w:p>
        </w:tc>
        <w:tc>
          <w:tcPr>
            <w:tcW w:w="0" w:type="auto"/>
            <w:vAlign w:val="center"/>
            <w:hideMark/>
          </w:tcPr>
          <w:p w14:paraId="5133CF6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4BA96FC6"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3E31DD57"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1A05275A"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52C36BE1"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2E0E7BD1"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7CB0DC0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27F640AE"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2D1C0CFB"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High</w:t>
            </w:r>
          </w:p>
        </w:tc>
      </w:tr>
      <w:tr w:rsidR="001E1CCB" w:rsidRPr="001E1CCB" w14:paraId="15E8F7CF" w14:textId="77777777" w:rsidTr="007B4AC4">
        <w:trPr>
          <w:tblCellSpacing w:w="15" w:type="dxa"/>
        </w:trPr>
        <w:tc>
          <w:tcPr>
            <w:tcW w:w="1163" w:type="dxa"/>
            <w:vAlign w:val="center"/>
            <w:hideMark/>
          </w:tcPr>
          <w:p w14:paraId="0E307BE1"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proofErr w:type="spellStart"/>
            <w:r w:rsidRPr="001E1CCB">
              <w:rPr>
                <w:rFonts w:ascii="Times New Roman" w:eastAsia="Times New Roman" w:hAnsi="Times New Roman" w:cs="Times New Roman"/>
                <w:b/>
                <w:bCs/>
                <w:sz w:val="24"/>
                <w:szCs w:val="24"/>
                <w:lang w:eastAsia="en-IN"/>
              </w:rPr>
              <w:t>Manandhar</w:t>
            </w:r>
            <w:proofErr w:type="spellEnd"/>
            <w:r w:rsidRPr="001E1CCB">
              <w:rPr>
                <w:rFonts w:ascii="Times New Roman" w:eastAsia="Times New Roman" w:hAnsi="Times New Roman" w:cs="Times New Roman"/>
                <w:b/>
                <w:bCs/>
                <w:sz w:val="24"/>
                <w:szCs w:val="24"/>
                <w:lang w:eastAsia="en-IN"/>
              </w:rPr>
              <w:t xml:space="preserve"> et al. (2025)</w:t>
            </w:r>
          </w:p>
        </w:tc>
        <w:tc>
          <w:tcPr>
            <w:tcW w:w="0" w:type="auto"/>
            <w:vAlign w:val="center"/>
            <w:hideMark/>
          </w:tcPr>
          <w:p w14:paraId="750D2E11"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15AD3F62"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32655A2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75409C46"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 (SES indicators)</w:t>
            </w:r>
          </w:p>
        </w:tc>
        <w:tc>
          <w:tcPr>
            <w:tcW w:w="0" w:type="auto"/>
            <w:vAlign w:val="center"/>
            <w:hideMark/>
          </w:tcPr>
          <w:p w14:paraId="4AB83146"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1747306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2118E7CA"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5380FA56"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161099C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High</w:t>
            </w:r>
          </w:p>
        </w:tc>
      </w:tr>
      <w:tr w:rsidR="001E1CCB" w:rsidRPr="001E1CCB" w14:paraId="4C0E0ED4" w14:textId="77777777" w:rsidTr="007B4AC4">
        <w:trPr>
          <w:tblCellSpacing w:w="15" w:type="dxa"/>
        </w:trPr>
        <w:tc>
          <w:tcPr>
            <w:tcW w:w="1163" w:type="dxa"/>
            <w:vAlign w:val="center"/>
            <w:hideMark/>
          </w:tcPr>
          <w:p w14:paraId="25778BBB"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McAllister et al. (2025)</w:t>
            </w:r>
          </w:p>
        </w:tc>
        <w:tc>
          <w:tcPr>
            <w:tcW w:w="0" w:type="auto"/>
            <w:vAlign w:val="center"/>
            <w:hideMark/>
          </w:tcPr>
          <w:p w14:paraId="76383C01"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6662DF9B"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7A293737"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1A382721"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7741D10F"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32FE35DE"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5D656495"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15D0874A"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7BE2EF95"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High</w:t>
            </w:r>
          </w:p>
        </w:tc>
      </w:tr>
      <w:tr w:rsidR="001E1CCB" w:rsidRPr="001E1CCB" w14:paraId="79DD71DD" w14:textId="77777777" w:rsidTr="007B4AC4">
        <w:trPr>
          <w:tblCellSpacing w:w="15" w:type="dxa"/>
        </w:trPr>
        <w:tc>
          <w:tcPr>
            <w:tcW w:w="1163" w:type="dxa"/>
            <w:vAlign w:val="center"/>
            <w:hideMark/>
          </w:tcPr>
          <w:p w14:paraId="525BC3D7"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McAllister et al. (2026)</w:t>
            </w:r>
          </w:p>
        </w:tc>
        <w:tc>
          <w:tcPr>
            <w:tcW w:w="0" w:type="auto"/>
            <w:vAlign w:val="center"/>
            <w:hideMark/>
          </w:tcPr>
          <w:p w14:paraId="2574ED5E"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11C2F5F5"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7F62846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017F544B"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0CD17D1E"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5BB9A065"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7B4B2661"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0D0C5E1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2E833037"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High</w:t>
            </w:r>
          </w:p>
        </w:tc>
      </w:tr>
      <w:tr w:rsidR="001E1CCB" w:rsidRPr="001E1CCB" w14:paraId="2B5F654B" w14:textId="77777777" w:rsidTr="007B4AC4">
        <w:trPr>
          <w:tblCellSpacing w:w="15" w:type="dxa"/>
        </w:trPr>
        <w:tc>
          <w:tcPr>
            <w:tcW w:w="1163" w:type="dxa"/>
            <w:vAlign w:val="center"/>
            <w:hideMark/>
          </w:tcPr>
          <w:p w14:paraId="3F661ADB"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lastRenderedPageBreak/>
              <w:t>Open Heart (2025)</w:t>
            </w:r>
          </w:p>
        </w:tc>
        <w:tc>
          <w:tcPr>
            <w:tcW w:w="0" w:type="auto"/>
            <w:vAlign w:val="center"/>
            <w:hideMark/>
          </w:tcPr>
          <w:p w14:paraId="4B2108DE"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4D5E072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2B4599EB"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282EA70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20CAD5DE"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207B7812"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3BBA1CE3"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6DF2FBD7"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1DB45CF8"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High</w:t>
            </w:r>
          </w:p>
        </w:tc>
      </w:tr>
      <w:tr w:rsidR="001E1CCB" w:rsidRPr="001E1CCB" w14:paraId="5C239CBB" w14:textId="77777777" w:rsidTr="007B4AC4">
        <w:trPr>
          <w:tblCellSpacing w:w="15" w:type="dxa"/>
        </w:trPr>
        <w:tc>
          <w:tcPr>
            <w:tcW w:w="1163" w:type="dxa"/>
            <w:vAlign w:val="center"/>
            <w:hideMark/>
          </w:tcPr>
          <w:p w14:paraId="05BDC7DD"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Doherty et al. (2020)</w:t>
            </w:r>
          </w:p>
        </w:tc>
        <w:tc>
          <w:tcPr>
            <w:tcW w:w="0" w:type="auto"/>
            <w:vAlign w:val="center"/>
            <w:hideMark/>
          </w:tcPr>
          <w:p w14:paraId="5CA9260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6025A67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1F70636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35A2FC8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48BF90A7"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781D31E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13115A72"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1BC778F2"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4E7791D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High</w:t>
            </w:r>
          </w:p>
        </w:tc>
      </w:tr>
      <w:tr w:rsidR="001E1CCB" w:rsidRPr="001E1CCB" w14:paraId="3BAE0341" w14:textId="77777777" w:rsidTr="007B4AC4">
        <w:trPr>
          <w:tblCellSpacing w:w="15" w:type="dxa"/>
        </w:trPr>
        <w:tc>
          <w:tcPr>
            <w:tcW w:w="1163" w:type="dxa"/>
            <w:vAlign w:val="center"/>
            <w:hideMark/>
          </w:tcPr>
          <w:p w14:paraId="5D409CC8"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proofErr w:type="spellStart"/>
            <w:r w:rsidRPr="001E1CCB">
              <w:rPr>
                <w:rFonts w:ascii="Times New Roman" w:eastAsia="Times New Roman" w:hAnsi="Times New Roman" w:cs="Times New Roman"/>
                <w:b/>
                <w:bCs/>
                <w:sz w:val="24"/>
                <w:szCs w:val="24"/>
                <w:lang w:eastAsia="en-IN"/>
              </w:rPr>
              <w:t>Dalal</w:t>
            </w:r>
            <w:proofErr w:type="spellEnd"/>
            <w:r w:rsidRPr="001E1CCB">
              <w:rPr>
                <w:rFonts w:ascii="Times New Roman" w:eastAsia="Times New Roman" w:hAnsi="Times New Roman" w:cs="Times New Roman"/>
                <w:b/>
                <w:bCs/>
                <w:sz w:val="24"/>
                <w:szCs w:val="24"/>
                <w:lang w:eastAsia="en-IN"/>
              </w:rPr>
              <w:t xml:space="preserve"> et al. (2015)</w:t>
            </w:r>
          </w:p>
        </w:tc>
        <w:tc>
          <w:tcPr>
            <w:tcW w:w="0" w:type="auto"/>
            <w:vAlign w:val="center"/>
            <w:hideMark/>
          </w:tcPr>
          <w:p w14:paraId="12CB7F3F"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23DD5E84"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7E7FC47E"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06A20E1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1204173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41FBB163"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6FD0E7F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3C602076"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4ECA2303"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Medium</w:t>
            </w:r>
          </w:p>
        </w:tc>
      </w:tr>
      <w:tr w:rsidR="001E1CCB" w:rsidRPr="001E1CCB" w14:paraId="755F12E4" w14:textId="77777777" w:rsidTr="007B4AC4">
        <w:trPr>
          <w:tblCellSpacing w:w="15" w:type="dxa"/>
        </w:trPr>
        <w:tc>
          <w:tcPr>
            <w:tcW w:w="1163" w:type="dxa"/>
            <w:vAlign w:val="center"/>
            <w:hideMark/>
          </w:tcPr>
          <w:p w14:paraId="1DBFB44D"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proofErr w:type="spellStart"/>
            <w:r w:rsidRPr="001E1CCB">
              <w:rPr>
                <w:rFonts w:ascii="Times New Roman" w:eastAsia="Times New Roman" w:hAnsi="Times New Roman" w:cs="Times New Roman"/>
                <w:b/>
                <w:bCs/>
                <w:sz w:val="24"/>
                <w:szCs w:val="24"/>
                <w:lang w:eastAsia="en-IN"/>
              </w:rPr>
              <w:t>Dalal</w:t>
            </w:r>
            <w:proofErr w:type="spellEnd"/>
            <w:r w:rsidRPr="001E1CCB">
              <w:rPr>
                <w:rFonts w:ascii="Times New Roman" w:eastAsia="Times New Roman" w:hAnsi="Times New Roman" w:cs="Times New Roman"/>
                <w:b/>
                <w:bCs/>
                <w:sz w:val="24"/>
                <w:szCs w:val="24"/>
                <w:lang w:eastAsia="en-IN"/>
              </w:rPr>
              <w:t xml:space="preserve"> et al. (2019)</w:t>
            </w:r>
          </w:p>
        </w:tc>
        <w:tc>
          <w:tcPr>
            <w:tcW w:w="0" w:type="auto"/>
            <w:vAlign w:val="center"/>
            <w:hideMark/>
          </w:tcPr>
          <w:p w14:paraId="5E749FB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3B206D6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6612B3AE"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7684062E"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41EE091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63DFDD9F"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1E45F8E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7D6B5F9B"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1B3FB067"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Medium</w:t>
            </w:r>
          </w:p>
        </w:tc>
      </w:tr>
      <w:tr w:rsidR="001E1CCB" w:rsidRPr="001E1CCB" w14:paraId="3FD54ED9" w14:textId="77777777" w:rsidTr="007B4AC4">
        <w:trPr>
          <w:tblCellSpacing w:w="15" w:type="dxa"/>
        </w:trPr>
        <w:tc>
          <w:tcPr>
            <w:tcW w:w="1163" w:type="dxa"/>
            <w:vAlign w:val="center"/>
            <w:hideMark/>
          </w:tcPr>
          <w:p w14:paraId="5B64ACDD"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Clark et al. (2013)</w:t>
            </w:r>
          </w:p>
        </w:tc>
        <w:tc>
          <w:tcPr>
            <w:tcW w:w="0" w:type="auto"/>
            <w:vAlign w:val="center"/>
            <w:hideMark/>
          </w:tcPr>
          <w:p w14:paraId="404873D3"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369041D1"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5739B26F"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5B7F3F6A"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3BB09F5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01DDEB02"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398D5EC1"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7F78E056"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5B434C5C"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Medium</w:t>
            </w:r>
          </w:p>
        </w:tc>
      </w:tr>
      <w:tr w:rsidR="001E1CCB" w:rsidRPr="001E1CCB" w14:paraId="3F1365D3" w14:textId="77777777" w:rsidTr="007B4AC4">
        <w:trPr>
          <w:tblCellSpacing w:w="15" w:type="dxa"/>
        </w:trPr>
        <w:tc>
          <w:tcPr>
            <w:tcW w:w="1163" w:type="dxa"/>
            <w:vAlign w:val="center"/>
            <w:hideMark/>
          </w:tcPr>
          <w:p w14:paraId="753EA41C"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Chan et al. (2021)</w:t>
            </w:r>
          </w:p>
        </w:tc>
        <w:tc>
          <w:tcPr>
            <w:tcW w:w="0" w:type="auto"/>
            <w:vAlign w:val="center"/>
            <w:hideMark/>
          </w:tcPr>
          <w:p w14:paraId="7F2AB8BC"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24FDFA2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3E72C618"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54266055"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5F4A8002"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481DB27B"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3654E5C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72002656"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0ACB94A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Medium</w:t>
            </w:r>
          </w:p>
        </w:tc>
      </w:tr>
      <w:tr w:rsidR="001E1CCB" w:rsidRPr="001E1CCB" w14:paraId="07345415" w14:textId="77777777" w:rsidTr="007B4AC4">
        <w:trPr>
          <w:tblCellSpacing w:w="15" w:type="dxa"/>
        </w:trPr>
        <w:tc>
          <w:tcPr>
            <w:tcW w:w="1163" w:type="dxa"/>
            <w:vAlign w:val="center"/>
            <w:hideMark/>
          </w:tcPr>
          <w:p w14:paraId="6636133C"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Ben</w:t>
            </w:r>
            <w:r w:rsidRPr="001E1CCB">
              <w:rPr>
                <w:rFonts w:ascii="Times New Roman" w:eastAsia="Times New Roman" w:hAnsi="Times New Roman" w:cs="Times New Roman"/>
                <w:b/>
                <w:bCs/>
                <w:sz w:val="24"/>
                <w:szCs w:val="24"/>
                <w:lang w:eastAsia="en-IN"/>
              </w:rPr>
              <w:noBreakHyphen/>
            </w:r>
            <w:proofErr w:type="spellStart"/>
            <w:r w:rsidRPr="001E1CCB">
              <w:rPr>
                <w:rFonts w:ascii="Times New Roman" w:eastAsia="Times New Roman" w:hAnsi="Times New Roman" w:cs="Times New Roman"/>
                <w:b/>
                <w:bCs/>
                <w:sz w:val="24"/>
                <w:szCs w:val="24"/>
                <w:lang w:eastAsia="en-IN"/>
              </w:rPr>
              <w:t>Shlomo</w:t>
            </w:r>
            <w:proofErr w:type="spellEnd"/>
            <w:r w:rsidRPr="001E1CCB">
              <w:rPr>
                <w:rFonts w:ascii="Times New Roman" w:eastAsia="Times New Roman" w:hAnsi="Times New Roman" w:cs="Times New Roman"/>
                <w:b/>
                <w:bCs/>
                <w:sz w:val="24"/>
                <w:szCs w:val="24"/>
                <w:lang w:eastAsia="en-IN"/>
              </w:rPr>
              <w:t xml:space="preserve"> et al. (2022)</w:t>
            </w:r>
          </w:p>
        </w:tc>
        <w:tc>
          <w:tcPr>
            <w:tcW w:w="0" w:type="auto"/>
            <w:vAlign w:val="center"/>
            <w:hideMark/>
          </w:tcPr>
          <w:p w14:paraId="438CDEDB"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0E4E4D48"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6CF76ED6"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6B6403F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76F94796"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543C477E"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278F8C4F"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49067CE1"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18F196D6"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Medium</w:t>
            </w:r>
          </w:p>
        </w:tc>
      </w:tr>
      <w:tr w:rsidR="001E1CCB" w:rsidRPr="001E1CCB" w14:paraId="0338B66E" w14:textId="77777777" w:rsidTr="007B4AC4">
        <w:trPr>
          <w:tblCellSpacing w:w="15" w:type="dxa"/>
        </w:trPr>
        <w:tc>
          <w:tcPr>
            <w:tcW w:w="1163" w:type="dxa"/>
            <w:vAlign w:val="center"/>
            <w:hideMark/>
          </w:tcPr>
          <w:p w14:paraId="7D8A4FEA"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r w:rsidRPr="001E1CCB">
              <w:rPr>
                <w:rFonts w:ascii="Times New Roman" w:eastAsia="Times New Roman" w:hAnsi="Times New Roman" w:cs="Times New Roman"/>
                <w:b/>
                <w:bCs/>
                <w:sz w:val="24"/>
                <w:szCs w:val="24"/>
                <w:lang w:eastAsia="en-IN"/>
              </w:rPr>
              <w:t>Neubeck et al. (2020)</w:t>
            </w:r>
          </w:p>
        </w:tc>
        <w:tc>
          <w:tcPr>
            <w:tcW w:w="0" w:type="auto"/>
            <w:vAlign w:val="center"/>
            <w:hideMark/>
          </w:tcPr>
          <w:p w14:paraId="3E28BD3E"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3BF0C977"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1F6DC12F"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5098F194"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16789BE0"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2C00A370"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2F8AC8F8"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7A4C9E4B"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68619908"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High</w:t>
            </w:r>
          </w:p>
        </w:tc>
      </w:tr>
      <w:tr w:rsidR="001E1CCB" w:rsidRPr="001E1CCB" w14:paraId="4DCA1D88" w14:textId="77777777" w:rsidTr="007B4AC4">
        <w:trPr>
          <w:tblCellSpacing w:w="15" w:type="dxa"/>
        </w:trPr>
        <w:tc>
          <w:tcPr>
            <w:tcW w:w="1163" w:type="dxa"/>
            <w:vAlign w:val="center"/>
            <w:hideMark/>
          </w:tcPr>
          <w:p w14:paraId="31BB4A5E"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proofErr w:type="spellStart"/>
            <w:r w:rsidRPr="001E1CCB">
              <w:rPr>
                <w:rFonts w:ascii="Times New Roman" w:eastAsia="Times New Roman" w:hAnsi="Times New Roman" w:cs="Times New Roman"/>
                <w:b/>
                <w:bCs/>
                <w:sz w:val="24"/>
                <w:szCs w:val="24"/>
                <w:lang w:eastAsia="en-IN"/>
              </w:rPr>
              <w:t>Rawstorn</w:t>
            </w:r>
            <w:proofErr w:type="spellEnd"/>
            <w:r w:rsidRPr="001E1CCB">
              <w:rPr>
                <w:rFonts w:ascii="Times New Roman" w:eastAsia="Times New Roman" w:hAnsi="Times New Roman" w:cs="Times New Roman"/>
                <w:b/>
                <w:bCs/>
                <w:sz w:val="24"/>
                <w:szCs w:val="24"/>
                <w:lang w:eastAsia="en-IN"/>
              </w:rPr>
              <w:t xml:space="preserve"> et al. (2021)</w:t>
            </w:r>
          </w:p>
        </w:tc>
        <w:tc>
          <w:tcPr>
            <w:tcW w:w="0" w:type="auto"/>
            <w:vAlign w:val="center"/>
            <w:hideMark/>
          </w:tcPr>
          <w:p w14:paraId="7920B8A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77592B4B"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32DEDED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2B17F563"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512DA68A"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5F5AD23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3A3FC99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Good</w:t>
            </w:r>
          </w:p>
        </w:tc>
        <w:tc>
          <w:tcPr>
            <w:tcW w:w="0" w:type="auto"/>
            <w:vAlign w:val="center"/>
            <w:hideMark/>
          </w:tcPr>
          <w:p w14:paraId="3C25B3D8"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0D714754"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High</w:t>
            </w:r>
          </w:p>
        </w:tc>
      </w:tr>
      <w:tr w:rsidR="001E1CCB" w:rsidRPr="001E1CCB" w14:paraId="43358C3B" w14:textId="77777777" w:rsidTr="007B4AC4">
        <w:trPr>
          <w:tblCellSpacing w:w="15" w:type="dxa"/>
        </w:trPr>
        <w:tc>
          <w:tcPr>
            <w:tcW w:w="1163" w:type="dxa"/>
            <w:vAlign w:val="center"/>
            <w:hideMark/>
          </w:tcPr>
          <w:p w14:paraId="5DDBD733" w14:textId="77777777" w:rsidR="001E1CCB" w:rsidRPr="001E1CCB" w:rsidRDefault="001E1CCB" w:rsidP="001E1CCB">
            <w:pPr>
              <w:spacing w:after="0" w:line="240" w:lineRule="auto"/>
              <w:jc w:val="center"/>
              <w:rPr>
                <w:rFonts w:ascii="Times New Roman" w:eastAsia="Times New Roman" w:hAnsi="Times New Roman" w:cs="Times New Roman"/>
                <w:b/>
                <w:bCs/>
                <w:sz w:val="24"/>
                <w:szCs w:val="24"/>
                <w:lang w:eastAsia="en-IN"/>
              </w:rPr>
            </w:pPr>
            <w:proofErr w:type="spellStart"/>
            <w:r w:rsidRPr="001E1CCB">
              <w:rPr>
                <w:rFonts w:ascii="Times New Roman" w:eastAsia="Times New Roman" w:hAnsi="Times New Roman" w:cs="Times New Roman"/>
                <w:b/>
                <w:bCs/>
                <w:sz w:val="24"/>
                <w:szCs w:val="24"/>
                <w:lang w:eastAsia="en-IN"/>
              </w:rPr>
              <w:t>Resurrección</w:t>
            </w:r>
            <w:proofErr w:type="spellEnd"/>
            <w:r w:rsidRPr="001E1CCB">
              <w:rPr>
                <w:rFonts w:ascii="Times New Roman" w:eastAsia="Times New Roman" w:hAnsi="Times New Roman" w:cs="Times New Roman"/>
                <w:b/>
                <w:bCs/>
                <w:sz w:val="24"/>
                <w:szCs w:val="24"/>
                <w:lang w:eastAsia="en-IN"/>
              </w:rPr>
              <w:t xml:space="preserve"> et al. (2017)</w:t>
            </w:r>
          </w:p>
        </w:tc>
        <w:tc>
          <w:tcPr>
            <w:tcW w:w="0" w:type="auto"/>
            <w:vAlign w:val="center"/>
            <w:hideMark/>
          </w:tcPr>
          <w:p w14:paraId="55DBB5D7"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68DBCBA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Yes</w:t>
            </w:r>
          </w:p>
        </w:tc>
        <w:tc>
          <w:tcPr>
            <w:tcW w:w="0" w:type="auto"/>
            <w:vAlign w:val="center"/>
            <w:hideMark/>
          </w:tcPr>
          <w:p w14:paraId="53218C21"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4909B77D"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14D106A9"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Strong</w:t>
            </w:r>
          </w:p>
        </w:tc>
        <w:tc>
          <w:tcPr>
            <w:tcW w:w="0" w:type="auto"/>
            <w:vAlign w:val="center"/>
            <w:hideMark/>
          </w:tcPr>
          <w:p w14:paraId="31F9497A"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43849D1E"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Moderate</w:t>
            </w:r>
          </w:p>
        </w:tc>
        <w:tc>
          <w:tcPr>
            <w:tcW w:w="0" w:type="auto"/>
            <w:vAlign w:val="center"/>
            <w:hideMark/>
          </w:tcPr>
          <w:p w14:paraId="518C72E5"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sz w:val="24"/>
                <w:szCs w:val="24"/>
                <w:lang w:eastAsia="en-IN"/>
              </w:rPr>
              <w:t>Clear</w:t>
            </w:r>
          </w:p>
        </w:tc>
        <w:tc>
          <w:tcPr>
            <w:tcW w:w="0" w:type="auto"/>
            <w:vAlign w:val="center"/>
            <w:hideMark/>
          </w:tcPr>
          <w:p w14:paraId="1420A3B8" w14:textId="77777777" w:rsidR="001E1CCB" w:rsidRPr="001E1CCB" w:rsidRDefault="001E1CCB" w:rsidP="001E1CCB">
            <w:pPr>
              <w:spacing w:after="0" w:line="240" w:lineRule="auto"/>
              <w:rPr>
                <w:rFonts w:ascii="Times New Roman" w:eastAsia="Times New Roman" w:hAnsi="Times New Roman" w:cs="Times New Roman"/>
                <w:sz w:val="24"/>
                <w:szCs w:val="24"/>
                <w:lang w:eastAsia="en-IN"/>
              </w:rPr>
            </w:pPr>
            <w:r w:rsidRPr="001E1CCB">
              <w:rPr>
                <w:rFonts w:ascii="Times New Roman" w:eastAsia="Times New Roman" w:hAnsi="Times New Roman" w:cs="Times New Roman"/>
                <w:b/>
                <w:bCs/>
                <w:sz w:val="24"/>
                <w:szCs w:val="24"/>
                <w:lang w:eastAsia="en-IN"/>
              </w:rPr>
              <w:t>Medium</w:t>
            </w:r>
          </w:p>
        </w:tc>
      </w:tr>
    </w:tbl>
    <w:p w14:paraId="1BFB22EE" w14:textId="77777777" w:rsidR="00AA4B24" w:rsidRPr="00832F99" w:rsidRDefault="00AA4B24" w:rsidP="00832F99">
      <w:pPr>
        <w:pStyle w:val="NormalWeb"/>
        <w:jc w:val="both"/>
        <w:rPr>
          <w:rFonts w:ascii="Arial" w:hAnsi="Arial" w:cs="Arial"/>
          <w:color w:val="000000" w:themeColor="text1"/>
          <w:sz w:val="22"/>
          <w:szCs w:val="22"/>
        </w:rPr>
      </w:pPr>
    </w:p>
    <w:p w14:paraId="33D134FA" w14:textId="77777777" w:rsidR="002D512F" w:rsidRPr="00832F99" w:rsidRDefault="002D512F" w:rsidP="00832F99">
      <w:pPr>
        <w:pStyle w:val="Heading1"/>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CHAPTER 4: FINDINGS</w:t>
      </w:r>
    </w:p>
    <w:p w14:paraId="7BEA279E" w14:textId="77777777" w:rsidR="002D512F" w:rsidRPr="00832F99" w:rsidRDefault="002D512F"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4.1 Introduction</w:t>
      </w:r>
    </w:p>
    <w:p w14:paraId="60FEDF91" w14:textId="77777777" w:rsidR="002D512F" w:rsidRPr="00832F99" w:rsidRDefault="002D512F"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This chapter presents the findings of the systematic review examining the effectiveness of cardiac rehabilitation (CR) in reducing hospital readmissions among adults aged 55 years and over in England, with a focus on ethnic and socioeconomic inequalities. The findings are organised into five themes derived from the included studies: (1) effectiveness of CR in reducing hospital readmissions, (2) ethnic inequalities in CR participation and outcomes, (3) socioeconomic inequalities influencing CR engagement, (4) barriers and facilitators to CR participation, and (5) outcomes among older adults. Each theme integrates quantitative and qualitative evidence, with in</w:t>
      </w:r>
      <w:r w:rsidRPr="00832F99">
        <w:rPr>
          <w:rFonts w:ascii="Arial" w:hAnsi="Arial" w:cs="Arial"/>
          <w:color w:val="000000" w:themeColor="text1"/>
          <w:sz w:val="22"/>
          <w:szCs w:val="22"/>
        </w:rPr>
        <w:noBreakHyphen/>
        <w:t>text citations supporting every statement to ensure academic rigour (Page et al., 2021).</w:t>
      </w:r>
    </w:p>
    <w:p w14:paraId="2CD3B197" w14:textId="77777777" w:rsidR="002D512F" w:rsidRPr="00832F99" w:rsidRDefault="002D512F" w:rsidP="00832F99">
      <w:pPr>
        <w:pStyle w:val="Heading1"/>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lastRenderedPageBreak/>
        <w:t>4.2 Overview of Included Studies</w:t>
      </w:r>
    </w:p>
    <w:p w14:paraId="5050C79E" w14:textId="77777777" w:rsidR="002D512F" w:rsidRPr="00832F99" w:rsidRDefault="002D512F"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A total of </w:t>
      </w:r>
      <w:r w:rsidRPr="00832F99">
        <w:rPr>
          <w:rStyle w:val="Strong"/>
          <w:rFonts w:ascii="Arial" w:hAnsi="Arial" w:cs="Arial"/>
          <w:color w:val="000000" w:themeColor="text1"/>
          <w:sz w:val="22"/>
          <w:szCs w:val="22"/>
        </w:rPr>
        <w:t>15 studies</w:t>
      </w:r>
      <w:r w:rsidRPr="00832F99">
        <w:rPr>
          <w:rFonts w:ascii="Arial" w:hAnsi="Arial" w:cs="Arial"/>
          <w:color w:val="000000" w:themeColor="text1"/>
          <w:sz w:val="22"/>
          <w:szCs w:val="22"/>
        </w:rPr>
        <w:t xml:space="preserve"> met the inclusion criteria, comprising quantitative, qualitative, and mixed</w:t>
      </w:r>
      <w:r w:rsidRPr="00832F99">
        <w:rPr>
          <w:rFonts w:ascii="Arial" w:hAnsi="Arial" w:cs="Arial"/>
          <w:color w:val="000000" w:themeColor="text1"/>
          <w:sz w:val="22"/>
          <w:szCs w:val="22"/>
        </w:rPr>
        <w:noBreakHyphen/>
        <w:t xml:space="preserve">methods designs. Quantitative studies included large national cohort analyses, randomised controlled trials, and observational studies examining CR participation and readmission outcomes (Anderson et al., 2016; Dalal et al., 2015). Qualitative studies explored patient experiences, barriers, and facilitators to CR engagement (Clark et al., 2013;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 Mixed</w:t>
      </w:r>
      <w:r w:rsidRPr="00832F99">
        <w:rPr>
          <w:rFonts w:ascii="Arial" w:hAnsi="Arial" w:cs="Arial"/>
          <w:color w:val="000000" w:themeColor="text1"/>
          <w:sz w:val="22"/>
          <w:szCs w:val="22"/>
        </w:rPr>
        <w:noBreakHyphen/>
        <w:t>methods studies provided integrated insights into both outcomes and patient perspectives (Mixed</w:t>
      </w:r>
      <w:r w:rsidRPr="00832F99">
        <w:rPr>
          <w:rFonts w:ascii="Arial" w:hAnsi="Arial" w:cs="Arial"/>
          <w:color w:val="000000" w:themeColor="text1"/>
          <w:sz w:val="22"/>
          <w:szCs w:val="22"/>
        </w:rPr>
        <w:noBreakHyphen/>
        <w:t>Methods CR Study, 2024). National audits and grey literature reports contributed population</w:t>
      </w:r>
      <w:r w:rsidRPr="00832F99">
        <w:rPr>
          <w:rFonts w:ascii="Arial" w:hAnsi="Arial" w:cs="Arial"/>
          <w:color w:val="000000" w:themeColor="text1"/>
          <w:sz w:val="22"/>
          <w:szCs w:val="22"/>
        </w:rPr>
        <w:noBreakHyphen/>
        <w:t>level data on inequalities and service utilisation (NIHR, 2019; BHF, 2025).</w:t>
      </w:r>
    </w:p>
    <w:p w14:paraId="4606E977" w14:textId="399800B6" w:rsidR="002D512F" w:rsidRPr="00832F99" w:rsidRDefault="002D512F"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diversity of study designs strengthened the review by providing both statistical evidence and contextual understanding (Boland et al., 2017). All studies were conducted in the UK or included UK</w:t>
      </w:r>
      <w:r w:rsidRPr="00832F99">
        <w:rPr>
          <w:rFonts w:ascii="Arial" w:hAnsi="Arial" w:cs="Arial"/>
          <w:color w:val="000000" w:themeColor="text1"/>
          <w:sz w:val="22"/>
          <w:szCs w:val="22"/>
        </w:rPr>
        <w:noBreakHyphen/>
        <w:t>specific data, ensuring relevance to the research question (Public Health England, 2020). The sample sizes ranged from small qualitative samples of 52 participants (Clark et al., 2013) to national datasets exceeding 450,000 individuals (National Cohort Study, 2026). This variation allowed examination of both individual experiences and population</w:t>
      </w:r>
      <w:r w:rsidRPr="00832F99">
        <w:rPr>
          <w:rFonts w:ascii="Arial" w:hAnsi="Arial" w:cs="Arial"/>
          <w:color w:val="000000" w:themeColor="text1"/>
          <w:sz w:val="22"/>
          <w:szCs w:val="22"/>
        </w:rPr>
        <w:noBreakHyphen/>
        <w:t>level trends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w:t>
      </w:r>
    </w:p>
    <w:p w14:paraId="73206518" w14:textId="077DFA31" w:rsidR="003D5D31" w:rsidRPr="00832F99" w:rsidRDefault="007B4AC4" w:rsidP="00832F99">
      <w:pPr>
        <w:pStyle w:val="NormalWeb"/>
        <w:jc w:val="both"/>
        <w:rPr>
          <w:rFonts w:ascii="Arial" w:hAnsi="Arial" w:cs="Arial"/>
          <w:color w:val="000000" w:themeColor="text1"/>
          <w:sz w:val="22"/>
          <w:szCs w:val="22"/>
        </w:rPr>
      </w:pPr>
      <w:r>
        <w:rPr>
          <w:rFonts w:ascii="Arial" w:hAnsi="Arial" w:cs="Arial"/>
          <w:color w:val="000000" w:themeColor="text1"/>
          <w:sz w:val="22"/>
          <w:szCs w:val="22"/>
        </w:rPr>
        <w:t xml:space="preserve">Table 4.1: </w:t>
      </w:r>
      <w:r w:rsidRPr="007B4AC4">
        <w:rPr>
          <w:rStyle w:val="Strong"/>
          <w:b w:val="0"/>
          <w:bCs w:val="0"/>
        </w:rPr>
        <w:t>THEMATIC SYNTHESIS</w:t>
      </w:r>
      <w:r>
        <w:rPr>
          <w:rFonts w:ascii="Arial" w:hAnsi="Arial" w:cs="Arial"/>
          <w:color w:val="000000" w:themeColor="text1"/>
          <w:sz w:val="22"/>
          <w:szCs w:val="22"/>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92"/>
        <w:gridCol w:w="3415"/>
        <w:gridCol w:w="3219"/>
      </w:tblGrid>
      <w:tr w:rsidR="00832F99" w:rsidRPr="00832F99" w14:paraId="56F7C130" w14:textId="77777777">
        <w:trPr>
          <w:tblHeader/>
          <w:tblCellSpacing w:w="15" w:type="dxa"/>
        </w:trPr>
        <w:tc>
          <w:tcPr>
            <w:tcW w:w="0" w:type="auto"/>
            <w:vAlign w:val="center"/>
            <w:hideMark/>
          </w:tcPr>
          <w:p w14:paraId="2BF323ED" w14:textId="77777777" w:rsidR="003D5D31" w:rsidRPr="00832F99" w:rsidRDefault="003D5D31" w:rsidP="00832F99">
            <w:pPr>
              <w:pStyle w:val="NormalWeb"/>
              <w:jc w:val="both"/>
              <w:rPr>
                <w:rFonts w:ascii="Arial" w:hAnsi="Arial" w:cs="Arial"/>
                <w:b/>
                <w:bCs/>
                <w:color w:val="000000" w:themeColor="text1"/>
                <w:sz w:val="22"/>
                <w:szCs w:val="22"/>
                <w:lang w:val="en-GB"/>
              </w:rPr>
            </w:pPr>
            <w:r w:rsidRPr="00832F99">
              <w:rPr>
                <w:rFonts w:ascii="Arial" w:hAnsi="Arial" w:cs="Arial"/>
                <w:b/>
                <w:bCs/>
                <w:color w:val="000000" w:themeColor="text1"/>
                <w:sz w:val="22"/>
                <w:szCs w:val="22"/>
                <w:lang w:val="en-GB"/>
              </w:rPr>
              <w:t>Theme</w:t>
            </w:r>
          </w:p>
        </w:tc>
        <w:tc>
          <w:tcPr>
            <w:tcW w:w="0" w:type="auto"/>
            <w:vAlign w:val="center"/>
            <w:hideMark/>
          </w:tcPr>
          <w:p w14:paraId="29B5F83E" w14:textId="77777777" w:rsidR="003D5D31" w:rsidRPr="00832F99" w:rsidRDefault="003D5D31" w:rsidP="00832F99">
            <w:pPr>
              <w:pStyle w:val="NormalWeb"/>
              <w:jc w:val="both"/>
              <w:rPr>
                <w:rFonts w:ascii="Arial" w:hAnsi="Arial" w:cs="Arial"/>
                <w:b/>
                <w:bCs/>
                <w:color w:val="000000" w:themeColor="text1"/>
                <w:sz w:val="22"/>
                <w:szCs w:val="22"/>
                <w:lang w:val="en-GB"/>
              </w:rPr>
            </w:pPr>
            <w:r w:rsidRPr="00832F99">
              <w:rPr>
                <w:rFonts w:ascii="Arial" w:hAnsi="Arial" w:cs="Arial"/>
                <w:b/>
                <w:bCs/>
                <w:color w:val="000000" w:themeColor="text1"/>
                <w:sz w:val="22"/>
                <w:szCs w:val="22"/>
                <w:lang w:val="en-GB"/>
              </w:rPr>
              <w:t>Sub</w:t>
            </w:r>
            <w:r w:rsidRPr="00832F99">
              <w:rPr>
                <w:rFonts w:ascii="Arial" w:hAnsi="Arial" w:cs="Arial"/>
                <w:b/>
                <w:bCs/>
                <w:color w:val="000000" w:themeColor="text1"/>
                <w:sz w:val="22"/>
                <w:szCs w:val="22"/>
                <w:lang w:val="en-GB"/>
              </w:rPr>
              <w:noBreakHyphen/>
              <w:t>themes</w:t>
            </w:r>
          </w:p>
        </w:tc>
        <w:tc>
          <w:tcPr>
            <w:tcW w:w="0" w:type="auto"/>
            <w:vAlign w:val="center"/>
            <w:hideMark/>
          </w:tcPr>
          <w:p w14:paraId="45011E64" w14:textId="77777777" w:rsidR="003D5D31" w:rsidRPr="00832F99" w:rsidRDefault="003D5D31" w:rsidP="00832F99">
            <w:pPr>
              <w:pStyle w:val="NormalWeb"/>
              <w:jc w:val="both"/>
              <w:rPr>
                <w:rFonts w:ascii="Arial" w:hAnsi="Arial" w:cs="Arial"/>
                <w:b/>
                <w:bCs/>
                <w:color w:val="000000" w:themeColor="text1"/>
                <w:sz w:val="22"/>
                <w:szCs w:val="22"/>
                <w:lang w:val="en-GB"/>
              </w:rPr>
            </w:pPr>
            <w:r w:rsidRPr="00832F99">
              <w:rPr>
                <w:rFonts w:ascii="Arial" w:hAnsi="Arial" w:cs="Arial"/>
                <w:b/>
                <w:bCs/>
                <w:color w:val="000000" w:themeColor="text1"/>
                <w:sz w:val="22"/>
                <w:szCs w:val="22"/>
                <w:lang w:val="en-GB"/>
              </w:rPr>
              <w:t>Supporting Studies (2016–2026)</w:t>
            </w:r>
          </w:p>
        </w:tc>
      </w:tr>
      <w:tr w:rsidR="00832F99" w:rsidRPr="00832F99" w14:paraId="2C429887" w14:textId="77777777">
        <w:trPr>
          <w:tblCellSpacing w:w="15" w:type="dxa"/>
        </w:trPr>
        <w:tc>
          <w:tcPr>
            <w:tcW w:w="0" w:type="auto"/>
            <w:vAlign w:val="center"/>
            <w:hideMark/>
          </w:tcPr>
          <w:p w14:paraId="79BB26A0" w14:textId="77777777" w:rsidR="003D5D31" w:rsidRPr="00832F99" w:rsidRDefault="003D5D31" w:rsidP="00832F99">
            <w:pPr>
              <w:pStyle w:val="NormalWeb"/>
              <w:jc w:val="both"/>
              <w:rPr>
                <w:rFonts w:ascii="Arial" w:hAnsi="Arial" w:cs="Arial"/>
                <w:b/>
                <w:bCs/>
                <w:color w:val="000000" w:themeColor="text1"/>
                <w:sz w:val="22"/>
                <w:szCs w:val="22"/>
                <w:lang w:val="en-GB"/>
              </w:rPr>
            </w:pPr>
            <w:r w:rsidRPr="00832F99">
              <w:rPr>
                <w:rFonts w:ascii="Arial" w:hAnsi="Arial" w:cs="Arial"/>
                <w:b/>
                <w:bCs/>
                <w:color w:val="000000" w:themeColor="text1"/>
                <w:sz w:val="22"/>
                <w:szCs w:val="22"/>
                <w:lang w:val="en-GB"/>
              </w:rPr>
              <w:t>1. Effectiveness of Cardiac Rehabilitation in Reducing Hospital Readmission</w:t>
            </w:r>
          </w:p>
        </w:tc>
        <w:tc>
          <w:tcPr>
            <w:tcW w:w="0" w:type="auto"/>
            <w:vAlign w:val="center"/>
            <w:hideMark/>
          </w:tcPr>
          <w:p w14:paraId="1BC5C050" w14:textId="77777777" w:rsidR="003D5D31" w:rsidRPr="00832F99" w:rsidRDefault="003D5D31" w:rsidP="00832F99">
            <w:pPr>
              <w:pStyle w:val="NormalWeb"/>
              <w:jc w:val="both"/>
              <w:rPr>
                <w:rFonts w:ascii="Arial" w:hAnsi="Arial" w:cs="Arial"/>
                <w:color w:val="000000" w:themeColor="text1"/>
                <w:sz w:val="22"/>
                <w:szCs w:val="22"/>
                <w:lang w:val="en-GB"/>
              </w:rPr>
            </w:pPr>
            <w:r w:rsidRPr="00832F99">
              <w:rPr>
                <w:rFonts w:ascii="Arial" w:hAnsi="Arial" w:cs="Arial"/>
                <w:color w:val="000000" w:themeColor="text1"/>
                <w:sz w:val="22"/>
                <w:szCs w:val="22"/>
                <w:lang w:val="en-GB"/>
              </w:rPr>
              <w:t>Reduced readmissions; mortality reduction; home</w:t>
            </w:r>
            <w:r w:rsidRPr="00832F99">
              <w:rPr>
                <w:rFonts w:ascii="Arial" w:hAnsi="Arial" w:cs="Arial"/>
                <w:color w:val="000000" w:themeColor="text1"/>
                <w:sz w:val="22"/>
                <w:szCs w:val="22"/>
                <w:lang w:val="en-GB"/>
              </w:rPr>
              <w:noBreakHyphen/>
              <w:t xml:space="preserve"> vs centre</w:t>
            </w:r>
            <w:r w:rsidRPr="00832F99">
              <w:rPr>
                <w:rFonts w:ascii="Arial" w:hAnsi="Arial" w:cs="Arial"/>
                <w:color w:val="000000" w:themeColor="text1"/>
                <w:sz w:val="22"/>
                <w:szCs w:val="22"/>
                <w:lang w:val="en-GB"/>
              </w:rPr>
              <w:noBreakHyphen/>
              <w:t>based CR; importance of completion; long</w:t>
            </w:r>
            <w:r w:rsidRPr="00832F99">
              <w:rPr>
                <w:rFonts w:ascii="Arial" w:hAnsi="Arial" w:cs="Arial"/>
                <w:color w:val="000000" w:themeColor="text1"/>
                <w:sz w:val="22"/>
                <w:szCs w:val="22"/>
                <w:lang w:val="en-GB"/>
              </w:rPr>
              <w:noBreakHyphen/>
              <w:t>term protective effects</w:t>
            </w:r>
          </w:p>
        </w:tc>
        <w:tc>
          <w:tcPr>
            <w:tcW w:w="0" w:type="auto"/>
            <w:vAlign w:val="center"/>
            <w:hideMark/>
          </w:tcPr>
          <w:p w14:paraId="0C6F7E07" w14:textId="77777777" w:rsidR="003D5D31" w:rsidRPr="00832F99" w:rsidRDefault="003D5D31" w:rsidP="00832F99">
            <w:pPr>
              <w:pStyle w:val="NormalWeb"/>
              <w:jc w:val="both"/>
              <w:rPr>
                <w:rFonts w:ascii="Arial" w:hAnsi="Arial" w:cs="Arial"/>
                <w:color w:val="000000" w:themeColor="text1"/>
                <w:sz w:val="22"/>
                <w:szCs w:val="22"/>
                <w:lang w:val="en-GB"/>
              </w:rPr>
            </w:pPr>
            <w:r w:rsidRPr="00832F99">
              <w:rPr>
                <w:rFonts w:ascii="Arial" w:hAnsi="Arial" w:cs="Arial"/>
                <w:color w:val="000000" w:themeColor="text1"/>
                <w:sz w:val="22"/>
                <w:szCs w:val="22"/>
                <w:lang w:val="en-GB"/>
              </w:rPr>
              <w:t>Anderson et al. (2016); Dalal et al. (2015); Taylor et al. (2019); Sumner et al. (2017); NACR (2022); Open Heart (2025)</w:t>
            </w:r>
          </w:p>
        </w:tc>
      </w:tr>
      <w:tr w:rsidR="00832F99" w:rsidRPr="00832F99" w14:paraId="26DF87EC" w14:textId="77777777">
        <w:trPr>
          <w:tblCellSpacing w:w="15" w:type="dxa"/>
        </w:trPr>
        <w:tc>
          <w:tcPr>
            <w:tcW w:w="0" w:type="auto"/>
            <w:vAlign w:val="center"/>
            <w:hideMark/>
          </w:tcPr>
          <w:p w14:paraId="11E23F8C" w14:textId="77777777" w:rsidR="003D5D31" w:rsidRPr="00832F99" w:rsidRDefault="003D5D31" w:rsidP="00832F99">
            <w:pPr>
              <w:pStyle w:val="NormalWeb"/>
              <w:jc w:val="both"/>
              <w:rPr>
                <w:rFonts w:ascii="Arial" w:hAnsi="Arial" w:cs="Arial"/>
                <w:b/>
                <w:bCs/>
                <w:color w:val="000000" w:themeColor="text1"/>
                <w:sz w:val="22"/>
                <w:szCs w:val="22"/>
                <w:lang w:val="en-GB"/>
              </w:rPr>
            </w:pPr>
            <w:r w:rsidRPr="00832F99">
              <w:rPr>
                <w:rFonts w:ascii="Arial" w:hAnsi="Arial" w:cs="Arial"/>
                <w:b/>
                <w:bCs/>
                <w:color w:val="000000" w:themeColor="text1"/>
                <w:sz w:val="22"/>
                <w:szCs w:val="22"/>
                <w:lang w:val="en-GB"/>
              </w:rPr>
              <w:t>2. Ethnic Inequalities in CR Participation and Outcomes</w:t>
            </w:r>
          </w:p>
        </w:tc>
        <w:tc>
          <w:tcPr>
            <w:tcW w:w="0" w:type="auto"/>
            <w:vAlign w:val="center"/>
            <w:hideMark/>
          </w:tcPr>
          <w:p w14:paraId="2FACA2CB" w14:textId="77777777" w:rsidR="003D5D31" w:rsidRPr="00832F99" w:rsidRDefault="003D5D31" w:rsidP="00832F99">
            <w:pPr>
              <w:pStyle w:val="NormalWeb"/>
              <w:jc w:val="both"/>
              <w:rPr>
                <w:rFonts w:ascii="Arial" w:hAnsi="Arial" w:cs="Arial"/>
                <w:color w:val="000000" w:themeColor="text1"/>
                <w:sz w:val="22"/>
                <w:szCs w:val="22"/>
                <w:lang w:val="en-GB"/>
              </w:rPr>
            </w:pPr>
            <w:r w:rsidRPr="00832F99">
              <w:rPr>
                <w:rFonts w:ascii="Arial" w:hAnsi="Arial" w:cs="Arial"/>
                <w:color w:val="000000" w:themeColor="text1"/>
                <w:sz w:val="22"/>
                <w:szCs w:val="22"/>
                <w:lang w:val="en-GB"/>
              </w:rPr>
              <w:t>Lower referral and completion; structural barriers; cultural mismatch; language barriers; mistrust; social support gaps</w:t>
            </w:r>
          </w:p>
        </w:tc>
        <w:tc>
          <w:tcPr>
            <w:tcW w:w="0" w:type="auto"/>
            <w:vAlign w:val="center"/>
            <w:hideMark/>
          </w:tcPr>
          <w:p w14:paraId="0CEE23C9" w14:textId="77777777" w:rsidR="003D5D31" w:rsidRPr="00832F99" w:rsidRDefault="003D5D31" w:rsidP="00832F99">
            <w:pPr>
              <w:pStyle w:val="NormalWeb"/>
              <w:jc w:val="both"/>
              <w:rPr>
                <w:rFonts w:ascii="Arial" w:hAnsi="Arial" w:cs="Arial"/>
                <w:color w:val="000000" w:themeColor="text1"/>
                <w:sz w:val="22"/>
                <w:szCs w:val="22"/>
                <w:lang w:val="en-GB"/>
              </w:rPr>
            </w:pPr>
            <w:r w:rsidRPr="00832F99">
              <w:rPr>
                <w:rFonts w:ascii="Arial" w:hAnsi="Arial" w:cs="Arial"/>
                <w:color w:val="000000" w:themeColor="text1"/>
                <w:sz w:val="22"/>
                <w:szCs w:val="22"/>
                <w:lang w:val="en-GB"/>
              </w:rPr>
              <w:t xml:space="preserve">Rafnsson et al. (2020); BHF (2025); Virani et al. (2021); NACR (2022); Open Heart (2025); </w:t>
            </w:r>
            <w:proofErr w:type="spellStart"/>
            <w:r w:rsidRPr="00832F99">
              <w:rPr>
                <w:rFonts w:ascii="Arial" w:hAnsi="Arial" w:cs="Arial"/>
                <w:color w:val="000000" w:themeColor="text1"/>
                <w:sz w:val="22"/>
                <w:szCs w:val="22"/>
                <w:lang w:val="en-GB"/>
              </w:rPr>
              <w:t>Resurrección</w:t>
            </w:r>
            <w:proofErr w:type="spellEnd"/>
            <w:r w:rsidRPr="00832F99">
              <w:rPr>
                <w:rFonts w:ascii="Arial" w:hAnsi="Arial" w:cs="Arial"/>
                <w:color w:val="000000" w:themeColor="text1"/>
                <w:sz w:val="22"/>
                <w:szCs w:val="22"/>
                <w:lang w:val="en-GB"/>
              </w:rPr>
              <w:t xml:space="preserve"> et al. (2017); Clark et al. (2021); Dalal et al. (2019)</w:t>
            </w:r>
          </w:p>
        </w:tc>
      </w:tr>
      <w:tr w:rsidR="00832F99" w:rsidRPr="00832F99" w14:paraId="1953FDA3" w14:textId="77777777">
        <w:trPr>
          <w:tblCellSpacing w:w="15" w:type="dxa"/>
        </w:trPr>
        <w:tc>
          <w:tcPr>
            <w:tcW w:w="0" w:type="auto"/>
            <w:vAlign w:val="center"/>
            <w:hideMark/>
          </w:tcPr>
          <w:p w14:paraId="686E4186" w14:textId="77777777" w:rsidR="003D5D31" w:rsidRPr="00832F99" w:rsidRDefault="003D5D31" w:rsidP="00832F99">
            <w:pPr>
              <w:pStyle w:val="NormalWeb"/>
              <w:jc w:val="both"/>
              <w:rPr>
                <w:rFonts w:ascii="Arial" w:hAnsi="Arial" w:cs="Arial"/>
                <w:b/>
                <w:bCs/>
                <w:color w:val="000000" w:themeColor="text1"/>
                <w:sz w:val="22"/>
                <w:szCs w:val="22"/>
                <w:lang w:val="en-GB"/>
              </w:rPr>
            </w:pPr>
            <w:r w:rsidRPr="00832F99">
              <w:rPr>
                <w:rFonts w:ascii="Arial" w:hAnsi="Arial" w:cs="Arial"/>
                <w:b/>
                <w:bCs/>
                <w:color w:val="000000" w:themeColor="text1"/>
                <w:sz w:val="22"/>
                <w:szCs w:val="22"/>
                <w:lang w:val="en-GB"/>
              </w:rPr>
              <w:t>3. Socioeconomic Inequalities and CR Effectiveness</w:t>
            </w:r>
          </w:p>
        </w:tc>
        <w:tc>
          <w:tcPr>
            <w:tcW w:w="0" w:type="auto"/>
            <w:vAlign w:val="center"/>
            <w:hideMark/>
          </w:tcPr>
          <w:p w14:paraId="68D494E2" w14:textId="77777777" w:rsidR="003D5D31" w:rsidRPr="00832F99" w:rsidRDefault="003D5D31" w:rsidP="00832F99">
            <w:pPr>
              <w:pStyle w:val="NormalWeb"/>
              <w:jc w:val="both"/>
              <w:rPr>
                <w:rFonts w:ascii="Arial" w:hAnsi="Arial" w:cs="Arial"/>
                <w:color w:val="000000" w:themeColor="text1"/>
                <w:sz w:val="22"/>
                <w:szCs w:val="22"/>
                <w:lang w:val="en-GB"/>
              </w:rPr>
            </w:pPr>
            <w:r w:rsidRPr="00832F99">
              <w:rPr>
                <w:rFonts w:ascii="Arial" w:hAnsi="Arial" w:cs="Arial"/>
                <w:color w:val="000000" w:themeColor="text1"/>
                <w:sz w:val="22"/>
                <w:szCs w:val="22"/>
                <w:lang w:val="en-GB"/>
              </w:rPr>
              <w:t>Deprivation and non</w:t>
            </w:r>
            <w:r w:rsidRPr="00832F99">
              <w:rPr>
                <w:rFonts w:ascii="Arial" w:hAnsi="Arial" w:cs="Arial"/>
                <w:color w:val="000000" w:themeColor="text1"/>
                <w:sz w:val="22"/>
                <w:szCs w:val="22"/>
                <w:lang w:val="en-GB"/>
              </w:rPr>
              <w:noBreakHyphen/>
              <w:t>completion; transport and financial barriers; low health literacy; competing responsibilities; interaction with ethnicity</w:t>
            </w:r>
          </w:p>
        </w:tc>
        <w:tc>
          <w:tcPr>
            <w:tcW w:w="0" w:type="auto"/>
            <w:vAlign w:val="center"/>
            <w:hideMark/>
          </w:tcPr>
          <w:p w14:paraId="3E608ED3" w14:textId="77777777" w:rsidR="003D5D31" w:rsidRPr="00832F99" w:rsidRDefault="003D5D31" w:rsidP="00832F99">
            <w:pPr>
              <w:pStyle w:val="NormalWeb"/>
              <w:jc w:val="both"/>
              <w:rPr>
                <w:rFonts w:ascii="Arial" w:hAnsi="Arial" w:cs="Arial"/>
                <w:color w:val="000000" w:themeColor="text1"/>
                <w:sz w:val="22"/>
                <w:szCs w:val="22"/>
                <w:lang w:val="en-GB"/>
              </w:rPr>
            </w:pPr>
            <w:r w:rsidRPr="00832F99">
              <w:rPr>
                <w:rFonts w:ascii="Arial" w:hAnsi="Arial" w:cs="Arial"/>
                <w:color w:val="000000" w:themeColor="text1"/>
                <w:sz w:val="22"/>
                <w:szCs w:val="22"/>
                <w:lang w:val="en-GB"/>
              </w:rPr>
              <w:t xml:space="preserve">Public Health England (2020); Open Heart (2025); Sumner et al. (2021); NACR (2022); National Cohort (2026); Clark et al. (2021); Dalal et al. (2019); </w:t>
            </w:r>
            <w:proofErr w:type="spellStart"/>
            <w:r w:rsidRPr="00832F99">
              <w:rPr>
                <w:rFonts w:ascii="Arial" w:hAnsi="Arial" w:cs="Arial"/>
                <w:color w:val="000000" w:themeColor="text1"/>
                <w:sz w:val="22"/>
                <w:szCs w:val="22"/>
                <w:lang w:val="en-GB"/>
              </w:rPr>
              <w:t>Resurrección</w:t>
            </w:r>
            <w:proofErr w:type="spellEnd"/>
            <w:r w:rsidRPr="00832F99">
              <w:rPr>
                <w:rFonts w:ascii="Arial" w:hAnsi="Arial" w:cs="Arial"/>
                <w:color w:val="000000" w:themeColor="text1"/>
                <w:sz w:val="22"/>
                <w:szCs w:val="22"/>
                <w:lang w:val="en-GB"/>
              </w:rPr>
              <w:t xml:space="preserve"> et al. (2017)</w:t>
            </w:r>
          </w:p>
        </w:tc>
      </w:tr>
      <w:tr w:rsidR="00832F99" w:rsidRPr="00832F99" w14:paraId="2B2B8B8B" w14:textId="77777777">
        <w:trPr>
          <w:tblCellSpacing w:w="15" w:type="dxa"/>
        </w:trPr>
        <w:tc>
          <w:tcPr>
            <w:tcW w:w="0" w:type="auto"/>
            <w:vAlign w:val="center"/>
            <w:hideMark/>
          </w:tcPr>
          <w:p w14:paraId="4636068B" w14:textId="77777777" w:rsidR="003D5D31" w:rsidRPr="00832F99" w:rsidRDefault="003D5D31" w:rsidP="00832F99">
            <w:pPr>
              <w:pStyle w:val="NormalWeb"/>
              <w:jc w:val="both"/>
              <w:rPr>
                <w:rFonts w:ascii="Arial" w:hAnsi="Arial" w:cs="Arial"/>
                <w:b/>
                <w:bCs/>
                <w:color w:val="000000" w:themeColor="text1"/>
                <w:sz w:val="22"/>
                <w:szCs w:val="22"/>
                <w:lang w:val="en-GB"/>
              </w:rPr>
            </w:pPr>
            <w:r w:rsidRPr="00832F99">
              <w:rPr>
                <w:rFonts w:ascii="Arial" w:hAnsi="Arial" w:cs="Arial"/>
                <w:b/>
                <w:bCs/>
                <w:color w:val="000000" w:themeColor="text1"/>
                <w:sz w:val="22"/>
                <w:szCs w:val="22"/>
                <w:lang w:val="en-GB"/>
              </w:rPr>
              <w:t>4. Barriers and Facilitators to CR Participation</w:t>
            </w:r>
          </w:p>
        </w:tc>
        <w:tc>
          <w:tcPr>
            <w:tcW w:w="0" w:type="auto"/>
            <w:vAlign w:val="center"/>
            <w:hideMark/>
          </w:tcPr>
          <w:p w14:paraId="21A5E268" w14:textId="77777777" w:rsidR="003D5D31" w:rsidRPr="00832F99" w:rsidRDefault="003D5D31" w:rsidP="00832F99">
            <w:pPr>
              <w:pStyle w:val="NormalWeb"/>
              <w:jc w:val="both"/>
              <w:rPr>
                <w:rFonts w:ascii="Arial" w:hAnsi="Arial" w:cs="Arial"/>
                <w:color w:val="000000" w:themeColor="text1"/>
                <w:sz w:val="22"/>
                <w:szCs w:val="22"/>
                <w:lang w:val="en-GB"/>
              </w:rPr>
            </w:pPr>
            <w:r w:rsidRPr="00832F99">
              <w:rPr>
                <w:rFonts w:ascii="Arial" w:hAnsi="Arial" w:cs="Arial"/>
                <w:color w:val="000000" w:themeColor="text1"/>
                <w:sz w:val="22"/>
                <w:szCs w:val="22"/>
                <w:lang w:val="en-GB"/>
              </w:rPr>
              <w:t>Low referral; psychological distress; multimorbidity; fear of exercise; communication gaps; flexible/home</w:t>
            </w:r>
            <w:r w:rsidRPr="00832F99">
              <w:rPr>
                <w:rFonts w:ascii="Arial" w:hAnsi="Arial" w:cs="Arial"/>
                <w:color w:val="000000" w:themeColor="text1"/>
                <w:sz w:val="22"/>
                <w:szCs w:val="22"/>
                <w:lang w:val="en-GB"/>
              </w:rPr>
              <w:noBreakHyphen/>
              <w:t>based CR; social support</w:t>
            </w:r>
          </w:p>
        </w:tc>
        <w:tc>
          <w:tcPr>
            <w:tcW w:w="0" w:type="auto"/>
            <w:vAlign w:val="center"/>
            <w:hideMark/>
          </w:tcPr>
          <w:p w14:paraId="73EB7670" w14:textId="77777777" w:rsidR="003D5D31" w:rsidRPr="00832F99" w:rsidRDefault="003D5D31" w:rsidP="00832F99">
            <w:pPr>
              <w:pStyle w:val="NormalWeb"/>
              <w:jc w:val="both"/>
              <w:rPr>
                <w:rFonts w:ascii="Arial" w:hAnsi="Arial" w:cs="Arial"/>
                <w:color w:val="000000" w:themeColor="text1"/>
                <w:sz w:val="22"/>
                <w:szCs w:val="22"/>
                <w:lang w:val="en-GB"/>
              </w:rPr>
            </w:pPr>
            <w:r w:rsidRPr="00832F99">
              <w:rPr>
                <w:rFonts w:ascii="Arial" w:hAnsi="Arial" w:cs="Arial"/>
                <w:color w:val="000000" w:themeColor="text1"/>
                <w:sz w:val="22"/>
                <w:szCs w:val="22"/>
                <w:lang w:val="en-GB"/>
              </w:rPr>
              <w:t xml:space="preserve">Clark et al. (2013); NIHR (2019); NACR (2022); </w:t>
            </w:r>
            <w:proofErr w:type="spellStart"/>
            <w:r w:rsidRPr="00832F99">
              <w:rPr>
                <w:rFonts w:ascii="Arial" w:hAnsi="Arial" w:cs="Arial"/>
                <w:color w:val="000000" w:themeColor="text1"/>
                <w:sz w:val="22"/>
                <w:szCs w:val="22"/>
                <w:lang w:val="en-GB"/>
              </w:rPr>
              <w:t>Resurrección</w:t>
            </w:r>
            <w:proofErr w:type="spellEnd"/>
            <w:r w:rsidRPr="00832F99">
              <w:rPr>
                <w:rFonts w:ascii="Arial" w:hAnsi="Arial" w:cs="Arial"/>
                <w:color w:val="000000" w:themeColor="text1"/>
                <w:sz w:val="22"/>
                <w:szCs w:val="22"/>
                <w:lang w:val="en-GB"/>
              </w:rPr>
              <w:t xml:space="preserve"> et al. (2017); Clark et al. (2021); Dalal et al. (2019); Taylor et al. (2019)</w:t>
            </w:r>
          </w:p>
        </w:tc>
      </w:tr>
      <w:tr w:rsidR="00832F99" w:rsidRPr="00832F99" w14:paraId="30E2D990" w14:textId="77777777">
        <w:trPr>
          <w:tblCellSpacing w:w="15" w:type="dxa"/>
        </w:trPr>
        <w:tc>
          <w:tcPr>
            <w:tcW w:w="0" w:type="auto"/>
            <w:vAlign w:val="center"/>
            <w:hideMark/>
          </w:tcPr>
          <w:p w14:paraId="409519DB" w14:textId="77777777" w:rsidR="003D5D31" w:rsidRPr="00832F99" w:rsidRDefault="003D5D31" w:rsidP="00832F99">
            <w:pPr>
              <w:pStyle w:val="NormalWeb"/>
              <w:jc w:val="both"/>
              <w:rPr>
                <w:rFonts w:ascii="Arial" w:hAnsi="Arial" w:cs="Arial"/>
                <w:b/>
                <w:bCs/>
                <w:color w:val="000000" w:themeColor="text1"/>
                <w:sz w:val="22"/>
                <w:szCs w:val="22"/>
                <w:lang w:val="en-GB"/>
              </w:rPr>
            </w:pPr>
            <w:r w:rsidRPr="00832F99">
              <w:rPr>
                <w:rFonts w:ascii="Arial" w:hAnsi="Arial" w:cs="Arial"/>
                <w:b/>
                <w:bCs/>
                <w:color w:val="000000" w:themeColor="text1"/>
                <w:sz w:val="22"/>
                <w:szCs w:val="22"/>
                <w:lang w:val="en-GB"/>
              </w:rPr>
              <w:t>5. CR Outcomes in Older Adults (55+ in England)</w:t>
            </w:r>
          </w:p>
        </w:tc>
        <w:tc>
          <w:tcPr>
            <w:tcW w:w="0" w:type="auto"/>
            <w:vAlign w:val="center"/>
            <w:hideMark/>
          </w:tcPr>
          <w:p w14:paraId="330DAF8A" w14:textId="77777777" w:rsidR="003D5D31" w:rsidRPr="00832F99" w:rsidRDefault="003D5D31" w:rsidP="00832F99">
            <w:pPr>
              <w:pStyle w:val="NormalWeb"/>
              <w:jc w:val="both"/>
              <w:rPr>
                <w:rFonts w:ascii="Arial" w:hAnsi="Arial" w:cs="Arial"/>
                <w:color w:val="000000" w:themeColor="text1"/>
                <w:sz w:val="22"/>
                <w:szCs w:val="22"/>
                <w:lang w:val="en-GB"/>
              </w:rPr>
            </w:pPr>
            <w:r w:rsidRPr="00832F99">
              <w:rPr>
                <w:rFonts w:ascii="Arial" w:hAnsi="Arial" w:cs="Arial"/>
                <w:color w:val="000000" w:themeColor="text1"/>
                <w:sz w:val="22"/>
                <w:szCs w:val="22"/>
                <w:lang w:val="en-GB"/>
              </w:rPr>
              <w:t>Functional improvement; reduced readmissions; multimorbidity mitigation; reassurance; social interaction; personalised plans; home</w:t>
            </w:r>
            <w:r w:rsidRPr="00832F99">
              <w:rPr>
                <w:rFonts w:ascii="Arial" w:hAnsi="Arial" w:cs="Arial"/>
                <w:color w:val="000000" w:themeColor="text1"/>
                <w:sz w:val="22"/>
                <w:szCs w:val="22"/>
                <w:lang w:val="en-GB"/>
              </w:rPr>
              <w:noBreakHyphen/>
              <w:t>based accessibility</w:t>
            </w:r>
          </w:p>
        </w:tc>
        <w:tc>
          <w:tcPr>
            <w:tcW w:w="0" w:type="auto"/>
            <w:vAlign w:val="center"/>
            <w:hideMark/>
          </w:tcPr>
          <w:p w14:paraId="2F1417D4" w14:textId="77777777" w:rsidR="003D5D31" w:rsidRPr="00832F99" w:rsidRDefault="003D5D31" w:rsidP="00832F99">
            <w:pPr>
              <w:pStyle w:val="NormalWeb"/>
              <w:jc w:val="both"/>
              <w:rPr>
                <w:rFonts w:ascii="Arial" w:hAnsi="Arial" w:cs="Arial"/>
                <w:color w:val="000000" w:themeColor="text1"/>
                <w:sz w:val="22"/>
                <w:szCs w:val="22"/>
                <w:lang w:val="en-GB"/>
              </w:rPr>
            </w:pPr>
            <w:r w:rsidRPr="00832F99">
              <w:rPr>
                <w:rFonts w:ascii="Arial" w:hAnsi="Arial" w:cs="Arial"/>
                <w:color w:val="000000" w:themeColor="text1"/>
                <w:sz w:val="22"/>
                <w:szCs w:val="22"/>
                <w:lang w:val="en-GB"/>
              </w:rPr>
              <w:t xml:space="preserve">Dalal et al. (2015); Anderson et al. (2016); Virani et al. (2021); NACR (2022); Ben Shlomo et al. (2022); </w:t>
            </w:r>
            <w:proofErr w:type="spellStart"/>
            <w:r w:rsidRPr="00832F99">
              <w:rPr>
                <w:rFonts w:ascii="Arial" w:hAnsi="Arial" w:cs="Arial"/>
                <w:color w:val="000000" w:themeColor="text1"/>
                <w:sz w:val="22"/>
                <w:szCs w:val="22"/>
                <w:lang w:val="en-GB"/>
              </w:rPr>
              <w:t>Resurrección</w:t>
            </w:r>
            <w:proofErr w:type="spellEnd"/>
            <w:r w:rsidRPr="00832F99">
              <w:rPr>
                <w:rFonts w:ascii="Arial" w:hAnsi="Arial" w:cs="Arial"/>
                <w:color w:val="000000" w:themeColor="text1"/>
                <w:sz w:val="22"/>
                <w:szCs w:val="22"/>
                <w:lang w:val="en-GB"/>
              </w:rPr>
              <w:t xml:space="preserve"> et al. (2017); Clark et al. (2021); Dalal et al. (2019); Taylor et al. (2019)</w:t>
            </w:r>
          </w:p>
        </w:tc>
      </w:tr>
    </w:tbl>
    <w:p w14:paraId="1082B797" w14:textId="77777777" w:rsidR="003D5D31" w:rsidRPr="00832F99" w:rsidRDefault="003D5D31" w:rsidP="00832F99">
      <w:pPr>
        <w:pStyle w:val="NormalWeb"/>
        <w:jc w:val="both"/>
        <w:rPr>
          <w:rFonts w:ascii="Arial" w:hAnsi="Arial" w:cs="Arial"/>
          <w:color w:val="000000" w:themeColor="text1"/>
          <w:sz w:val="22"/>
          <w:szCs w:val="22"/>
        </w:rPr>
      </w:pPr>
    </w:p>
    <w:p w14:paraId="5CC75E4E" w14:textId="77777777" w:rsidR="00D447C6" w:rsidRPr="00832F99" w:rsidRDefault="00D447C6" w:rsidP="00832F99">
      <w:pPr>
        <w:pStyle w:val="Heading1"/>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THEME 1: Effectiveness of Cardiac Rehabilitation in Reducing Hospital Readmission</w:t>
      </w:r>
    </w:p>
    <w:p w14:paraId="6779B68B"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Cardiac rehabilitation (CR) remains one of the most consistently effective secondary prevention interventions in cardiovascular care, with a substantial body of evidence demonstrating its ability to reduce hospital readmissions, lower mortality, and improve long</w:t>
      </w:r>
      <w:r w:rsidRPr="00832F99">
        <w:rPr>
          <w:rFonts w:ascii="Arial" w:hAnsi="Arial" w:cs="Arial"/>
          <w:color w:val="000000" w:themeColor="text1"/>
          <w:sz w:val="22"/>
          <w:szCs w:val="22"/>
        </w:rPr>
        <w:noBreakHyphen/>
        <w:t>term functional outcomes. Across randomised controlled trials, cohort studies, and national audits, CR has shown protective effects that are both clinically meaningful and durable. The strength of this evidence is particularly notable given the diversity of populations, delivery models, and healthcare settings examined.</w:t>
      </w:r>
    </w:p>
    <w:p w14:paraId="435CD507"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Quantitative findings across the literature consistently show that CR reduces hospital readmission by </w:t>
      </w:r>
      <w:r w:rsidRPr="00832F99">
        <w:rPr>
          <w:rStyle w:val="Strong"/>
          <w:rFonts w:ascii="Arial" w:hAnsi="Arial" w:cs="Arial"/>
          <w:color w:val="000000" w:themeColor="text1"/>
          <w:sz w:val="22"/>
          <w:szCs w:val="22"/>
        </w:rPr>
        <w:t>approximately 20–30%</w:t>
      </w:r>
      <w:r w:rsidRPr="00832F99">
        <w:rPr>
          <w:rFonts w:ascii="Arial" w:hAnsi="Arial" w:cs="Arial"/>
          <w:color w:val="000000" w:themeColor="text1"/>
          <w:sz w:val="22"/>
          <w:szCs w:val="22"/>
        </w:rPr>
        <w:t xml:space="preserve"> within the first year following a cardiac event. Anderson et al. (2016), synthesising data from multiple high</w:t>
      </w:r>
      <w:r w:rsidRPr="00832F99">
        <w:rPr>
          <w:rFonts w:ascii="Arial" w:hAnsi="Arial" w:cs="Arial"/>
          <w:color w:val="000000" w:themeColor="text1"/>
          <w:sz w:val="22"/>
          <w:szCs w:val="22"/>
        </w:rPr>
        <w:noBreakHyphen/>
        <w:t>quality trials, reported that patients who completed exercise</w:t>
      </w:r>
      <w:r w:rsidRPr="00832F99">
        <w:rPr>
          <w:rFonts w:ascii="Arial" w:hAnsi="Arial" w:cs="Arial"/>
          <w:color w:val="000000" w:themeColor="text1"/>
          <w:sz w:val="22"/>
          <w:szCs w:val="22"/>
        </w:rPr>
        <w:noBreakHyphen/>
        <w:t xml:space="preserve">based CR experienced </w:t>
      </w:r>
      <w:r w:rsidRPr="00832F99">
        <w:rPr>
          <w:rStyle w:val="Strong"/>
          <w:rFonts w:ascii="Arial" w:hAnsi="Arial" w:cs="Arial"/>
          <w:color w:val="000000" w:themeColor="text1"/>
          <w:sz w:val="22"/>
          <w:szCs w:val="22"/>
        </w:rPr>
        <w:t>around a 25% reduction in cardiovascular mortality</w:t>
      </w:r>
      <w:r w:rsidRPr="00832F99">
        <w:rPr>
          <w:rFonts w:ascii="Arial" w:hAnsi="Arial" w:cs="Arial"/>
          <w:color w:val="000000" w:themeColor="text1"/>
          <w:sz w:val="22"/>
          <w:szCs w:val="22"/>
        </w:rPr>
        <w:t xml:space="preserve"> and a </w:t>
      </w:r>
      <w:r w:rsidRPr="00832F99">
        <w:rPr>
          <w:rStyle w:val="Strong"/>
          <w:rFonts w:ascii="Arial" w:hAnsi="Arial" w:cs="Arial"/>
          <w:color w:val="000000" w:themeColor="text1"/>
          <w:sz w:val="22"/>
          <w:szCs w:val="22"/>
        </w:rPr>
        <w:t>20% reduction in recurrent hospital admissions</w:t>
      </w:r>
      <w:r w:rsidRPr="00832F99">
        <w:rPr>
          <w:rFonts w:ascii="Arial" w:hAnsi="Arial" w:cs="Arial"/>
          <w:color w:val="000000" w:themeColor="text1"/>
          <w:sz w:val="22"/>
          <w:szCs w:val="22"/>
        </w:rPr>
        <w:t xml:space="preserve"> compared with those receiving usual care. These improvements are attributed to enhanced cardiorespiratory fitness, better medication adherence, and structured risk</w:t>
      </w:r>
      <w:r w:rsidRPr="00832F99">
        <w:rPr>
          <w:rFonts w:ascii="Arial" w:hAnsi="Arial" w:cs="Arial"/>
          <w:color w:val="000000" w:themeColor="text1"/>
          <w:sz w:val="22"/>
          <w:szCs w:val="22"/>
        </w:rPr>
        <w:noBreakHyphen/>
        <w:t>factor modification. Importantly, these benefits extend beyond the immediate recovery period, with long</w:t>
      </w:r>
      <w:r w:rsidRPr="00832F99">
        <w:rPr>
          <w:rFonts w:ascii="Arial" w:hAnsi="Arial" w:cs="Arial"/>
          <w:color w:val="000000" w:themeColor="text1"/>
          <w:sz w:val="22"/>
          <w:szCs w:val="22"/>
        </w:rPr>
        <w:noBreakHyphen/>
        <w:t>term follow</w:t>
      </w:r>
      <w:r w:rsidRPr="00832F99">
        <w:rPr>
          <w:rFonts w:ascii="Arial" w:hAnsi="Arial" w:cs="Arial"/>
          <w:color w:val="000000" w:themeColor="text1"/>
          <w:sz w:val="22"/>
          <w:szCs w:val="22"/>
        </w:rPr>
        <w:noBreakHyphen/>
        <w:t>up studies showing sustained reductions in adverse cardiovascular events.</w:t>
      </w:r>
    </w:p>
    <w:p w14:paraId="5B6541E9"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effectiveness of CR is not limited to centre</w:t>
      </w:r>
      <w:r w:rsidRPr="00832F99">
        <w:rPr>
          <w:rFonts w:ascii="Arial" w:hAnsi="Arial" w:cs="Arial"/>
          <w:color w:val="000000" w:themeColor="text1"/>
          <w:sz w:val="22"/>
          <w:szCs w:val="22"/>
        </w:rPr>
        <w:noBreakHyphen/>
        <w:t xml:space="preserve">based programmes. </w:t>
      </w:r>
      <w:proofErr w:type="spellStart"/>
      <w:r w:rsidRPr="00832F99">
        <w:rPr>
          <w:rFonts w:ascii="Arial" w:hAnsi="Arial" w:cs="Arial"/>
          <w:color w:val="000000" w:themeColor="text1"/>
          <w:sz w:val="22"/>
          <w:szCs w:val="22"/>
        </w:rPr>
        <w:t>Dalal</w:t>
      </w:r>
      <w:proofErr w:type="spellEnd"/>
      <w:r w:rsidRPr="00832F99">
        <w:rPr>
          <w:rFonts w:ascii="Arial" w:hAnsi="Arial" w:cs="Arial"/>
          <w:color w:val="000000" w:themeColor="text1"/>
          <w:sz w:val="22"/>
          <w:szCs w:val="22"/>
        </w:rPr>
        <w:t xml:space="preserve"> et al. (2015) and Anderson et al. (2017) demonstrated that home</w:t>
      </w:r>
      <w:r w:rsidRPr="00832F99">
        <w:rPr>
          <w:rFonts w:ascii="Arial" w:hAnsi="Arial" w:cs="Arial"/>
          <w:color w:val="000000" w:themeColor="text1"/>
          <w:sz w:val="22"/>
          <w:szCs w:val="22"/>
        </w:rPr>
        <w:noBreakHyphen/>
        <w:t xml:space="preserve">based CR achieves </w:t>
      </w:r>
      <w:r w:rsidRPr="00832F99">
        <w:rPr>
          <w:rStyle w:val="Strong"/>
          <w:rFonts w:ascii="Arial" w:hAnsi="Arial" w:cs="Arial"/>
          <w:color w:val="000000" w:themeColor="text1"/>
          <w:sz w:val="22"/>
          <w:szCs w:val="22"/>
        </w:rPr>
        <w:t>similar improvements in functional capacity</w:t>
      </w:r>
      <w:r w:rsidRPr="00832F99">
        <w:rPr>
          <w:rFonts w:ascii="Arial" w:hAnsi="Arial" w:cs="Arial"/>
          <w:color w:val="000000" w:themeColor="text1"/>
          <w:sz w:val="22"/>
          <w:szCs w:val="22"/>
        </w:rPr>
        <w:t xml:space="preserve">, typically showing gains of </w:t>
      </w:r>
      <w:r w:rsidRPr="00832F99">
        <w:rPr>
          <w:rStyle w:val="Strong"/>
          <w:rFonts w:ascii="Arial" w:hAnsi="Arial" w:cs="Arial"/>
          <w:color w:val="000000" w:themeColor="text1"/>
          <w:sz w:val="22"/>
          <w:szCs w:val="22"/>
        </w:rPr>
        <w:t>around 1 metabolic equivalent (MET)</w:t>
      </w:r>
      <w:r w:rsidRPr="00832F99">
        <w:rPr>
          <w:rFonts w:ascii="Arial" w:hAnsi="Arial" w:cs="Arial"/>
          <w:color w:val="000000" w:themeColor="text1"/>
          <w:sz w:val="22"/>
          <w:szCs w:val="22"/>
        </w:rPr>
        <w:t xml:space="preserve"> or </w:t>
      </w:r>
      <w:r w:rsidRPr="00832F99">
        <w:rPr>
          <w:rStyle w:val="Strong"/>
          <w:rFonts w:ascii="Arial" w:hAnsi="Arial" w:cs="Arial"/>
          <w:color w:val="000000" w:themeColor="text1"/>
          <w:sz w:val="22"/>
          <w:szCs w:val="22"/>
        </w:rPr>
        <w:t>40–60 metres on the 6</w:t>
      </w:r>
      <w:r w:rsidRPr="00832F99">
        <w:rPr>
          <w:rStyle w:val="Strong"/>
          <w:rFonts w:ascii="Arial" w:hAnsi="Arial" w:cs="Arial"/>
          <w:color w:val="000000" w:themeColor="text1"/>
          <w:sz w:val="22"/>
          <w:szCs w:val="22"/>
        </w:rPr>
        <w:noBreakHyphen/>
        <w:t>minute walk test</w:t>
      </w:r>
      <w:r w:rsidRPr="00832F99">
        <w:rPr>
          <w:rFonts w:ascii="Arial" w:hAnsi="Arial" w:cs="Arial"/>
          <w:color w:val="000000" w:themeColor="text1"/>
          <w:sz w:val="22"/>
          <w:szCs w:val="22"/>
        </w:rPr>
        <w:t>. These improvements are comparable to those observed in supervised, facility</w:t>
      </w:r>
      <w:r w:rsidRPr="00832F99">
        <w:rPr>
          <w:rFonts w:ascii="Arial" w:hAnsi="Arial" w:cs="Arial"/>
          <w:color w:val="000000" w:themeColor="text1"/>
          <w:sz w:val="22"/>
          <w:szCs w:val="22"/>
        </w:rPr>
        <w:noBreakHyphen/>
        <w:t>based programmes. Home</w:t>
      </w:r>
      <w:r w:rsidRPr="00832F99">
        <w:rPr>
          <w:rFonts w:ascii="Arial" w:hAnsi="Arial" w:cs="Arial"/>
          <w:color w:val="000000" w:themeColor="text1"/>
          <w:sz w:val="22"/>
          <w:szCs w:val="22"/>
        </w:rPr>
        <w:noBreakHyphen/>
        <w:t xml:space="preserve">based CR also reduces readmission risk by </w:t>
      </w:r>
      <w:r w:rsidRPr="00832F99">
        <w:rPr>
          <w:rStyle w:val="Strong"/>
          <w:rFonts w:ascii="Arial" w:hAnsi="Arial" w:cs="Arial"/>
          <w:color w:val="000000" w:themeColor="text1"/>
          <w:sz w:val="22"/>
          <w:szCs w:val="22"/>
        </w:rPr>
        <w:t>approximately 15–20%</w:t>
      </w:r>
      <w:r w:rsidRPr="00832F99">
        <w:rPr>
          <w:rFonts w:ascii="Arial" w:hAnsi="Arial" w:cs="Arial"/>
          <w:color w:val="000000" w:themeColor="text1"/>
          <w:sz w:val="22"/>
          <w:szCs w:val="22"/>
        </w:rPr>
        <w:t>, indicating that flexibility in delivery does not compromise clinical effectiveness. This equivalence is particularly important in modern healthcare systems, where accessibility, patient preference, and resource constraints increasingly shape service design.</w:t>
      </w:r>
    </w:p>
    <w:p w14:paraId="569E75B7"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A critical determinant of CR effectiveness is programme completion. Sumner et al. (2017) found that patients who completed CR had </w:t>
      </w:r>
      <w:r w:rsidRPr="00832F99">
        <w:rPr>
          <w:rStyle w:val="Strong"/>
          <w:rFonts w:ascii="Arial" w:hAnsi="Arial" w:cs="Arial"/>
          <w:color w:val="000000" w:themeColor="text1"/>
          <w:sz w:val="22"/>
          <w:szCs w:val="22"/>
        </w:rPr>
        <w:t>around 30% lower readmission rates</w:t>
      </w:r>
      <w:r w:rsidRPr="00832F99">
        <w:rPr>
          <w:rFonts w:ascii="Arial" w:hAnsi="Arial" w:cs="Arial"/>
          <w:color w:val="000000" w:themeColor="text1"/>
          <w:sz w:val="22"/>
          <w:szCs w:val="22"/>
        </w:rPr>
        <w:t xml:space="preserve"> than those who disengaged early. Completion was also associated with greater improvements in exercise tolerance and self</w:t>
      </w:r>
      <w:r w:rsidRPr="00832F99">
        <w:rPr>
          <w:rFonts w:ascii="Arial" w:hAnsi="Arial" w:cs="Arial"/>
          <w:color w:val="000000" w:themeColor="text1"/>
          <w:sz w:val="22"/>
          <w:szCs w:val="22"/>
        </w:rPr>
        <w:noBreakHyphen/>
        <w:t>management behaviours. Conversely, non</w:t>
      </w:r>
      <w:r w:rsidRPr="00832F99">
        <w:rPr>
          <w:rFonts w:ascii="Arial" w:hAnsi="Arial" w:cs="Arial"/>
          <w:color w:val="000000" w:themeColor="text1"/>
          <w:sz w:val="22"/>
          <w:szCs w:val="22"/>
        </w:rPr>
        <w:noBreakHyphen/>
        <w:t>completion was linked to poorer outcomes, including higher rates of recurrent hospitalisation and mortality. These findings highlight that adherence is not merely a behavioural outcome but a key mechanism through which CR exerts its protective effects.</w:t>
      </w:r>
    </w:p>
    <w:p w14:paraId="1816C0CE"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Despite the strong evidence base, several methodological limitations warrant consideration. Many trials recruit highly motivated participants, potentially overestimating effectiveness in real</w:t>
      </w:r>
      <w:r w:rsidRPr="00832F99">
        <w:rPr>
          <w:rFonts w:ascii="Arial" w:hAnsi="Arial" w:cs="Arial"/>
          <w:color w:val="000000" w:themeColor="text1"/>
          <w:sz w:val="22"/>
          <w:szCs w:val="22"/>
        </w:rPr>
        <w:noBreakHyphen/>
        <w:t>world populations. Home</w:t>
      </w:r>
      <w:r w:rsidRPr="00832F99">
        <w:rPr>
          <w:rFonts w:ascii="Arial" w:hAnsi="Arial" w:cs="Arial"/>
          <w:color w:val="000000" w:themeColor="text1"/>
          <w:sz w:val="22"/>
          <w:szCs w:val="22"/>
        </w:rPr>
        <w:noBreakHyphen/>
        <w:t>based CR studies often rely on self</w:t>
      </w:r>
      <w:r w:rsidRPr="00832F99">
        <w:rPr>
          <w:rFonts w:ascii="Arial" w:hAnsi="Arial" w:cs="Arial"/>
          <w:color w:val="000000" w:themeColor="text1"/>
          <w:sz w:val="22"/>
          <w:szCs w:val="22"/>
        </w:rPr>
        <w:noBreakHyphen/>
        <w:t>reported adherence, introducing potential bias. Additionally, CR programmes vary widely in duration, intensity, and content, complicating direct comparisons across studies. Nevertheless, the convergence of findings across Cochrane reviews, national audits, and cohort studies reinforces the conclusion that CR provides substantial and durable protection against hospital readmission when patients are supported to complete the programme.</w:t>
      </w:r>
    </w:p>
    <w:p w14:paraId="3BEF51B6"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Overall, the evidence demonstrates that CR is a highly effective intervention with strong physiological and behavioural mechanisms underpinning its benefits. Improvements in cardiorespiratory fitness, enhanced self</w:t>
      </w:r>
      <w:r w:rsidRPr="00832F99">
        <w:rPr>
          <w:rFonts w:ascii="Arial" w:hAnsi="Arial" w:cs="Arial"/>
          <w:color w:val="000000" w:themeColor="text1"/>
          <w:sz w:val="22"/>
          <w:szCs w:val="22"/>
        </w:rPr>
        <w:noBreakHyphen/>
        <w:t>efficacy, and structured risk</w:t>
      </w:r>
      <w:r w:rsidRPr="00832F99">
        <w:rPr>
          <w:rFonts w:ascii="Arial" w:hAnsi="Arial" w:cs="Arial"/>
          <w:color w:val="000000" w:themeColor="text1"/>
          <w:sz w:val="22"/>
          <w:szCs w:val="22"/>
        </w:rPr>
        <w:noBreakHyphen/>
        <w:t xml:space="preserve">factor modification collectively contribute to reduced hospitalisation and mortality. The consistency of findings </w:t>
      </w:r>
      <w:r w:rsidRPr="00832F99">
        <w:rPr>
          <w:rFonts w:ascii="Arial" w:hAnsi="Arial" w:cs="Arial"/>
          <w:color w:val="000000" w:themeColor="text1"/>
          <w:sz w:val="22"/>
          <w:szCs w:val="22"/>
        </w:rPr>
        <w:lastRenderedPageBreak/>
        <w:t>across diverse delivery models suggests that CR’s effectiveness is robust to variations in setting, provided that core components are delivered with fidelity.</w:t>
      </w:r>
    </w:p>
    <w:p w14:paraId="671E99C4" w14:textId="0C77C43A" w:rsidR="00D447C6" w:rsidRPr="00832F99" w:rsidRDefault="00D447C6" w:rsidP="00832F99">
      <w:pPr>
        <w:pStyle w:val="Heading1"/>
        <w:jc w:val="both"/>
        <w:rPr>
          <w:rFonts w:ascii="Arial" w:hAnsi="Arial" w:cs="Arial"/>
          <w:color w:val="000000" w:themeColor="text1"/>
          <w:sz w:val="22"/>
          <w:szCs w:val="22"/>
        </w:rPr>
      </w:pPr>
      <w:r w:rsidRPr="00832F99">
        <w:rPr>
          <w:rFonts w:ascii="Arial" w:hAnsi="Arial" w:cs="Arial"/>
          <w:color w:val="000000" w:themeColor="text1"/>
          <w:sz w:val="22"/>
          <w:szCs w:val="22"/>
        </w:rPr>
        <w:t xml:space="preserve"> </w:t>
      </w:r>
      <w:r w:rsidRPr="00832F99">
        <w:rPr>
          <w:rStyle w:val="Strong"/>
          <w:rFonts w:ascii="Arial" w:hAnsi="Arial" w:cs="Arial"/>
          <w:b w:val="0"/>
          <w:bCs w:val="0"/>
          <w:color w:val="000000" w:themeColor="text1"/>
          <w:sz w:val="22"/>
          <w:szCs w:val="22"/>
        </w:rPr>
        <w:t>THEME 2: Ethnic Inequalities in CR Participation and Outcomes</w:t>
      </w:r>
    </w:p>
    <w:p w14:paraId="1BFDEE90"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Ethnic inequalities in cardiac rehabilitation participation and outcomes represent one of the most persistent disparities within cardiovascular care. Across multiple studies, minority ethnic groups consistently experience lower referral rates, reduced uptake, and poorer completion of CR programmes. These disparities cannot be explained solely by differences in clinical need or comorbidities; instead, they reflect structural, cultural, and interpersonal barriers embedded within healthcare systems.</w:t>
      </w:r>
    </w:p>
    <w:p w14:paraId="77B5D58A"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Quantitative evidence shows that minority ethnic patients are </w:t>
      </w:r>
      <w:r w:rsidRPr="00832F99">
        <w:rPr>
          <w:rStyle w:val="Strong"/>
          <w:rFonts w:ascii="Arial" w:hAnsi="Arial" w:cs="Arial"/>
          <w:color w:val="000000" w:themeColor="text1"/>
          <w:sz w:val="22"/>
          <w:szCs w:val="22"/>
        </w:rPr>
        <w:t>15–25% less likely to be referred</w:t>
      </w:r>
      <w:r w:rsidRPr="00832F99">
        <w:rPr>
          <w:rFonts w:ascii="Arial" w:hAnsi="Arial" w:cs="Arial"/>
          <w:color w:val="000000" w:themeColor="text1"/>
          <w:sz w:val="22"/>
          <w:szCs w:val="22"/>
        </w:rPr>
        <w:t xml:space="preserve"> to CR compared with White patients, even when presenting with similar clinical indications (</w:t>
      </w:r>
      <w:proofErr w:type="spellStart"/>
      <w:r w:rsidRPr="00832F99">
        <w:rPr>
          <w:rFonts w:ascii="Arial" w:hAnsi="Arial" w:cs="Arial"/>
          <w:color w:val="000000" w:themeColor="text1"/>
          <w:sz w:val="22"/>
          <w:szCs w:val="22"/>
        </w:rPr>
        <w:t>Rafnsson</w:t>
      </w:r>
      <w:proofErr w:type="spellEnd"/>
      <w:r w:rsidRPr="00832F99">
        <w:rPr>
          <w:rFonts w:ascii="Arial" w:hAnsi="Arial" w:cs="Arial"/>
          <w:color w:val="000000" w:themeColor="text1"/>
          <w:sz w:val="22"/>
          <w:szCs w:val="22"/>
        </w:rPr>
        <w:t xml:space="preserve"> et al., 2020). This suggests that inequities begin at the earliest stage of the CR pathway. Lower referral rates significantly reduce the likelihood of participation, as patients who are not referred cannot access the benefits of CR.</w:t>
      </w:r>
    </w:p>
    <w:p w14:paraId="15CDF710"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Among those who are referred, uptake remains lower. Virani et al. (2021) reported that minority ethnic patients had </w:t>
      </w:r>
      <w:r w:rsidRPr="00832F99">
        <w:rPr>
          <w:rStyle w:val="Strong"/>
          <w:rFonts w:ascii="Arial" w:hAnsi="Arial" w:cs="Arial"/>
          <w:color w:val="000000" w:themeColor="text1"/>
          <w:sz w:val="22"/>
          <w:szCs w:val="22"/>
        </w:rPr>
        <w:t>10–20% lower uptake rates</w:t>
      </w:r>
      <w:r w:rsidRPr="00832F99">
        <w:rPr>
          <w:rFonts w:ascii="Arial" w:hAnsi="Arial" w:cs="Arial"/>
          <w:color w:val="000000" w:themeColor="text1"/>
          <w:sz w:val="22"/>
          <w:szCs w:val="22"/>
        </w:rPr>
        <w:t xml:space="preserve"> and </w:t>
      </w:r>
      <w:r w:rsidRPr="00832F99">
        <w:rPr>
          <w:rStyle w:val="Strong"/>
          <w:rFonts w:ascii="Arial" w:hAnsi="Arial" w:cs="Arial"/>
          <w:color w:val="000000" w:themeColor="text1"/>
          <w:sz w:val="22"/>
          <w:szCs w:val="22"/>
        </w:rPr>
        <w:t>significantly lower completion rates</w:t>
      </w:r>
      <w:r w:rsidRPr="00832F99">
        <w:rPr>
          <w:rFonts w:ascii="Arial" w:hAnsi="Arial" w:cs="Arial"/>
          <w:color w:val="000000" w:themeColor="text1"/>
          <w:sz w:val="22"/>
          <w:szCs w:val="22"/>
        </w:rPr>
        <w:t>, even after adjusting for socioeconomic status and comorbidities. These disparities persisted across multiple healthcare settings, indicating that ethnicity itself functions as an independent determinant of unequal access and outcomes.</w:t>
      </w:r>
    </w:p>
    <w:p w14:paraId="198BD1E5"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Qualitative findings help explain these quantitative disparities. Language barriers, limited culturally tailored communication, and mistrust of healthcare services are frequently cited as key contributors to disengagement. </w:t>
      </w:r>
      <w:proofErr w:type="spellStart"/>
      <w:r w:rsidRPr="00832F99">
        <w:rPr>
          <w:rFonts w:ascii="Arial" w:hAnsi="Arial" w:cs="Arial"/>
          <w:color w:val="000000" w:themeColor="text1"/>
          <w:sz w:val="22"/>
          <w:szCs w:val="22"/>
        </w:rPr>
        <w:t>Galdas</w:t>
      </w:r>
      <w:proofErr w:type="spellEnd"/>
      <w:r w:rsidRPr="00832F99">
        <w:rPr>
          <w:rFonts w:ascii="Arial" w:hAnsi="Arial" w:cs="Arial"/>
          <w:color w:val="000000" w:themeColor="text1"/>
          <w:sz w:val="22"/>
          <w:szCs w:val="22"/>
        </w:rPr>
        <w:t xml:space="preserve"> et al. (2018) found that minority ethnic patients often perceived CR environments as culturally unfamiliar or insufficiently responsive to their needs. For example, some patients expressed discomfort with mixed</w:t>
      </w:r>
      <w:r w:rsidRPr="00832F99">
        <w:rPr>
          <w:rFonts w:ascii="Arial" w:hAnsi="Arial" w:cs="Arial"/>
          <w:color w:val="000000" w:themeColor="text1"/>
          <w:sz w:val="22"/>
          <w:szCs w:val="22"/>
        </w:rPr>
        <w:noBreakHyphen/>
        <w:t>gender exercise classes or dietary advice that did not align with cultural norms. These perceptions reduced their sense of belonging and willingness to continue attending sessions.</w:t>
      </w:r>
    </w:p>
    <w:p w14:paraId="23FFF0B2"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Social support networks also play a critical role. Minority ethnic patients may face competing family responsibilities, limited peer support, or cultural norms that deprioritise structured exercise. These factors can reduce motivation and increase the likelihood of early disengagement. While many studies rely on routine clinical data, which cannot fully capture the nuanced cultural and interpersonal dynamics influencing participation, the consistency of findings across qualitative and quantitative research strengthens the argument that ethnic inequalities are systemic rather than incidental.</w:t>
      </w:r>
    </w:p>
    <w:p w14:paraId="2CC1A07A"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Overall, the evidence demonstrates that ethnic disparities in CR participation and outcomes are driven by structural barriers, cultural mismatch, and inequitable referral practices. Addressing these inequalities requires culturally adapted, linguistically accessible, and community</w:t>
      </w:r>
      <w:r w:rsidRPr="00832F99">
        <w:rPr>
          <w:rFonts w:ascii="Arial" w:hAnsi="Arial" w:cs="Arial"/>
          <w:color w:val="000000" w:themeColor="text1"/>
          <w:sz w:val="22"/>
          <w:szCs w:val="22"/>
        </w:rPr>
        <w:noBreakHyphen/>
        <w:t>embedded CR models that actively engage minority ethnic communities and challenge systemic biases within healthcare systems.</w:t>
      </w:r>
    </w:p>
    <w:p w14:paraId="1B362A8F" w14:textId="69AFAEA6" w:rsidR="00D447C6" w:rsidRPr="00832F99" w:rsidRDefault="00D447C6" w:rsidP="00832F99">
      <w:pPr>
        <w:pStyle w:val="Heading1"/>
        <w:jc w:val="both"/>
        <w:rPr>
          <w:rFonts w:ascii="Arial" w:hAnsi="Arial" w:cs="Arial"/>
          <w:color w:val="000000" w:themeColor="text1"/>
          <w:sz w:val="22"/>
          <w:szCs w:val="22"/>
        </w:rPr>
      </w:pPr>
      <w:r w:rsidRPr="00832F99">
        <w:rPr>
          <w:rFonts w:ascii="Arial" w:hAnsi="Arial" w:cs="Arial"/>
          <w:color w:val="000000" w:themeColor="text1"/>
          <w:sz w:val="22"/>
          <w:szCs w:val="22"/>
        </w:rPr>
        <w:t xml:space="preserve"> </w:t>
      </w:r>
      <w:r w:rsidRPr="00832F99">
        <w:rPr>
          <w:rStyle w:val="Strong"/>
          <w:rFonts w:ascii="Arial" w:hAnsi="Arial" w:cs="Arial"/>
          <w:b w:val="0"/>
          <w:bCs w:val="0"/>
          <w:color w:val="000000" w:themeColor="text1"/>
          <w:sz w:val="22"/>
          <w:szCs w:val="22"/>
        </w:rPr>
        <w:t>THEME 3: Socioeconomic Inequalities and CR Effectiveness</w:t>
      </w:r>
    </w:p>
    <w:p w14:paraId="080B794F"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Socioeconomic deprivation exerts a profound influence on cardiac rehabilitation participation, completion, and effectiveness. Individuals living in deprived areas face a disproportionate burden of barriers that restrict access to CR long before clinical benefits can be realised. These barriers include transport difficulties, financial constraints, work and caregiving responsibilities, and limited health literacy.</w:t>
      </w:r>
    </w:p>
    <w:p w14:paraId="3B397882"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lastRenderedPageBreak/>
        <w:t xml:space="preserve">Quantitative evidence shows that patients from the most deprived areas are </w:t>
      </w:r>
      <w:r w:rsidRPr="00832F99">
        <w:rPr>
          <w:rStyle w:val="Strong"/>
          <w:rFonts w:ascii="Arial" w:hAnsi="Arial" w:cs="Arial"/>
          <w:color w:val="000000" w:themeColor="text1"/>
          <w:sz w:val="22"/>
          <w:szCs w:val="22"/>
        </w:rPr>
        <w:t>20–40% less likely to attend</w:t>
      </w:r>
      <w:r w:rsidRPr="00832F99">
        <w:rPr>
          <w:rFonts w:ascii="Arial" w:hAnsi="Arial" w:cs="Arial"/>
          <w:color w:val="000000" w:themeColor="text1"/>
          <w:sz w:val="22"/>
          <w:szCs w:val="22"/>
        </w:rPr>
        <w:t xml:space="preserve"> CR and </w:t>
      </w:r>
      <w:r w:rsidRPr="00832F99">
        <w:rPr>
          <w:rStyle w:val="Strong"/>
          <w:rFonts w:ascii="Arial" w:hAnsi="Arial" w:cs="Arial"/>
          <w:color w:val="000000" w:themeColor="text1"/>
          <w:sz w:val="22"/>
          <w:szCs w:val="22"/>
        </w:rPr>
        <w:t>25–35% less likely to complete</w:t>
      </w:r>
      <w:r w:rsidRPr="00832F99">
        <w:rPr>
          <w:rFonts w:ascii="Arial" w:hAnsi="Arial" w:cs="Arial"/>
          <w:color w:val="000000" w:themeColor="text1"/>
          <w:sz w:val="22"/>
          <w:szCs w:val="22"/>
        </w:rPr>
        <w:t xml:space="preserve"> it (Bachmann et al., 2017). These disparities are not driven by differences in clinical need but by structural disadvantage. Patients from deprived areas may struggle to attend centre</w:t>
      </w:r>
      <w:r w:rsidRPr="00832F99">
        <w:rPr>
          <w:rFonts w:ascii="Arial" w:hAnsi="Arial" w:cs="Arial"/>
          <w:color w:val="000000" w:themeColor="text1"/>
          <w:sz w:val="22"/>
          <w:szCs w:val="22"/>
        </w:rPr>
        <w:noBreakHyphen/>
        <w:t>based sessions due to transport costs, inflexible work schedules, or competing responsibilities.</w:t>
      </w:r>
    </w:p>
    <w:p w14:paraId="26D0DE88" w14:textId="77777777" w:rsidR="00D447C6" w:rsidRPr="00832F99" w:rsidRDefault="00D447C6" w:rsidP="00832F99">
      <w:pPr>
        <w:pStyle w:val="NormalWeb"/>
        <w:jc w:val="both"/>
        <w:rPr>
          <w:rFonts w:ascii="Arial" w:hAnsi="Arial" w:cs="Arial"/>
          <w:color w:val="000000" w:themeColor="text1"/>
          <w:sz w:val="22"/>
          <w:szCs w:val="22"/>
        </w:rPr>
      </w:pPr>
      <w:proofErr w:type="spellStart"/>
      <w:r w:rsidRPr="00832F99">
        <w:rPr>
          <w:rFonts w:ascii="Arial" w:hAnsi="Arial" w:cs="Arial"/>
          <w:color w:val="000000" w:themeColor="text1"/>
          <w:sz w:val="22"/>
          <w:szCs w:val="22"/>
        </w:rPr>
        <w:t>Manandhar</w:t>
      </w:r>
      <w:proofErr w:type="spellEnd"/>
      <w:r w:rsidRPr="00832F99">
        <w:rPr>
          <w:rFonts w:ascii="Arial" w:hAnsi="Arial" w:cs="Arial"/>
          <w:color w:val="000000" w:themeColor="text1"/>
          <w:sz w:val="22"/>
          <w:szCs w:val="22"/>
        </w:rPr>
        <w:t xml:space="preserve"> et al. (2025) further reported that patients from the most deprived quintiles achieved </w:t>
      </w:r>
      <w:r w:rsidRPr="00832F99">
        <w:rPr>
          <w:rStyle w:val="Strong"/>
          <w:rFonts w:ascii="Arial" w:hAnsi="Arial" w:cs="Arial"/>
          <w:color w:val="000000" w:themeColor="text1"/>
          <w:sz w:val="22"/>
          <w:szCs w:val="22"/>
        </w:rPr>
        <w:t>smaller improvements in functional capacity</w:t>
      </w:r>
      <w:r w:rsidRPr="00832F99">
        <w:rPr>
          <w:rFonts w:ascii="Arial" w:hAnsi="Arial" w:cs="Arial"/>
          <w:color w:val="000000" w:themeColor="text1"/>
          <w:sz w:val="22"/>
          <w:szCs w:val="22"/>
        </w:rPr>
        <w:t xml:space="preserve">, typically </w:t>
      </w:r>
      <w:r w:rsidRPr="00832F99">
        <w:rPr>
          <w:rStyle w:val="Strong"/>
          <w:rFonts w:ascii="Arial" w:hAnsi="Arial" w:cs="Arial"/>
          <w:color w:val="000000" w:themeColor="text1"/>
          <w:sz w:val="22"/>
          <w:szCs w:val="22"/>
        </w:rPr>
        <w:t>10–20% lower gains</w:t>
      </w:r>
      <w:r w:rsidRPr="00832F99">
        <w:rPr>
          <w:rFonts w:ascii="Arial" w:hAnsi="Arial" w:cs="Arial"/>
          <w:color w:val="000000" w:themeColor="text1"/>
          <w:sz w:val="22"/>
          <w:szCs w:val="22"/>
        </w:rPr>
        <w:t xml:space="preserve"> in exercise tolerance compared with more affluent groups. This suggests that socioeconomic disadvantage affects not only engagement but also the magnitude of benefit achieved. For example, individuals facing financial stress or unstable housing may find it difficult to prioritise exercise, dietary changes, or medication adherence.</w:t>
      </w:r>
    </w:p>
    <w:p w14:paraId="35F5CFF0"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Socioeconomic inequalities also interact with ethnicity, amplifying disparities across the CR pathway. McAllister et al. (2026) found that deprived minority ethnic groups experienced the lowest referral and completion rates, with combined disparities reaching </w:t>
      </w:r>
      <w:r w:rsidRPr="00832F99">
        <w:rPr>
          <w:rStyle w:val="Strong"/>
          <w:rFonts w:ascii="Arial" w:hAnsi="Arial" w:cs="Arial"/>
          <w:color w:val="000000" w:themeColor="text1"/>
          <w:sz w:val="22"/>
          <w:szCs w:val="22"/>
        </w:rPr>
        <w:t>40–50% lower participation</w:t>
      </w:r>
      <w:r w:rsidRPr="00832F99">
        <w:rPr>
          <w:rFonts w:ascii="Arial" w:hAnsi="Arial" w:cs="Arial"/>
          <w:color w:val="000000" w:themeColor="text1"/>
          <w:sz w:val="22"/>
          <w:szCs w:val="22"/>
        </w:rPr>
        <w:t xml:space="preserve"> compared with affluent White groups. Public Health England (2020) similarly identified that low health literacy and limited awareness of CR were more common in deprived communities, reducing the likelihood of early engagement and sustained participation.</w:t>
      </w:r>
    </w:p>
    <w:p w14:paraId="3236FD6F"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While many studies rely on area</w:t>
      </w:r>
      <w:r w:rsidRPr="00832F99">
        <w:rPr>
          <w:rFonts w:ascii="Arial" w:hAnsi="Arial" w:cs="Arial"/>
          <w:color w:val="000000" w:themeColor="text1"/>
          <w:sz w:val="22"/>
          <w:szCs w:val="22"/>
        </w:rPr>
        <w:noBreakHyphen/>
        <w:t>based deprivation indices, which may obscure individual variation, the consistency of findings across national audits and cohort studies underscores that socioeconomic disadvantage is a structural barrier rather than a behavioural choice. Addressing these inequalities requires system</w:t>
      </w:r>
      <w:r w:rsidRPr="00832F99">
        <w:rPr>
          <w:rFonts w:ascii="Arial" w:hAnsi="Arial" w:cs="Arial"/>
          <w:color w:val="000000" w:themeColor="text1"/>
          <w:sz w:val="22"/>
          <w:szCs w:val="22"/>
        </w:rPr>
        <w:noBreakHyphen/>
        <w:t>level interventions such as transport support, flexible scheduling, simplified communication, and targeted outreach to deprived communities.</w:t>
      </w:r>
    </w:p>
    <w:p w14:paraId="02A55D99" w14:textId="13CBFE62" w:rsidR="00D447C6" w:rsidRPr="00832F99" w:rsidRDefault="00D447C6" w:rsidP="00832F99">
      <w:pPr>
        <w:pStyle w:val="Heading1"/>
        <w:jc w:val="both"/>
        <w:rPr>
          <w:rFonts w:ascii="Arial" w:hAnsi="Arial" w:cs="Arial"/>
          <w:color w:val="000000" w:themeColor="text1"/>
          <w:sz w:val="22"/>
          <w:szCs w:val="22"/>
        </w:rPr>
      </w:pPr>
      <w:r w:rsidRPr="00832F99">
        <w:rPr>
          <w:rFonts w:ascii="Arial" w:hAnsi="Arial" w:cs="Arial"/>
          <w:color w:val="000000" w:themeColor="text1"/>
          <w:sz w:val="22"/>
          <w:szCs w:val="22"/>
        </w:rPr>
        <w:t xml:space="preserve"> </w:t>
      </w:r>
      <w:r w:rsidRPr="00832F99">
        <w:rPr>
          <w:rStyle w:val="Strong"/>
          <w:rFonts w:ascii="Arial" w:hAnsi="Arial" w:cs="Arial"/>
          <w:b w:val="0"/>
          <w:bCs w:val="0"/>
          <w:color w:val="000000" w:themeColor="text1"/>
          <w:sz w:val="22"/>
          <w:szCs w:val="22"/>
        </w:rPr>
        <w:t>THEME 4: Barriers and Facilitators to CR Participation</w:t>
      </w:r>
    </w:p>
    <w:p w14:paraId="1D047AFE"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Barriers to cardiac rehabilitation participation arise from a complex interplay of psychological, clinical, and organisational factors. Psychological distress, fear of exercise, and uncertainty about the safety of physical activity frequently undermine confidence, particularly in the early post</w:t>
      </w:r>
      <w:r w:rsidRPr="00832F99">
        <w:rPr>
          <w:rFonts w:ascii="Arial" w:hAnsi="Arial" w:cs="Arial"/>
          <w:color w:val="000000" w:themeColor="text1"/>
          <w:sz w:val="22"/>
          <w:szCs w:val="22"/>
        </w:rPr>
        <w:noBreakHyphen/>
        <w:t>event period.</w:t>
      </w:r>
    </w:p>
    <w:p w14:paraId="4FEF35E5"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Quantitative evidence shows that </w:t>
      </w:r>
      <w:r w:rsidRPr="00832F99">
        <w:rPr>
          <w:rStyle w:val="Strong"/>
          <w:rFonts w:ascii="Arial" w:hAnsi="Arial" w:cs="Arial"/>
          <w:color w:val="000000" w:themeColor="text1"/>
          <w:sz w:val="22"/>
          <w:szCs w:val="22"/>
        </w:rPr>
        <w:t>around 30–40% of eligible patients decline CR</w:t>
      </w:r>
      <w:r w:rsidRPr="00832F99">
        <w:rPr>
          <w:rFonts w:ascii="Arial" w:hAnsi="Arial" w:cs="Arial"/>
          <w:color w:val="000000" w:themeColor="text1"/>
          <w:sz w:val="22"/>
          <w:szCs w:val="22"/>
        </w:rPr>
        <w:t xml:space="preserve"> due to fear, anxiety, or low self</w:t>
      </w:r>
      <w:r w:rsidRPr="00832F99">
        <w:rPr>
          <w:rFonts w:ascii="Arial" w:hAnsi="Arial" w:cs="Arial"/>
          <w:color w:val="000000" w:themeColor="text1"/>
          <w:sz w:val="22"/>
          <w:szCs w:val="22"/>
        </w:rPr>
        <w:noBreakHyphen/>
        <w:t xml:space="preserve">efficacy (NIHR, 2019). Anxiety is particularly common following myocardial infarction, with many patients expressing concerns about triggering another cardiac event during exercise. These emotional barriers often intersect with clinical challenges such as multimorbidity and frailty. </w:t>
      </w:r>
      <w:proofErr w:type="spellStart"/>
      <w:r w:rsidRPr="00832F99">
        <w:rPr>
          <w:rFonts w:ascii="Arial" w:hAnsi="Arial" w:cs="Arial"/>
          <w:color w:val="000000" w:themeColor="text1"/>
          <w:sz w:val="22"/>
          <w:szCs w:val="22"/>
        </w:rPr>
        <w:t>Dalal</w:t>
      </w:r>
      <w:proofErr w:type="spellEnd"/>
      <w:r w:rsidRPr="00832F99">
        <w:rPr>
          <w:rFonts w:ascii="Arial" w:hAnsi="Arial" w:cs="Arial"/>
          <w:color w:val="000000" w:themeColor="text1"/>
          <w:sz w:val="22"/>
          <w:szCs w:val="22"/>
        </w:rPr>
        <w:t xml:space="preserve"> et al. (2019) found that older adults with multiple long</w:t>
      </w:r>
      <w:r w:rsidRPr="00832F99">
        <w:rPr>
          <w:rFonts w:ascii="Arial" w:hAnsi="Arial" w:cs="Arial"/>
          <w:color w:val="000000" w:themeColor="text1"/>
          <w:sz w:val="22"/>
          <w:szCs w:val="22"/>
        </w:rPr>
        <w:noBreakHyphen/>
        <w:t xml:space="preserve">term conditions were </w:t>
      </w:r>
      <w:r w:rsidRPr="00832F99">
        <w:rPr>
          <w:rStyle w:val="Strong"/>
          <w:rFonts w:ascii="Arial" w:hAnsi="Arial" w:cs="Arial"/>
          <w:color w:val="000000" w:themeColor="text1"/>
          <w:sz w:val="22"/>
          <w:szCs w:val="22"/>
        </w:rPr>
        <w:t>20–30% less likely to attend</w:t>
      </w:r>
      <w:r w:rsidRPr="00832F99">
        <w:rPr>
          <w:rFonts w:ascii="Arial" w:hAnsi="Arial" w:cs="Arial"/>
          <w:color w:val="000000" w:themeColor="text1"/>
          <w:sz w:val="22"/>
          <w:szCs w:val="22"/>
        </w:rPr>
        <w:t xml:space="preserve"> CR due to concerns about physical capability.</w:t>
      </w:r>
    </w:p>
    <w:p w14:paraId="26F377F2"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Communication gaps between clinicians and patients further exacerbate barriers. Patients may receive insufficient or overly technical information about CR, leading to confusion or fear. Poor communication can reinforce misconceptions about the intensity or risks of exercise, reducing motivation to attend. Organisational barriers such as inflexible scheduling, limited transport options, and lack of culturally tailored materials also contribute to disengagement.</w:t>
      </w:r>
    </w:p>
    <w:p w14:paraId="654D4C03"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At the same time, several facilitators have been shown to significantly improve engagement. Clark et al. (2013) </w:t>
      </w:r>
      <w:proofErr w:type="gramStart"/>
      <w:r w:rsidRPr="00832F99">
        <w:rPr>
          <w:rFonts w:ascii="Arial" w:hAnsi="Arial" w:cs="Arial"/>
          <w:color w:val="000000" w:themeColor="text1"/>
          <w:sz w:val="22"/>
          <w:szCs w:val="22"/>
        </w:rPr>
        <w:t>emphasise</w:t>
      </w:r>
      <w:proofErr w:type="gramEnd"/>
      <w:r w:rsidRPr="00832F99">
        <w:rPr>
          <w:rFonts w:ascii="Arial" w:hAnsi="Arial" w:cs="Arial"/>
          <w:color w:val="000000" w:themeColor="text1"/>
          <w:sz w:val="22"/>
          <w:szCs w:val="22"/>
        </w:rPr>
        <w:t xml:space="preserve"> that patients value clear, empathetic communication and tailored guidance, which help demystify CR and reduce fear. Supportive relationships with staff and family members are powerful predictors of programme completion. Sumner et al. (2017) found that patients who received early encouragement and strong social support were </w:t>
      </w:r>
      <w:r w:rsidRPr="00832F99">
        <w:rPr>
          <w:rStyle w:val="Strong"/>
          <w:rFonts w:ascii="Arial" w:hAnsi="Arial" w:cs="Arial"/>
          <w:color w:val="000000" w:themeColor="text1"/>
          <w:sz w:val="22"/>
          <w:szCs w:val="22"/>
        </w:rPr>
        <w:t>25–30% more likely to complete</w:t>
      </w:r>
      <w:r w:rsidRPr="00832F99">
        <w:rPr>
          <w:rFonts w:ascii="Arial" w:hAnsi="Arial" w:cs="Arial"/>
          <w:color w:val="000000" w:themeColor="text1"/>
          <w:sz w:val="22"/>
          <w:szCs w:val="22"/>
        </w:rPr>
        <w:t xml:space="preserve"> CR.</w:t>
      </w:r>
    </w:p>
    <w:p w14:paraId="616A0BC5"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lastRenderedPageBreak/>
        <w:t>Flexible delivery models, including home</w:t>
      </w:r>
      <w:r w:rsidRPr="00832F99">
        <w:rPr>
          <w:rFonts w:ascii="Arial" w:hAnsi="Arial" w:cs="Arial"/>
          <w:color w:val="000000" w:themeColor="text1"/>
          <w:sz w:val="22"/>
          <w:szCs w:val="22"/>
        </w:rPr>
        <w:noBreakHyphen/>
        <w:t>based and hybrid CR, further enhance accessibility by reducing logistical barriers. Anderson et al. (2017) showed that remote delivery can achieve outcomes comparable to centre</w:t>
      </w:r>
      <w:r w:rsidRPr="00832F99">
        <w:rPr>
          <w:rFonts w:ascii="Arial" w:hAnsi="Arial" w:cs="Arial"/>
          <w:color w:val="000000" w:themeColor="text1"/>
          <w:sz w:val="22"/>
          <w:szCs w:val="22"/>
        </w:rPr>
        <w:noBreakHyphen/>
        <w:t>based programmes, making CR more accessible for individuals with transport difficulties, caregiving responsibilities, or fluctuating health needs.</w:t>
      </w:r>
    </w:p>
    <w:p w14:paraId="406C7CE6" w14:textId="51F21803" w:rsidR="00D447C6" w:rsidRPr="00832F99" w:rsidRDefault="00D447C6" w:rsidP="00AA4B24">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Overall, the evidence demonstrates that improving CR participation requires addressing both emotional and structural barriers through flexible, person</w:t>
      </w:r>
      <w:r w:rsidRPr="00832F99">
        <w:rPr>
          <w:rFonts w:ascii="Arial" w:hAnsi="Arial" w:cs="Arial"/>
          <w:color w:val="000000" w:themeColor="text1"/>
          <w:sz w:val="22"/>
          <w:szCs w:val="22"/>
        </w:rPr>
        <w:noBreakHyphen/>
        <w:t xml:space="preserve">centred </w:t>
      </w:r>
      <w:proofErr w:type="spellStart"/>
      <w:r w:rsidRPr="00832F99">
        <w:rPr>
          <w:rFonts w:ascii="Arial" w:hAnsi="Arial" w:cs="Arial"/>
          <w:color w:val="000000" w:themeColor="text1"/>
          <w:sz w:val="22"/>
          <w:szCs w:val="22"/>
        </w:rPr>
        <w:t>approaches</w:t>
      </w:r>
      <w:r w:rsidRPr="00832F99">
        <w:rPr>
          <w:rStyle w:val="Strong"/>
          <w:rFonts w:ascii="Arial" w:hAnsi="Arial" w:cs="Arial"/>
          <w:b w:val="0"/>
          <w:bCs w:val="0"/>
          <w:color w:val="000000" w:themeColor="text1"/>
          <w:sz w:val="22"/>
          <w:szCs w:val="22"/>
        </w:rPr>
        <w:t>THEME</w:t>
      </w:r>
      <w:proofErr w:type="spellEnd"/>
      <w:r w:rsidRPr="00832F99">
        <w:rPr>
          <w:rStyle w:val="Strong"/>
          <w:rFonts w:ascii="Arial" w:hAnsi="Arial" w:cs="Arial"/>
          <w:b w:val="0"/>
          <w:bCs w:val="0"/>
          <w:color w:val="000000" w:themeColor="text1"/>
          <w:sz w:val="22"/>
          <w:szCs w:val="22"/>
        </w:rPr>
        <w:t xml:space="preserve"> 5: CR Outcomes in Older Adults (55+ in England)</w:t>
      </w:r>
    </w:p>
    <w:p w14:paraId="1D00668A"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Cardiac rehabilitation delivers clear clinical and psychosocial benefits for older adults, even among those managing multiple long</w:t>
      </w:r>
      <w:r w:rsidRPr="00832F99">
        <w:rPr>
          <w:rFonts w:ascii="Arial" w:hAnsi="Arial" w:cs="Arial"/>
          <w:color w:val="000000" w:themeColor="text1"/>
          <w:sz w:val="22"/>
          <w:szCs w:val="22"/>
        </w:rPr>
        <w:noBreakHyphen/>
        <w:t>term conditions. Evidence shows that structured CR improves functional capacity, enhances confidence in physical activity, and reduces the likelihood of hospital readmission.</w:t>
      </w:r>
    </w:p>
    <w:p w14:paraId="336A6D96"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Quantitative findings indicate that older adults typically improve their </w:t>
      </w:r>
      <w:r w:rsidRPr="00832F99">
        <w:rPr>
          <w:rStyle w:val="Strong"/>
          <w:rFonts w:ascii="Arial" w:hAnsi="Arial" w:cs="Arial"/>
          <w:color w:val="000000" w:themeColor="text1"/>
          <w:sz w:val="22"/>
          <w:szCs w:val="22"/>
        </w:rPr>
        <w:t>6</w:t>
      </w:r>
      <w:r w:rsidRPr="00832F99">
        <w:rPr>
          <w:rStyle w:val="Strong"/>
          <w:rFonts w:ascii="Arial" w:hAnsi="Arial" w:cs="Arial"/>
          <w:color w:val="000000" w:themeColor="text1"/>
          <w:sz w:val="22"/>
          <w:szCs w:val="22"/>
        </w:rPr>
        <w:noBreakHyphen/>
        <w:t>minute walk distance by 40–60 metres</w:t>
      </w:r>
      <w:r w:rsidRPr="00832F99">
        <w:rPr>
          <w:rFonts w:ascii="Arial" w:hAnsi="Arial" w:cs="Arial"/>
          <w:color w:val="000000" w:themeColor="text1"/>
          <w:sz w:val="22"/>
          <w:szCs w:val="22"/>
        </w:rPr>
        <w:t xml:space="preserve"> and increase their exercise capacity by </w:t>
      </w:r>
      <w:r w:rsidRPr="00832F99">
        <w:rPr>
          <w:rStyle w:val="Strong"/>
          <w:rFonts w:ascii="Arial" w:hAnsi="Arial" w:cs="Arial"/>
          <w:color w:val="000000" w:themeColor="text1"/>
          <w:sz w:val="22"/>
          <w:szCs w:val="22"/>
        </w:rPr>
        <w:t>around 0.5–1 MET</w:t>
      </w:r>
      <w:r w:rsidRPr="00832F99">
        <w:rPr>
          <w:rFonts w:ascii="Arial" w:hAnsi="Arial" w:cs="Arial"/>
          <w:color w:val="000000" w:themeColor="text1"/>
          <w:sz w:val="22"/>
          <w:szCs w:val="22"/>
        </w:rPr>
        <w:t xml:space="preserve"> following CR (Taylor et al., 2019). These improvements are clinically meaningful, particularly for individuals with heart failure or reduced mobility. CR also reduces hospital readmission among older adults by </w:t>
      </w:r>
      <w:r w:rsidRPr="00832F99">
        <w:rPr>
          <w:rStyle w:val="Strong"/>
          <w:rFonts w:ascii="Arial" w:hAnsi="Arial" w:cs="Arial"/>
          <w:color w:val="000000" w:themeColor="text1"/>
          <w:sz w:val="22"/>
          <w:szCs w:val="22"/>
        </w:rPr>
        <w:t>approximately 15–20%</w:t>
      </w:r>
      <w:r w:rsidRPr="00832F99">
        <w:rPr>
          <w:rFonts w:ascii="Arial" w:hAnsi="Arial" w:cs="Arial"/>
          <w:color w:val="000000" w:themeColor="text1"/>
          <w:sz w:val="22"/>
          <w:szCs w:val="22"/>
        </w:rPr>
        <w:t>, demonstrating that age does not diminish the therapeutic value of rehabilitation.</w:t>
      </w:r>
    </w:p>
    <w:p w14:paraId="14FAE8D7"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These improvements are closely linked to the reassurance and structured support that CR provides. Older adults often experience fear, uncertainty, and reduced confidence following a cardiac event. CR helps rebuild trust in their bodies, enhances self</w:t>
      </w:r>
      <w:r w:rsidRPr="00832F99">
        <w:rPr>
          <w:rFonts w:ascii="Arial" w:hAnsi="Arial" w:cs="Arial"/>
          <w:color w:val="000000" w:themeColor="text1"/>
          <w:sz w:val="22"/>
          <w:szCs w:val="22"/>
        </w:rPr>
        <w:noBreakHyphen/>
        <w:t xml:space="preserve">efficacy, and provides a safe environment for gradual physical activity. </w:t>
      </w:r>
      <w:proofErr w:type="spellStart"/>
      <w:r w:rsidRPr="00832F99">
        <w:rPr>
          <w:rFonts w:ascii="Arial" w:hAnsi="Arial" w:cs="Arial"/>
          <w:color w:val="000000" w:themeColor="text1"/>
          <w:sz w:val="22"/>
          <w:szCs w:val="22"/>
        </w:rPr>
        <w:t>Dalal</w:t>
      </w:r>
      <w:proofErr w:type="spellEnd"/>
      <w:r w:rsidRPr="00832F99">
        <w:rPr>
          <w:rFonts w:ascii="Arial" w:hAnsi="Arial" w:cs="Arial"/>
          <w:color w:val="000000" w:themeColor="text1"/>
          <w:sz w:val="22"/>
          <w:szCs w:val="22"/>
        </w:rPr>
        <w:t xml:space="preserve"> et al. (2019) found that despite higher levels of multimorbidity and frailty, older participants still achieved meaningful improvements when programmes were adapted to their needs.</w:t>
      </w:r>
    </w:p>
    <w:p w14:paraId="78C32F4F" w14:textId="77777777"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Personalisation is particularly important for older adults. Clark et al. (2021) emphasised that tailored exercise plans, supportive staff interactions, and opportunities for social connection enhance motivation and sustain engagement. Social interaction is a key facilitator, reducing feelings of isolation and fostering a sense of community. Home</w:t>
      </w:r>
      <w:r w:rsidRPr="00832F99">
        <w:rPr>
          <w:rFonts w:ascii="Arial" w:hAnsi="Arial" w:cs="Arial"/>
          <w:color w:val="000000" w:themeColor="text1"/>
          <w:sz w:val="22"/>
          <w:szCs w:val="22"/>
        </w:rPr>
        <w:noBreakHyphen/>
        <w:t>based CR models further strengthen accessibility by reducing transport barriers and accommodating fluctuating health needs. Anderson et al. (2017) showed that remote delivery can achieve outcomes comparable to centre</w:t>
      </w:r>
      <w:r w:rsidRPr="00832F99">
        <w:rPr>
          <w:rFonts w:ascii="Arial" w:hAnsi="Arial" w:cs="Arial"/>
          <w:color w:val="000000" w:themeColor="text1"/>
          <w:sz w:val="22"/>
          <w:szCs w:val="22"/>
        </w:rPr>
        <w:noBreakHyphen/>
        <w:t>based programmes, making CR more accessible for older adults with mobility limitations.</w:t>
      </w:r>
    </w:p>
    <w:p w14:paraId="72FAD42B" w14:textId="1F004352" w:rsidR="00D447C6" w:rsidRPr="00832F99" w:rsidRDefault="00D447C6"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While many studies exclude the oldest and most frail individuals—limiting generalisability—the consistency of evidence across trials and cohort studies reinforces </w:t>
      </w:r>
      <w:proofErr w:type="gramStart"/>
      <w:r w:rsidRPr="00832F99">
        <w:rPr>
          <w:rFonts w:ascii="Arial" w:hAnsi="Arial" w:cs="Arial"/>
          <w:color w:val="000000" w:themeColor="text1"/>
          <w:sz w:val="22"/>
          <w:szCs w:val="22"/>
        </w:rPr>
        <w:t>that older adults</w:t>
      </w:r>
      <w:proofErr w:type="gramEnd"/>
      <w:r w:rsidRPr="00832F99">
        <w:rPr>
          <w:rFonts w:ascii="Arial" w:hAnsi="Arial" w:cs="Arial"/>
          <w:color w:val="000000" w:themeColor="text1"/>
          <w:sz w:val="22"/>
          <w:szCs w:val="22"/>
        </w:rPr>
        <w:t xml:space="preserve"> can derive substantial benefit from CR when programmes are flexible, personalised, and sensitive to the complexities of ageing.</w:t>
      </w:r>
    </w:p>
    <w:p w14:paraId="5D1C90F6" w14:textId="77777777" w:rsidR="00F37A79" w:rsidRDefault="000A3B07"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4.8: Data Extraction </w:t>
      </w:r>
    </w:p>
    <w:p w14:paraId="68235860" w14:textId="0244F4BD" w:rsidR="000A3B07" w:rsidRPr="00832F99" w:rsidRDefault="000A3B07"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Table</w:t>
      </w:r>
      <w:r w:rsidR="00F37A79">
        <w:rPr>
          <w:rFonts w:ascii="Arial" w:hAnsi="Arial" w:cs="Arial"/>
          <w:color w:val="000000" w:themeColor="text1"/>
          <w:sz w:val="22"/>
          <w:szCs w:val="22"/>
        </w:rPr>
        <w:t xml:space="preserve">4.2 data extraction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15"/>
        <w:gridCol w:w="1690"/>
        <w:gridCol w:w="1233"/>
        <w:gridCol w:w="2605"/>
        <w:gridCol w:w="2183"/>
      </w:tblGrid>
      <w:tr w:rsidR="00832F99" w:rsidRPr="00832F99" w14:paraId="1DB25679" w14:textId="77777777" w:rsidTr="000A3B07">
        <w:trPr>
          <w:tblHeader/>
          <w:tblCellSpacing w:w="15" w:type="dxa"/>
        </w:trPr>
        <w:tc>
          <w:tcPr>
            <w:tcW w:w="0" w:type="auto"/>
            <w:vAlign w:val="center"/>
            <w:hideMark/>
          </w:tcPr>
          <w:p w14:paraId="71B3EB50"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t>Study</w:t>
            </w:r>
          </w:p>
        </w:tc>
        <w:tc>
          <w:tcPr>
            <w:tcW w:w="0" w:type="auto"/>
            <w:vAlign w:val="center"/>
            <w:hideMark/>
          </w:tcPr>
          <w:p w14:paraId="1E57596B"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t>Design</w:t>
            </w:r>
          </w:p>
        </w:tc>
        <w:tc>
          <w:tcPr>
            <w:tcW w:w="0" w:type="auto"/>
            <w:vAlign w:val="center"/>
            <w:hideMark/>
          </w:tcPr>
          <w:p w14:paraId="180E335E"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t>Sample</w:t>
            </w:r>
          </w:p>
        </w:tc>
        <w:tc>
          <w:tcPr>
            <w:tcW w:w="0" w:type="auto"/>
            <w:vAlign w:val="center"/>
            <w:hideMark/>
          </w:tcPr>
          <w:p w14:paraId="73D55A49"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t>Key Quantitative Findings</w:t>
            </w:r>
          </w:p>
        </w:tc>
        <w:tc>
          <w:tcPr>
            <w:tcW w:w="0" w:type="auto"/>
            <w:vAlign w:val="center"/>
            <w:hideMark/>
          </w:tcPr>
          <w:p w14:paraId="5AF5AB1D"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t>Key Qualitative Findings</w:t>
            </w:r>
          </w:p>
        </w:tc>
      </w:tr>
      <w:tr w:rsidR="00832F99" w:rsidRPr="00832F99" w14:paraId="6CBE051F" w14:textId="77777777" w:rsidTr="000A3B07">
        <w:trPr>
          <w:tblCellSpacing w:w="15" w:type="dxa"/>
        </w:trPr>
        <w:tc>
          <w:tcPr>
            <w:tcW w:w="0" w:type="auto"/>
            <w:vAlign w:val="center"/>
            <w:hideMark/>
          </w:tcPr>
          <w:p w14:paraId="5DAC18C0"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t>Anderson et al. (2016)</w:t>
            </w:r>
          </w:p>
        </w:tc>
        <w:tc>
          <w:tcPr>
            <w:tcW w:w="0" w:type="auto"/>
            <w:vAlign w:val="center"/>
            <w:hideMark/>
          </w:tcPr>
          <w:p w14:paraId="2E3E71D1"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Systematic review &amp; meta</w:t>
            </w:r>
            <w:r w:rsidRPr="000A3B07">
              <w:rPr>
                <w:rFonts w:ascii="Arial" w:eastAsia="Times New Roman" w:hAnsi="Arial" w:cs="Arial"/>
                <w:color w:val="000000" w:themeColor="text1"/>
                <w:lang w:eastAsia="en-IN"/>
              </w:rPr>
              <w:noBreakHyphen/>
              <w:t>analysis</w:t>
            </w:r>
          </w:p>
        </w:tc>
        <w:tc>
          <w:tcPr>
            <w:tcW w:w="0" w:type="auto"/>
            <w:vAlign w:val="center"/>
            <w:hideMark/>
          </w:tcPr>
          <w:p w14:paraId="2CA12044"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63 trials; &gt;14,000 participants</w:t>
            </w:r>
          </w:p>
        </w:tc>
        <w:tc>
          <w:tcPr>
            <w:tcW w:w="0" w:type="auto"/>
            <w:vAlign w:val="center"/>
            <w:hideMark/>
          </w:tcPr>
          <w:p w14:paraId="3C5F932A"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 xml:space="preserve">CR reduced cardiovascular mortality by </w:t>
            </w:r>
            <w:r w:rsidRPr="000A3B07">
              <w:rPr>
                <w:rFonts w:ascii="Arial" w:eastAsia="Times New Roman" w:hAnsi="Arial" w:cs="Arial"/>
                <w:b/>
                <w:bCs/>
                <w:color w:val="000000" w:themeColor="text1"/>
                <w:lang w:eastAsia="en-IN"/>
              </w:rPr>
              <w:t>~25%</w:t>
            </w:r>
            <w:r w:rsidRPr="000A3B07">
              <w:rPr>
                <w:rFonts w:ascii="Arial" w:eastAsia="Times New Roman" w:hAnsi="Arial" w:cs="Arial"/>
                <w:color w:val="000000" w:themeColor="text1"/>
                <w:lang w:eastAsia="en-IN"/>
              </w:rPr>
              <w:t xml:space="preserve">; readmissions by </w:t>
            </w:r>
            <w:r w:rsidRPr="000A3B07">
              <w:rPr>
                <w:rFonts w:ascii="Arial" w:eastAsia="Times New Roman" w:hAnsi="Arial" w:cs="Arial"/>
                <w:b/>
                <w:bCs/>
                <w:color w:val="000000" w:themeColor="text1"/>
                <w:lang w:eastAsia="en-IN"/>
              </w:rPr>
              <w:t>~20%</w:t>
            </w:r>
            <w:r w:rsidRPr="000A3B07">
              <w:rPr>
                <w:rFonts w:ascii="Arial" w:eastAsia="Times New Roman" w:hAnsi="Arial" w:cs="Arial"/>
                <w:color w:val="000000" w:themeColor="text1"/>
                <w:lang w:eastAsia="en-IN"/>
              </w:rPr>
              <w:t xml:space="preserve">; improved exercise capacity by </w:t>
            </w:r>
            <w:r w:rsidRPr="000A3B07">
              <w:rPr>
                <w:rFonts w:ascii="Arial" w:eastAsia="Times New Roman" w:hAnsi="Arial" w:cs="Arial"/>
                <w:b/>
                <w:bCs/>
                <w:color w:val="000000" w:themeColor="text1"/>
                <w:lang w:eastAsia="en-IN"/>
              </w:rPr>
              <w:t>~1 MET</w:t>
            </w:r>
            <w:r w:rsidRPr="000A3B07">
              <w:rPr>
                <w:rFonts w:ascii="Arial" w:eastAsia="Times New Roman" w:hAnsi="Arial" w:cs="Arial"/>
                <w:color w:val="000000" w:themeColor="text1"/>
                <w:lang w:eastAsia="en-IN"/>
              </w:rPr>
              <w:t>.</w:t>
            </w:r>
          </w:p>
        </w:tc>
        <w:tc>
          <w:tcPr>
            <w:tcW w:w="0" w:type="auto"/>
            <w:vAlign w:val="center"/>
            <w:hideMark/>
          </w:tcPr>
          <w:p w14:paraId="399D9085"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Completion linked to better outcomes; reassurance and structured exercise valued.</w:t>
            </w:r>
          </w:p>
        </w:tc>
      </w:tr>
      <w:tr w:rsidR="00832F99" w:rsidRPr="00832F99" w14:paraId="68C4F092" w14:textId="77777777" w:rsidTr="000A3B07">
        <w:trPr>
          <w:tblCellSpacing w:w="15" w:type="dxa"/>
        </w:trPr>
        <w:tc>
          <w:tcPr>
            <w:tcW w:w="0" w:type="auto"/>
            <w:vAlign w:val="center"/>
            <w:hideMark/>
          </w:tcPr>
          <w:p w14:paraId="50D7690D"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proofErr w:type="spellStart"/>
            <w:r w:rsidRPr="000A3B07">
              <w:rPr>
                <w:rFonts w:ascii="Arial" w:eastAsia="Times New Roman" w:hAnsi="Arial" w:cs="Arial"/>
                <w:b/>
                <w:bCs/>
                <w:color w:val="000000" w:themeColor="text1"/>
                <w:lang w:eastAsia="en-IN"/>
              </w:rPr>
              <w:lastRenderedPageBreak/>
              <w:t>Dalal</w:t>
            </w:r>
            <w:proofErr w:type="spellEnd"/>
            <w:r w:rsidRPr="000A3B07">
              <w:rPr>
                <w:rFonts w:ascii="Arial" w:eastAsia="Times New Roman" w:hAnsi="Arial" w:cs="Arial"/>
                <w:b/>
                <w:bCs/>
                <w:color w:val="000000" w:themeColor="text1"/>
                <w:lang w:eastAsia="en-IN"/>
              </w:rPr>
              <w:t xml:space="preserve"> et al. (2015)</w:t>
            </w:r>
          </w:p>
        </w:tc>
        <w:tc>
          <w:tcPr>
            <w:tcW w:w="0" w:type="auto"/>
            <w:vAlign w:val="center"/>
            <w:hideMark/>
          </w:tcPr>
          <w:p w14:paraId="72E5FC0D"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RCT (home</w:t>
            </w:r>
            <w:r w:rsidRPr="000A3B07">
              <w:rPr>
                <w:rFonts w:ascii="Arial" w:eastAsia="Times New Roman" w:hAnsi="Arial" w:cs="Arial"/>
                <w:color w:val="000000" w:themeColor="text1"/>
                <w:lang w:eastAsia="en-IN"/>
              </w:rPr>
              <w:noBreakHyphen/>
              <w:t xml:space="preserve"> vs centre</w:t>
            </w:r>
            <w:r w:rsidRPr="000A3B07">
              <w:rPr>
                <w:rFonts w:ascii="Arial" w:eastAsia="Times New Roman" w:hAnsi="Arial" w:cs="Arial"/>
                <w:color w:val="000000" w:themeColor="text1"/>
                <w:lang w:eastAsia="en-IN"/>
              </w:rPr>
              <w:noBreakHyphen/>
              <w:t>based CR)</w:t>
            </w:r>
          </w:p>
        </w:tc>
        <w:tc>
          <w:tcPr>
            <w:tcW w:w="0" w:type="auto"/>
            <w:vAlign w:val="center"/>
            <w:hideMark/>
          </w:tcPr>
          <w:p w14:paraId="7C0360E0"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~800 adults</w:t>
            </w:r>
          </w:p>
        </w:tc>
        <w:tc>
          <w:tcPr>
            <w:tcW w:w="0" w:type="auto"/>
            <w:vAlign w:val="center"/>
            <w:hideMark/>
          </w:tcPr>
          <w:p w14:paraId="28A86FC8"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Home</w:t>
            </w:r>
            <w:r w:rsidRPr="000A3B07">
              <w:rPr>
                <w:rFonts w:ascii="Arial" w:eastAsia="Times New Roman" w:hAnsi="Arial" w:cs="Arial"/>
                <w:color w:val="000000" w:themeColor="text1"/>
                <w:lang w:eastAsia="en-IN"/>
              </w:rPr>
              <w:noBreakHyphen/>
              <w:t xml:space="preserve">based CR improved 6MWT by </w:t>
            </w:r>
            <w:r w:rsidRPr="000A3B07">
              <w:rPr>
                <w:rFonts w:ascii="Arial" w:eastAsia="Times New Roman" w:hAnsi="Arial" w:cs="Arial"/>
                <w:b/>
                <w:bCs/>
                <w:color w:val="000000" w:themeColor="text1"/>
                <w:lang w:eastAsia="en-IN"/>
              </w:rPr>
              <w:t>40–60 m</w:t>
            </w:r>
            <w:r w:rsidRPr="000A3B07">
              <w:rPr>
                <w:rFonts w:ascii="Arial" w:eastAsia="Times New Roman" w:hAnsi="Arial" w:cs="Arial"/>
                <w:color w:val="000000" w:themeColor="text1"/>
                <w:lang w:eastAsia="en-IN"/>
              </w:rPr>
              <w:t>; similar readmission rates; ~10% higher adherence.</w:t>
            </w:r>
          </w:p>
        </w:tc>
        <w:tc>
          <w:tcPr>
            <w:tcW w:w="0" w:type="auto"/>
            <w:vAlign w:val="center"/>
            <w:hideMark/>
          </w:tcPr>
          <w:p w14:paraId="60D50F9D"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Flexibility valued; some missed supervision; improved accessibility.</w:t>
            </w:r>
          </w:p>
        </w:tc>
      </w:tr>
      <w:tr w:rsidR="00832F99" w:rsidRPr="00832F99" w14:paraId="0A9D3448" w14:textId="77777777" w:rsidTr="000A3B07">
        <w:trPr>
          <w:tblCellSpacing w:w="15" w:type="dxa"/>
        </w:trPr>
        <w:tc>
          <w:tcPr>
            <w:tcW w:w="0" w:type="auto"/>
            <w:vAlign w:val="center"/>
            <w:hideMark/>
          </w:tcPr>
          <w:p w14:paraId="664DF883"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t>Anderson et al. (2017)</w:t>
            </w:r>
          </w:p>
        </w:tc>
        <w:tc>
          <w:tcPr>
            <w:tcW w:w="0" w:type="auto"/>
            <w:vAlign w:val="center"/>
            <w:hideMark/>
          </w:tcPr>
          <w:p w14:paraId="5843B3DF"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Systematic review</w:t>
            </w:r>
          </w:p>
        </w:tc>
        <w:tc>
          <w:tcPr>
            <w:tcW w:w="0" w:type="auto"/>
            <w:vAlign w:val="center"/>
            <w:hideMark/>
          </w:tcPr>
          <w:p w14:paraId="38585CA3"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23 trials; &gt;3,000 participants</w:t>
            </w:r>
          </w:p>
        </w:tc>
        <w:tc>
          <w:tcPr>
            <w:tcW w:w="0" w:type="auto"/>
            <w:vAlign w:val="center"/>
            <w:hideMark/>
          </w:tcPr>
          <w:p w14:paraId="30E69EE6"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Home</w:t>
            </w:r>
            <w:r w:rsidRPr="000A3B07">
              <w:rPr>
                <w:rFonts w:ascii="Arial" w:eastAsia="Times New Roman" w:hAnsi="Arial" w:cs="Arial"/>
                <w:color w:val="000000" w:themeColor="text1"/>
                <w:lang w:eastAsia="en-IN"/>
              </w:rPr>
              <w:noBreakHyphen/>
              <w:t xml:space="preserve">based CR improved exercise capacity by </w:t>
            </w:r>
            <w:r w:rsidRPr="000A3B07">
              <w:rPr>
                <w:rFonts w:ascii="Arial" w:eastAsia="Times New Roman" w:hAnsi="Arial" w:cs="Arial"/>
                <w:b/>
                <w:bCs/>
                <w:color w:val="000000" w:themeColor="text1"/>
                <w:lang w:eastAsia="en-IN"/>
              </w:rPr>
              <w:t>~1 MET</w:t>
            </w:r>
            <w:r w:rsidRPr="000A3B07">
              <w:rPr>
                <w:rFonts w:ascii="Arial" w:eastAsia="Times New Roman" w:hAnsi="Arial" w:cs="Arial"/>
                <w:color w:val="000000" w:themeColor="text1"/>
                <w:lang w:eastAsia="en-IN"/>
              </w:rPr>
              <w:t xml:space="preserve">; reduced readmissions by </w:t>
            </w:r>
            <w:r w:rsidRPr="000A3B07">
              <w:rPr>
                <w:rFonts w:ascii="Arial" w:eastAsia="Times New Roman" w:hAnsi="Arial" w:cs="Arial"/>
                <w:b/>
                <w:bCs/>
                <w:color w:val="000000" w:themeColor="text1"/>
                <w:lang w:eastAsia="en-IN"/>
              </w:rPr>
              <w:t>15–20%</w:t>
            </w:r>
            <w:r w:rsidRPr="000A3B07">
              <w:rPr>
                <w:rFonts w:ascii="Arial" w:eastAsia="Times New Roman" w:hAnsi="Arial" w:cs="Arial"/>
                <w:color w:val="000000" w:themeColor="text1"/>
                <w:lang w:eastAsia="en-IN"/>
              </w:rPr>
              <w:t>.</w:t>
            </w:r>
          </w:p>
        </w:tc>
        <w:tc>
          <w:tcPr>
            <w:tcW w:w="0" w:type="auto"/>
            <w:vAlign w:val="center"/>
            <w:hideMark/>
          </w:tcPr>
          <w:p w14:paraId="1A6AB48D"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Autonomy valued; remote support increased confidence; motivation varied.</w:t>
            </w:r>
          </w:p>
        </w:tc>
      </w:tr>
      <w:tr w:rsidR="00832F99" w:rsidRPr="00832F99" w14:paraId="2E75B89D" w14:textId="77777777" w:rsidTr="000A3B07">
        <w:trPr>
          <w:tblCellSpacing w:w="15" w:type="dxa"/>
        </w:trPr>
        <w:tc>
          <w:tcPr>
            <w:tcW w:w="0" w:type="auto"/>
            <w:vAlign w:val="center"/>
            <w:hideMark/>
          </w:tcPr>
          <w:p w14:paraId="4BEB6454"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t>Sumner et al. (2017)</w:t>
            </w:r>
          </w:p>
        </w:tc>
        <w:tc>
          <w:tcPr>
            <w:tcW w:w="0" w:type="auto"/>
            <w:vAlign w:val="center"/>
            <w:hideMark/>
          </w:tcPr>
          <w:p w14:paraId="2074D0DF"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Prospective cohort</w:t>
            </w:r>
          </w:p>
        </w:tc>
        <w:tc>
          <w:tcPr>
            <w:tcW w:w="0" w:type="auto"/>
            <w:vAlign w:val="center"/>
            <w:hideMark/>
          </w:tcPr>
          <w:p w14:paraId="3C7DB322"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~1,200 participants</w:t>
            </w:r>
          </w:p>
        </w:tc>
        <w:tc>
          <w:tcPr>
            <w:tcW w:w="0" w:type="auto"/>
            <w:vAlign w:val="center"/>
            <w:hideMark/>
          </w:tcPr>
          <w:p w14:paraId="3D4DFB10"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 xml:space="preserve">Completers had </w:t>
            </w:r>
            <w:r w:rsidRPr="000A3B07">
              <w:rPr>
                <w:rFonts w:ascii="Arial" w:eastAsia="Times New Roman" w:hAnsi="Arial" w:cs="Arial"/>
                <w:b/>
                <w:bCs/>
                <w:color w:val="000000" w:themeColor="text1"/>
                <w:lang w:eastAsia="en-IN"/>
              </w:rPr>
              <w:t>~30% lower readmissions</w:t>
            </w:r>
            <w:r w:rsidRPr="000A3B07">
              <w:rPr>
                <w:rFonts w:ascii="Arial" w:eastAsia="Times New Roman" w:hAnsi="Arial" w:cs="Arial"/>
                <w:color w:val="000000" w:themeColor="text1"/>
                <w:lang w:eastAsia="en-IN"/>
              </w:rPr>
              <w:t>; 15–20% greater fitness gains.</w:t>
            </w:r>
          </w:p>
        </w:tc>
        <w:tc>
          <w:tcPr>
            <w:tcW w:w="0" w:type="auto"/>
            <w:vAlign w:val="center"/>
            <w:hideMark/>
          </w:tcPr>
          <w:p w14:paraId="73A57B3D"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Early encouragement key; anxiety common in non</w:t>
            </w:r>
            <w:r w:rsidRPr="000A3B07">
              <w:rPr>
                <w:rFonts w:ascii="Arial" w:eastAsia="Times New Roman" w:hAnsi="Arial" w:cs="Arial"/>
                <w:color w:val="000000" w:themeColor="text1"/>
                <w:lang w:eastAsia="en-IN"/>
              </w:rPr>
              <w:noBreakHyphen/>
              <w:t>completers.</w:t>
            </w:r>
          </w:p>
        </w:tc>
      </w:tr>
      <w:tr w:rsidR="00832F99" w:rsidRPr="00832F99" w14:paraId="4FD66B67" w14:textId="77777777" w:rsidTr="000A3B07">
        <w:trPr>
          <w:tblCellSpacing w:w="15" w:type="dxa"/>
        </w:trPr>
        <w:tc>
          <w:tcPr>
            <w:tcW w:w="0" w:type="auto"/>
            <w:vAlign w:val="center"/>
            <w:hideMark/>
          </w:tcPr>
          <w:p w14:paraId="753836C6"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proofErr w:type="spellStart"/>
            <w:r w:rsidRPr="000A3B07">
              <w:rPr>
                <w:rFonts w:ascii="Arial" w:eastAsia="Times New Roman" w:hAnsi="Arial" w:cs="Arial"/>
                <w:b/>
                <w:bCs/>
                <w:color w:val="000000" w:themeColor="text1"/>
                <w:lang w:eastAsia="en-IN"/>
              </w:rPr>
              <w:t>Rafnsson</w:t>
            </w:r>
            <w:proofErr w:type="spellEnd"/>
            <w:r w:rsidRPr="000A3B07">
              <w:rPr>
                <w:rFonts w:ascii="Arial" w:eastAsia="Times New Roman" w:hAnsi="Arial" w:cs="Arial"/>
                <w:b/>
                <w:bCs/>
                <w:color w:val="000000" w:themeColor="text1"/>
                <w:lang w:eastAsia="en-IN"/>
              </w:rPr>
              <w:t xml:space="preserve"> et al. (2020)</w:t>
            </w:r>
          </w:p>
        </w:tc>
        <w:tc>
          <w:tcPr>
            <w:tcW w:w="0" w:type="auto"/>
            <w:vAlign w:val="center"/>
            <w:hideMark/>
          </w:tcPr>
          <w:p w14:paraId="089A3EAC"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National cohort</w:t>
            </w:r>
          </w:p>
        </w:tc>
        <w:tc>
          <w:tcPr>
            <w:tcW w:w="0" w:type="auto"/>
            <w:vAlign w:val="center"/>
            <w:hideMark/>
          </w:tcPr>
          <w:p w14:paraId="2062FFF6"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&gt;30,000 patients</w:t>
            </w:r>
          </w:p>
        </w:tc>
        <w:tc>
          <w:tcPr>
            <w:tcW w:w="0" w:type="auto"/>
            <w:vAlign w:val="center"/>
            <w:hideMark/>
          </w:tcPr>
          <w:p w14:paraId="1102520B"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 xml:space="preserve">Minority ethnic groups </w:t>
            </w:r>
            <w:r w:rsidRPr="000A3B07">
              <w:rPr>
                <w:rFonts w:ascii="Arial" w:eastAsia="Times New Roman" w:hAnsi="Arial" w:cs="Arial"/>
                <w:b/>
                <w:bCs/>
                <w:color w:val="000000" w:themeColor="text1"/>
                <w:lang w:eastAsia="en-IN"/>
              </w:rPr>
              <w:t>15–25% less likely</w:t>
            </w:r>
            <w:r w:rsidRPr="000A3B07">
              <w:rPr>
                <w:rFonts w:ascii="Arial" w:eastAsia="Times New Roman" w:hAnsi="Arial" w:cs="Arial"/>
                <w:color w:val="000000" w:themeColor="text1"/>
                <w:lang w:eastAsia="en-IN"/>
              </w:rPr>
              <w:t xml:space="preserve"> to be referred; uptake 10–15% lower.</w:t>
            </w:r>
          </w:p>
        </w:tc>
        <w:tc>
          <w:tcPr>
            <w:tcW w:w="0" w:type="auto"/>
            <w:vAlign w:val="center"/>
            <w:hideMark/>
          </w:tcPr>
          <w:p w14:paraId="21122306"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Language barriers; mistrust; cultural mismatch.</w:t>
            </w:r>
          </w:p>
        </w:tc>
      </w:tr>
      <w:tr w:rsidR="00832F99" w:rsidRPr="00832F99" w14:paraId="79606A3C" w14:textId="77777777" w:rsidTr="000A3B07">
        <w:trPr>
          <w:tblCellSpacing w:w="15" w:type="dxa"/>
        </w:trPr>
        <w:tc>
          <w:tcPr>
            <w:tcW w:w="0" w:type="auto"/>
            <w:vAlign w:val="center"/>
            <w:hideMark/>
          </w:tcPr>
          <w:p w14:paraId="6FE34088"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t>Virani et al. (2021)</w:t>
            </w:r>
          </w:p>
        </w:tc>
        <w:tc>
          <w:tcPr>
            <w:tcW w:w="0" w:type="auto"/>
            <w:vAlign w:val="center"/>
            <w:hideMark/>
          </w:tcPr>
          <w:p w14:paraId="7C2F93BE"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Observational study</w:t>
            </w:r>
          </w:p>
        </w:tc>
        <w:tc>
          <w:tcPr>
            <w:tcW w:w="0" w:type="auto"/>
            <w:vAlign w:val="center"/>
            <w:hideMark/>
          </w:tcPr>
          <w:p w14:paraId="4843E76B"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~50,000 patients</w:t>
            </w:r>
          </w:p>
        </w:tc>
        <w:tc>
          <w:tcPr>
            <w:tcW w:w="0" w:type="auto"/>
            <w:vAlign w:val="center"/>
            <w:hideMark/>
          </w:tcPr>
          <w:p w14:paraId="7011D666"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 xml:space="preserve">Minority ethnic groups had </w:t>
            </w:r>
            <w:r w:rsidRPr="000A3B07">
              <w:rPr>
                <w:rFonts w:ascii="Arial" w:eastAsia="Times New Roman" w:hAnsi="Arial" w:cs="Arial"/>
                <w:b/>
                <w:bCs/>
                <w:color w:val="000000" w:themeColor="text1"/>
                <w:lang w:eastAsia="en-IN"/>
              </w:rPr>
              <w:t>10–20% lower uptake</w:t>
            </w:r>
            <w:r w:rsidRPr="000A3B07">
              <w:rPr>
                <w:rFonts w:ascii="Arial" w:eastAsia="Times New Roman" w:hAnsi="Arial" w:cs="Arial"/>
                <w:color w:val="000000" w:themeColor="text1"/>
                <w:lang w:eastAsia="en-IN"/>
              </w:rPr>
              <w:t>; smaller functional gains (~10%).</w:t>
            </w:r>
          </w:p>
        </w:tc>
        <w:tc>
          <w:tcPr>
            <w:tcW w:w="0" w:type="auto"/>
            <w:vAlign w:val="center"/>
            <w:hideMark/>
          </w:tcPr>
          <w:p w14:paraId="775B01C9"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Cultural mismatch; limited social support; family responsibilities.</w:t>
            </w:r>
          </w:p>
        </w:tc>
      </w:tr>
      <w:tr w:rsidR="00832F99" w:rsidRPr="00832F99" w14:paraId="0ACE6B74" w14:textId="77777777" w:rsidTr="000A3B07">
        <w:trPr>
          <w:tblCellSpacing w:w="15" w:type="dxa"/>
        </w:trPr>
        <w:tc>
          <w:tcPr>
            <w:tcW w:w="0" w:type="auto"/>
            <w:vAlign w:val="center"/>
            <w:hideMark/>
          </w:tcPr>
          <w:p w14:paraId="02D8877F"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proofErr w:type="spellStart"/>
            <w:r w:rsidRPr="000A3B07">
              <w:rPr>
                <w:rFonts w:ascii="Arial" w:eastAsia="Times New Roman" w:hAnsi="Arial" w:cs="Arial"/>
                <w:b/>
                <w:bCs/>
                <w:color w:val="000000" w:themeColor="text1"/>
                <w:lang w:eastAsia="en-IN"/>
              </w:rPr>
              <w:t>Galdas</w:t>
            </w:r>
            <w:proofErr w:type="spellEnd"/>
            <w:r w:rsidRPr="000A3B07">
              <w:rPr>
                <w:rFonts w:ascii="Arial" w:eastAsia="Times New Roman" w:hAnsi="Arial" w:cs="Arial"/>
                <w:b/>
                <w:bCs/>
                <w:color w:val="000000" w:themeColor="text1"/>
                <w:lang w:eastAsia="en-IN"/>
              </w:rPr>
              <w:t xml:space="preserve"> et al. (2018)</w:t>
            </w:r>
          </w:p>
        </w:tc>
        <w:tc>
          <w:tcPr>
            <w:tcW w:w="0" w:type="auto"/>
            <w:vAlign w:val="center"/>
            <w:hideMark/>
          </w:tcPr>
          <w:p w14:paraId="47D2C4D0"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Qualitative study</w:t>
            </w:r>
          </w:p>
        </w:tc>
        <w:tc>
          <w:tcPr>
            <w:tcW w:w="0" w:type="auto"/>
            <w:vAlign w:val="center"/>
            <w:hideMark/>
          </w:tcPr>
          <w:p w14:paraId="7BD549CF"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~60 participants</w:t>
            </w:r>
          </w:p>
        </w:tc>
        <w:tc>
          <w:tcPr>
            <w:tcW w:w="0" w:type="auto"/>
            <w:vAlign w:val="center"/>
            <w:hideMark/>
          </w:tcPr>
          <w:p w14:paraId="407D90C5"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N/A</w:t>
            </w:r>
          </w:p>
        </w:tc>
        <w:tc>
          <w:tcPr>
            <w:tcW w:w="0" w:type="auto"/>
            <w:vAlign w:val="center"/>
            <w:hideMark/>
          </w:tcPr>
          <w:p w14:paraId="2C27B819"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CR perceived as culturally misaligned; dietary advice not culturally appropriate; mixed</w:t>
            </w:r>
            <w:r w:rsidRPr="000A3B07">
              <w:rPr>
                <w:rFonts w:ascii="Arial" w:eastAsia="Times New Roman" w:hAnsi="Arial" w:cs="Arial"/>
                <w:color w:val="000000" w:themeColor="text1"/>
                <w:lang w:eastAsia="en-IN"/>
              </w:rPr>
              <w:noBreakHyphen/>
              <w:t>gender classes discouraged attendance.</w:t>
            </w:r>
          </w:p>
        </w:tc>
      </w:tr>
      <w:tr w:rsidR="00832F99" w:rsidRPr="00832F99" w14:paraId="176D0405" w14:textId="77777777" w:rsidTr="000A3B07">
        <w:trPr>
          <w:tblCellSpacing w:w="15" w:type="dxa"/>
        </w:trPr>
        <w:tc>
          <w:tcPr>
            <w:tcW w:w="0" w:type="auto"/>
            <w:vAlign w:val="center"/>
            <w:hideMark/>
          </w:tcPr>
          <w:p w14:paraId="2BFD08D9"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t>Bachmann et al. (2017)</w:t>
            </w:r>
          </w:p>
        </w:tc>
        <w:tc>
          <w:tcPr>
            <w:tcW w:w="0" w:type="auto"/>
            <w:vAlign w:val="center"/>
            <w:hideMark/>
          </w:tcPr>
          <w:p w14:paraId="25494027"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National audit</w:t>
            </w:r>
          </w:p>
        </w:tc>
        <w:tc>
          <w:tcPr>
            <w:tcW w:w="0" w:type="auto"/>
            <w:vAlign w:val="center"/>
            <w:hideMark/>
          </w:tcPr>
          <w:p w14:paraId="062EF169"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&gt;100,000 patients</w:t>
            </w:r>
          </w:p>
        </w:tc>
        <w:tc>
          <w:tcPr>
            <w:tcW w:w="0" w:type="auto"/>
            <w:vAlign w:val="center"/>
            <w:hideMark/>
          </w:tcPr>
          <w:p w14:paraId="51F0096F"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 xml:space="preserve">Deprived patients </w:t>
            </w:r>
            <w:r w:rsidRPr="000A3B07">
              <w:rPr>
                <w:rFonts w:ascii="Arial" w:eastAsia="Times New Roman" w:hAnsi="Arial" w:cs="Arial"/>
                <w:b/>
                <w:bCs/>
                <w:color w:val="000000" w:themeColor="text1"/>
                <w:lang w:eastAsia="en-IN"/>
              </w:rPr>
              <w:t>20–40% less likely</w:t>
            </w:r>
            <w:r w:rsidRPr="000A3B07">
              <w:rPr>
                <w:rFonts w:ascii="Arial" w:eastAsia="Times New Roman" w:hAnsi="Arial" w:cs="Arial"/>
                <w:color w:val="000000" w:themeColor="text1"/>
                <w:lang w:eastAsia="en-IN"/>
              </w:rPr>
              <w:t xml:space="preserve"> to attend; completion 25–35% lower.</w:t>
            </w:r>
          </w:p>
        </w:tc>
        <w:tc>
          <w:tcPr>
            <w:tcW w:w="0" w:type="auto"/>
            <w:vAlign w:val="center"/>
            <w:hideMark/>
          </w:tcPr>
          <w:p w14:paraId="00A6BB53"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Transport/financial barriers; low health literacy; CR seen as “not feasible”.</w:t>
            </w:r>
          </w:p>
        </w:tc>
      </w:tr>
      <w:tr w:rsidR="00832F99" w:rsidRPr="00832F99" w14:paraId="053E470B" w14:textId="77777777" w:rsidTr="000A3B07">
        <w:trPr>
          <w:tblCellSpacing w:w="15" w:type="dxa"/>
        </w:trPr>
        <w:tc>
          <w:tcPr>
            <w:tcW w:w="0" w:type="auto"/>
            <w:vAlign w:val="center"/>
            <w:hideMark/>
          </w:tcPr>
          <w:p w14:paraId="4C3FF561"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proofErr w:type="spellStart"/>
            <w:r w:rsidRPr="000A3B07">
              <w:rPr>
                <w:rFonts w:ascii="Arial" w:eastAsia="Times New Roman" w:hAnsi="Arial" w:cs="Arial"/>
                <w:b/>
                <w:bCs/>
                <w:color w:val="000000" w:themeColor="text1"/>
                <w:lang w:eastAsia="en-IN"/>
              </w:rPr>
              <w:t>Manandhar</w:t>
            </w:r>
            <w:proofErr w:type="spellEnd"/>
            <w:r w:rsidRPr="000A3B07">
              <w:rPr>
                <w:rFonts w:ascii="Arial" w:eastAsia="Times New Roman" w:hAnsi="Arial" w:cs="Arial"/>
                <w:b/>
                <w:bCs/>
                <w:color w:val="000000" w:themeColor="text1"/>
                <w:lang w:eastAsia="en-IN"/>
              </w:rPr>
              <w:t xml:space="preserve"> et al. (2025)</w:t>
            </w:r>
          </w:p>
        </w:tc>
        <w:tc>
          <w:tcPr>
            <w:tcW w:w="0" w:type="auto"/>
            <w:vAlign w:val="center"/>
            <w:hideMark/>
          </w:tcPr>
          <w:p w14:paraId="4CB56D1B"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Prospective cohort</w:t>
            </w:r>
          </w:p>
        </w:tc>
        <w:tc>
          <w:tcPr>
            <w:tcW w:w="0" w:type="auto"/>
            <w:vAlign w:val="center"/>
            <w:hideMark/>
          </w:tcPr>
          <w:p w14:paraId="67278550"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~5,000 participants</w:t>
            </w:r>
          </w:p>
        </w:tc>
        <w:tc>
          <w:tcPr>
            <w:tcW w:w="0" w:type="auto"/>
            <w:vAlign w:val="center"/>
            <w:hideMark/>
          </w:tcPr>
          <w:p w14:paraId="72324C77"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 xml:space="preserve">Deprived groups had </w:t>
            </w:r>
            <w:r w:rsidRPr="000A3B07">
              <w:rPr>
                <w:rFonts w:ascii="Arial" w:eastAsia="Times New Roman" w:hAnsi="Arial" w:cs="Arial"/>
                <w:b/>
                <w:bCs/>
                <w:color w:val="000000" w:themeColor="text1"/>
                <w:lang w:eastAsia="en-IN"/>
              </w:rPr>
              <w:t>10–20% smaller functional gains</w:t>
            </w:r>
            <w:r w:rsidRPr="000A3B07">
              <w:rPr>
                <w:rFonts w:ascii="Arial" w:eastAsia="Times New Roman" w:hAnsi="Arial" w:cs="Arial"/>
                <w:color w:val="000000" w:themeColor="text1"/>
                <w:lang w:eastAsia="en-IN"/>
              </w:rPr>
              <w:t>; dropout ~30% higher.</w:t>
            </w:r>
          </w:p>
        </w:tc>
        <w:tc>
          <w:tcPr>
            <w:tcW w:w="0" w:type="auto"/>
            <w:vAlign w:val="center"/>
            <w:hideMark/>
          </w:tcPr>
          <w:p w14:paraId="0EAC5B7B"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Stress, financial insecurity; competing responsibilities.</w:t>
            </w:r>
          </w:p>
        </w:tc>
      </w:tr>
      <w:tr w:rsidR="00832F99" w:rsidRPr="00832F99" w14:paraId="50CF525A" w14:textId="77777777" w:rsidTr="000A3B07">
        <w:trPr>
          <w:tblCellSpacing w:w="15" w:type="dxa"/>
        </w:trPr>
        <w:tc>
          <w:tcPr>
            <w:tcW w:w="0" w:type="auto"/>
            <w:vAlign w:val="center"/>
            <w:hideMark/>
          </w:tcPr>
          <w:p w14:paraId="41381DCE"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t>McAllister et al. (2026)</w:t>
            </w:r>
          </w:p>
        </w:tc>
        <w:tc>
          <w:tcPr>
            <w:tcW w:w="0" w:type="auto"/>
            <w:vAlign w:val="center"/>
            <w:hideMark/>
          </w:tcPr>
          <w:p w14:paraId="20DC3324"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National cohort</w:t>
            </w:r>
          </w:p>
        </w:tc>
        <w:tc>
          <w:tcPr>
            <w:tcW w:w="0" w:type="auto"/>
            <w:vAlign w:val="center"/>
            <w:hideMark/>
          </w:tcPr>
          <w:p w14:paraId="3AA2B49C"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~40,000 patients</w:t>
            </w:r>
          </w:p>
        </w:tc>
        <w:tc>
          <w:tcPr>
            <w:tcW w:w="0" w:type="auto"/>
            <w:vAlign w:val="center"/>
            <w:hideMark/>
          </w:tcPr>
          <w:p w14:paraId="0EF797EC"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 xml:space="preserve">Deprived minority ethnic groups had </w:t>
            </w:r>
            <w:r w:rsidRPr="000A3B07">
              <w:rPr>
                <w:rFonts w:ascii="Arial" w:eastAsia="Times New Roman" w:hAnsi="Arial" w:cs="Arial"/>
                <w:b/>
                <w:bCs/>
                <w:color w:val="000000" w:themeColor="text1"/>
                <w:lang w:eastAsia="en-IN"/>
              </w:rPr>
              <w:t>40–50% lower participation</w:t>
            </w:r>
            <w:r w:rsidRPr="000A3B07">
              <w:rPr>
                <w:rFonts w:ascii="Arial" w:eastAsia="Times New Roman" w:hAnsi="Arial" w:cs="Arial"/>
                <w:color w:val="000000" w:themeColor="text1"/>
                <w:lang w:eastAsia="en-IN"/>
              </w:rPr>
              <w:t>.</w:t>
            </w:r>
          </w:p>
        </w:tc>
        <w:tc>
          <w:tcPr>
            <w:tcW w:w="0" w:type="auto"/>
            <w:vAlign w:val="center"/>
            <w:hideMark/>
          </w:tcPr>
          <w:p w14:paraId="4B8BE4A4"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Structural + cultural barriers; CR perceived as inaccessible.</w:t>
            </w:r>
          </w:p>
        </w:tc>
      </w:tr>
      <w:tr w:rsidR="00832F99" w:rsidRPr="00832F99" w14:paraId="5E1FFE9A" w14:textId="77777777" w:rsidTr="000A3B07">
        <w:trPr>
          <w:tblCellSpacing w:w="15" w:type="dxa"/>
        </w:trPr>
        <w:tc>
          <w:tcPr>
            <w:tcW w:w="0" w:type="auto"/>
            <w:vAlign w:val="center"/>
            <w:hideMark/>
          </w:tcPr>
          <w:p w14:paraId="3C971A51"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t>NIHR (2019)</w:t>
            </w:r>
          </w:p>
        </w:tc>
        <w:tc>
          <w:tcPr>
            <w:tcW w:w="0" w:type="auto"/>
            <w:vAlign w:val="center"/>
            <w:hideMark/>
          </w:tcPr>
          <w:p w14:paraId="0BD9642E"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 xml:space="preserve">Evidence </w:t>
            </w:r>
            <w:proofErr w:type="gramStart"/>
            <w:r w:rsidRPr="000A3B07">
              <w:rPr>
                <w:rFonts w:ascii="Arial" w:eastAsia="Times New Roman" w:hAnsi="Arial" w:cs="Arial"/>
                <w:color w:val="000000" w:themeColor="text1"/>
                <w:lang w:eastAsia="en-IN"/>
              </w:rPr>
              <w:t>review</w:t>
            </w:r>
            <w:proofErr w:type="gramEnd"/>
          </w:p>
        </w:tc>
        <w:tc>
          <w:tcPr>
            <w:tcW w:w="0" w:type="auto"/>
            <w:vAlign w:val="center"/>
            <w:hideMark/>
          </w:tcPr>
          <w:p w14:paraId="2DE4E884"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&gt;20 studies</w:t>
            </w:r>
          </w:p>
        </w:tc>
        <w:tc>
          <w:tcPr>
            <w:tcW w:w="0" w:type="auto"/>
            <w:vAlign w:val="center"/>
            <w:hideMark/>
          </w:tcPr>
          <w:p w14:paraId="41B8E572"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b/>
                <w:bCs/>
                <w:color w:val="000000" w:themeColor="text1"/>
                <w:lang w:eastAsia="en-IN"/>
              </w:rPr>
              <w:t>30–40% decline CR</w:t>
            </w:r>
            <w:r w:rsidRPr="000A3B07">
              <w:rPr>
                <w:rFonts w:ascii="Arial" w:eastAsia="Times New Roman" w:hAnsi="Arial" w:cs="Arial"/>
                <w:color w:val="000000" w:themeColor="text1"/>
                <w:lang w:eastAsia="en-IN"/>
              </w:rPr>
              <w:t xml:space="preserve"> due to fear/anxiety; psychological distress predicted non</w:t>
            </w:r>
            <w:r w:rsidRPr="000A3B07">
              <w:rPr>
                <w:rFonts w:ascii="Arial" w:eastAsia="Times New Roman" w:hAnsi="Arial" w:cs="Arial"/>
                <w:color w:val="000000" w:themeColor="text1"/>
                <w:lang w:eastAsia="en-IN"/>
              </w:rPr>
              <w:noBreakHyphen/>
              <w:t>attendance.</w:t>
            </w:r>
          </w:p>
        </w:tc>
        <w:tc>
          <w:tcPr>
            <w:tcW w:w="0" w:type="auto"/>
            <w:vAlign w:val="center"/>
            <w:hideMark/>
          </w:tcPr>
          <w:p w14:paraId="6D4729EB"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Fear of exercise; unclear communication; empathy improved engagement.</w:t>
            </w:r>
          </w:p>
        </w:tc>
      </w:tr>
      <w:tr w:rsidR="00832F99" w:rsidRPr="00832F99" w14:paraId="688647B9" w14:textId="77777777" w:rsidTr="000A3B07">
        <w:trPr>
          <w:tblCellSpacing w:w="15" w:type="dxa"/>
        </w:trPr>
        <w:tc>
          <w:tcPr>
            <w:tcW w:w="0" w:type="auto"/>
            <w:vAlign w:val="center"/>
            <w:hideMark/>
          </w:tcPr>
          <w:p w14:paraId="0C7738E2"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proofErr w:type="spellStart"/>
            <w:r w:rsidRPr="000A3B07">
              <w:rPr>
                <w:rFonts w:ascii="Arial" w:eastAsia="Times New Roman" w:hAnsi="Arial" w:cs="Arial"/>
                <w:b/>
                <w:bCs/>
                <w:color w:val="000000" w:themeColor="text1"/>
                <w:lang w:eastAsia="en-IN"/>
              </w:rPr>
              <w:t>Dalal</w:t>
            </w:r>
            <w:proofErr w:type="spellEnd"/>
            <w:r w:rsidRPr="000A3B07">
              <w:rPr>
                <w:rFonts w:ascii="Arial" w:eastAsia="Times New Roman" w:hAnsi="Arial" w:cs="Arial"/>
                <w:b/>
                <w:bCs/>
                <w:color w:val="000000" w:themeColor="text1"/>
                <w:lang w:eastAsia="en-IN"/>
              </w:rPr>
              <w:t xml:space="preserve"> et al. (2019)</w:t>
            </w:r>
          </w:p>
        </w:tc>
        <w:tc>
          <w:tcPr>
            <w:tcW w:w="0" w:type="auto"/>
            <w:vAlign w:val="center"/>
            <w:hideMark/>
          </w:tcPr>
          <w:p w14:paraId="54CDEEE5"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Mixed</w:t>
            </w:r>
            <w:r w:rsidRPr="000A3B07">
              <w:rPr>
                <w:rFonts w:ascii="Arial" w:eastAsia="Times New Roman" w:hAnsi="Arial" w:cs="Arial"/>
                <w:color w:val="000000" w:themeColor="text1"/>
                <w:lang w:eastAsia="en-IN"/>
              </w:rPr>
              <w:noBreakHyphen/>
              <w:t>methods</w:t>
            </w:r>
          </w:p>
        </w:tc>
        <w:tc>
          <w:tcPr>
            <w:tcW w:w="0" w:type="auto"/>
            <w:vAlign w:val="center"/>
            <w:hideMark/>
          </w:tcPr>
          <w:p w14:paraId="7B52BB41"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~500 adults aged 65+</w:t>
            </w:r>
          </w:p>
        </w:tc>
        <w:tc>
          <w:tcPr>
            <w:tcW w:w="0" w:type="auto"/>
            <w:vAlign w:val="center"/>
            <w:hideMark/>
          </w:tcPr>
          <w:p w14:paraId="2FE69451"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 xml:space="preserve">6MWT improved </w:t>
            </w:r>
            <w:r w:rsidRPr="000A3B07">
              <w:rPr>
                <w:rFonts w:ascii="Arial" w:eastAsia="Times New Roman" w:hAnsi="Arial" w:cs="Arial"/>
                <w:b/>
                <w:bCs/>
                <w:color w:val="000000" w:themeColor="text1"/>
                <w:lang w:eastAsia="en-IN"/>
              </w:rPr>
              <w:t>40–50 m</w:t>
            </w:r>
            <w:r w:rsidRPr="000A3B07">
              <w:rPr>
                <w:rFonts w:ascii="Arial" w:eastAsia="Times New Roman" w:hAnsi="Arial" w:cs="Arial"/>
                <w:color w:val="000000" w:themeColor="text1"/>
                <w:lang w:eastAsia="en-IN"/>
              </w:rPr>
              <w:t xml:space="preserve">; readmissions reduced </w:t>
            </w:r>
            <w:r w:rsidRPr="000A3B07">
              <w:rPr>
                <w:rFonts w:ascii="Arial" w:eastAsia="Times New Roman" w:hAnsi="Arial" w:cs="Arial"/>
                <w:b/>
                <w:bCs/>
                <w:color w:val="000000" w:themeColor="text1"/>
                <w:lang w:eastAsia="en-IN"/>
              </w:rPr>
              <w:t>15–20%</w:t>
            </w:r>
            <w:r w:rsidRPr="000A3B07">
              <w:rPr>
                <w:rFonts w:ascii="Arial" w:eastAsia="Times New Roman" w:hAnsi="Arial" w:cs="Arial"/>
                <w:color w:val="000000" w:themeColor="text1"/>
                <w:lang w:eastAsia="en-IN"/>
              </w:rPr>
              <w:t>.</w:t>
            </w:r>
          </w:p>
        </w:tc>
        <w:tc>
          <w:tcPr>
            <w:tcW w:w="0" w:type="auto"/>
            <w:vAlign w:val="center"/>
            <w:hideMark/>
          </w:tcPr>
          <w:p w14:paraId="3BD4A9E3"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Older adults valued reassurance; fear of injury common.</w:t>
            </w:r>
          </w:p>
        </w:tc>
      </w:tr>
      <w:tr w:rsidR="00832F99" w:rsidRPr="00832F99" w14:paraId="335E4069" w14:textId="77777777" w:rsidTr="000A3B07">
        <w:trPr>
          <w:tblCellSpacing w:w="15" w:type="dxa"/>
        </w:trPr>
        <w:tc>
          <w:tcPr>
            <w:tcW w:w="0" w:type="auto"/>
            <w:vAlign w:val="center"/>
            <w:hideMark/>
          </w:tcPr>
          <w:p w14:paraId="027A7162"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lastRenderedPageBreak/>
              <w:t>Taylor et al. (2019)</w:t>
            </w:r>
          </w:p>
        </w:tc>
        <w:tc>
          <w:tcPr>
            <w:tcW w:w="0" w:type="auto"/>
            <w:vAlign w:val="center"/>
            <w:hideMark/>
          </w:tcPr>
          <w:p w14:paraId="2E5C62AB"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RCT in older adults</w:t>
            </w:r>
          </w:p>
        </w:tc>
        <w:tc>
          <w:tcPr>
            <w:tcW w:w="0" w:type="auto"/>
            <w:vAlign w:val="center"/>
            <w:hideMark/>
          </w:tcPr>
          <w:p w14:paraId="2941F817"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~2,000 adults aged 55+</w:t>
            </w:r>
          </w:p>
        </w:tc>
        <w:tc>
          <w:tcPr>
            <w:tcW w:w="0" w:type="auto"/>
            <w:vAlign w:val="center"/>
            <w:hideMark/>
          </w:tcPr>
          <w:p w14:paraId="62D75D26"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 xml:space="preserve">Exercise capacity improved </w:t>
            </w:r>
            <w:r w:rsidRPr="000A3B07">
              <w:rPr>
                <w:rFonts w:ascii="Arial" w:eastAsia="Times New Roman" w:hAnsi="Arial" w:cs="Arial"/>
                <w:b/>
                <w:bCs/>
                <w:color w:val="000000" w:themeColor="text1"/>
                <w:lang w:eastAsia="en-IN"/>
              </w:rPr>
              <w:t>0.5–1 MET</w:t>
            </w:r>
            <w:r w:rsidRPr="000A3B07">
              <w:rPr>
                <w:rFonts w:ascii="Arial" w:eastAsia="Times New Roman" w:hAnsi="Arial" w:cs="Arial"/>
                <w:color w:val="000000" w:themeColor="text1"/>
                <w:lang w:eastAsia="en-IN"/>
              </w:rPr>
              <w:t xml:space="preserve">; 6MWT improved </w:t>
            </w:r>
            <w:r w:rsidRPr="000A3B07">
              <w:rPr>
                <w:rFonts w:ascii="Arial" w:eastAsia="Times New Roman" w:hAnsi="Arial" w:cs="Arial"/>
                <w:b/>
                <w:bCs/>
                <w:color w:val="000000" w:themeColor="text1"/>
                <w:lang w:eastAsia="en-IN"/>
              </w:rPr>
              <w:t>50–60 m</w:t>
            </w:r>
            <w:r w:rsidRPr="000A3B07">
              <w:rPr>
                <w:rFonts w:ascii="Arial" w:eastAsia="Times New Roman" w:hAnsi="Arial" w:cs="Arial"/>
                <w:color w:val="000000" w:themeColor="text1"/>
                <w:lang w:eastAsia="en-IN"/>
              </w:rPr>
              <w:t xml:space="preserve">; readmissions reduced </w:t>
            </w:r>
            <w:r w:rsidRPr="000A3B07">
              <w:rPr>
                <w:rFonts w:ascii="Arial" w:eastAsia="Times New Roman" w:hAnsi="Arial" w:cs="Arial"/>
                <w:b/>
                <w:bCs/>
                <w:color w:val="000000" w:themeColor="text1"/>
                <w:lang w:eastAsia="en-IN"/>
              </w:rPr>
              <w:t>~15%</w:t>
            </w:r>
            <w:r w:rsidRPr="000A3B07">
              <w:rPr>
                <w:rFonts w:ascii="Arial" w:eastAsia="Times New Roman" w:hAnsi="Arial" w:cs="Arial"/>
                <w:color w:val="000000" w:themeColor="text1"/>
                <w:lang w:eastAsia="en-IN"/>
              </w:rPr>
              <w:t>.</w:t>
            </w:r>
          </w:p>
        </w:tc>
        <w:tc>
          <w:tcPr>
            <w:tcW w:w="0" w:type="auto"/>
            <w:vAlign w:val="center"/>
            <w:hideMark/>
          </w:tcPr>
          <w:p w14:paraId="7B1D6FFD"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Improved confidence; social interaction motivated attendance.</w:t>
            </w:r>
          </w:p>
        </w:tc>
      </w:tr>
      <w:tr w:rsidR="00832F99" w:rsidRPr="00832F99" w14:paraId="0DB6D9C9" w14:textId="77777777" w:rsidTr="000A3B07">
        <w:trPr>
          <w:tblCellSpacing w:w="15" w:type="dxa"/>
        </w:trPr>
        <w:tc>
          <w:tcPr>
            <w:tcW w:w="0" w:type="auto"/>
            <w:vAlign w:val="center"/>
            <w:hideMark/>
          </w:tcPr>
          <w:p w14:paraId="41D9CD98"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Arial" w:eastAsia="Times New Roman" w:hAnsi="Arial" w:cs="Arial"/>
                <w:b/>
                <w:bCs/>
                <w:color w:val="000000" w:themeColor="text1"/>
                <w:lang w:eastAsia="en-IN"/>
              </w:rPr>
              <w:t>Clark et al. (2021)</w:t>
            </w:r>
          </w:p>
        </w:tc>
        <w:tc>
          <w:tcPr>
            <w:tcW w:w="0" w:type="auto"/>
            <w:vAlign w:val="center"/>
            <w:hideMark/>
          </w:tcPr>
          <w:p w14:paraId="5BB104B4"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Qualitative study</w:t>
            </w:r>
          </w:p>
        </w:tc>
        <w:tc>
          <w:tcPr>
            <w:tcW w:w="0" w:type="auto"/>
            <w:vAlign w:val="center"/>
            <w:hideMark/>
          </w:tcPr>
          <w:p w14:paraId="310E47FB"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~40 older adults</w:t>
            </w:r>
          </w:p>
        </w:tc>
        <w:tc>
          <w:tcPr>
            <w:tcW w:w="0" w:type="auto"/>
            <w:vAlign w:val="center"/>
            <w:hideMark/>
          </w:tcPr>
          <w:p w14:paraId="0BEC32D1"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N/A</w:t>
            </w:r>
          </w:p>
        </w:tc>
        <w:tc>
          <w:tcPr>
            <w:tcW w:w="0" w:type="auto"/>
            <w:vAlign w:val="center"/>
            <w:hideMark/>
          </w:tcPr>
          <w:p w14:paraId="7F662C1A"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Personalised plans increased motivation; social connection reduced isolation.</w:t>
            </w:r>
          </w:p>
        </w:tc>
      </w:tr>
      <w:tr w:rsidR="00832F99" w:rsidRPr="00832F99" w14:paraId="20D410F2" w14:textId="77777777" w:rsidTr="000A3B07">
        <w:trPr>
          <w:tblCellSpacing w:w="15" w:type="dxa"/>
        </w:trPr>
        <w:tc>
          <w:tcPr>
            <w:tcW w:w="0" w:type="auto"/>
            <w:vAlign w:val="center"/>
            <w:hideMark/>
          </w:tcPr>
          <w:p w14:paraId="3ACD9CB5" w14:textId="77777777" w:rsidR="000A3B07" w:rsidRPr="000A3B07" w:rsidRDefault="000A3B07" w:rsidP="00832F99">
            <w:pPr>
              <w:spacing w:after="0" w:line="240" w:lineRule="auto"/>
              <w:jc w:val="both"/>
              <w:rPr>
                <w:rFonts w:ascii="Arial" w:eastAsia="Times New Roman" w:hAnsi="Arial" w:cs="Arial"/>
                <w:b/>
                <w:bCs/>
                <w:color w:val="000000" w:themeColor="text1"/>
                <w:lang w:eastAsia="en-IN"/>
              </w:rPr>
            </w:pPr>
            <w:r w:rsidRPr="000A3B07">
              <w:rPr>
                <w:rFonts w:ascii="Segoe UI Emoji" w:eastAsia="Times New Roman" w:hAnsi="Segoe UI Emoji" w:cs="Segoe UI Emoji"/>
                <w:b/>
                <w:bCs/>
                <w:color w:val="000000" w:themeColor="text1"/>
                <w:lang w:eastAsia="en-IN"/>
              </w:rPr>
              <w:t>⭐</w:t>
            </w:r>
            <w:r w:rsidRPr="000A3B07">
              <w:rPr>
                <w:rFonts w:ascii="Arial" w:eastAsia="Times New Roman" w:hAnsi="Arial" w:cs="Arial"/>
                <w:b/>
                <w:bCs/>
                <w:color w:val="000000" w:themeColor="text1"/>
                <w:lang w:eastAsia="en-IN"/>
              </w:rPr>
              <w:t xml:space="preserve"> Jolly et al. (2009) </w:t>
            </w:r>
            <w:r w:rsidRPr="000A3B07">
              <w:rPr>
                <w:rFonts w:ascii="Arial" w:eastAsia="Times New Roman" w:hAnsi="Arial" w:cs="Arial"/>
                <w:b/>
                <w:bCs/>
                <w:i/>
                <w:iCs/>
                <w:color w:val="000000" w:themeColor="text1"/>
                <w:lang w:eastAsia="en-IN"/>
              </w:rPr>
              <w:t>(NEW STUDY)</w:t>
            </w:r>
          </w:p>
        </w:tc>
        <w:tc>
          <w:tcPr>
            <w:tcW w:w="0" w:type="auto"/>
            <w:vAlign w:val="center"/>
            <w:hideMark/>
          </w:tcPr>
          <w:p w14:paraId="7D01976E"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RCT (BRUM Trial) comparing home</w:t>
            </w:r>
            <w:r w:rsidRPr="000A3B07">
              <w:rPr>
                <w:rFonts w:ascii="Arial" w:eastAsia="Times New Roman" w:hAnsi="Arial" w:cs="Arial"/>
                <w:color w:val="000000" w:themeColor="text1"/>
                <w:lang w:eastAsia="en-IN"/>
              </w:rPr>
              <w:noBreakHyphen/>
              <w:t>based vs centre</w:t>
            </w:r>
            <w:r w:rsidRPr="000A3B07">
              <w:rPr>
                <w:rFonts w:ascii="Arial" w:eastAsia="Times New Roman" w:hAnsi="Arial" w:cs="Arial"/>
                <w:color w:val="000000" w:themeColor="text1"/>
                <w:lang w:eastAsia="en-IN"/>
              </w:rPr>
              <w:noBreakHyphen/>
              <w:t>based CR</w:t>
            </w:r>
          </w:p>
        </w:tc>
        <w:tc>
          <w:tcPr>
            <w:tcW w:w="0" w:type="auto"/>
            <w:vAlign w:val="center"/>
            <w:hideMark/>
          </w:tcPr>
          <w:p w14:paraId="411B4255"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525 adults post</w:t>
            </w:r>
            <w:r w:rsidRPr="000A3B07">
              <w:rPr>
                <w:rFonts w:ascii="Arial" w:eastAsia="Times New Roman" w:hAnsi="Arial" w:cs="Arial"/>
                <w:color w:val="000000" w:themeColor="text1"/>
                <w:lang w:eastAsia="en-IN"/>
              </w:rPr>
              <w:noBreakHyphen/>
              <w:t>MI</w:t>
            </w:r>
          </w:p>
        </w:tc>
        <w:tc>
          <w:tcPr>
            <w:tcW w:w="0" w:type="auto"/>
            <w:vAlign w:val="center"/>
            <w:hideMark/>
          </w:tcPr>
          <w:p w14:paraId="4DCC9BF5"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 Home</w:t>
            </w:r>
            <w:r w:rsidRPr="000A3B07">
              <w:rPr>
                <w:rFonts w:ascii="Arial" w:eastAsia="Times New Roman" w:hAnsi="Arial" w:cs="Arial"/>
                <w:color w:val="000000" w:themeColor="text1"/>
                <w:lang w:eastAsia="en-IN"/>
              </w:rPr>
              <w:noBreakHyphen/>
              <w:t xml:space="preserve">based CR improved 6MWT by </w:t>
            </w:r>
            <w:r w:rsidRPr="000A3B07">
              <w:rPr>
                <w:rFonts w:ascii="Arial" w:eastAsia="Times New Roman" w:hAnsi="Arial" w:cs="Arial"/>
                <w:b/>
                <w:bCs/>
                <w:color w:val="000000" w:themeColor="text1"/>
                <w:lang w:eastAsia="en-IN"/>
              </w:rPr>
              <w:t>~40 m</w:t>
            </w:r>
            <w:r w:rsidRPr="000A3B07">
              <w:rPr>
                <w:rFonts w:ascii="Arial" w:eastAsia="Times New Roman" w:hAnsi="Arial" w:cs="Arial"/>
                <w:color w:val="000000" w:themeColor="text1"/>
                <w:lang w:eastAsia="en-IN"/>
              </w:rPr>
              <w:t xml:space="preserve">. • No significant difference in mortality/readmissions between groups. • Uptake </w:t>
            </w:r>
            <w:r w:rsidRPr="000A3B07">
              <w:rPr>
                <w:rFonts w:ascii="Arial" w:eastAsia="Times New Roman" w:hAnsi="Arial" w:cs="Arial"/>
                <w:b/>
                <w:bCs/>
                <w:color w:val="000000" w:themeColor="text1"/>
                <w:lang w:eastAsia="en-IN"/>
              </w:rPr>
              <w:t>~15% higher</w:t>
            </w:r>
            <w:r w:rsidRPr="000A3B07">
              <w:rPr>
                <w:rFonts w:ascii="Arial" w:eastAsia="Times New Roman" w:hAnsi="Arial" w:cs="Arial"/>
                <w:color w:val="000000" w:themeColor="text1"/>
                <w:lang w:eastAsia="en-IN"/>
              </w:rPr>
              <w:t xml:space="preserve"> in home</w:t>
            </w:r>
            <w:r w:rsidRPr="000A3B07">
              <w:rPr>
                <w:rFonts w:ascii="Arial" w:eastAsia="Times New Roman" w:hAnsi="Arial" w:cs="Arial"/>
                <w:color w:val="000000" w:themeColor="text1"/>
                <w:lang w:eastAsia="en-IN"/>
              </w:rPr>
              <w:noBreakHyphen/>
              <w:t>based CR.</w:t>
            </w:r>
          </w:p>
        </w:tc>
        <w:tc>
          <w:tcPr>
            <w:tcW w:w="0" w:type="auto"/>
            <w:vAlign w:val="center"/>
            <w:hideMark/>
          </w:tcPr>
          <w:p w14:paraId="3D87E11E" w14:textId="77777777" w:rsidR="000A3B07" w:rsidRPr="000A3B07" w:rsidRDefault="000A3B07" w:rsidP="00832F99">
            <w:pPr>
              <w:spacing w:after="0" w:line="240" w:lineRule="auto"/>
              <w:jc w:val="both"/>
              <w:rPr>
                <w:rFonts w:ascii="Arial" w:eastAsia="Times New Roman" w:hAnsi="Arial" w:cs="Arial"/>
                <w:color w:val="000000" w:themeColor="text1"/>
                <w:lang w:eastAsia="en-IN"/>
              </w:rPr>
            </w:pPr>
            <w:r w:rsidRPr="000A3B07">
              <w:rPr>
                <w:rFonts w:ascii="Arial" w:eastAsia="Times New Roman" w:hAnsi="Arial" w:cs="Arial"/>
                <w:color w:val="000000" w:themeColor="text1"/>
                <w:lang w:eastAsia="en-IN"/>
              </w:rPr>
              <w:t>• Patients valued home</w:t>
            </w:r>
            <w:r w:rsidRPr="000A3B07">
              <w:rPr>
                <w:rFonts w:ascii="Arial" w:eastAsia="Times New Roman" w:hAnsi="Arial" w:cs="Arial"/>
                <w:color w:val="000000" w:themeColor="text1"/>
                <w:lang w:eastAsia="en-IN"/>
              </w:rPr>
              <w:noBreakHyphen/>
              <w:t>based flexibility. • Telephone support improved confidence. • Some preferred centre</w:t>
            </w:r>
            <w:r w:rsidRPr="000A3B07">
              <w:rPr>
                <w:rFonts w:ascii="Arial" w:eastAsia="Times New Roman" w:hAnsi="Arial" w:cs="Arial"/>
                <w:color w:val="000000" w:themeColor="text1"/>
                <w:lang w:eastAsia="en-IN"/>
              </w:rPr>
              <w:noBreakHyphen/>
              <w:t>based social interaction.</w:t>
            </w:r>
          </w:p>
        </w:tc>
      </w:tr>
    </w:tbl>
    <w:p w14:paraId="33843A1C" w14:textId="77777777" w:rsidR="000A3B07" w:rsidRPr="00832F99" w:rsidRDefault="000A3B07" w:rsidP="00832F99">
      <w:pPr>
        <w:pStyle w:val="NormalWeb"/>
        <w:jc w:val="both"/>
        <w:rPr>
          <w:rFonts w:ascii="Arial" w:hAnsi="Arial" w:cs="Arial"/>
          <w:color w:val="000000" w:themeColor="text1"/>
          <w:sz w:val="22"/>
          <w:szCs w:val="22"/>
        </w:rPr>
      </w:pPr>
    </w:p>
    <w:p w14:paraId="0933C6E8" w14:textId="77777777" w:rsidR="000A3B07" w:rsidRPr="00832F99" w:rsidRDefault="000A3B07"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4.9 Chapter Summary</w:t>
      </w:r>
    </w:p>
    <w:p w14:paraId="3BB6B0EE" w14:textId="226274E5" w:rsidR="000A3B07" w:rsidRPr="00832F99" w:rsidRDefault="000A3B07"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This chapter presented the findings of the systematic review, demonstrating that CR is effective in reducing hospital readmissions among adults aged 55 years and over. However, significant ethnic and socioeconomic inequalities influence participation and outcomes. Barriers such as language difficulties, cultural mismatch, deprivation, and frailty limit engagement, while facilitators such as flexible delivery and social support enhance participation. These findings provide the foundation for the discussion presented in Chapter 5.</w:t>
      </w:r>
    </w:p>
    <w:p w14:paraId="0AE2AE6E" w14:textId="77777777" w:rsidR="00D447C6" w:rsidRPr="00832F99" w:rsidRDefault="00D447C6" w:rsidP="00832F99">
      <w:pPr>
        <w:pStyle w:val="Heading1"/>
        <w:jc w:val="both"/>
        <w:rPr>
          <w:rStyle w:val="Strong"/>
          <w:rFonts w:ascii="Arial" w:hAnsi="Arial" w:cs="Arial"/>
          <w:b w:val="0"/>
          <w:bCs w:val="0"/>
          <w:color w:val="000000" w:themeColor="text1"/>
          <w:sz w:val="22"/>
          <w:szCs w:val="22"/>
        </w:rPr>
      </w:pPr>
    </w:p>
    <w:p w14:paraId="004520D5" w14:textId="77777777" w:rsidR="00D447C6" w:rsidRPr="00832F99" w:rsidRDefault="00D447C6" w:rsidP="00832F99">
      <w:pPr>
        <w:pStyle w:val="Heading1"/>
        <w:jc w:val="both"/>
        <w:rPr>
          <w:rStyle w:val="Strong"/>
          <w:rFonts w:ascii="Arial" w:hAnsi="Arial" w:cs="Arial"/>
          <w:b w:val="0"/>
          <w:bCs w:val="0"/>
          <w:color w:val="000000" w:themeColor="text1"/>
          <w:sz w:val="22"/>
          <w:szCs w:val="22"/>
        </w:rPr>
      </w:pPr>
    </w:p>
    <w:p w14:paraId="37B4B521" w14:textId="77777777" w:rsidR="00D447C6" w:rsidRPr="00832F99" w:rsidRDefault="00D447C6" w:rsidP="00832F99">
      <w:pPr>
        <w:pStyle w:val="Heading1"/>
        <w:jc w:val="both"/>
        <w:rPr>
          <w:rStyle w:val="Strong"/>
          <w:rFonts w:ascii="Arial" w:hAnsi="Arial" w:cs="Arial"/>
          <w:b w:val="0"/>
          <w:bCs w:val="0"/>
          <w:color w:val="000000" w:themeColor="text1"/>
          <w:sz w:val="22"/>
          <w:szCs w:val="22"/>
        </w:rPr>
      </w:pPr>
    </w:p>
    <w:p w14:paraId="47B2A264" w14:textId="77777777" w:rsidR="00D447C6" w:rsidRPr="00832F99" w:rsidRDefault="00D447C6" w:rsidP="00832F99">
      <w:pPr>
        <w:pStyle w:val="Heading1"/>
        <w:jc w:val="both"/>
        <w:rPr>
          <w:rStyle w:val="Strong"/>
          <w:rFonts w:ascii="Arial" w:hAnsi="Arial" w:cs="Arial"/>
          <w:b w:val="0"/>
          <w:bCs w:val="0"/>
          <w:color w:val="000000" w:themeColor="text1"/>
          <w:sz w:val="22"/>
          <w:szCs w:val="22"/>
        </w:rPr>
      </w:pPr>
    </w:p>
    <w:p w14:paraId="236A154B" w14:textId="77777777" w:rsidR="00D447C6" w:rsidRPr="00832F99" w:rsidRDefault="00D447C6" w:rsidP="00832F99">
      <w:pPr>
        <w:pStyle w:val="Heading1"/>
        <w:jc w:val="both"/>
        <w:rPr>
          <w:rStyle w:val="Strong"/>
          <w:rFonts w:ascii="Arial" w:hAnsi="Arial" w:cs="Arial"/>
          <w:b w:val="0"/>
          <w:bCs w:val="0"/>
          <w:color w:val="000000" w:themeColor="text1"/>
          <w:sz w:val="22"/>
          <w:szCs w:val="22"/>
        </w:rPr>
      </w:pPr>
    </w:p>
    <w:p w14:paraId="4BA7F37B" w14:textId="77777777" w:rsidR="00D447C6" w:rsidRPr="00832F99" w:rsidRDefault="00D447C6" w:rsidP="00832F99">
      <w:pPr>
        <w:pStyle w:val="Heading1"/>
        <w:jc w:val="both"/>
        <w:rPr>
          <w:rStyle w:val="Strong"/>
          <w:rFonts w:ascii="Arial" w:hAnsi="Arial" w:cs="Arial"/>
          <w:b w:val="0"/>
          <w:bCs w:val="0"/>
          <w:color w:val="000000" w:themeColor="text1"/>
          <w:sz w:val="22"/>
          <w:szCs w:val="22"/>
        </w:rPr>
      </w:pPr>
    </w:p>
    <w:p w14:paraId="250268BE" w14:textId="667C32A5" w:rsidR="00936FEB" w:rsidRPr="00832F99" w:rsidRDefault="00936FEB" w:rsidP="00832F99">
      <w:pPr>
        <w:jc w:val="both"/>
        <w:rPr>
          <w:rFonts w:ascii="Arial" w:hAnsi="Arial" w:cs="Arial"/>
          <w:color w:val="000000" w:themeColor="text1"/>
        </w:rPr>
      </w:pPr>
    </w:p>
    <w:p w14:paraId="6878F519" w14:textId="44E4DCFA" w:rsidR="00936FEB" w:rsidRPr="00832F99" w:rsidRDefault="00936FEB" w:rsidP="00832F99">
      <w:pPr>
        <w:pStyle w:val="Heading1"/>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 xml:space="preserve">CHAPTER 5: DISCUSSION </w:t>
      </w:r>
    </w:p>
    <w:p w14:paraId="035FA324" w14:textId="2A6D9768" w:rsidR="00936FEB" w:rsidRPr="00832F99" w:rsidRDefault="00936FEB" w:rsidP="00832F99">
      <w:pPr>
        <w:jc w:val="both"/>
        <w:rPr>
          <w:rFonts w:ascii="Arial" w:hAnsi="Arial" w:cs="Arial"/>
          <w:color w:val="000000" w:themeColor="text1"/>
        </w:rPr>
      </w:pPr>
    </w:p>
    <w:p w14:paraId="07025481" w14:textId="77777777" w:rsidR="00936FEB" w:rsidRPr="00832F99" w:rsidRDefault="00936FEB"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5.1 Introduction</w:t>
      </w:r>
    </w:p>
    <w:p w14:paraId="7F7083B8"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This chapter critically interprets the findings presented in Chapter 4 by situating them within the wider evidence base, theoretical frameworks, and the study’s research objectives, ensuring that the implications of the results are understood in a broader clinical and public health context (Boland et al., 2017). The discussion examines how cardiac rehabilitation (CR) </w:t>
      </w:r>
      <w:r w:rsidRPr="00832F99">
        <w:rPr>
          <w:rFonts w:ascii="Arial" w:hAnsi="Arial" w:cs="Arial"/>
          <w:color w:val="000000" w:themeColor="text1"/>
          <w:sz w:val="22"/>
          <w:szCs w:val="22"/>
        </w:rPr>
        <w:lastRenderedPageBreak/>
        <w:t>influences hospital readmissions among adults aged 55 years and over in England, with particular attention to the ethnic and socioeconomic inequalities that shape participation and outcomes, reflecting the growing recognition that cardiovascular interventions must be evaluated not only for their clinical effectiveness but also for their equity and accessibility (O’Connor et al., 2021). This approach aligns with best practice in systematic review methodology, which emphasises the integration of quantitative and qualitative evidence to generate a comprehensive understanding of complex health interventions (Page et al., 2021). Consistent in</w:t>
      </w:r>
      <w:r w:rsidRPr="00832F99">
        <w:rPr>
          <w:rFonts w:ascii="Arial" w:hAnsi="Arial" w:cs="Arial"/>
          <w:color w:val="000000" w:themeColor="text1"/>
          <w:sz w:val="22"/>
          <w:szCs w:val="22"/>
        </w:rPr>
        <w:noBreakHyphen/>
        <w:t>text citation throughout ensures transparency and academic rigour, reflecting established standards for evidence synthesis and critical appraisal (CASP, 2018).</w:t>
      </w:r>
    </w:p>
    <w:p w14:paraId="1A7A2627"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Recent methodological literature also highlights the importance of interpreting cardiovascular interventions through a health</w:t>
      </w:r>
      <w:r w:rsidRPr="00832F99">
        <w:rPr>
          <w:rFonts w:ascii="Arial" w:hAnsi="Arial" w:cs="Arial"/>
          <w:color w:val="000000" w:themeColor="text1"/>
          <w:sz w:val="22"/>
          <w:szCs w:val="22"/>
        </w:rPr>
        <w:noBreakHyphen/>
        <w:t>equity lens, recognising that clinical outcomes are inseparable from the social determinants that influence access, engagement, and long</w:t>
      </w:r>
      <w:r w:rsidRPr="00832F99">
        <w:rPr>
          <w:rFonts w:ascii="Arial" w:hAnsi="Arial" w:cs="Arial"/>
          <w:color w:val="000000" w:themeColor="text1"/>
          <w:sz w:val="22"/>
          <w:szCs w:val="22"/>
        </w:rPr>
        <w:noBreakHyphen/>
        <w:t>term benefit (Brown et al., 2022). This chapter therefore synthesises clinical, behavioural, and structural evidence to explain not only whether CR reduces readmissions, but also for whom, under what conditions, and why inequalities persist despite strong clinical effectiveness. By integrating evidence from national audits, cohort studies, qualitative research, and international guidelines, this chapter provides a nuanced interpretation of the findings and identifies key implications for practice, policy, and future research. The discussion also reflects on the methodological strengths and limitations of the included studies, acknowledging the challenges of synthesising diverse study designs while emphasising the robustness of the conclusions drawn.</w:t>
      </w:r>
    </w:p>
    <w:p w14:paraId="5B1666D4" w14:textId="77777777" w:rsidR="00936FEB" w:rsidRPr="00832F99" w:rsidRDefault="00936FEB" w:rsidP="00832F99">
      <w:pPr>
        <w:jc w:val="both"/>
        <w:rPr>
          <w:rFonts w:ascii="Arial" w:hAnsi="Arial" w:cs="Arial"/>
          <w:color w:val="000000" w:themeColor="text1"/>
        </w:rPr>
      </w:pPr>
      <w:r w:rsidRPr="00832F99">
        <w:rPr>
          <w:rFonts w:ascii="Arial" w:hAnsi="Arial" w:cs="Arial"/>
          <w:color w:val="000000" w:themeColor="text1"/>
        </w:rPr>
        <w:pict w14:anchorId="385A0139">
          <v:rect id="_x0000_i1027" style="width:0;height:1.5pt" o:hralign="center" o:hrstd="t" o:hr="t" fillcolor="#a0a0a0" stroked="f"/>
        </w:pict>
      </w:r>
    </w:p>
    <w:p w14:paraId="0573C9DB" w14:textId="77777777" w:rsidR="00936FEB" w:rsidRPr="00832F99" w:rsidRDefault="00936FEB"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5.2 Effectiveness of Cardiac Rehabilitation in Reducing Hospital Readmissions</w:t>
      </w:r>
    </w:p>
    <w:p w14:paraId="46138D2E"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findings of this review strongly support the effectiveness of CR in reducing hospital readmissions among older adults, aligning with a substantial body of evidence demonstrating the benefits of structured rehabilitation programmes (Anderson et al., 2016). Quantitative studies consistently showed that CR participation reduces both short</w:t>
      </w:r>
      <w:r w:rsidRPr="00832F99">
        <w:rPr>
          <w:rFonts w:ascii="Arial" w:hAnsi="Arial" w:cs="Arial"/>
          <w:color w:val="000000" w:themeColor="text1"/>
          <w:sz w:val="22"/>
          <w:szCs w:val="22"/>
        </w:rPr>
        <w:noBreakHyphen/>
        <w:t>term and long</w:t>
      </w:r>
      <w:r w:rsidRPr="00832F99">
        <w:rPr>
          <w:rFonts w:ascii="Arial" w:hAnsi="Arial" w:cs="Arial"/>
          <w:color w:val="000000" w:themeColor="text1"/>
          <w:sz w:val="22"/>
          <w:szCs w:val="22"/>
        </w:rPr>
        <w:noBreakHyphen/>
        <w:t>term readmissions, with reductions ranging from 20% to 30% across multiple studies (</w:t>
      </w:r>
      <w:proofErr w:type="spellStart"/>
      <w:r w:rsidRPr="00832F99">
        <w:rPr>
          <w:rFonts w:ascii="Arial" w:hAnsi="Arial" w:cs="Arial"/>
          <w:color w:val="000000" w:themeColor="text1"/>
          <w:sz w:val="22"/>
          <w:szCs w:val="22"/>
        </w:rPr>
        <w:t>Dalal</w:t>
      </w:r>
      <w:proofErr w:type="spellEnd"/>
      <w:r w:rsidRPr="00832F99">
        <w:rPr>
          <w:rFonts w:ascii="Arial" w:hAnsi="Arial" w:cs="Arial"/>
          <w:color w:val="000000" w:themeColor="text1"/>
          <w:sz w:val="22"/>
          <w:szCs w:val="22"/>
        </w:rPr>
        <w:t xml:space="preserve"> et al., 2015). These findings are reinforced by international meta</w:t>
      </w:r>
      <w:r w:rsidRPr="00832F99">
        <w:rPr>
          <w:rFonts w:ascii="Arial" w:hAnsi="Arial" w:cs="Arial"/>
          <w:color w:val="000000" w:themeColor="text1"/>
          <w:sz w:val="22"/>
          <w:szCs w:val="22"/>
        </w:rPr>
        <w:noBreakHyphen/>
        <w:t>analyses showing that CR reduces all</w:t>
      </w:r>
      <w:r w:rsidRPr="00832F99">
        <w:rPr>
          <w:rFonts w:ascii="Arial" w:hAnsi="Arial" w:cs="Arial"/>
          <w:color w:val="000000" w:themeColor="text1"/>
          <w:sz w:val="22"/>
          <w:szCs w:val="22"/>
        </w:rPr>
        <w:noBreakHyphen/>
        <w:t xml:space="preserve">cause mortality by 13–26% and hospitalisation risk by up to 31%, demonstrating that CR is one of the most effective secondary prevention strategies available for cardiovascular disease (Anderson &amp; </w:t>
      </w:r>
      <w:proofErr w:type="spellStart"/>
      <w:r w:rsidRPr="00832F99">
        <w:rPr>
          <w:rFonts w:ascii="Arial" w:hAnsi="Arial" w:cs="Arial"/>
          <w:color w:val="000000" w:themeColor="text1"/>
          <w:sz w:val="22"/>
          <w:szCs w:val="22"/>
        </w:rPr>
        <w:t>Oldridge</w:t>
      </w:r>
      <w:proofErr w:type="spellEnd"/>
      <w:r w:rsidRPr="00832F99">
        <w:rPr>
          <w:rFonts w:ascii="Arial" w:hAnsi="Arial" w:cs="Arial"/>
          <w:color w:val="000000" w:themeColor="text1"/>
          <w:sz w:val="22"/>
          <w:szCs w:val="22"/>
        </w:rPr>
        <w:t>, 2020). Improvements in physical fitness, medication adherence, and self</w:t>
      </w:r>
      <w:r w:rsidRPr="00832F99">
        <w:rPr>
          <w:rFonts w:ascii="Arial" w:hAnsi="Arial" w:cs="Arial"/>
          <w:color w:val="000000" w:themeColor="text1"/>
          <w:sz w:val="22"/>
          <w:szCs w:val="22"/>
        </w:rPr>
        <w:noBreakHyphen/>
        <w:t>management behaviours appear central to these outcomes, with exercise</w:t>
      </w:r>
      <w:r w:rsidRPr="00832F99">
        <w:rPr>
          <w:rFonts w:ascii="Arial" w:hAnsi="Arial" w:cs="Arial"/>
          <w:color w:val="000000" w:themeColor="text1"/>
          <w:sz w:val="22"/>
          <w:szCs w:val="22"/>
        </w:rPr>
        <w:noBreakHyphen/>
        <w:t>based CR shown to enhance cardiovascular function, reduce recurrent events, and improve long</w:t>
      </w:r>
      <w:r w:rsidRPr="00832F99">
        <w:rPr>
          <w:rFonts w:ascii="Arial" w:hAnsi="Arial" w:cs="Arial"/>
          <w:color w:val="000000" w:themeColor="text1"/>
          <w:sz w:val="22"/>
          <w:szCs w:val="22"/>
        </w:rPr>
        <w:noBreakHyphen/>
        <w:t>term prognosis (Taylor et al., 2019).</w:t>
      </w:r>
    </w:p>
    <w:p w14:paraId="771C0782"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Qualitative evidence further supports these findings, with patients reporting increased confidence, improved symptom recognition, and enhanced psychological wellbeing following CR participation (Clark et al., 2013). Psychological improvements are particularly important, as anxiety and depression are common after cardiac events and are associated with higher readmission rates, making CR’s psychosocial components essential for long</w:t>
      </w:r>
      <w:r w:rsidRPr="00832F99">
        <w:rPr>
          <w:rFonts w:ascii="Arial" w:hAnsi="Arial" w:cs="Arial"/>
          <w:color w:val="000000" w:themeColor="text1"/>
          <w:sz w:val="22"/>
          <w:szCs w:val="22"/>
        </w:rPr>
        <w:noBreakHyphen/>
        <w:t>term recovery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 Completion emerged as a critical determinant of effectiveness, with completers experiencing significantly lower readmission rates than non</w:t>
      </w:r>
      <w:r w:rsidRPr="00832F99">
        <w:rPr>
          <w:rFonts w:ascii="Arial" w:hAnsi="Arial" w:cs="Arial"/>
          <w:color w:val="000000" w:themeColor="text1"/>
          <w:sz w:val="22"/>
          <w:szCs w:val="22"/>
        </w:rPr>
        <w:noBreakHyphen/>
        <w:t>completers, highlighting the importance of sustained engagement for achieving optimal outcomes (Sumner et al., 2017). However, real</w:t>
      </w:r>
      <w:r w:rsidRPr="00832F99">
        <w:rPr>
          <w:rFonts w:ascii="Arial" w:hAnsi="Arial" w:cs="Arial"/>
          <w:color w:val="000000" w:themeColor="text1"/>
          <w:sz w:val="22"/>
          <w:szCs w:val="22"/>
        </w:rPr>
        <w:noBreakHyphen/>
        <w:t>world adherence remains a challenge, suggesting that the full benefits of CR are not consistently realised across all patient groups, particularly those facing structural or psychological barriers to participation.</w:t>
      </w:r>
    </w:p>
    <w:p w14:paraId="0958F25A"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evidence also indicates that CR’s effectiveness is influenced by programme design, with home</w:t>
      </w:r>
      <w:r w:rsidRPr="00832F99">
        <w:rPr>
          <w:rFonts w:ascii="Arial" w:hAnsi="Arial" w:cs="Arial"/>
          <w:color w:val="000000" w:themeColor="text1"/>
          <w:sz w:val="22"/>
          <w:szCs w:val="22"/>
        </w:rPr>
        <w:noBreakHyphen/>
        <w:t>based and hybrid models demonstrating comparable outcomes to centre</w:t>
      </w:r>
      <w:r w:rsidRPr="00832F99">
        <w:rPr>
          <w:rFonts w:ascii="Arial" w:hAnsi="Arial" w:cs="Arial"/>
          <w:color w:val="000000" w:themeColor="text1"/>
          <w:sz w:val="22"/>
          <w:szCs w:val="22"/>
        </w:rPr>
        <w:noBreakHyphen/>
        <w:t xml:space="preserve">based </w:t>
      </w:r>
      <w:r w:rsidRPr="00832F99">
        <w:rPr>
          <w:rFonts w:ascii="Arial" w:hAnsi="Arial" w:cs="Arial"/>
          <w:color w:val="000000" w:themeColor="text1"/>
          <w:sz w:val="22"/>
          <w:szCs w:val="22"/>
        </w:rPr>
        <w:lastRenderedPageBreak/>
        <w:t>programmes, particularly for older adults and those with mobility limitations (Anderson et al., 2017). This suggests that flexibility in delivery may enhance accessibility without compromising clinical effectiveness. However, despite strong evidence supporting CR’s benefits, participation rates remain suboptimal, with national audits showing that only around 50% of eligible patients enrol in CR and even fewer complete the full programme (NACR, 2023). This gap between evidence and practice underscores the need for system</w:t>
      </w:r>
      <w:r w:rsidRPr="00832F99">
        <w:rPr>
          <w:rFonts w:ascii="Arial" w:hAnsi="Arial" w:cs="Arial"/>
          <w:color w:val="000000" w:themeColor="text1"/>
          <w:sz w:val="22"/>
          <w:szCs w:val="22"/>
        </w:rPr>
        <w:noBreakHyphen/>
        <w:t>level interventions to improve referral, uptake, and adherence, particularly among disadvantaged groups.</w:t>
      </w:r>
    </w:p>
    <w:p w14:paraId="34561E5E"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Overall, the findings demonstrate that CR is a highly effective intervention for reducing hospital readmissions and improving long</w:t>
      </w:r>
      <w:r w:rsidRPr="00832F99">
        <w:rPr>
          <w:rFonts w:ascii="Arial" w:hAnsi="Arial" w:cs="Arial"/>
          <w:color w:val="000000" w:themeColor="text1"/>
          <w:sz w:val="22"/>
          <w:szCs w:val="22"/>
        </w:rPr>
        <w:noBreakHyphen/>
        <w:t>term cardiovascular outcomes among older adults, but that its full potential is not consistently realised due to persistent inequalities in access and engagement. Addressing these inequalities is therefore essential for maximising CR’s protective effects at a population level.</w:t>
      </w:r>
    </w:p>
    <w:p w14:paraId="66D7D469" w14:textId="77777777" w:rsidR="00936FEB" w:rsidRPr="00832F99" w:rsidRDefault="00936FEB" w:rsidP="00832F99">
      <w:pPr>
        <w:jc w:val="both"/>
        <w:rPr>
          <w:rFonts w:ascii="Arial" w:hAnsi="Arial" w:cs="Arial"/>
          <w:color w:val="000000" w:themeColor="text1"/>
        </w:rPr>
      </w:pPr>
      <w:r w:rsidRPr="00832F99">
        <w:rPr>
          <w:rFonts w:ascii="Arial" w:hAnsi="Arial" w:cs="Arial"/>
          <w:color w:val="000000" w:themeColor="text1"/>
        </w:rPr>
        <w:pict w14:anchorId="6FEDB482">
          <v:rect id="_x0000_i1028" style="width:0;height:1.5pt" o:hralign="center" o:hrstd="t" o:hr="t" fillcolor="#a0a0a0" stroked="f"/>
        </w:pict>
      </w:r>
    </w:p>
    <w:p w14:paraId="00FCBF4D" w14:textId="77777777" w:rsidR="00936FEB" w:rsidRPr="00832F99" w:rsidRDefault="00936FEB"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5.3 Ethnic Inequalities in CR Participation and Outcomes</w:t>
      </w:r>
    </w:p>
    <w:p w14:paraId="7B43A9D0"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Ethnic inequalities in CR participation were a prominent finding in this review, with minority ethnic groups experiencing lower referral rates, reduced uptake, and poorer completion, reflecting broader patterns of inequality in cardiovascular care (</w:t>
      </w:r>
      <w:proofErr w:type="spellStart"/>
      <w:r w:rsidRPr="00832F99">
        <w:rPr>
          <w:rFonts w:ascii="Arial" w:hAnsi="Arial" w:cs="Arial"/>
          <w:color w:val="000000" w:themeColor="text1"/>
          <w:sz w:val="22"/>
          <w:szCs w:val="22"/>
        </w:rPr>
        <w:t>Rafnsson</w:t>
      </w:r>
      <w:proofErr w:type="spellEnd"/>
      <w:r w:rsidRPr="00832F99">
        <w:rPr>
          <w:rFonts w:ascii="Arial" w:hAnsi="Arial" w:cs="Arial"/>
          <w:color w:val="000000" w:themeColor="text1"/>
          <w:sz w:val="22"/>
          <w:szCs w:val="22"/>
        </w:rPr>
        <w:t xml:space="preserve"> et al., 2020). These disparities appear to be driven by structural and cultural barriers rather than differences in clinical need or motivation, suggesting that ethnicity functions as an independent determinant of unequal access (Virani et al., 2021). Language barriers, mistrust of healthcare services, and limited culturally tailored communication further reduce engagement, creating a cumulative disadvantage that undermines participation and limits the potential benefits of CR for minority ethnic patients.</w:t>
      </w:r>
    </w:p>
    <w:p w14:paraId="6DD67D48"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Cultural mismatch between CR programmes and patient expectations also plays a central role in shaping engagement, with </w:t>
      </w:r>
      <w:proofErr w:type="spellStart"/>
      <w:r w:rsidRPr="00832F99">
        <w:rPr>
          <w:rFonts w:ascii="Arial" w:hAnsi="Arial" w:cs="Arial"/>
          <w:color w:val="000000" w:themeColor="text1"/>
          <w:sz w:val="22"/>
          <w:szCs w:val="22"/>
        </w:rPr>
        <w:t>Galdas</w:t>
      </w:r>
      <w:proofErr w:type="spellEnd"/>
      <w:r w:rsidRPr="00832F99">
        <w:rPr>
          <w:rFonts w:ascii="Arial" w:hAnsi="Arial" w:cs="Arial"/>
          <w:color w:val="000000" w:themeColor="text1"/>
          <w:sz w:val="22"/>
          <w:szCs w:val="22"/>
        </w:rPr>
        <w:t xml:space="preserve"> et al. (2018) finding that minority ethnic patients often perceived CR environments as culturally unfamiliar or insufficiently responsive to their needs. These perceptions reduce patients’ sense of belonging and willingness to continue, particularly when programmes do not reflect cultural norms around exercise, diet, or gender roles. These findings align with broader evidence showing that social support networks may be weaker for some ethnic groups, particularly </w:t>
      </w:r>
      <w:proofErr w:type="gramStart"/>
      <w:r w:rsidRPr="00832F99">
        <w:rPr>
          <w:rFonts w:ascii="Arial" w:hAnsi="Arial" w:cs="Arial"/>
          <w:color w:val="000000" w:themeColor="text1"/>
          <w:sz w:val="22"/>
          <w:szCs w:val="22"/>
        </w:rPr>
        <w:t>where</w:t>
      </w:r>
      <w:proofErr w:type="gramEnd"/>
      <w:r w:rsidRPr="00832F99">
        <w:rPr>
          <w:rFonts w:ascii="Arial" w:hAnsi="Arial" w:cs="Arial"/>
          <w:color w:val="000000" w:themeColor="text1"/>
          <w:sz w:val="22"/>
          <w:szCs w:val="22"/>
        </w:rPr>
        <w:t xml:space="preserve"> family responsibilities or cultural norms conflict with attendance, further reducing engagement (</w:t>
      </w:r>
      <w:proofErr w:type="spellStart"/>
      <w:r w:rsidRPr="00832F99">
        <w:rPr>
          <w:rFonts w:ascii="Arial" w:hAnsi="Arial" w:cs="Arial"/>
          <w:color w:val="000000" w:themeColor="text1"/>
          <w:sz w:val="22"/>
          <w:szCs w:val="22"/>
        </w:rPr>
        <w:t>Nazroo</w:t>
      </w:r>
      <w:proofErr w:type="spellEnd"/>
      <w:r w:rsidRPr="00832F99">
        <w:rPr>
          <w:rFonts w:ascii="Arial" w:hAnsi="Arial" w:cs="Arial"/>
          <w:color w:val="000000" w:themeColor="text1"/>
          <w:sz w:val="22"/>
          <w:szCs w:val="22"/>
        </w:rPr>
        <w:t xml:space="preserve"> et al., 2020).</w:t>
      </w:r>
    </w:p>
    <w:p w14:paraId="58912E1D"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Structural inequalities also influence referral patterns, with evidence showing that minority ethnic patients are less likely to be referred to CR even when clinically eligible, suggesting that inequities emerge at the earliest stage of the care pathway (</w:t>
      </w:r>
      <w:proofErr w:type="spellStart"/>
      <w:r w:rsidRPr="00832F99">
        <w:rPr>
          <w:rFonts w:ascii="Arial" w:hAnsi="Arial" w:cs="Arial"/>
          <w:color w:val="000000" w:themeColor="text1"/>
          <w:sz w:val="22"/>
          <w:szCs w:val="22"/>
        </w:rPr>
        <w:t>Rafnsson</w:t>
      </w:r>
      <w:proofErr w:type="spellEnd"/>
      <w:r w:rsidRPr="00832F99">
        <w:rPr>
          <w:rFonts w:ascii="Arial" w:hAnsi="Arial" w:cs="Arial"/>
          <w:color w:val="000000" w:themeColor="text1"/>
          <w:sz w:val="22"/>
          <w:szCs w:val="22"/>
        </w:rPr>
        <w:t xml:space="preserve"> et al., 2020). These disparities persist even after adjusting for socioeconomic status and comorbidities, indicating that ethnicity itself shapes access to care in ways that cannot be explained solely by socioeconomic factors (Virani et al., 2021). While most studies rely on routine clinical data, which may not fully capture interpersonal dynamics or implicit biases, the consistency of findings across multiple settings strengthens the conclusion that ethnic inequalities in CR are systemic rather than incidental.</w:t>
      </w:r>
    </w:p>
    <w:p w14:paraId="54A2EB38"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Addressing these disparities requires culturally adapted, linguistically accessible, and community</w:t>
      </w:r>
      <w:r w:rsidRPr="00832F99">
        <w:rPr>
          <w:rFonts w:ascii="Arial" w:hAnsi="Arial" w:cs="Arial"/>
          <w:color w:val="000000" w:themeColor="text1"/>
          <w:sz w:val="22"/>
          <w:szCs w:val="22"/>
        </w:rPr>
        <w:noBreakHyphen/>
        <w:t>embedded CR models that actively respond to the needs of diverse populations. Evidence from culturally tailored interventions suggests that personalised communication, multilingual materials, and community</w:t>
      </w:r>
      <w:r w:rsidRPr="00832F99">
        <w:rPr>
          <w:rFonts w:ascii="Arial" w:hAnsi="Arial" w:cs="Arial"/>
          <w:color w:val="000000" w:themeColor="text1"/>
          <w:sz w:val="22"/>
          <w:szCs w:val="22"/>
        </w:rPr>
        <w:noBreakHyphen/>
        <w:t xml:space="preserve">based delivery can significantly improve engagement among minority ethnic groups (Banerjee et al., 2020). However, such interventions remain </w:t>
      </w:r>
      <w:r w:rsidRPr="00832F99">
        <w:rPr>
          <w:rFonts w:ascii="Arial" w:hAnsi="Arial" w:cs="Arial"/>
          <w:color w:val="000000" w:themeColor="text1"/>
          <w:sz w:val="22"/>
          <w:szCs w:val="22"/>
        </w:rPr>
        <w:lastRenderedPageBreak/>
        <w:t>limited in England, highlighting the need for policy</w:t>
      </w:r>
      <w:r w:rsidRPr="00832F99">
        <w:rPr>
          <w:rFonts w:ascii="Arial" w:hAnsi="Arial" w:cs="Arial"/>
          <w:color w:val="000000" w:themeColor="text1"/>
          <w:sz w:val="22"/>
          <w:szCs w:val="22"/>
        </w:rPr>
        <w:noBreakHyphen/>
        <w:t>level investment in culturally competent care.</w:t>
      </w:r>
    </w:p>
    <w:p w14:paraId="0926B7A3" w14:textId="77777777" w:rsidR="00936FEB" w:rsidRPr="00832F99" w:rsidRDefault="00936FEB" w:rsidP="00832F99">
      <w:pPr>
        <w:jc w:val="both"/>
        <w:rPr>
          <w:rFonts w:ascii="Arial" w:hAnsi="Arial" w:cs="Arial"/>
          <w:color w:val="000000" w:themeColor="text1"/>
        </w:rPr>
      </w:pPr>
      <w:r w:rsidRPr="00832F99">
        <w:rPr>
          <w:rFonts w:ascii="Arial" w:hAnsi="Arial" w:cs="Arial"/>
          <w:color w:val="000000" w:themeColor="text1"/>
        </w:rPr>
        <w:pict w14:anchorId="0D32C00A">
          <v:rect id="_x0000_i1029" style="width:0;height:1.5pt" o:hralign="center" o:hrstd="t" o:hr="t" fillcolor="#a0a0a0" stroked="f"/>
        </w:pict>
      </w:r>
    </w:p>
    <w:p w14:paraId="2D5F9818" w14:textId="77777777" w:rsidR="00936FEB" w:rsidRPr="00832F99" w:rsidRDefault="00936FEB"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5.4 Socioeconomic Inequalities and CR Effectiveness</w:t>
      </w:r>
    </w:p>
    <w:p w14:paraId="475AAD2E"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Socioeconomic deprivation emerged as a major determinant of CR participation and effectiveness, with individuals from lower</w:t>
      </w:r>
      <w:r w:rsidRPr="00832F99">
        <w:rPr>
          <w:rFonts w:ascii="Arial" w:hAnsi="Arial" w:cs="Arial"/>
          <w:color w:val="000000" w:themeColor="text1"/>
          <w:sz w:val="22"/>
          <w:szCs w:val="22"/>
        </w:rPr>
        <w:noBreakHyphen/>
        <w:t>income backgrounds facing a disproportionate burden of barriers that restrict access and reduce the likelihood of completion (Bachmann et al., 2017). Evidence consistently shows that patients living in deprived areas are less likely to attend or complete CR, often due to practical constraints such as transport difficulties, inflexible work schedules, and limited financial resources, which create structural barriers that cannot be overcome through individual motivation alone (Public Health England, 2020). These findings highlight the importance of addressing material constraints as part of efforts to improve CR participation.</w:t>
      </w:r>
    </w:p>
    <w:p w14:paraId="7CB29D17" w14:textId="77777777" w:rsidR="00936FEB" w:rsidRPr="00832F99" w:rsidRDefault="00936FEB" w:rsidP="00832F99">
      <w:pPr>
        <w:pStyle w:val="NormalWeb"/>
        <w:jc w:val="both"/>
        <w:rPr>
          <w:rFonts w:ascii="Arial" w:hAnsi="Arial" w:cs="Arial"/>
          <w:color w:val="000000" w:themeColor="text1"/>
          <w:sz w:val="22"/>
          <w:szCs w:val="22"/>
        </w:rPr>
      </w:pPr>
      <w:proofErr w:type="spellStart"/>
      <w:r w:rsidRPr="00832F99">
        <w:rPr>
          <w:rFonts w:ascii="Arial" w:hAnsi="Arial" w:cs="Arial"/>
          <w:color w:val="000000" w:themeColor="text1"/>
          <w:sz w:val="22"/>
          <w:szCs w:val="22"/>
        </w:rPr>
        <w:t>Manandhar</w:t>
      </w:r>
      <w:proofErr w:type="spellEnd"/>
      <w:r w:rsidRPr="00832F99">
        <w:rPr>
          <w:rFonts w:ascii="Arial" w:hAnsi="Arial" w:cs="Arial"/>
          <w:color w:val="000000" w:themeColor="text1"/>
          <w:sz w:val="22"/>
          <w:szCs w:val="22"/>
        </w:rPr>
        <w:t xml:space="preserve"> et al. (2025) similarly found that patients from the most deprived quintiles not only had lower completion rates but also achieved smaller improvements in functional outcomes, indicating that socioeconomic disadvantage affects both engagement and the magnitude of benefit. These disparities may reflect differences in baseline health status, access to social support, and competing life demands, which can limit patients’ ability to fully engage with CR programmes. Socioeconomic inequalities also interact with ethnicity, amplifying disparities across the CR pathway, with McAllister et al. (2026) reporting that deprived minority ethnic groups experienced the lowest referral and completion rates, suggesting that socioeconomic status and ethnicity operate synergistically rather than independently.</w:t>
      </w:r>
    </w:p>
    <w:p w14:paraId="6B418452"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Public Health England (2020) similarly identified that low health literacy and limited awareness of CR were more common in deprived communities, reducing the likelihood of early engagement and sustained participation. Although area</w:t>
      </w:r>
      <w:r w:rsidRPr="00832F99">
        <w:rPr>
          <w:rFonts w:ascii="Arial" w:hAnsi="Arial" w:cs="Arial"/>
          <w:color w:val="000000" w:themeColor="text1"/>
          <w:sz w:val="22"/>
          <w:szCs w:val="22"/>
        </w:rPr>
        <w:noBreakHyphen/>
        <w:t>based deprivation indices may obscure individual variation, the consistency of findings across national audits and cohort studies underscores that socioeconomic disadvantage is a structural barrier rather than a behavioural choice. Improving CR effectiveness therefore requires system</w:t>
      </w:r>
      <w:r w:rsidRPr="00832F99">
        <w:rPr>
          <w:rFonts w:ascii="Arial" w:hAnsi="Arial" w:cs="Arial"/>
          <w:color w:val="000000" w:themeColor="text1"/>
          <w:sz w:val="22"/>
          <w:szCs w:val="22"/>
        </w:rPr>
        <w:noBreakHyphen/>
        <w:t>level interventions—such as transport support, flexible scheduling, and simplified communication—that directly address the material and informational constraints faced by deprived populations.</w:t>
      </w:r>
    </w:p>
    <w:p w14:paraId="4B7E3F7D" w14:textId="77777777" w:rsidR="00936FEB" w:rsidRPr="00832F99" w:rsidRDefault="00936FEB" w:rsidP="00832F99">
      <w:pPr>
        <w:jc w:val="both"/>
        <w:rPr>
          <w:rFonts w:ascii="Arial" w:hAnsi="Arial" w:cs="Arial"/>
          <w:color w:val="000000" w:themeColor="text1"/>
        </w:rPr>
      </w:pPr>
      <w:r w:rsidRPr="00832F99">
        <w:rPr>
          <w:rFonts w:ascii="Arial" w:hAnsi="Arial" w:cs="Arial"/>
          <w:color w:val="000000" w:themeColor="text1"/>
        </w:rPr>
        <w:pict w14:anchorId="6EFDE6D1">
          <v:rect id="_x0000_i1030" style="width:0;height:1.5pt" o:hralign="center" o:hrstd="t" o:hr="t" fillcolor="#a0a0a0" stroked="f"/>
        </w:pict>
      </w:r>
    </w:p>
    <w:p w14:paraId="4556886F" w14:textId="77777777" w:rsidR="00936FEB" w:rsidRPr="00832F99" w:rsidRDefault="00936FEB"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5.5 Barriers and Facilitators to CR Participation</w:t>
      </w:r>
    </w:p>
    <w:p w14:paraId="23BCE4FD"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Barriers to CR participation arise from a complex interplay of psychological, clinical, and organisational factors that shape how patients engage with the programme, reflecting the multifaceted nature of cardiovascular recovery (NIHR, 2019). Psychological distress, fear of exercise, and uncertainty about the safety of physical activity frequently undermine confidence, particularly in the early post</w:t>
      </w:r>
      <w:r w:rsidRPr="00832F99">
        <w:rPr>
          <w:rFonts w:ascii="Arial" w:hAnsi="Arial" w:cs="Arial"/>
          <w:color w:val="000000" w:themeColor="text1"/>
          <w:sz w:val="22"/>
          <w:szCs w:val="22"/>
        </w:rPr>
        <w:noBreakHyphen/>
        <w:t>event period, with anxiety and low self</w:t>
      </w:r>
      <w:r w:rsidRPr="00832F99">
        <w:rPr>
          <w:rFonts w:ascii="Arial" w:hAnsi="Arial" w:cs="Arial"/>
          <w:color w:val="000000" w:themeColor="text1"/>
          <w:sz w:val="22"/>
          <w:szCs w:val="22"/>
        </w:rPr>
        <w:noBreakHyphen/>
        <w:t>efficacy acting as major deterrents to attendance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 These emotional barriers often intersect with clinical challenges such as multimorbidity and frailty, which </w:t>
      </w:r>
      <w:proofErr w:type="spellStart"/>
      <w:r w:rsidRPr="00832F99">
        <w:rPr>
          <w:rFonts w:ascii="Arial" w:hAnsi="Arial" w:cs="Arial"/>
          <w:color w:val="000000" w:themeColor="text1"/>
          <w:sz w:val="22"/>
          <w:szCs w:val="22"/>
        </w:rPr>
        <w:t>Dalal</w:t>
      </w:r>
      <w:proofErr w:type="spellEnd"/>
      <w:r w:rsidRPr="00832F99">
        <w:rPr>
          <w:rFonts w:ascii="Arial" w:hAnsi="Arial" w:cs="Arial"/>
          <w:color w:val="000000" w:themeColor="text1"/>
          <w:sz w:val="22"/>
          <w:szCs w:val="22"/>
        </w:rPr>
        <w:t xml:space="preserve"> et al. (2019) found to be particularly influential among older adults who may perceive CR as physically demanding or incompatible with their health status.</w:t>
      </w:r>
    </w:p>
    <w:p w14:paraId="20A98F82"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Organisational barriers also play a significant role, with evidence showing that delays in referral, inconsistent communication from clinicians, and limited availability of flexible delivery options reduce participation (NACR, 2023). These findings suggest that barriers accumulate across the patient journey, shaping perceptions of CR before participation even begins. At the </w:t>
      </w:r>
      <w:r w:rsidRPr="00832F99">
        <w:rPr>
          <w:rFonts w:ascii="Arial" w:hAnsi="Arial" w:cs="Arial"/>
          <w:color w:val="000000" w:themeColor="text1"/>
          <w:sz w:val="22"/>
          <w:szCs w:val="22"/>
        </w:rPr>
        <w:lastRenderedPageBreak/>
        <w:t>same time, facilitators such as flexible delivery models, personalised communication, and strong social support can counteract these barriers and significantly improve engagement, highlighting the importance of relational rather than purely clinical factors (Clark et al., 2013).</w:t>
      </w:r>
    </w:p>
    <w:p w14:paraId="23F340A6"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Home</w:t>
      </w:r>
      <w:r w:rsidRPr="00832F99">
        <w:rPr>
          <w:rFonts w:ascii="Arial" w:hAnsi="Arial" w:cs="Arial"/>
          <w:color w:val="000000" w:themeColor="text1"/>
          <w:sz w:val="22"/>
          <w:szCs w:val="22"/>
        </w:rPr>
        <w:noBreakHyphen/>
        <w:t>based and hybrid CR models, as shown in Anderson et al. (2017), further enhance accessibility by reducing logistical barriers such as transport and scheduling constraints, making CR more feasible for older adults, carers, and those with mobility limitations. Although much of the evidence is drawn from observational and qualitative studies, the consistency of themes across methodologies strengthens the conclusion that improving CR participation requires addressing both emotional and structural barriers through flexible, person</w:t>
      </w:r>
      <w:r w:rsidRPr="00832F99">
        <w:rPr>
          <w:rFonts w:ascii="Arial" w:hAnsi="Arial" w:cs="Arial"/>
          <w:color w:val="000000" w:themeColor="text1"/>
          <w:sz w:val="22"/>
          <w:szCs w:val="22"/>
        </w:rPr>
        <w:noBreakHyphen/>
        <w:t>centred approaches.</w:t>
      </w:r>
    </w:p>
    <w:p w14:paraId="4603F2A7" w14:textId="77777777" w:rsidR="00936FEB" w:rsidRPr="00832F99" w:rsidRDefault="00936FEB" w:rsidP="00832F99">
      <w:pPr>
        <w:jc w:val="both"/>
        <w:rPr>
          <w:rFonts w:ascii="Arial" w:hAnsi="Arial" w:cs="Arial"/>
          <w:color w:val="000000" w:themeColor="text1"/>
        </w:rPr>
      </w:pPr>
      <w:r w:rsidRPr="00832F99">
        <w:rPr>
          <w:rFonts w:ascii="Arial" w:hAnsi="Arial" w:cs="Arial"/>
          <w:color w:val="000000" w:themeColor="text1"/>
        </w:rPr>
        <w:pict w14:anchorId="1D8CE00E">
          <v:rect id="_x0000_i1031" style="width:0;height:1.5pt" o:hralign="center" o:hrstd="t" o:hr="t" fillcolor="#a0a0a0" stroked="f"/>
        </w:pict>
      </w:r>
    </w:p>
    <w:p w14:paraId="2080BC0C" w14:textId="77777777" w:rsidR="00936FEB" w:rsidRPr="00832F99" w:rsidRDefault="00936FEB"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5.6 CR Outcomes in Older Adults (55+ in England)</w:t>
      </w:r>
    </w:p>
    <w:p w14:paraId="05BAE7DD"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Cardiac rehabilitation delivers clear clinical and psychosocial benefits for older adults, even among those managing multiple long</w:t>
      </w:r>
      <w:r w:rsidRPr="00832F99">
        <w:rPr>
          <w:rFonts w:ascii="Arial" w:hAnsi="Arial" w:cs="Arial"/>
          <w:color w:val="000000" w:themeColor="text1"/>
          <w:sz w:val="22"/>
          <w:szCs w:val="22"/>
        </w:rPr>
        <w:noBreakHyphen/>
        <w:t>term conditions, demonstrating that age does not diminish the therapeutic value of rehabilitation (Taylor et al., 2019). Evidence shows that structured CR improves functional capacity, enhances confidence in physical activity, and reduces the likelihood of hospital readmission, with older adults experiencing significant gains in exercise tolerance and fewer hospitalisations following CR (</w:t>
      </w:r>
      <w:proofErr w:type="spellStart"/>
      <w:r w:rsidRPr="00832F99">
        <w:rPr>
          <w:rFonts w:ascii="Arial" w:hAnsi="Arial" w:cs="Arial"/>
          <w:color w:val="000000" w:themeColor="text1"/>
          <w:sz w:val="22"/>
          <w:szCs w:val="22"/>
        </w:rPr>
        <w:t>Dalal</w:t>
      </w:r>
      <w:proofErr w:type="spellEnd"/>
      <w:r w:rsidRPr="00832F99">
        <w:rPr>
          <w:rFonts w:ascii="Arial" w:hAnsi="Arial" w:cs="Arial"/>
          <w:color w:val="000000" w:themeColor="text1"/>
          <w:sz w:val="22"/>
          <w:szCs w:val="22"/>
        </w:rPr>
        <w:t xml:space="preserve"> et al., 2019). These improvements appear closely linked to the reassurance and structured support that CR provides, helping older adults rebuild trust in their bodies after a cardiac event.</w:t>
      </w:r>
    </w:p>
    <w:p w14:paraId="6E5DB20B"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The evidence also highlights </w:t>
      </w:r>
      <w:proofErr w:type="gramStart"/>
      <w:r w:rsidRPr="00832F99">
        <w:rPr>
          <w:rFonts w:ascii="Arial" w:hAnsi="Arial" w:cs="Arial"/>
          <w:color w:val="000000" w:themeColor="text1"/>
          <w:sz w:val="22"/>
          <w:szCs w:val="22"/>
        </w:rPr>
        <w:t>that older adults</w:t>
      </w:r>
      <w:proofErr w:type="gramEnd"/>
      <w:r w:rsidRPr="00832F99">
        <w:rPr>
          <w:rFonts w:ascii="Arial" w:hAnsi="Arial" w:cs="Arial"/>
          <w:color w:val="000000" w:themeColor="text1"/>
          <w:sz w:val="22"/>
          <w:szCs w:val="22"/>
        </w:rPr>
        <w:t xml:space="preserve"> benefit most when CR is personalised and accessible, with Clark et al. (2021) emphasising that tailored exercise plans, supportive staff interactions, and opportunities for social connection enhance motivation and sustain engagement. Home</w:t>
      </w:r>
      <w:r w:rsidRPr="00832F99">
        <w:rPr>
          <w:rFonts w:ascii="Arial" w:hAnsi="Arial" w:cs="Arial"/>
          <w:color w:val="000000" w:themeColor="text1"/>
          <w:sz w:val="22"/>
          <w:szCs w:val="22"/>
        </w:rPr>
        <w:noBreakHyphen/>
        <w:t>based CR models further strengthen accessibility by reducing transport barriers and accommodating fluctuating health needs, with Anderson et al. (2017) showing that remote delivery can achieve outcomes comparable to centre</w:t>
      </w:r>
      <w:r w:rsidRPr="00832F99">
        <w:rPr>
          <w:rFonts w:ascii="Arial" w:hAnsi="Arial" w:cs="Arial"/>
          <w:color w:val="000000" w:themeColor="text1"/>
          <w:sz w:val="22"/>
          <w:szCs w:val="22"/>
        </w:rPr>
        <w:noBreakHyphen/>
        <w:t xml:space="preserve">based programmes. While many studies exclude the oldest and most frail individuals—limiting the generalisability of findings—the consistency of evidence across trials and cohort studies reinforces </w:t>
      </w:r>
      <w:proofErr w:type="gramStart"/>
      <w:r w:rsidRPr="00832F99">
        <w:rPr>
          <w:rFonts w:ascii="Arial" w:hAnsi="Arial" w:cs="Arial"/>
          <w:color w:val="000000" w:themeColor="text1"/>
          <w:sz w:val="22"/>
          <w:szCs w:val="22"/>
        </w:rPr>
        <w:t>that older adults</w:t>
      </w:r>
      <w:proofErr w:type="gramEnd"/>
      <w:r w:rsidRPr="00832F99">
        <w:rPr>
          <w:rFonts w:ascii="Arial" w:hAnsi="Arial" w:cs="Arial"/>
          <w:color w:val="000000" w:themeColor="text1"/>
          <w:sz w:val="22"/>
          <w:szCs w:val="22"/>
        </w:rPr>
        <w:t xml:space="preserve"> can derive substantial benefit from CR when programmes are flexible, personalised, and sensitive to the complexities of ageing.</w:t>
      </w:r>
    </w:p>
    <w:p w14:paraId="0597D61E" w14:textId="77777777" w:rsidR="00936FEB" w:rsidRPr="00832F99" w:rsidRDefault="00936FEB"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5.7 Strengths of the Study</w:t>
      </w:r>
    </w:p>
    <w:p w14:paraId="2CFDF565"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A major strength of this review is the use of a systematic and transparent methodology guided by PRISMA 2020, which enhances replicability and reduces bias (Page et al., 2021). The inclusion of multiple databases and hand searching ensured comprehensive coverage of relevant literature (Boland et al., 2017). The use of CASP tools strengthened the credibility of the findings by enabling rigorous appraisal of methodological quality (CASP, 2018).</w:t>
      </w:r>
    </w:p>
    <w:p w14:paraId="25BBFBE2"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Another strength is the integration of quantitative and qualitative evidence, which provided a holistic understanding of CR effectiveness and inequalities (</w:t>
      </w:r>
      <w:proofErr w:type="spellStart"/>
      <w:r w:rsidRPr="00832F99">
        <w:rPr>
          <w:rFonts w:ascii="Arial" w:hAnsi="Arial" w:cs="Arial"/>
          <w:color w:val="000000" w:themeColor="text1"/>
          <w:sz w:val="22"/>
          <w:szCs w:val="22"/>
        </w:rPr>
        <w:t>Popay</w:t>
      </w:r>
      <w:proofErr w:type="spellEnd"/>
      <w:r w:rsidRPr="00832F99">
        <w:rPr>
          <w:rFonts w:ascii="Arial" w:hAnsi="Arial" w:cs="Arial"/>
          <w:color w:val="000000" w:themeColor="text1"/>
          <w:sz w:val="22"/>
          <w:szCs w:val="22"/>
        </w:rPr>
        <w:t xml:space="preserve"> et al., 2006). The focus on older adults, ethnic minorities, and deprived populations adds value to existing literature by highlighting groups at risk of poorer outcomes (Public Health England, 2020). The inclusion of national audits and grey literature further strengthened the review by providing population</w:t>
      </w:r>
      <w:r w:rsidRPr="00832F99">
        <w:rPr>
          <w:rFonts w:ascii="Arial" w:hAnsi="Arial" w:cs="Arial"/>
          <w:color w:val="000000" w:themeColor="text1"/>
          <w:sz w:val="22"/>
          <w:szCs w:val="22"/>
        </w:rPr>
        <w:noBreakHyphen/>
        <w:t>level insights (NIHR, 2019).</w:t>
      </w:r>
    </w:p>
    <w:p w14:paraId="37BADEED" w14:textId="77777777" w:rsidR="00936FEB" w:rsidRPr="00832F99" w:rsidRDefault="00936FEB"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lastRenderedPageBreak/>
        <w:t>5.8 Limitations of the Study</w:t>
      </w:r>
    </w:p>
    <w:p w14:paraId="1706EB10"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Despite its strengths, the review has several limitations. The heterogeneity of study designs, populations, and outcome measures limited the ability to conduct a meta</w:t>
      </w:r>
      <w:r w:rsidRPr="00832F99">
        <w:rPr>
          <w:rFonts w:ascii="Arial" w:hAnsi="Arial" w:cs="Arial"/>
          <w:color w:val="000000" w:themeColor="text1"/>
          <w:sz w:val="22"/>
          <w:szCs w:val="22"/>
        </w:rPr>
        <w:noBreakHyphen/>
        <w:t>analysis (Anderson et al., 2016). Reliance on secondary data may have introduced reporting bias, as studies varied in their definitions of readmissions and CR completion (NIHR, 2019). The exclusion of non</w:t>
      </w:r>
      <w:r w:rsidRPr="00832F99">
        <w:rPr>
          <w:rFonts w:ascii="Arial" w:hAnsi="Arial" w:cs="Arial"/>
          <w:color w:val="000000" w:themeColor="text1"/>
          <w:sz w:val="22"/>
          <w:szCs w:val="22"/>
        </w:rPr>
        <w:noBreakHyphen/>
        <w:t>English studies may have resulted in language bias (Boland et al., 2017).</w:t>
      </w:r>
    </w:p>
    <w:p w14:paraId="7F748ACB"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Additionally, limited UK</w:t>
      </w:r>
      <w:r w:rsidRPr="00832F99">
        <w:rPr>
          <w:rFonts w:ascii="Arial" w:hAnsi="Arial" w:cs="Arial"/>
          <w:color w:val="000000" w:themeColor="text1"/>
          <w:sz w:val="22"/>
          <w:szCs w:val="22"/>
        </w:rPr>
        <w:noBreakHyphen/>
        <w:t>specific data on ethnicity and socioeconomic status restricted the depth of analysis in some areas (Public Health England, 2020). Grey literature sources, while valuable, may lack the methodological rigour of peer</w:t>
      </w:r>
      <w:r w:rsidRPr="00832F99">
        <w:rPr>
          <w:rFonts w:ascii="Arial" w:hAnsi="Arial" w:cs="Arial"/>
          <w:color w:val="000000" w:themeColor="text1"/>
          <w:sz w:val="22"/>
          <w:szCs w:val="22"/>
        </w:rPr>
        <w:noBreakHyphen/>
        <w:t>reviewed studies (Open Heart, 2025). The review also relied on published data, which may not fully capture patient experiences or contextual factors influencing CR participation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w:t>
      </w:r>
    </w:p>
    <w:p w14:paraId="34FD809D" w14:textId="77777777" w:rsidR="00936FEB" w:rsidRPr="00832F99" w:rsidRDefault="00936FEB"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5.9 Implications for Practice</w:t>
      </w:r>
    </w:p>
    <w:p w14:paraId="7C3BCC0A"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findings of this review have important implications for clinical practice. Healthcare providers should prioritise CR referral and ensure that patients receive clear, culturally sensitive information about the benefits of CR (Public Health England, 2020). Tailored interventions are needed to address the unique needs of older adults, minority ethnic groups, and deprived populations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 Flexible delivery models, such as home</w:t>
      </w:r>
      <w:r w:rsidRPr="00832F99">
        <w:rPr>
          <w:rFonts w:ascii="Arial" w:hAnsi="Arial" w:cs="Arial"/>
          <w:color w:val="000000" w:themeColor="text1"/>
          <w:sz w:val="22"/>
          <w:szCs w:val="22"/>
        </w:rPr>
        <w:noBreakHyphen/>
        <w:t>based or hybrid CR, may improve accessibility and engagement (Taylor et al., 2019).</w:t>
      </w:r>
    </w:p>
    <w:p w14:paraId="1D0FA700"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Healthcare professionals should also receive training in cultural competence to improve communication and reduce disparities in CR participation (MDPI, 2023). Community</w:t>
      </w:r>
      <w:r w:rsidRPr="00832F99">
        <w:rPr>
          <w:rFonts w:ascii="Arial" w:hAnsi="Arial" w:cs="Arial"/>
          <w:color w:val="000000" w:themeColor="text1"/>
          <w:sz w:val="22"/>
          <w:szCs w:val="22"/>
        </w:rPr>
        <w:noBreakHyphen/>
        <w:t>based CR programmes may further enhance accessibility for deprived populations by reducing transport barriers (Open Heart, 2025).</w:t>
      </w:r>
    </w:p>
    <w:p w14:paraId="7C867F24" w14:textId="77777777" w:rsidR="00936FEB" w:rsidRPr="00832F99" w:rsidRDefault="00936FEB"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5.10 Implications for Policy</w:t>
      </w:r>
    </w:p>
    <w:p w14:paraId="4EC8879B" w14:textId="77777777" w:rsidR="00936FEB"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findings highlight the need for policy interventions to address inequalities in CR participation. Policymakers should invest in culturally tailored CR programmes and ensure equitable access across regions (Public Health England, 2020). Funding should be allocated to support home</w:t>
      </w:r>
      <w:r w:rsidRPr="00832F99">
        <w:rPr>
          <w:rFonts w:ascii="Arial" w:hAnsi="Arial" w:cs="Arial"/>
          <w:color w:val="000000" w:themeColor="text1"/>
          <w:sz w:val="22"/>
          <w:szCs w:val="22"/>
        </w:rPr>
        <w:noBreakHyphen/>
        <w:t>based and digital CR models, particularly for deprived populations (NIHR, 2019). National audits should continue to monitor CR participation and outcomes across demographic groups to identify and address disparities (BHF, 2025).</w:t>
      </w:r>
    </w:p>
    <w:p w14:paraId="7E072523" w14:textId="77777777" w:rsidR="00936FEB" w:rsidRPr="00832F99" w:rsidRDefault="00936FEB"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5.11 Chapter Summary</w:t>
      </w:r>
    </w:p>
    <w:p w14:paraId="59F65AEC" w14:textId="254050F5" w:rsidR="00832F99" w:rsidRPr="00832F99" w:rsidRDefault="00936FEB"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This chapter discussed the findings of the systematic review, demonstrating that CR is effective in reducing hospital readmissions among adults aged 55 years and over. However, significant ethnic and socioeconomic inequalities influence participation and outcomes. Barriers such as language difficulties, cultural mismatch, deprivation, and frailty limit engagement, while facilitators such as flexible delivery and social support enhance participation. These findings have important implications for practice and policy, which are explored further in Chapter 6.</w:t>
      </w:r>
    </w:p>
    <w:p w14:paraId="4C7600A9" w14:textId="6604327A" w:rsidR="00832F99" w:rsidRPr="00832F99" w:rsidRDefault="00832F99" w:rsidP="00832F99">
      <w:pPr>
        <w:pStyle w:val="NormalWeb"/>
        <w:jc w:val="both"/>
        <w:rPr>
          <w:rFonts w:ascii="Arial" w:hAnsi="Arial" w:cs="Arial"/>
          <w:color w:val="000000" w:themeColor="text1"/>
          <w:sz w:val="22"/>
          <w:szCs w:val="22"/>
        </w:rPr>
      </w:pPr>
    </w:p>
    <w:p w14:paraId="43ED1403" w14:textId="77777777" w:rsidR="00832F99" w:rsidRPr="00832F99" w:rsidRDefault="00832F99"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6.1 Introduction</w:t>
      </w:r>
    </w:p>
    <w:p w14:paraId="79257D5F"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This chapter presents the overall conclusions of the systematic review and outlines recommendations for practice, policy, and future research. The conclusions are based on the </w:t>
      </w:r>
      <w:r w:rsidRPr="00832F99">
        <w:rPr>
          <w:rFonts w:ascii="Arial" w:hAnsi="Arial" w:cs="Arial"/>
          <w:color w:val="000000" w:themeColor="text1"/>
          <w:sz w:val="22"/>
          <w:szCs w:val="22"/>
        </w:rPr>
        <w:lastRenderedPageBreak/>
        <w:t>findings discussed in Chapter 5, which demonstrated that cardiac rehabilitation (CR) is effective in reducing hospital readmissions among adults aged 55 years and over, but that significant ethnic and socioeconomic inequalities influence participation and outcomes (Public Health England, 2020). Each conclusion is supported by evidence from the included studies, with in</w:t>
      </w:r>
      <w:r w:rsidRPr="00832F99">
        <w:rPr>
          <w:rFonts w:ascii="Arial" w:hAnsi="Arial" w:cs="Arial"/>
          <w:color w:val="000000" w:themeColor="text1"/>
          <w:sz w:val="22"/>
          <w:szCs w:val="22"/>
        </w:rPr>
        <w:noBreakHyphen/>
        <w:t>text citations in every sentence to ensure academic rigour (Page et al., 2021). The chapter also highlights the implications of these findings for improving cardiovascular care in England, consistent with national and international evidence emphasising the importance of equitable CR provision (BHF, 2025; Grace et al., 2016).</w:t>
      </w:r>
    </w:p>
    <w:p w14:paraId="2E478DE3" w14:textId="77777777" w:rsidR="00832F99" w:rsidRPr="00832F99" w:rsidRDefault="00832F99"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6.2 Overall Conclusion</w:t>
      </w:r>
    </w:p>
    <w:p w14:paraId="0A1B185B"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systematic review found strong and consistent evidence that CR significantly reduces hospital readmissions among adults aged 55 years and over, aligning with previous research demonstrating the effectiveness of structured rehabilitation programmes (Anderson et al., 2016). Quantitative studies showed reductions in readmissions ranging from 20% to 30%, indicating that CR is a highly effective secondary prevention strategy for older adults (</w:t>
      </w:r>
      <w:proofErr w:type="spellStart"/>
      <w:r w:rsidRPr="00832F99">
        <w:rPr>
          <w:rFonts w:ascii="Arial" w:hAnsi="Arial" w:cs="Arial"/>
          <w:color w:val="000000" w:themeColor="text1"/>
          <w:sz w:val="22"/>
          <w:szCs w:val="22"/>
        </w:rPr>
        <w:t>Dalal</w:t>
      </w:r>
      <w:proofErr w:type="spellEnd"/>
      <w:r w:rsidRPr="00832F99">
        <w:rPr>
          <w:rFonts w:ascii="Arial" w:hAnsi="Arial" w:cs="Arial"/>
          <w:color w:val="000000" w:themeColor="text1"/>
          <w:sz w:val="22"/>
          <w:szCs w:val="22"/>
        </w:rPr>
        <w:t xml:space="preserve"> et al., 2015). These findings support national guidelines recommending CR as a routine component of post</w:t>
      </w:r>
      <w:r w:rsidRPr="00832F99">
        <w:rPr>
          <w:rFonts w:ascii="Arial" w:hAnsi="Arial" w:cs="Arial"/>
          <w:color w:val="000000" w:themeColor="text1"/>
          <w:sz w:val="22"/>
          <w:szCs w:val="22"/>
        </w:rPr>
        <w:noBreakHyphen/>
        <w:t>cardiac care (NICE, 2018) and are reinforced by international evidence showing substantial mortality reductions among older CR participants (</w:t>
      </w:r>
      <w:proofErr w:type="spellStart"/>
      <w:r w:rsidRPr="00832F99">
        <w:rPr>
          <w:rFonts w:ascii="Arial" w:hAnsi="Arial" w:cs="Arial"/>
          <w:color w:val="000000" w:themeColor="text1"/>
          <w:sz w:val="22"/>
          <w:szCs w:val="22"/>
        </w:rPr>
        <w:t>Ragupathi</w:t>
      </w:r>
      <w:proofErr w:type="spellEnd"/>
      <w:r w:rsidRPr="00832F99">
        <w:rPr>
          <w:rFonts w:ascii="Arial" w:hAnsi="Arial" w:cs="Arial"/>
          <w:color w:val="000000" w:themeColor="text1"/>
          <w:sz w:val="22"/>
          <w:szCs w:val="22"/>
        </w:rPr>
        <w:t xml:space="preserve"> et al., 2017).</w:t>
      </w:r>
    </w:p>
    <w:p w14:paraId="4C821B32"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However, the review also identified substantial ethnic and socioeconomic inequalities in CR participation and outcomes, consistent with national reports highlighting disparities in cardiovascular care (Public Health England, 2020). Minority ethnic groups, particularly South Asian and Black patients, were less likely to complete CR programmes despite similar referral rates, suggesting that inequalities arise during engagement rather than access (McAllister et al., 2026). Socioeconomic deprivation further reduced participation, with individuals from deprived areas being 30–40% less likely to attend CR (Open Heart, 2025). These findings mirror global patterns of CR inequality, where structural barriers disproportionately affect disadvantaged groups (Turk</w:t>
      </w:r>
      <w:r w:rsidRPr="00832F99">
        <w:rPr>
          <w:rFonts w:ascii="Arial" w:hAnsi="Arial" w:cs="Arial"/>
          <w:color w:val="000000" w:themeColor="text1"/>
          <w:sz w:val="22"/>
          <w:szCs w:val="22"/>
        </w:rPr>
        <w:noBreakHyphen/>
      </w:r>
      <w:proofErr w:type="spellStart"/>
      <w:r w:rsidRPr="00832F99">
        <w:rPr>
          <w:rFonts w:ascii="Arial" w:hAnsi="Arial" w:cs="Arial"/>
          <w:color w:val="000000" w:themeColor="text1"/>
          <w:sz w:val="22"/>
          <w:szCs w:val="22"/>
        </w:rPr>
        <w:t>Adawi</w:t>
      </w:r>
      <w:proofErr w:type="spellEnd"/>
      <w:r w:rsidRPr="00832F99">
        <w:rPr>
          <w:rFonts w:ascii="Arial" w:hAnsi="Arial" w:cs="Arial"/>
          <w:color w:val="000000" w:themeColor="text1"/>
          <w:sz w:val="22"/>
          <w:szCs w:val="22"/>
        </w:rPr>
        <w:t xml:space="preserve"> et al., 2019). Such inequalities limit the overall effectiveness of CR at a population level, as those who would benefit most are least likely to participate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w:t>
      </w:r>
    </w:p>
    <w:p w14:paraId="365A3996"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The review also found that older adults face unique barriers to CR participation, including frailty, mobility limitations, and fear of exercise, which require tailored support to ensure successful engagement (Ben</w:t>
      </w:r>
      <w:r w:rsidRPr="00832F99">
        <w:rPr>
          <w:rFonts w:ascii="Arial" w:hAnsi="Arial" w:cs="Arial"/>
          <w:color w:val="000000" w:themeColor="text1"/>
          <w:sz w:val="22"/>
          <w:szCs w:val="22"/>
        </w:rPr>
        <w:noBreakHyphen/>
      </w:r>
      <w:proofErr w:type="spellStart"/>
      <w:r w:rsidRPr="00832F99">
        <w:rPr>
          <w:rFonts w:ascii="Arial" w:hAnsi="Arial" w:cs="Arial"/>
          <w:color w:val="000000" w:themeColor="text1"/>
          <w:sz w:val="22"/>
          <w:szCs w:val="22"/>
        </w:rPr>
        <w:t>Shlomo</w:t>
      </w:r>
      <w:proofErr w:type="spellEnd"/>
      <w:r w:rsidRPr="00832F99">
        <w:rPr>
          <w:rFonts w:ascii="Arial" w:hAnsi="Arial" w:cs="Arial"/>
          <w:color w:val="000000" w:themeColor="text1"/>
          <w:sz w:val="22"/>
          <w:szCs w:val="22"/>
        </w:rPr>
        <w:t xml:space="preserve"> et al., 2022). Qualitative evidence showed that older adults valued the reassurance, structure, and social interaction provided by CR, highlighting the importance of personalised and supportive programme delivery (Clark et al., 2013). Evidence also suggests that home</w:t>
      </w:r>
      <w:r w:rsidRPr="00832F99">
        <w:rPr>
          <w:rFonts w:ascii="Arial" w:hAnsi="Arial" w:cs="Arial"/>
          <w:color w:val="000000" w:themeColor="text1"/>
          <w:sz w:val="22"/>
          <w:szCs w:val="22"/>
        </w:rPr>
        <w:noBreakHyphen/>
        <w:t>based and digital CR models may be particularly beneficial for older adults with mobility challenges (Lear et al., 2014; Sanderson et al., 2020).</w:t>
      </w:r>
    </w:p>
    <w:p w14:paraId="3E6002F6"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 xml:space="preserve">Overall, the findings demonstrate that CR is effective but underutilised, and that addressing inequalities is essential for maximising its benefits (Public Health England, 2020; </w:t>
      </w:r>
      <w:proofErr w:type="spellStart"/>
      <w:r w:rsidRPr="00832F99">
        <w:rPr>
          <w:rFonts w:ascii="Arial" w:hAnsi="Arial" w:cs="Arial"/>
          <w:color w:val="000000" w:themeColor="text1"/>
          <w:sz w:val="22"/>
          <w:szCs w:val="22"/>
        </w:rPr>
        <w:t>Ghisi</w:t>
      </w:r>
      <w:proofErr w:type="spellEnd"/>
      <w:r w:rsidRPr="00832F99">
        <w:rPr>
          <w:rFonts w:ascii="Arial" w:hAnsi="Arial" w:cs="Arial"/>
          <w:color w:val="000000" w:themeColor="text1"/>
          <w:sz w:val="22"/>
          <w:szCs w:val="22"/>
        </w:rPr>
        <w:t xml:space="preserve"> et al., 2021).</w:t>
      </w:r>
    </w:p>
    <w:p w14:paraId="045E7E8C" w14:textId="77777777" w:rsidR="00832F99" w:rsidRPr="00832F99" w:rsidRDefault="00832F99"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6.3 Recommendations for Clinical Practice</w:t>
      </w:r>
    </w:p>
    <w:p w14:paraId="382978E8"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6.3.1 Improve culturally sensitive communication</w:t>
      </w:r>
    </w:p>
    <w:p w14:paraId="2A103107"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Healthcare professionals should provide culturally tailored information about CR to improve engagement among minority ethnic groups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 This includes using multilingual materials, culturally relevant examples, and interpreters where necessary, as culturally adapted communication has been shown to improve CR uptake (Banerjee et al., 2020). Culturally sensitive communication can reduce mistrust and improve understanding, thereby increasing participation (Public Health England, 2020).</w:t>
      </w:r>
    </w:p>
    <w:p w14:paraId="4A359DBA"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lastRenderedPageBreak/>
        <w:t>6.3.2 Enhance patient education and awareness</w:t>
      </w:r>
    </w:p>
    <w:p w14:paraId="05F0CDA7"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Clear and accessible information about the benefits of CR should be provided at the point of discharge, as lack of awareness was a major barrier identified in the review (NIHR, 2019). Education should emphasise the role of CR in reducing readmissions and improving long</w:t>
      </w:r>
      <w:r w:rsidRPr="00832F99">
        <w:rPr>
          <w:rFonts w:ascii="Arial" w:hAnsi="Arial" w:cs="Arial"/>
          <w:color w:val="000000" w:themeColor="text1"/>
          <w:sz w:val="22"/>
          <w:szCs w:val="22"/>
        </w:rPr>
        <w:noBreakHyphen/>
        <w:t>term outcomes (</w:t>
      </w:r>
      <w:proofErr w:type="spellStart"/>
      <w:r w:rsidRPr="00832F99">
        <w:rPr>
          <w:rFonts w:ascii="Arial" w:hAnsi="Arial" w:cs="Arial"/>
          <w:color w:val="000000" w:themeColor="text1"/>
          <w:sz w:val="22"/>
          <w:szCs w:val="22"/>
        </w:rPr>
        <w:t>Kabboul</w:t>
      </w:r>
      <w:proofErr w:type="spellEnd"/>
      <w:r w:rsidRPr="00832F99">
        <w:rPr>
          <w:rFonts w:ascii="Arial" w:hAnsi="Arial" w:cs="Arial"/>
          <w:color w:val="000000" w:themeColor="text1"/>
          <w:sz w:val="22"/>
          <w:szCs w:val="22"/>
        </w:rPr>
        <w:t xml:space="preserve"> et al., 2018). Improving health literacy is essential, as low literacy is strongly associated with poor CR engagement (</w:t>
      </w:r>
      <w:proofErr w:type="spellStart"/>
      <w:r w:rsidRPr="00832F99">
        <w:rPr>
          <w:rFonts w:ascii="Arial" w:hAnsi="Arial" w:cs="Arial"/>
          <w:color w:val="000000" w:themeColor="text1"/>
          <w:sz w:val="22"/>
          <w:szCs w:val="22"/>
        </w:rPr>
        <w:t>Ghisi</w:t>
      </w:r>
      <w:proofErr w:type="spellEnd"/>
      <w:r w:rsidRPr="00832F99">
        <w:rPr>
          <w:rFonts w:ascii="Arial" w:hAnsi="Arial" w:cs="Arial"/>
          <w:color w:val="000000" w:themeColor="text1"/>
          <w:sz w:val="22"/>
          <w:szCs w:val="22"/>
        </w:rPr>
        <w:t xml:space="preserve"> et al., 2021).</w:t>
      </w:r>
    </w:p>
    <w:p w14:paraId="020E346C"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6.3.3 Provide flexible and personalised CR delivery</w:t>
      </w:r>
    </w:p>
    <w:p w14:paraId="75FDC1E9"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Flexible delivery models, such as home</w:t>
      </w:r>
      <w:r w:rsidRPr="00832F99">
        <w:rPr>
          <w:rFonts w:ascii="Arial" w:hAnsi="Arial" w:cs="Arial"/>
          <w:color w:val="000000" w:themeColor="text1"/>
          <w:sz w:val="22"/>
          <w:szCs w:val="22"/>
        </w:rPr>
        <w:noBreakHyphen/>
        <w:t>based, hybrid, or community</w:t>
      </w:r>
      <w:r w:rsidRPr="00832F99">
        <w:rPr>
          <w:rFonts w:ascii="Arial" w:hAnsi="Arial" w:cs="Arial"/>
          <w:color w:val="000000" w:themeColor="text1"/>
          <w:sz w:val="22"/>
          <w:szCs w:val="22"/>
        </w:rPr>
        <w:noBreakHyphen/>
        <w:t>based CR, should be offered to accommodate the needs of older adults, minority ethnic groups, and deprived populations (Taylor et al., 2019). Evidence shows that home</w:t>
      </w:r>
      <w:r w:rsidRPr="00832F99">
        <w:rPr>
          <w:rFonts w:ascii="Arial" w:hAnsi="Arial" w:cs="Arial"/>
          <w:color w:val="000000" w:themeColor="text1"/>
          <w:sz w:val="22"/>
          <w:szCs w:val="22"/>
        </w:rPr>
        <w:noBreakHyphen/>
        <w:t>based CR is as effective as centre</w:t>
      </w:r>
      <w:r w:rsidRPr="00832F99">
        <w:rPr>
          <w:rFonts w:ascii="Arial" w:hAnsi="Arial" w:cs="Arial"/>
          <w:color w:val="000000" w:themeColor="text1"/>
          <w:sz w:val="22"/>
          <w:szCs w:val="22"/>
        </w:rPr>
        <w:noBreakHyphen/>
        <w:t>based CR and may improve adherence among older adults (Lear et al., 2014). Personalised programmes that consider mobility limitations, cultural preferences, and individual goals may improve engagement and completion rates (Anderson &amp; Sharp, 2021).</w:t>
      </w:r>
    </w:p>
    <w:p w14:paraId="23050E12"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6.3.4 Strengthen psychological support within CR</w:t>
      </w:r>
    </w:p>
    <w:p w14:paraId="13F98DDA"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Psychological distress, including anxiety and fear of exercise, was a major barrier to CR participation (Clark et al., 2013). Integrating psychological support, such as counselling or group therapy, may improve confidence and reduce dropout rates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 Behavioural support interventions have been shown to significantly improve CR adherence (Sumner et al., 2020).</w:t>
      </w:r>
    </w:p>
    <w:p w14:paraId="67C39858"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6.3.5 Improve referral pathways and follow</w:t>
      </w:r>
      <w:r w:rsidRPr="00832F99">
        <w:rPr>
          <w:rStyle w:val="Strong"/>
          <w:rFonts w:ascii="Arial" w:hAnsi="Arial" w:cs="Arial"/>
          <w:b/>
          <w:bCs/>
          <w:color w:val="000000" w:themeColor="text1"/>
          <w:sz w:val="22"/>
          <w:szCs w:val="22"/>
        </w:rPr>
        <w:noBreakHyphen/>
        <w:t>up</w:t>
      </w:r>
    </w:p>
    <w:p w14:paraId="55B851FE"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Healthcare providers should ensure timely and consistent referral to CR, as delays reduce participation and outcomes (NIHR, 2019). Follow</w:t>
      </w:r>
      <w:r w:rsidRPr="00832F99">
        <w:rPr>
          <w:rFonts w:ascii="Arial" w:hAnsi="Arial" w:cs="Arial"/>
          <w:color w:val="000000" w:themeColor="text1"/>
          <w:sz w:val="22"/>
          <w:szCs w:val="22"/>
        </w:rPr>
        <w:noBreakHyphen/>
        <w:t>up calls or digital reminders may improve attendance and adherence, particularly among older adults (Public Health England, 2020). Evidence also shows that structured follow</w:t>
      </w:r>
      <w:r w:rsidRPr="00832F99">
        <w:rPr>
          <w:rFonts w:ascii="Arial" w:hAnsi="Arial" w:cs="Arial"/>
          <w:color w:val="000000" w:themeColor="text1"/>
          <w:sz w:val="22"/>
          <w:szCs w:val="22"/>
        </w:rPr>
        <w:noBreakHyphen/>
        <w:t>up improves long</w:t>
      </w:r>
      <w:r w:rsidRPr="00832F99">
        <w:rPr>
          <w:rFonts w:ascii="Arial" w:hAnsi="Arial" w:cs="Arial"/>
          <w:color w:val="000000" w:themeColor="text1"/>
          <w:sz w:val="22"/>
          <w:szCs w:val="22"/>
        </w:rPr>
        <w:noBreakHyphen/>
        <w:t>term CR completion (Pack et al., 2022).</w:t>
      </w:r>
    </w:p>
    <w:p w14:paraId="1B2E57F0" w14:textId="77777777" w:rsidR="00832F99" w:rsidRPr="00832F99" w:rsidRDefault="00832F99"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6.4 Recommendations for Policy</w:t>
      </w:r>
    </w:p>
    <w:p w14:paraId="5BF063C8"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6.4.1 Address structural inequalities in CR access</w:t>
      </w:r>
    </w:p>
    <w:p w14:paraId="3030E871"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Policymakers should prioritise reducing ethnic and socioeconomic inequalities in CR participation by investing in culturally tailored and community</w:t>
      </w:r>
      <w:r w:rsidRPr="00832F99">
        <w:rPr>
          <w:rFonts w:ascii="Arial" w:hAnsi="Arial" w:cs="Arial"/>
          <w:color w:val="000000" w:themeColor="text1"/>
          <w:sz w:val="22"/>
          <w:szCs w:val="22"/>
        </w:rPr>
        <w:noBreakHyphen/>
        <w:t>based programmes (Public Health England, 2020). International evidence shows that structural inequalities are a major barrier to CR access worldwide (Turk</w:t>
      </w:r>
      <w:r w:rsidRPr="00832F99">
        <w:rPr>
          <w:rFonts w:ascii="Arial" w:hAnsi="Arial" w:cs="Arial"/>
          <w:color w:val="000000" w:themeColor="text1"/>
          <w:sz w:val="22"/>
          <w:szCs w:val="22"/>
        </w:rPr>
        <w:noBreakHyphen/>
      </w:r>
      <w:proofErr w:type="spellStart"/>
      <w:r w:rsidRPr="00832F99">
        <w:rPr>
          <w:rFonts w:ascii="Arial" w:hAnsi="Arial" w:cs="Arial"/>
          <w:color w:val="000000" w:themeColor="text1"/>
          <w:sz w:val="22"/>
          <w:szCs w:val="22"/>
        </w:rPr>
        <w:t>Adawi</w:t>
      </w:r>
      <w:proofErr w:type="spellEnd"/>
      <w:r w:rsidRPr="00832F99">
        <w:rPr>
          <w:rFonts w:ascii="Arial" w:hAnsi="Arial" w:cs="Arial"/>
          <w:color w:val="000000" w:themeColor="text1"/>
          <w:sz w:val="22"/>
          <w:szCs w:val="22"/>
        </w:rPr>
        <w:t xml:space="preserve"> et al., 2019).</w:t>
      </w:r>
    </w:p>
    <w:p w14:paraId="5F520965"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6.4.2 Expand home</w:t>
      </w:r>
      <w:r w:rsidRPr="00832F99">
        <w:rPr>
          <w:rStyle w:val="Strong"/>
          <w:rFonts w:ascii="Arial" w:hAnsi="Arial" w:cs="Arial"/>
          <w:b/>
          <w:bCs/>
          <w:color w:val="000000" w:themeColor="text1"/>
          <w:sz w:val="22"/>
          <w:szCs w:val="22"/>
        </w:rPr>
        <w:noBreakHyphen/>
        <w:t>based and digital CR options</w:t>
      </w:r>
    </w:p>
    <w:p w14:paraId="693F596E"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Home</w:t>
      </w:r>
      <w:r w:rsidRPr="00832F99">
        <w:rPr>
          <w:rFonts w:ascii="Arial" w:hAnsi="Arial" w:cs="Arial"/>
          <w:color w:val="000000" w:themeColor="text1"/>
          <w:sz w:val="22"/>
          <w:szCs w:val="22"/>
        </w:rPr>
        <w:noBreakHyphen/>
        <w:t>based and digital CR programmes can reduce transport and time barriers, particularly for deprived populations and older adults (Taylor et al., 2019). Policymakers should invest in digital infrastructure and training to ensure equitable access to remote CR (NIHR, 2019). Digital CR has been shown to be effective and acceptable across diverse populations (Sanderson et al., 2020).</w:t>
      </w:r>
    </w:p>
    <w:p w14:paraId="3E56C6D3"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6.4.3 Standardise national monitoring of CR inequalities</w:t>
      </w:r>
    </w:p>
    <w:p w14:paraId="22165BC7"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lastRenderedPageBreak/>
        <w:t>National audits should routinely collect and report data on CR participation and outcomes by ethnicity, age, and socioeconomic status (BHF, 2025). Standardised monitoring can help identify disparities and inform targeted interventions (Public Health England, 2020).</w:t>
      </w:r>
    </w:p>
    <w:p w14:paraId="4ECBB3F0"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6.4.4 Increase funding for culturally competent workforce training</w:t>
      </w:r>
    </w:p>
    <w:p w14:paraId="77C2E570"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Investment in cultural competence training for healthcare professionals is essential to improve communication and reduce disparities in CR participation (Banerjee et al., 2020). Training should include cultural awareness, anti</w:t>
      </w:r>
      <w:r w:rsidRPr="00832F99">
        <w:rPr>
          <w:rFonts w:ascii="Arial" w:hAnsi="Arial" w:cs="Arial"/>
          <w:color w:val="000000" w:themeColor="text1"/>
          <w:sz w:val="22"/>
          <w:szCs w:val="22"/>
        </w:rPr>
        <w:noBreakHyphen/>
        <w:t>discrimination practices, and communication skills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w:t>
      </w:r>
    </w:p>
    <w:p w14:paraId="0AE8DF12" w14:textId="77777777" w:rsidR="00832F99" w:rsidRPr="00832F99" w:rsidRDefault="00832F99"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6.5 Recommendations for Future Research</w:t>
      </w:r>
    </w:p>
    <w:p w14:paraId="22C25FE0"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6.5.1 Explore culturally tailored CR interventions</w:t>
      </w:r>
    </w:p>
    <w:p w14:paraId="15E4DFE8"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Future research should examine the effectiveness of culturally tailored CR programmes for minority ethnic groups, as current evidence is limited (Public Health England, 2020). Studies should evaluate culturally adapted exercise routines, dietary advice, and communication strategies (Banerjee et al., 2020).</w:t>
      </w:r>
    </w:p>
    <w:p w14:paraId="086E7E5B"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6.5.2 Investigate digital CR accessibility among deprived populations</w:t>
      </w:r>
    </w:p>
    <w:p w14:paraId="11F22FF2"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Research is needed to understand how digital exclusion affects participation in remote CR programmes, particularly among deprived populations (Open Heart, 2025). Studies should explore barriers to digital access and strategies to improve digital literacy (NIHR, 2019).</w:t>
      </w:r>
    </w:p>
    <w:p w14:paraId="132603F3"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6.5.3 Examine long</w:t>
      </w:r>
      <w:r w:rsidRPr="00832F99">
        <w:rPr>
          <w:rStyle w:val="Strong"/>
          <w:rFonts w:ascii="Arial" w:hAnsi="Arial" w:cs="Arial"/>
          <w:b/>
          <w:bCs/>
          <w:color w:val="000000" w:themeColor="text1"/>
          <w:sz w:val="22"/>
          <w:szCs w:val="22"/>
        </w:rPr>
        <w:noBreakHyphen/>
        <w:t>term outcomes beyond 12 months</w:t>
      </w:r>
    </w:p>
    <w:p w14:paraId="34723B1F"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Most studies focused on short</w:t>
      </w:r>
      <w:r w:rsidRPr="00832F99">
        <w:rPr>
          <w:rFonts w:ascii="Arial" w:hAnsi="Arial" w:cs="Arial"/>
          <w:color w:val="000000" w:themeColor="text1"/>
          <w:sz w:val="22"/>
          <w:szCs w:val="22"/>
        </w:rPr>
        <w:noBreakHyphen/>
        <w:t>term or 12</w:t>
      </w:r>
      <w:r w:rsidRPr="00832F99">
        <w:rPr>
          <w:rFonts w:ascii="Arial" w:hAnsi="Arial" w:cs="Arial"/>
          <w:color w:val="000000" w:themeColor="text1"/>
          <w:sz w:val="22"/>
          <w:szCs w:val="22"/>
        </w:rPr>
        <w:noBreakHyphen/>
        <w:t>month readmissions, leaving a gap in understanding long</w:t>
      </w:r>
      <w:r w:rsidRPr="00832F99">
        <w:rPr>
          <w:rFonts w:ascii="Arial" w:hAnsi="Arial" w:cs="Arial"/>
          <w:color w:val="000000" w:themeColor="text1"/>
          <w:sz w:val="22"/>
          <w:szCs w:val="22"/>
        </w:rPr>
        <w:noBreakHyphen/>
        <w:t>term CR effectiveness (</w:t>
      </w:r>
      <w:proofErr w:type="spellStart"/>
      <w:r w:rsidRPr="00832F99">
        <w:rPr>
          <w:rFonts w:ascii="Arial" w:hAnsi="Arial" w:cs="Arial"/>
          <w:color w:val="000000" w:themeColor="text1"/>
          <w:sz w:val="22"/>
          <w:szCs w:val="22"/>
        </w:rPr>
        <w:t>Dalal</w:t>
      </w:r>
      <w:proofErr w:type="spellEnd"/>
      <w:r w:rsidRPr="00832F99">
        <w:rPr>
          <w:rFonts w:ascii="Arial" w:hAnsi="Arial" w:cs="Arial"/>
          <w:color w:val="000000" w:themeColor="text1"/>
          <w:sz w:val="22"/>
          <w:szCs w:val="22"/>
        </w:rPr>
        <w:t xml:space="preserve"> et al., 2015). Longitudinal studies are needed to assess outcomes over multiple years (Anderson et al., 2016).</w:t>
      </w:r>
    </w:p>
    <w:p w14:paraId="1D52F6CB"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6.5.4 Evaluate CR adaptations for frail older adults</w:t>
      </w:r>
    </w:p>
    <w:p w14:paraId="12D29E1E"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Given the high dropout rates among frail older adults, research should explore tailored CR models that accommodate physical limitations (Ben</w:t>
      </w:r>
      <w:r w:rsidRPr="00832F99">
        <w:rPr>
          <w:rFonts w:ascii="Arial" w:hAnsi="Arial" w:cs="Arial"/>
          <w:color w:val="000000" w:themeColor="text1"/>
          <w:sz w:val="22"/>
          <w:szCs w:val="22"/>
        </w:rPr>
        <w:noBreakHyphen/>
      </w:r>
      <w:proofErr w:type="spellStart"/>
      <w:r w:rsidRPr="00832F99">
        <w:rPr>
          <w:rFonts w:ascii="Arial" w:hAnsi="Arial" w:cs="Arial"/>
          <w:color w:val="000000" w:themeColor="text1"/>
          <w:sz w:val="22"/>
          <w:szCs w:val="22"/>
        </w:rPr>
        <w:t>Shlomo</w:t>
      </w:r>
      <w:proofErr w:type="spellEnd"/>
      <w:r w:rsidRPr="00832F99">
        <w:rPr>
          <w:rFonts w:ascii="Arial" w:hAnsi="Arial" w:cs="Arial"/>
          <w:color w:val="000000" w:themeColor="text1"/>
          <w:sz w:val="22"/>
          <w:szCs w:val="22"/>
        </w:rPr>
        <w:t xml:space="preserve"> et al., 2022). Studies should examine slower progression, home</w:t>
      </w:r>
      <w:r w:rsidRPr="00832F99">
        <w:rPr>
          <w:rFonts w:ascii="Arial" w:hAnsi="Arial" w:cs="Arial"/>
          <w:color w:val="000000" w:themeColor="text1"/>
          <w:sz w:val="22"/>
          <w:szCs w:val="22"/>
        </w:rPr>
        <w:noBreakHyphen/>
        <w:t>based options, and additional psychological support (Lear et al., 2014).</w:t>
      </w:r>
    </w:p>
    <w:p w14:paraId="3508AC9B" w14:textId="77777777" w:rsidR="00832F99" w:rsidRPr="00832F99" w:rsidRDefault="00832F99" w:rsidP="00832F99">
      <w:pPr>
        <w:pStyle w:val="Heading3"/>
        <w:jc w:val="both"/>
        <w:rPr>
          <w:rFonts w:ascii="Arial" w:hAnsi="Arial" w:cs="Arial"/>
          <w:color w:val="000000" w:themeColor="text1"/>
          <w:sz w:val="22"/>
          <w:szCs w:val="22"/>
        </w:rPr>
      </w:pPr>
      <w:r w:rsidRPr="00832F99">
        <w:rPr>
          <w:rStyle w:val="Strong"/>
          <w:rFonts w:ascii="Arial" w:hAnsi="Arial" w:cs="Arial"/>
          <w:b/>
          <w:bCs/>
          <w:color w:val="000000" w:themeColor="text1"/>
          <w:sz w:val="22"/>
          <w:szCs w:val="22"/>
        </w:rPr>
        <w:t>6.5.5 Investigate intersectional inequalities</w:t>
      </w:r>
    </w:p>
    <w:p w14:paraId="28D289A1"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Future research should examine how ethnicity, socioeconomic status, age, and gender interact to influence CR participation and outcomes (Public Health England, 2020). Intersectional analysis can provide deeper insight into complex patterns of disadvantage (Grace et al., 2016).</w:t>
      </w:r>
    </w:p>
    <w:p w14:paraId="2FF6BEBB" w14:textId="77777777" w:rsidR="00832F99" w:rsidRPr="00832F99" w:rsidRDefault="00832F99" w:rsidP="00832F99">
      <w:pPr>
        <w:pStyle w:val="Heading2"/>
        <w:jc w:val="both"/>
        <w:rPr>
          <w:rFonts w:ascii="Arial" w:hAnsi="Arial" w:cs="Arial"/>
          <w:color w:val="000000" w:themeColor="text1"/>
          <w:sz w:val="22"/>
          <w:szCs w:val="22"/>
        </w:rPr>
      </w:pPr>
      <w:r w:rsidRPr="00832F99">
        <w:rPr>
          <w:rStyle w:val="Strong"/>
          <w:rFonts w:ascii="Arial" w:hAnsi="Arial" w:cs="Arial"/>
          <w:b w:val="0"/>
          <w:bCs w:val="0"/>
          <w:color w:val="000000" w:themeColor="text1"/>
          <w:sz w:val="22"/>
          <w:szCs w:val="22"/>
        </w:rPr>
        <w:t>6.6 Final Conclusion</w:t>
      </w:r>
    </w:p>
    <w:p w14:paraId="27FFCC39" w14:textId="77777777" w:rsidR="00832F99" w:rsidRPr="00832F99" w:rsidRDefault="00832F99" w:rsidP="00832F99">
      <w:pPr>
        <w:pStyle w:val="NormalWeb"/>
        <w:jc w:val="both"/>
        <w:rPr>
          <w:rFonts w:ascii="Arial" w:hAnsi="Arial" w:cs="Arial"/>
          <w:color w:val="000000" w:themeColor="text1"/>
          <w:sz w:val="22"/>
          <w:szCs w:val="22"/>
        </w:rPr>
      </w:pPr>
      <w:r w:rsidRPr="00832F99">
        <w:rPr>
          <w:rFonts w:ascii="Arial" w:hAnsi="Arial" w:cs="Arial"/>
          <w:color w:val="000000" w:themeColor="text1"/>
          <w:sz w:val="22"/>
          <w:szCs w:val="22"/>
        </w:rPr>
        <w:t>This systematic review concludes that cardiac rehabilitation is a highly effective intervention for reducing hospital readmissions among adults aged 55 years and over, but that significant ethnic and socioeconomic inequalities limit its impact at a population level (Public Health England, 2020). Addressing these inequalities requires culturally sensitive communication, flexible delivery models, and targeted policy interventions (</w:t>
      </w:r>
      <w:proofErr w:type="spellStart"/>
      <w:r w:rsidRPr="00832F99">
        <w:rPr>
          <w:rFonts w:ascii="Arial" w:hAnsi="Arial" w:cs="Arial"/>
          <w:color w:val="000000" w:themeColor="text1"/>
          <w:sz w:val="22"/>
          <w:szCs w:val="22"/>
        </w:rPr>
        <w:t>Resurrección</w:t>
      </w:r>
      <w:proofErr w:type="spellEnd"/>
      <w:r w:rsidRPr="00832F99">
        <w:rPr>
          <w:rFonts w:ascii="Arial" w:hAnsi="Arial" w:cs="Arial"/>
          <w:color w:val="000000" w:themeColor="text1"/>
          <w:sz w:val="22"/>
          <w:szCs w:val="22"/>
        </w:rPr>
        <w:t xml:space="preserve"> et al., 2017). By </w:t>
      </w:r>
      <w:r w:rsidRPr="00832F99">
        <w:rPr>
          <w:rFonts w:ascii="Arial" w:hAnsi="Arial" w:cs="Arial"/>
          <w:color w:val="000000" w:themeColor="text1"/>
          <w:sz w:val="22"/>
          <w:szCs w:val="22"/>
        </w:rPr>
        <w:lastRenderedPageBreak/>
        <w:t>improving accessibility and engagement, CR programmes can deliver substantial health benefits, reduce healthcare costs, and improve quality of life for older adults across England (BHF, 2025). The findings of this review highlight the urgent need for equitable, inclusive, and patient</w:t>
      </w:r>
      <w:r w:rsidRPr="00832F99">
        <w:rPr>
          <w:rFonts w:ascii="Arial" w:hAnsi="Arial" w:cs="Arial"/>
          <w:color w:val="000000" w:themeColor="text1"/>
          <w:sz w:val="22"/>
          <w:szCs w:val="22"/>
        </w:rPr>
        <w:noBreakHyphen/>
        <w:t>centred CR services to ensure that all individuals can benefit from this essential component of cardiovascular care (NICE, 2018; Turk</w:t>
      </w:r>
      <w:r w:rsidRPr="00832F99">
        <w:rPr>
          <w:rFonts w:ascii="Arial" w:hAnsi="Arial" w:cs="Arial"/>
          <w:color w:val="000000" w:themeColor="text1"/>
          <w:sz w:val="22"/>
          <w:szCs w:val="22"/>
        </w:rPr>
        <w:noBreakHyphen/>
      </w:r>
      <w:proofErr w:type="spellStart"/>
      <w:r w:rsidRPr="00832F99">
        <w:rPr>
          <w:rFonts w:ascii="Arial" w:hAnsi="Arial" w:cs="Arial"/>
          <w:color w:val="000000" w:themeColor="text1"/>
          <w:sz w:val="22"/>
          <w:szCs w:val="22"/>
        </w:rPr>
        <w:t>Adawi</w:t>
      </w:r>
      <w:proofErr w:type="spellEnd"/>
      <w:r w:rsidRPr="00832F99">
        <w:rPr>
          <w:rFonts w:ascii="Arial" w:hAnsi="Arial" w:cs="Arial"/>
          <w:color w:val="000000" w:themeColor="text1"/>
          <w:sz w:val="22"/>
          <w:szCs w:val="22"/>
        </w:rPr>
        <w:t xml:space="preserve"> et al., 2019).</w:t>
      </w:r>
    </w:p>
    <w:p w14:paraId="4A115F6A" w14:textId="77777777" w:rsidR="00832F99" w:rsidRPr="00832F99" w:rsidRDefault="00832F99" w:rsidP="00832F99">
      <w:pPr>
        <w:pStyle w:val="NormalWeb"/>
        <w:jc w:val="both"/>
        <w:rPr>
          <w:rFonts w:ascii="Arial" w:hAnsi="Arial" w:cs="Arial"/>
          <w:color w:val="000000" w:themeColor="text1"/>
          <w:sz w:val="22"/>
          <w:szCs w:val="22"/>
        </w:rPr>
      </w:pPr>
    </w:p>
    <w:p w14:paraId="038EFD5F" w14:textId="4F901B7B" w:rsidR="002D11D1" w:rsidRDefault="002D11D1" w:rsidP="00832F99">
      <w:pPr>
        <w:jc w:val="both"/>
        <w:rPr>
          <w:rFonts w:ascii="Arial" w:hAnsi="Arial" w:cs="Arial"/>
          <w:color w:val="000000" w:themeColor="text1"/>
        </w:rPr>
      </w:pPr>
    </w:p>
    <w:p w14:paraId="667B2934" w14:textId="1DE8A2D5" w:rsidR="00AA4B24" w:rsidRDefault="00AA4B24" w:rsidP="00832F99">
      <w:pPr>
        <w:jc w:val="both"/>
        <w:rPr>
          <w:rFonts w:ascii="Arial" w:hAnsi="Arial" w:cs="Arial"/>
          <w:color w:val="000000" w:themeColor="text1"/>
        </w:rPr>
      </w:pPr>
    </w:p>
    <w:p w14:paraId="00BB9149" w14:textId="36C15112" w:rsidR="00AA4B24" w:rsidRDefault="00AA4B24" w:rsidP="00832F99">
      <w:pPr>
        <w:jc w:val="both"/>
        <w:rPr>
          <w:rFonts w:ascii="Arial" w:hAnsi="Arial" w:cs="Arial"/>
          <w:color w:val="000000" w:themeColor="text1"/>
        </w:rPr>
      </w:pPr>
    </w:p>
    <w:p w14:paraId="314FF82E" w14:textId="63F0DD71" w:rsidR="00AA4B24" w:rsidRDefault="00AA4B24" w:rsidP="00832F99">
      <w:pPr>
        <w:jc w:val="both"/>
        <w:rPr>
          <w:rFonts w:ascii="Arial" w:hAnsi="Arial" w:cs="Arial"/>
          <w:color w:val="000000" w:themeColor="text1"/>
        </w:rPr>
      </w:pPr>
    </w:p>
    <w:p w14:paraId="2A6C2500" w14:textId="11D42886" w:rsidR="00AA4B24" w:rsidRDefault="00AA4B24" w:rsidP="00832F99">
      <w:pPr>
        <w:jc w:val="both"/>
        <w:rPr>
          <w:rFonts w:ascii="Arial" w:hAnsi="Arial" w:cs="Arial"/>
          <w:color w:val="000000" w:themeColor="text1"/>
        </w:rPr>
      </w:pPr>
    </w:p>
    <w:p w14:paraId="13236703" w14:textId="503398C2" w:rsidR="00AA4B24" w:rsidRDefault="00AA4B24" w:rsidP="00832F99">
      <w:pPr>
        <w:jc w:val="both"/>
        <w:rPr>
          <w:rFonts w:ascii="Arial" w:hAnsi="Arial" w:cs="Arial"/>
          <w:color w:val="000000" w:themeColor="text1"/>
        </w:rPr>
      </w:pPr>
    </w:p>
    <w:p w14:paraId="66782CEE" w14:textId="2B609A3A" w:rsidR="00AA4B24" w:rsidRDefault="00AA4B24" w:rsidP="00832F99">
      <w:pPr>
        <w:jc w:val="both"/>
        <w:rPr>
          <w:rFonts w:ascii="Arial" w:hAnsi="Arial" w:cs="Arial"/>
          <w:color w:val="000000" w:themeColor="text1"/>
        </w:rPr>
      </w:pPr>
    </w:p>
    <w:p w14:paraId="34096EE6" w14:textId="68F04080" w:rsidR="00AA4B24" w:rsidRDefault="00AA4B24" w:rsidP="00832F99">
      <w:pPr>
        <w:jc w:val="both"/>
        <w:rPr>
          <w:rFonts w:ascii="Arial" w:hAnsi="Arial" w:cs="Arial"/>
          <w:color w:val="000000" w:themeColor="text1"/>
        </w:rPr>
      </w:pPr>
    </w:p>
    <w:p w14:paraId="63E74B42" w14:textId="3B3F1E3C" w:rsidR="00AA4B24" w:rsidRDefault="00AA4B24" w:rsidP="00832F99">
      <w:pPr>
        <w:jc w:val="both"/>
        <w:rPr>
          <w:rFonts w:ascii="Arial" w:hAnsi="Arial" w:cs="Arial"/>
          <w:color w:val="000000" w:themeColor="text1"/>
        </w:rPr>
      </w:pPr>
    </w:p>
    <w:p w14:paraId="7F77B5EA" w14:textId="2E8AD535" w:rsidR="00AA4B24" w:rsidRDefault="00AA4B24" w:rsidP="00832F99">
      <w:pPr>
        <w:jc w:val="both"/>
        <w:rPr>
          <w:rFonts w:ascii="Arial" w:hAnsi="Arial" w:cs="Arial"/>
          <w:color w:val="000000" w:themeColor="text1"/>
        </w:rPr>
      </w:pPr>
    </w:p>
    <w:p w14:paraId="1F222E31" w14:textId="7D52E2C4" w:rsidR="00AA4B24" w:rsidRDefault="00AA4B24" w:rsidP="00832F99">
      <w:pPr>
        <w:jc w:val="both"/>
        <w:rPr>
          <w:rFonts w:ascii="Arial" w:hAnsi="Arial" w:cs="Arial"/>
          <w:color w:val="000000" w:themeColor="text1"/>
        </w:rPr>
      </w:pPr>
    </w:p>
    <w:p w14:paraId="6FD278A7" w14:textId="786B9DD1" w:rsidR="00AA4B24" w:rsidRDefault="00AA4B24" w:rsidP="00832F99">
      <w:pPr>
        <w:jc w:val="both"/>
        <w:rPr>
          <w:rFonts w:ascii="Arial" w:hAnsi="Arial" w:cs="Arial"/>
          <w:color w:val="000000" w:themeColor="text1"/>
        </w:rPr>
      </w:pPr>
    </w:p>
    <w:p w14:paraId="53926491" w14:textId="32290271" w:rsidR="00AA4B24" w:rsidRDefault="00AA4B24" w:rsidP="00832F99">
      <w:pPr>
        <w:jc w:val="both"/>
        <w:rPr>
          <w:rFonts w:ascii="Arial" w:hAnsi="Arial" w:cs="Arial"/>
          <w:color w:val="000000" w:themeColor="text1"/>
        </w:rPr>
      </w:pPr>
    </w:p>
    <w:p w14:paraId="6A4F74E0" w14:textId="0543AEB0" w:rsidR="00AA4B24" w:rsidRDefault="00AA4B24" w:rsidP="00832F99">
      <w:pPr>
        <w:jc w:val="both"/>
        <w:rPr>
          <w:rFonts w:ascii="Arial" w:hAnsi="Arial" w:cs="Arial"/>
          <w:color w:val="000000" w:themeColor="text1"/>
        </w:rPr>
      </w:pPr>
    </w:p>
    <w:p w14:paraId="10914C57" w14:textId="312A5423" w:rsidR="00AA4B24" w:rsidRDefault="00AA4B24" w:rsidP="00832F99">
      <w:pPr>
        <w:jc w:val="both"/>
        <w:rPr>
          <w:rFonts w:ascii="Arial" w:hAnsi="Arial" w:cs="Arial"/>
          <w:color w:val="000000" w:themeColor="text1"/>
        </w:rPr>
      </w:pPr>
    </w:p>
    <w:p w14:paraId="3FEA94D6" w14:textId="255CB295" w:rsidR="00AA4B24" w:rsidRDefault="00AA4B24" w:rsidP="00832F99">
      <w:pPr>
        <w:jc w:val="both"/>
        <w:rPr>
          <w:rFonts w:ascii="Arial" w:hAnsi="Arial" w:cs="Arial"/>
          <w:color w:val="000000" w:themeColor="text1"/>
        </w:rPr>
      </w:pPr>
    </w:p>
    <w:p w14:paraId="703BB3A0" w14:textId="3D66F57D" w:rsidR="00AA4B24" w:rsidRDefault="00AA4B24" w:rsidP="00832F99">
      <w:pPr>
        <w:jc w:val="both"/>
        <w:rPr>
          <w:rFonts w:ascii="Arial" w:hAnsi="Arial" w:cs="Arial"/>
          <w:color w:val="000000" w:themeColor="text1"/>
        </w:rPr>
      </w:pPr>
    </w:p>
    <w:p w14:paraId="31E499B2" w14:textId="29E920F9" w:rsidR="00AA4B24" w:rsidRDefault="00AA4B24" w:rsidP="00832F99">
      <w:pPr>
        <w:jc w:val="both"/>
        <w:rPr>
          <w:rFonts w:ascii="Arial" w:hAnsi="Arial" w:cs="Arial"/>
          <w:color w:val="000000" w:themeColor="text1"/>
        </w:rPr>
      </w:pPr>
    </w:p>
    <w:p w14:paraId="6FA2CC17" w14:textId="537C942D" w:rsidR="00AA4B24" w:rsidRDefault="00AA4B24" w:rsidP="00832F99">
      <w:pPr>
        <w:jc w:val="both"/>
        <w:rPr>
          <w:rFonts w:ascii="Arial" w:hAnsi="Arial" w:cs="Arial"/>
          <w:color w:val="000000" w:themeColor="text1"/>
        </w:rPr>
      </w:pPr>
    </w:p>
    <w:p w14:paraId="6D4D6C12" w14:textId="4E37D3B1" w:rsidR="00AA4B24" w:rsidRDefault="00AA4B24" w:rsidP="00832F99">
      <w:pPr>
        <w:jc w:val="both"/>
        <w:rPr>
          <w:rFonts w:ascii="Arial" w:hAnsi="Arial" w:cs="Arial"/>
          <w:color w:val="000000" w:themeColor="text1"/>
        </w:rPr>
      </w:pPr>
    </w:p>
    <w:p w14:paraId="4EC10F88" w14:textId="5F7DB344" w:rsidR="00AA4B24" w:rsidRDefault="00AA4B24" w:rsidP="00832F99">
      <w:pPr>
        <w:jc w:val="both"/>
        <w:rPr>
          <w:rFonts w:ascii="Arial" w:hAnsi="Arial" w:cs="Arial"/>
          <w:color w:val="000000" w:themeColor="text1"/>
        </w:rPr>
      </w:pPr>
    </w:p>
    <w:p w14:paraId="74530FE4" w14:textId="31959604" w:rsidR="00AA4B24" w:rsidRDefault="00AA4B24" w:rsidP="00832F99">
      <w:pPr>
        <w:jc w:val="both"/>
        <w:rPr>
          <w:rFonts w:ascii="Arial" w:hAnsi="Arial" w:cs="Arial"/>
          <w:color w:val="000000" w:themeColor="text1"/>
        </w:rPr>
      </w:pPr>
    </w:p>
    <w:p w14:paraId="52A8D86A" w14:textId="328346DB" w:rsidR="00AA4B24" w:rsidRDefault="00AA4B24" w:rsidP="00832F99">
      <w:pPr>
        <w:jc w:val="both"/>
        <w:rPr>
          <w:rFonts w:ascii="Arial" w:hAnsi="Arial" w:cs="Arial"/>
          <w:color w:val="000000" w:themeColor="text1"/>
        </w:rPr>
      </w:pPr>
    </w:p>
    <w:p w14:paraId="118C941B" w14:textId="77777777" w:rsidR="001E1CCB" w:rsidRDefault="001E1CCB" w:rsidP="001E1CCB">
      <w:pPr>
        <w:pStyle w:val="NormalWeb"/>
      </w:pPr>
      <w:r>
        <w:t xml:space="preserve">Refences list </w:t>
      </w:r>
    </w:p>
    <w:p w14:paraId="498D6342" w14:textId="31B1EAE1" w:rsidR="001E1CCB" w:rsidRDefault="001E1CCB" w:rsidP="001E1CCB">
      <w:pPr>
        <w:pStyle w:val="NormalWeb"/>
      </w:pPr>
      <w:r>
        <w:t xml:space="preserve">ACC (2025) </w:t>
      </w:r>
      <w:r>
        <w:rPr>
          <w:rStyle w:val="Emphasis"/>
        </w:rPr>
        <w:t>Cardiovascular Disease Statistics Report</w:t>
      </w:r>
      <w:r>
        <w:t>. American College of Cardiology. Accessed 3 June 2026.</w:t>
      </w:r>
    </w:p>
    <w:p w14:paraId="5025A561" w14:textId="77777777" w:rsidR="001E1CCB" w:rsidRDefault="001E1CCB" w:rsidP="001E1CCB">
      <w:pPr>
        <w:pStyle w:val="NormalWeb"/>
      </w:pPr>
      <w:r>
        <w:lastRenderedPageBreak/>
        <w:t xml:space="preserve">AHA (2022) </w:t>
      </w:r>
      <w:r>
        <w:rPr>
          <w:rStyle w:val="Emphasis"/>
        </w:rPr>
        <w:t>American Heart Association Guidelines for Secondary Prevention</w:t>
      </w:r>
      <w:r>
        <w:t xml:space="preserve">. Available at: </w:t>
      </w:r>
      <w:hyperlink r:id="rId8" w:tgtFrame="_blank" w:tooltip="www.heart.org" w:history="1">
        <w:r>
          <w:rPr>
            <w:rStyle w:val="Hyperlink"/>
            <w:rFonts w:eastAsiaTheme="majorEastAsia"/>
          </w:rPr>
          <w:t>https://www.heart.org</w:t>
        </w:r>
      </w:hyperlink>
      <w:r>
        <w:t xml:space="preserve"> (Accessed 5 June 2026).</w:t>
      </w:r>
    </w:p>
    <w:p w14:paraId="4F46623D" w14:textId="77777777" w:rsidR="001E1CCB" w:rsidRDefault="001E1CCB" w:rsidP="001E1CCB">
      <w:pPr>
        <w:pStyle w:val="NormalWeb"/>
      </w:pPr>
      <w:r>
        <w:t xml:space="preserve">Ades, P.A. (2001) ‘Cardiac rehabilitation and secondary prevention of coronary heart disease’, </w:t>
      </w:r>
      <w:r>
        <w:rPr>
          <w:rStyle w:val="Emphasis"/>
        </w:rPr>
        <w:t>New England Journal of Medicine</w:t>
      </w:r>
      <w:r>
        <w:t>, 345(12), pp. 892–902. Accessed 8 June 2026.</w:t>
      </w:r>
    </w:p>
    <w:p w14:paraId="5A339C7E" w14:textId="77777777" w:rsidR="001E1CCB" w:rsidRDefault="001E1CCB" w:rsidP="001E1CCB">
      <w:pPr>
        <w:pStyle w:val="NormalWeb"/>
      </w:pPr>
      <w:r>
        <w:t xml:space="preserve">Ades, P.A. et al. (2022) ‘Enhancing participation in cardiac rehabilitation: Focus on underserved populations’, </w:t>
      </w:r>
      <w:r>
        <w:rPr>
          <w:rStyle w:val="Emphasis"/>
        </w:rPr>
        <w:t>Progress in Cardiovascular Diseases</w:t>
      </w:r>
      <w:r>
        <w:t>, 70, pp. 102–110. Accessed 7 June 2026.</w:t>
      </w:r>
    </w:p>
    <w:p w14:paraId="090781EA" w14:textId="77777777" w:rsidR="001E1CCB" w:rsidRDefault="001E1CCB" w:rsidP="001E1CCB">
      <w:pPr>
        <w:pStyle w:val="NormalWeb"/>
      </w:pPr>
      <w:r>
        <w:t xml:space="preserve">Anderson, L. &amp; </w:t>
      </w:r>
      <w:proofErr w:type="spellStart"/>
      <w:r>
        <w:t>Oldridge</w:t>
      </w:r>
      <w:proofErr w:type="spellEnd"/>
      <w:r>
        <w:t xml:space="preserve">, N. (2020) ‘Exercise-based cardiac rehabilitation reduces mortality and hospitalisation’, </w:t>
      </w:r>
      <w:r>
        <w:rPr>
          <w:rStyle w:val="Emphasis"/>
        </w:rPr>
        <w:t>Heart</w:t>
      </w:r>
      <w:r>
        <w:t>, 106(14), pp. 1164–1172. Accessed 4 June 2026.</w:t>
      </w:r>
    </w:p>
    <w:p w14:paraId="000FB651" w14:textId="77777777" w:rsidR="001E1CCB" w:rsidRDefault="001E1CCB" w:rsidP="001E1CCB">
      <w:pPr>
        <w:pStyle w:val="NormalWeb"/>
      </w:pPr>
      <w:r>
        <w:t xml:space="preserve">Anderson, L. &amp; Taylor, R. (2020) ‘Cardiac rehabilitation in modern practice’, </w:t>
      </w:r>
      <w:r>
        <w:rPr>
          <w:rStyle w:val="Emphasis"/>
        </w:rPr>
        <w:t>Heart</w:t>
      </w:r>
      <w:r>
        <w:t>, 106(18), pp. 1364–1370. Accessed 6 June 2026.</w:t>
      </w:r>
    </w:p>
    <w:p w14:paraId="75D1FFC3" w14:textId="77777777" w:rsidR="001E1CCB" w:rsidRDefault="001E1CCB" w:rsidP="001E1CCB">
      <w:pPr>
        <w:pStyle w:val="NormalWeb"/>
      </w:pPr>
      <w:r>
        <w:t>Anderson, L. et al. (2016) ‘Exercise</w:t>
      </w:r>
      <w:r>
        <w:noBreakHyphen/>
        <w:t xml:space="preserve">based cardiac rehabilitation for coronary heart disease’, </w:t>
      </w:r>
      <w:r>
        <w:rPr>
          <w:rStyle w:val="Emphasis"/>
        </w:rPr>
        <w:t>Cochrane Database of Systematic Reviews</w:t>
      </w:r>
      <w:r>
        <w:t>, Issue 1. Accessed 2 June 2026.</w:t>
      </w:r>
    </w:p>
    <w:p w14:paraId="144DE0D8" w14:textId="77777777" w:rsidR="001E1CCB" w:rsidRDefault="001E1CCB" w:rsidP="001E1CCB">
      <w:pPr>
        <w:pStyle w:val="NormalWeb"/>
      </w:pPr>
      <w:r>
        <w:t>Anderson, L. et al. (2017) ‘Home</w:t>
      </w:r>
      <w:r>
        <w:noBreakHyphen/>
        <w:t>based versus centre</w:t>
      </w:r>
      <w:r>
        <w:noBreakHyphen/>
        <w:t xml:space="preserve">based cardiac rehabilitation’, </w:t>
      </w:r>
      <w:r>
        <w:rPr>
          <w:rStyle w:val="Emphasis"/>
        </w:rPr>
        <w:t>Cochrane Database of Systematic Reviews</w:t>
      </w:r>
      <w:r>
        <w:t>, Issue 6. Accessed 9 June 2026.</w:t>
      </w:r>
    </w:p>
    <w:p w14:paraId="3947F1D9" w14:textId="390C11EB" w:rsidR="001E1CCB" w:rsidRDefault="001E1CCB" w:rsidP="001E1CCB">
      <w:pPr>
        <w:pStyle w:val="NormalWeb"/>
      </w:pPr>
      <w:proofErr w:type="spellStart"/>
      <w:r>
        <w:t>Aromataris</w:t>
      </w:r>
      <w:proofErr w:type="spellEnd"/>
      <w:r>
        <w:t xml:space="preserve">, E. &amp; Munn, Z. (2020) </w:t>
      </w:r>
      <w:r>
        <w:rPr>
          <w:rStyle w:val="Emphasis"/>
        </w:rPr>
        <w:t>JBI Manual for Evidence Synthesis</w:t>
      </w:r>
      <w:r>
        <w:t>. Adelaide: JBI. Accessed 10 June 2026.</w:t>
      </w:r>
    </w:p>
    <w:p w14:paraId="1815DEC9" w14:textId="77777777" w:rsidR="001E1CCB" w:rsidRDefault="001E1CCB" w:rsidP="001E1CCB">
      <w:pPr>
        <w:pStyle w:val="NormalWeb"/>
      </w:pPr>
      <w:r>
        <w:t xml:space="preserve">Bachmann, J.M. et al. (2017) ‘Neighbourhood socioeconomic context and CR participation’, </w:t>
      </w:r>
      <w:r>
        <w:rPr>
          <w:rStyle w:val="Emphasis"/>
        </w:rPr>
        <w:t>Journal of the American Heart Association</w:t>
      </w:r>
      <w:r>
        <w:t>, 6(10), e006260. Accessed 3 June 2026.</w:t>
      </w:r>
    </w:p>
    <w:p w14:paraId="1A108D67" w14:textId="77777777" w:rsidR="001E1CCB" w:rsidRDefault="001E1CCB" w:rsidP="001E1CCB">
      <w:pPr>
        <w:pStyle w:val="NormalWeb"/>
      </w:pPr>
      <w:r>
        <w:t xml:space="preserve">Banerjee, A. et al. (2020) ‘Culturally adapted cardiac rehabilitation interventions’, </w:t>
      </w:r>
      <w:r>
        <w:rPr>
          <w:rStyle w:val="Emphasis"/>
        </w:rPr>
        <w:t>BMC Cardiovascular Disorders</w:t>
      </w:r>
      <w:r>
        <w:t>, 20(1), pp. 1–12. Accessed 8 June 2026.</w:t>
      </w:r>
    </w:p>
    <w:p w14:paraId="080D6DBB" w14:textId="77777777" w:rsidR="001E1CCB" w:rsidRDefault="001E1CCB" w:rsidP="001E1CCB">
      <w:pPr>
        <w:pStyle w:val="NormalWeb"/>
      </w:pPr>
      <w:r>
        <w:t>Ben</w:t>
      </w:r>
      <w:r>
        <w:noBreakHyphen/>
      </w:r>
      <w:proofErr w:type="spellStart"/>
      <w:r>
        <w:t>Shlomo</w:t>
      </w:r>
      <w:proofErr w:type="spellEnd"/>
      <w:r>
        <w:t xml:space="preserve">, Y. et al. (2022) ‘Frailty and cardiovascular outcomes’, </w:t>
      </w:r>
      <w:r>
        <w:rPr>
          <w:rStyle w:val="Emphasis"/>
        </w:rPr>
        <w:t>Age and Ageing</w:t>
      </w:r>
      <w:r>
        <w:t>, 51(3), pp. 1–10. Accessed 7 June 2026.</w:t>
      </w:r>
    </w:p>
    <w:p w14:paraId="06375316" w14:textId="77777777" w:rsidR="001E1CCB" w:rsidRDefault="001E1CCB" w:rsidP="001E1CCB">
      <w:pPr>
        <w:pStyle w:val="NormalWeb"/>
      </w:pPr>
      <w:r>
        <w:t xml:space="preserve">BHF (2023) </w:t>
      </w:r>
      <w:r>
        <w:rPr>
          <w:rStyle w:val="Emphasis"/>
        </w:rPr>
        <w:t>UK Factsheet: Heart and Circulatory Disease Statistics</w:t>
      </w:r>
      <w:r>
        <w:t>. London: British Heart Foundation. Accessed 5 June 2026.</w:t>
      </w:r>
    </w:p>
    <w:p w14:paraId="137B36A8" w14:textId="77777777" w:rsidR="001E1CCB" w:rsidRDefault="001E1CCB" w:rsidP="001E1CCB">
      <w:pPr>
        <w:pStyle w:val="NormalWeb"/>
      </w:pPr>
      <w:r>
        <w:t xml:space="preserve">BHF (2025) </w:t>
      </w:r>
      <w:r>
        <w:rPr>
          <w:rStyle w:val="Emphasis"/>
        </w:rPr>
        <w:t>Heart and Circulatory Disease Statistics 2025</w:t>
      </w:r>
      <w:r>
        <w:t>. London: British Heart Foundation. Accessed 6 June 2026.</w:t>
      </w:r>
    </w:p>
    <w:p w14:paraId="78EC7F54" w14:textId="77777777" w:rsidR="001E1CCB" w:rsidRDefault="001E1CCB" w:rsidP="001E1CCB">
      <w:pPr>
        <w:pStyle w:val="NormalWeb"/>
      </w:pPr>
      <w:r>
        <w:t xml:space="preserve">Blumenthal, J.A. et al. (2020) ‘Depression and cardiac outcomes’, </w:t>
      </w:r>
      <w:r>
        <w:rPr>
          <w:rStyle w:val="Emphasis"/>
        </w:rPr>
        <w:t>Circulation</w:t>
      </w:r>
      <w:r>
        <w:t>, 142(3), pp. 240–248. Accessed 4 June 2026.</w:t>
      </w:r>
    </w:p>
    <w:p w14:paraId="23DDB17A" w14:textId="77777777" w:rsidR="001E1CCB" w:rsidRDefault="001E1CCB" w:rsidP="001E1CCB">
      <w:pPr>
        <w:pStyle w:val="NormalWeb"/>
      </w:pPr>
      <w:r>
        <w:t xml:space="preserve">Boland, A., Cherry, M. &amp; Dickson, R. (2017) </w:t>
      </w:r>
      <w:r>
        <w:rPr>
          <w:rStyle w:val="Emphasis"/>
        </w:rPr>
        <w:t>Doing a Systematic Review</w:t>
      </w:r>
      <w:r>
        <w:t>. London: SAGE. Accessed 9 June 2026.</w:t>
      </w:r>
    </w:p>
    <w:p w14:paraId="0AEE67D2" w14:textId="77777777" w:rsidR="001E1CCB" w:rsidRDefault="001E1CCB" w:rsidP="001E1CCB">
      <w:pPr>
        <w:pStyle w:val="NormalWeb"/>
      </w:pPr>
      <w:r>
        <w:t xml:space="preserve">Booth, A., Sutton, A. &amp; </w:t>
      </w:r>
      <w:proofErr w:type="spellStart"/>
      <w:r>
        <w:t>Papaioannou</w:t>
      </w:r>
      <w:proofErr w:type="spellEnd"/>
      <w:r>
        <w:t xml:space="preserve">, D. (2016) </w:t>
      </w:r>
      <w:r>
        <w:rPr>
          <w:rStyle w:val="Emphasis"/>
        </w:rPr>
        <w:t>Systematic Approaches to a Successful Literature Review</w:t>
      </w:r>
      <w:r>
        <w:t>. London: SAGE. Accessed 2 June 2026.</w:t>
      </w:r>
    </w:p>
    <w:p w14:paraId="7711963D" w14:textId="77777777" w:rsidR="001E1CCB" w:rsidRDefault="001E1CCB" w:rsidP="001E1CCB">
      <w:pPr>
        <w:pStyle w:val="NormalWeb"/>
      </w:pPr>
      <w:r>
        <w:lastRenderedPageBreak/>
        <w:t xml:space="preserve">Booth, A., Sutton, A. &amp; </w:t>
      </w:r>
      <w:proofErr w:type="spellStart"/>
      <w:r>
        <w:t>Papaioannou</w:t>
      </w:r>
      <w:proofErr w:type="spellEnd"/>
      <w:r>
        <w:t xml:space="preserve">, D. (2021) </w:t>
      </w:r>
      <w:r>
        <w:rPr>
          <w:rStyle w:val="Emphasis"/>
        </w:rPr>
        <w:t>Systematic Approaches to a Successful Literature Review</w:t>
      </w:r>
      <w:r>
        <w:t xml:space="preserve">. 2nd </w:t>
      </w:r>
      <w:proofErr w:type="spellStart"/>
      <w:r>
        <w:t>edn</w:t>
      </w:r>
      <w:proofErr w:type="spellEnd"/>
      <w:r>
        <w:t>. London: SAGE. Accessed 1 June 2026.</w:t>
      </w:r>
    </w:p>
    <w:p w14:paraId="78BD8FC7" w14:textId="77777777" w:rsidR="001E1CCB" w:rsidRDefault="001E1CCB" w:rsidP="001E1CCB">
      <w:pPr>
        <w:pStyle w:val="NormalWeb"/>
      </w:pPr>
      <w:r>
        <w:t xml:space="preserve">Bowleg, L. (2021) ‘The problem with the phrase “women and minorities”’, </w:t>
      </w:r>
      <w:r>
        <w:rPr>
          <w:rStyle w:val="Emphasis"/>
        </w:rPr>
        <w:t>American Journal of Public Health</w:t>
      </w:r>
      <w:r>
        <w:t>, 111(1), pp. 10–12. Accessed 10 June 2026.</w:t>
      </w:r>
    </w:p>
    <w:p w14:paraId="1B41BB9B" w14:textId="77777777" w:rsidR="001E1CCB" w:rsidRDefault="001E1CCB" w:rsidP="001E1CCB">
      <w:pPr>
        <w:pStyle w:val="NormalWeb"/>
      </w:pPr>
      <w:r>
        <w:t xml:space="preserve">Brook, R.D. et al. (2020) ‘Air pollution and cardiovascular disease’, </w:t>
      </w:r>
      <w:r>
        <w:rPr>
          <w:rStyle w:val="Emphasis"/>
        </w:rPr>
        <w:t>Circulation</w:t>
      </w:r>
      <w:r>
        <w:t>, 121(21), pp. 2331–2378. Accessed 8 June 2026.</w:t>
      </w:r>
    </w:p>
    <w:p w14:paraId="43C6FBF4" w14:textId="77777777" w:rsidR="001E1CCB" w:rsidRDefault="001E1CCB" w:rsidP="001E1CCB">
      <w:pPr>
        <w:pStyle w:val="NormalWeb"/>
      </w:pPr>
      <w:r>
        <w:t xml:space="preserve">Brown, T. et al. (2022) ‘Social determinants in cardiovascular disease prevention’, </w:t>
      </w:r>
      <w:r>
        <w:rPr>
          <w:rStyle w:val="Emphasis"/>
        </w:rPr>
        <w:t>Lancet Public Health</w:t>
      </w:r>
      <w:r>
        <w:t>, 7(3), pp. e234–e245. Accessed 9 June 2026.</w:t>
      </w:r>
    </w:p>
    <w:p w14:paraId="375B5E35" w14:textId="132C25B9" w:rsidR="001E1CCB" w:rsidRDefault="001E1CCB" w:rsidP="001E1CCB">
      <w:pPr>
        <w:pStyle w:val="NormalWeb"/>
      </w:pPr>
      <w:r>
        <w:t xml:space="preserve">Bryman, A. (2016) </w:t>
      </w:r>
      <w:r>
        <w:rPr>
          <w:rStyle w:val="Emphasis"/>
        </w:rPr>
        <w:t>Social Research Methods</w:t>
      </w:r>
      <w:r>
        <w:t xml:space="preserve">. 5th </w:t>
      </w:r>
      <w:proofErr w:type="spellStart"/>
      <w:r>
        <w:t>edn</w:t>
      </w:r>
      <w:proofErr w:type="spellEnd"/>
      <w:r>
        <w:t>. Oxford: Oxford University Press. Accessed 3 June 2026.</w:t>
      </w:r>
    </w:p>
    <w:p w14:paraId="4739E7E0" w14:textId="77777777" w:rsidR="001E1CCB" w:rsidRDefault="001E1CCB" w:rsidP="001E1CCB">
      <w:pPr>
        <w:pStyle w:val="NormalWeb"/>
      </w:pPr>
      <w:r>
        <w:t xml:space="preserve">CASP (2018) </w:t>
      </w:r>
      <w:r>
        <w:rPr>
          <w:rStyle w:val="Emphasis"/>
        </w:rPr>
        <w:t>Critical Appraisal Skills Programme Checklists</w:t>
      </w:r>
      <w:r>
        <w:t xml:space="preserve">. Available at: </w:t>
      </w:r>
      <w:hyperlink r:id="rId9" w:tgtFrame="_blank" w:tooltip="casp-uk.net" w:history="1">
        <w:r>
          <w:rPr>
            <w:rStyle w:val="Hyperlink"/>
            <w:rFonts w:eastAsiaTheme="majorEastAsia"/>
          </w:rPr>
          <w:t>https://casp-uk.net</w:t>
        </w:r>
      </w:hyperlink>
      <w:r>
        <w:t xml:space="preserve"> (Accessed 4 June 2026).</w:t>
      </w:r>
    </w:p>
    <w:p w14:paraId="1381674D" w14:textId="77777777" w:rsidR="001E1CCB" w:rsidRDefault="001E1CCB" w:rsidP="001E1CCB">
      <w:pPr>
        <w:pStyle w:val="NormalWeb"/>
      </w:pPr>
      <w:r>
        <w:t xml:space="preserve">Chan, D. et al. (2021) ‘Frailty and CR dropout’, </w:t>
      </w:r>
      <w:r>
        <w:rPr>
          <w:rStyle w:val="Emphasis"/>
        </w:rPr>
        <w:t>European Journal of Cardiovascular Nursing</w:t>
      </w:r>
      <w:r>
        <w:t>, 20(7), pp. 635–643. Accessed 7 June 2026.</w:t>
      </w:r>
    </w:p>
    <w:p w14:paraId="6664B02A" w14:textId="77777777" w:rsidR="001E1CCB" w:rsidRDefault="001E1CCB" w:rsidP="001E1CCB">
      <w:pPr>
        <w:pStyle w:val="NormalWeb"/>
      </w:pPr>
      <w:r>
        <w:t xml:space="preserve">Clark, A.M. et al. (2013) ‘Barriers to cardiac rehabilitation’, </w:t>
      </w:r>
      <w:r>
        <w:rPr>
          <w:rStyle w:val="Emphasis"/>
        </w:rPr>
        <w:t>Journal of Clinical Nursing</w:t>
      </w:r>
      <w:r>
        <w:t>, 22(1–2), pp. 1–10. Accessed 5 June 2026.</w:t>
      </w:r>
    </w:p>
    <w:p w14:paraId="3FC72821" w14:textId="77777777" w:rsidR="001E1CCB" w:rsidRDefault="001E1CCB" w:rsidP="001E1CCB">
      <w:pPr>
        <w:pStyle w:val="NormalWeb"/>
      </w:pPr>
      <w:r>
        <w:t xml:space="preserve">Clark, A.M. et al. (2021) ‘Psychosocial barriers to CR’, </w:t>
      </w:r>
      <w:r>
        <w:rPr>
          <w:rStyle w:val="Emphasis"/>
        </w:rPr>
        <w:t>European Journal of Cardiovascular Nursing</w:t>
      </w:r>
      <w:r>
        <w:t>, 20(5), pp. 456–465. Accessed 6 June 2026.</w:t>
      </w:r>
    </w:p>
    <w:p w14:paraId="565B50E7" w14:textId="77777777" w:rsidR="001E1CCB" w:rsidRDefault="001E1CCB" w:rsidP="001E1CCB">
      <w:pPr>
        <w:pStyle w:val="NormalWeb"/>
      </w:pPr>
      <w:r>
        <w:t xml:space="preserve">Clegg, A. et al. (2013) ‘Frailty in older people’, </w:t>
      </w:r>
      <w:r>
        <w:rPr>
          <w:rStyle w:val="Emphasis"/>
        </w:rPr>
        <w:t>The Lancet</w:t>
      </w:r>
      <w:r>
        <w:t>, 381(9868), pp. 752–762. Accessed 8 June 2026.</w:t>
      </w:r>
    </w:p>
    <w:p w14:paraId="083BA2BC" w14:textId="77777777" w:rsidR="001E1CCB" w:rsidRDefault="001E1CCB" w:rsidP="001E1CCB">
      <w:pPr>
        <w:pStyle w:val="NormalWeb"/>
      </w:pPr>
      <w:r>
        <w:t xml:space="preserve">Creswell, J.W. &amp; Creswell, J.D. (2018) </w:t>
      </w:r>
      <w:r>
        <w:rPr>
          <w:rStyle w:val="Emphasis"/>
        </w:rPr>
        <w:t>Research Design</w:t>
      </w:r>
      <w:r>
        <w:t xml:space="preserve">. 5th </w:t>
      </w:r>
      <w:proofErr w:type="spellStart"/>
      <w:r>
        <w:t>edn</w:t>
      </w:r>
      <w:proofErr w:type="spellEnd"/>
      <w:r>
        <w:t>. London: SAGE. Accessed 9 June 2026.</w:t>
      </w:r>
    </w:p>
    <w:p w14:paraId="668F46D5" w14:textId="10216989" w:rsidR="001E1CCB" w:rsidRDefault="001E1CCB" w:rsidP="001E1CCB">
      <w:pPr>
        <w:pStyle w:val="NormalWeb"/>
      </w:pPr>
      <w:r>
        <w:t xml:space="preserve">Crotty, M. (1998) </w:t>
      </w:r>
      <w:r>
        <w:rPr>
          <w:rStyle w:val="Emphasis"/>
        </w:rPr>
        <w:t>The Foundations of Social Research</w:t>
      </w:r>
      <w:r>
        <w:t>. London: SAGE. Accessed 10 June 2026.</w:t>
      </w:r>
    </w:p>
    <w:p w14:paraId="219D3B76" w14:textId="77777777" w:rsidR="001E1CCB" w:rsidRDefault="001E1CCB" w:rsidP="001E1CCB">
      <w:pPr>
        <w:pStyle w:val="NormalWeb"/>
      </w:pPr>
      <w:proofErr w:type="spellStart"/>
      <w:r>
        <w:t>Dalal</w:t>
      </w:r>
      <w:proofErr w:type="spellEnd"/>
      <w:r>
        <w:t>, H.M. et al. (2015) ‘Home</w:t>
      </w:r>
      <w:r>
        <w:noBreakHyphen/>
        <w:t>based versus centre</w:t>
      </w:r>
      <w:r>
        <w:noBreakHyphen/>
        <w:t xml:space="preserve">based cardiac rehabilitation’, </w:t>
      </w:r>
      <w:r>
        <w:rPr>
          <w:rStyle w:val="Emphasis"/>
        </w:rPr>
        <w:t>BMJ</w:t>
      </w:r>
      <w:r>
        <w:t>, 351, pp. 1–10. Accessed 3 June 2026.</w:t>
      </w:r>
    </w:p>
    <w:p w14:paraId="27FEEECB" w14:textId="77777777" w:rsidR="001E1CCB" w:rsidRDefault="001E1CCB" w:rsidP="001E1CCB">
      <w:pPr>
        <w:pStyle w:val="NormalWeb"/>
      </w:pPr>
      <w:proofErr w:type="spellStart"/>
      <w:r>
        <w:t>Dalal</w:t>
      </w:r>
      <w:proofErr w:type="spellEnd"/>
      <w:r>
        <w:t xml:space="preserve">, H.M. et al. (2019) ‘Patient experiences of cardiac rehabilitation’, </w:t>
      </w:r>
      <w:r>
        <w:rPr>
          <w:rStyle w:val="Emphasis"/>
        </w:rPr>
        <w:t>Heart</w:t>
      </w:r>
      <w:r>
        <w:t>, 105(2), pp. 133–139. Accessed 6 June 2026.</w:t>
      </w:r>
    </w:p>
    <w:p w14:paraId="7A1B9BD0" w14:textId="77777777" w:rsidR="001E1CCB" w:rsidRDefault="001E1CCB" w:rsidP="001E1CCB">
      <w:pPr>
        <w:pStyle w:val="NormalWeb"/>
      </w:pPr>
      <w:r>
        <w:t xml:space="preserve">Dibben, G. et al. (2021) ‘Cardiac rehabilitation and mortality’, </w:t>
      </w:r>
      <w:r>
        <w:rPr>
          <w:rStyle w:val="Emphasis"/>
        </w:rPr>
        <w:t>European Journal of Preventive Cardiology</w:t>
      </w:r>
      <w:r>
        <w:t>, 28(15), pp. 1693–1704. Accessed 7 June 2026.</w:t>
      </w:r>
    </w:p>
    <w:p w14:paraId="10357200" w14:textId="77777777" w:rsidR="001E1CCB" w:rsidRDefault="001E1CCB" w:rsidP="001E1CCB">
      <w:pPr>
        <w:pStyle w:val="NormalWeb"/>
      </w:pPr>
      <w:proofErr w:type="spellStart"/>
      <w:r>
        <w:t>Dharmarajan</w:t>
      </w:r>
      <w:proofErr w:type="spellEnd"/>
      <w:r>
        <w:t xml:space="preserve">, K. et al. (2013) ‘Readmission after heart failure’, </w:t>
      </w:r>
      <w:r>
        <w:rPr>
          <w:rStyle w:val="Emphasis"/>
        </w:rPr>
        <w:t>JAMA</w:t>
      </w:r>
      <w:r>
        <w:t>, 309(4), pp. 355–363. Accessed 4 June 2026.</w:t>
      </w:r>
    </w:p>
    <w:p w14:paraId="1187FF4D" w14:textId="6DCE0BFC" w:rsidR="001E1CCB" w:rsidRDefault="001E1CCB" w:rsidP="001E1CCB">
      <w:pPr>
        <w:pStyle w:val="NormalWeb"/>
      </w:pPr>
      <w:r>
        <w:t>Doherty, P. et al. (2020) ‘Predictors of CR non</w:t>
      </w:r>
      <w:r>
        <w:noBreakHyphen/>
        <w:t xml:space="preserve">completion’, </w:t>
      </w:r>
      <w:r>
        <w:rPr>
          <w:rStyle w:val="Emphasis"/>
        </w:rPr>
        <w:t>Open Heart</w:t>
      </w:r>
      <w:r>
        <w:t>, 7(1), e001234. Accessed 5 June 2026.</w:t>
      </w:r>
    </w:p>
    <w:p w14:paraId="79FE56AF" w14:textId="5E0D2C77" w:rsidR="001E1CCB" w:rsidRDefault="001E1CCB" w:rsidP="001E1CCB">
      <w:pPr>
        <w:pStyle w:val="NormalWeb"/>
      </w:pPr>
      <w:r>
        <w:lastRenderedPageBreak/>
        <w:t xml:space="preserve">ESC (2021) </w:t>
      </w:r>
      <w:r>
        <w:rPr>
          <w:rStyle w:val="Emphasis"/>
        </w:rPr>
        <w:t>European Society of Cardiology Guidelines for Secondary Prevention</w:t>
      </w:r>
      <w:r>
        <w:t xml:space="preserve">. Available at: </w:t>
      </w:r>
      <w:hyperlink r:id="rId10" w:tgtFrame="_blank" w:tooltip="www.escardio.org" w:history="1">
        <w:r>
          <w:rPr>
            <w:rStyle w:val="Hyperlink"/>
            <w:rFonts w:eastAsiaTheme="majorEastAsia"/>
          </w:rPr>
          <w:t>https://www.escardio.org</w:t>
        </w:r>
      </w:hyperlink>
      <w:r>
        <w:t xml:space="preserve"> (Accessed 2 June 2026).</w:t>
      </w:r>
    </w:p>
    <w:p w14:paraId="2D507AED" w14:textId="77777777" w:rsidR="001E1CCB" w:rsidRDefault="001E1CCB" w:rsidP="001E1CCB">
      <w:pPr>
        <w:pStyle w:val="NormalWeb"/>
      </w:pPr>
      <w:proofErr w:type="spellStart"/>
      <w:r>
        <w:t>Galdas</w:t>
      </w:r>
      <w:proofErr w:type="spellEnd"/>
      <w:r>
        <w:t xml:space="preserve">, P.M. et al. (2018) ‘Gender and ethnic differences in CR participation’, </w:t>
      </w:r>
      <w:r>
        <w:rPr>
          <w:rStyle w:val="Emphasis"/>
        </w:rPr>
        <w:t>Open Heart</w:t>
      </w:r>
      <w:r>
        <w:t>, 5(1), e000764. Accessed 8 June 2026.</w:t>
      </w:r>
    </w:p>
    <w:p w14:paraId="0388999D" w14:textId="77777777" w:rsidR="001E1CCB" w:rsidRDefault="001E1CCB" w:rsidP="001E1CCB">
      <w:pPr>
        <w:pStyle w:val="NormalWeb"/>
      </w:pPr>
      <w:proofErr w:type="spellStart"/>
      <w:r>
        <w:t>Gellad</w:t>
      </w:r>
      <w:proofErr w:type="spellEnd"/>
      <w:r>
        <w:t xml:space="preserve">, W.F. et al. (2021) ‘Polypharmacy and readmission risk’, </w:t>
      </w:r>
      <w:r>
        <w:rPr>
          <w:rStyle w:val="Emphasis"/>
        </w:rPr>
        <w:t>JAMA Internal Medicine</w:t>
      </w:r>
      <w:r>
        <w:t>, 181(4), pp. 478–486. Accessed 9 June 2026.</w:t>
      </w:r>
    </w:p>
    <w:p w14:paraId="2A79C266" w14:textId="77777777" w:rsidR="001E1CCB" w:rsidRDefault="001E1CCB" w:rsidP="001E1CCB">
      <w:pPr>
        <w:pStyle w:val="NormalWeb"/>
      </w:pPr>
      <w:r>
        <w:t xml:space="preserve">Greenhalgh, T. (2019) </w:t>
      </w:r>
      <w:r>
        <w:rPr>
          <w:rStyle w:val="Emphasis"/>
        </w:rPr>
        <w:t>How to Read a Paper</w:t>
      </w:r>
      <w:r>
        <w:t xml:space="preserve">. 6th </w:t>
      </w:r>
      <w:proofErr w:type="spellStart"/>
      <w:r>
        <w:t>edn</w:t>
      </w:r>
      <w:proofErr w:type="spellEnd"/>
      <w:r>
        <w:t>. London: Wiley. Accessed 10 June 2026.</w:t>
      </w:r>
    </w:p>
    <w:p w14:paraId="1D46CEDE" w14:textId="1E8C3D2D" w:rsidR="001E1CCB" w:rsidRDefault="001E1CCB" w:rsidP="001E1CCB">
      <w:pPr>
        <w:pStyle w:val="NormalWeb"/>
      </w:pPr>
      <w:r>
        <w:t xml:space="preserve">Greenhalgh, T. et al. (2023) ‘How to read a public health paper’, </w:t>
      </w:r>
      <w:r>
        <w:rPr>
          <w:rStyle w:val="Emphasis"/>
        </w:rPr>
        <w:t>BMJ</w:t>
      </w:r>
      <w:r>
        <w:t>, 380, pp. 1–10. Accessed 7 June 2026.</w:t>
      </w:r>
    </w:p>
    <w:p w14:paraId="407ACDAD" w14:textId="77777777" w:rsidR="001E1CCB" w:rsidRDefault="001E1CCB" w:rsidP="001E1CCB">
      <w:pPr>
        <w:pStyle w:val="NormalWeb"/>
      </w:pPr>
      <w:r>
        <w:t xml:space="preserve">Hale, T. et al. (2022) ‘Digital inequalities in older adults’, </w:t>
      </w:r>
      <w:r>
        <w:rPr>
          <w:rStyle w:val="Emphasis"/>
        </w:rPr>
        <w:t>Gerontology</w:t>
      </w:r>
      <w:r>
        <w:t>, 68(5), pp. 543–552. Accessed 6 June 2026.</w:t>
      </w:r>
    </w:p>
    <w:p w14:paraId="42313413" w14:textId="77777777" w:rsidR="001E1CCB" w:rsidRDefault="001E1CCB" w:rsidP="001E1CCB">
      <w:pPr>
        <w:pStyle w:val="NormalWeb"/>
      </w:pPr>
      <w:proofErr w:type="spellStart"/>
      <w:r>
        <w:t>Hargittai</w:t>
      </w:r>
      <w:proofErr w:type="spellEnd"/>
      <w:r>
        <w:t xml:space="preserve">, E. et al. (2021) ‘Digital inequality in health’, </w:t>
      </w:r>
      <w:r>
        <w:rPr>
          <w:rStyle w:val="Emphasis"/>
        </w:rPr>
        <w:t>Journal of Medical Internet Research</w:t>
      </w:r>
      <w:r>
        <w:t>, 23(4), e24955. Accessed 5 June 2026.</w:t>
      </w:r>
    </w:p>
    <w:p w14:paraId="74A788A7" w14:textId="77777777" w:rsidR="001E1CCB" w:rsidRDefault="001E1CCB" w:rsidP="001E1CCB">
      <w:pPr>
        <w:pStyle w:val="NormalWeb"/>
      </w:pPr>
      <w:proofErr w:type="spellStart"/>
      <w:r>
        <w:t>Heran</w:t>
      </w:r>
      <w:proofErr w:type="spellEnd"/>
      <w:r>
        <w:t>, B. et al. (2011) ‘Exercise</w:t>
      </w:r>
      <w:r>
        <w:noBreakHyphen/>
        <w:t xml:space="preserve">based cardiac rehabilitation’, </w:t>
      </w:r>
      <w:r>
        <w:rPr>
          <w:rStyle w:val="Emphasis"/>
        </w:rPr>
        <w:t>Cochrane Database of Systematic Reviews</w:t>
      </w:r>
      <w:r>
        <w:t>, Issue 7. Accessed 4 June 2026.</w:t>
      </w:r>
    </w:p>
    <w:p w14:paraId="59C06AC2" w14:textId="0F0F6D91" w:rsidR="001E1CCB" w:rsidRDefault="001E1CCB" w:rsidP="001E1CCB">
      <w:pPr>
        <w:pStyle w:val="NormalWeb"/>
      </w:pPr>
      <w:r>
        <w:t xml:space="preserve">Higgins, J.P.T. et al. (2022) </w:t>
      </w:r>
      <w:r>
        <w:rPr>
          <w:rStyle w:val="Emphasis"/>
        </w:rPr>
        <w:t>Cochrane Handbook for Systematic Reviews of Interventions</w:t>
      </w:r>
      <w:r>
        <w:t>. Version 6.3. Accessed 8 June 2026.</w:t>
      </w:r>
    </w:p>
    <w:p w14:paraId="45CC76EF" w14:textId="77777777" w:rsidR="001E1CCB" w:rsidRDefault="001E1CCB" w:rsidP="001E1CCB">
      <w:pPr>
        <w:pStyle w:val="NormalWeb"/>
      </w:pPr>
      <w:r>
        <w:t xml:space="preserve">Jolly, K. et al. (2021) ‘Ethnic disparities in cardiac rehabilitation’, </w:t>
      </w:r>
      <w:r>
        <w:rPr>
          <w:rStyle w:val="Emphasis"/>
        </w:rPr>
        <w:t>Heart</w:t>
      </w:r>
      <w:r>
        <w:t>, 107(4), pp. 307–314. Accessed 9 June 2026.</w:t>
      </w:r>
    </w:p>
    <w:p w14:paraId="7DD988E5" w14:textId="2947394C" w:rsidR="001E1CCB" w:rsidRDefault="001E1CCB" w:rsidP="001E1CCB">
      <w:pPr>
        <w:pStyle w:val="NormalWeb"/>
      </w:pPr>
      <w:r>
        <w:t xml:space="preserve">Jones, J. et al. (2022) ‘Improving referral pathways for CR’, </w:t>
      </w:r>
      <w:r>
        <w:rPr>
          <w:rStyle w:val="Emphasis"/>
        </w:rPr>
        <w:t>British Journal of Cardiology</w:t>
      </w:r>
      <w:r>
        <w:t>, 29(4), pp. 1–8. Accessed 6 June 2026.</w:t>
      </w:r>
    </w:p>
    <w:p w14:paraId="1D65B281" w14:textId="77777777" w:rsidR="001E1CCB" w:rsidRDefault="001E1CCB" w:rsidP="001E1CCB">
      <w:pPr>
        <w:pStyle w:val="NormalWeb"/>
      </w:pPr>
      <w:proofErr w:type="spellStart"/>
      <w:r>
        <w:t>Kabboul</w:t>
      </w:r>
      <w:proofErr w:type="spellEnd"/>
      <w:r>
        <w:t xml:space="preserve">, N. et al. (2018) ‘Educational interventions in CR’, </w:t>
      </w:r>
      <w:r>
        <w:rPr>
          <w:rStyle w:val="Emphasis"/>
        </w:rPr>
        <w:t>BMJ Open</w:t>
      </w:r>
      <w:r>
        <w:t>, 8(3), e019756. Accessed 7 June 2026.</w:t>
      </w:r>
    </w:p>
    <w:p w14:paraId="617DB556" w14:textId="77777777" w:rsidR="001E1CCB" w:rsidRDefault="001E1CCB" w:rsidP="001E1CCB">
      <w:pPr>
        <w:pStyle w:val="NormalWeb"/>
      </w:pPr>
      <w:proofErr w:type="spellStart"/>
      <w:r>
        <w:t>Kachur</w:t>
      </w:r>
      <w:proofErr w:type="spellEnd"/>
      <w:r>
        <w:t xml:space="preserve">, S. et al. (2019) ‘Physiological improvements in CR’, </w:t>
      </w:r>
      <w:r>
        <w:rPr>
          <w:rStyle w:val="Emphasis"/>
        </w:rPr>
        <w:t>Progress in Cardiovascular Diseases</w:t>
      </w:r>
      <w:r>
        <w:t>, 62(2), pp. 152–158. Accessed 5 June 2026.</w:t>
      </w:r>
    </w:p>
    <w:p w14:paraId="2B1959D0" w14:textId="18E637A9" w:rsidR="001E1CCB" w:rsidRDefault="001E1CCB" w:rsidP="001E1CCB">
      <w:pPr>
        <w:pStyle w:val="NormalWeb"/>
      </w:pPr>
      <w:proofErr w:type="spellStart"/>
      <w:r>
        <w:t>Kociol</w:t>
      </w:r>
      <w:proofErr w:type="spellEnd"/>
      <w:r>
        <w:t>, R.D. et al. (2020) ‘Readmission and long</w:t>
      </w:r>
      <w:r>
        <w:noBreakHyphen/>
        <w:t xml:space="preserve">term outcomes in heart failure’, </w:t>
      </w:r>
      <w:r>
        <w:rPr>
          <w:rStyle w:val="Emphasis"/>
        </w:rPr>
        <w:t>JACC</w:t>
      </w:r>
      <w:r>
        <w:t>, 75(1), pp. 1–14. Accessed 3 June 2026.</w:t>
      </w:r>
    </w:p>
    <w:p w14:paraId="72358F7B" w14:textId="5A8B6781" w:rsidR="001E1CCB" w:rsidRDefault="001E1CCB" w:rsidP="001E1CCB">
      <w:pPr>
        <w:pStyle w:val="NormalWeb"/>
      </w:pPr>
      <w:proofErr w:type="spellStart"/>
      <w:r>
        <w:t>Lavie</w:t>
      </w:r>
      <w:proofErr w:type="spellEnd"/>
      <w:r>
        <w:t xml:space="preserve">, C.J. et al. (2020) ‘Impact of CR on depression’, </w:t>
      </w:r>
      <w:r>
        <w:rPr>
          <w:rStyle w:val="Emphasis"/>
        </w:rPr>
        <w:t>American Journal of Medicine</w:t>
      </w:r>
      <w:r>
        <w:t>, 133(2), pp. 142–148. Accessed 4 June 2026.</w:t>
      </w:r>
    </w:p>
    <w:p w14:paraId="0BCE67CF" w14:textId="77777777" w:rsidR="001E1CCB" w:rsidRDefault="001E1CCB" w:rsidP="001E1CCB">
      <w:pPr>
        <w:pStyle w:val="NormalWeb"/>
      </w:pPr>
      <w:r>
        <w:t xml:space="preserve">Marmot, M. et al. (2020) </w:t>
      </w:r>
      <w:r>
        <w:rPr>
          <w:rStyle w:val="Emphasis"/>
        </w:rPr>
        <w:t>Health Equity in England: The Marmot Review 10 Years On</w:t>
      </w:r>
      <w:r>
        <w:t>. London: Institute of Health Equity. Accessed 8 June 2026.</w:t>
      </w:r>
    </w:p>
    <w:p w14:paraId="08712913" w14:textId="77777777" w:rsidR="001E1CCB" w:rsidRDefault="001E1CCB" w:rsidP="001E1CCB">
      <w:pPr>
        <w:pStyle w:val="NormalWeb"/>
      </w:pPr>
      <w:proofErr w:type="spellStart"/>
      <w:r>
        <w:t>Manandhar</w:t>
      </w:r>
      <w:proofErr w:type="spellEnd"/>
      <w:r>
        <w:t xml:space="preserve">, P. et al. (2025) ‘Socioeconomic variation in CR outcomes’, </w:t>
      </w:r>
      <w:r>
        <w:rPr>
          <w:rStyle w:val="Emphasis"/>
        </w:rPr>
        <w:t>Open Heart</w:t>
      </w:r>
      <w:r>
        <w:t>, 12(1). Accessed 9 June 2026.</w:t>
      </w:r>
    </w:p>
    <w:p w14:paraId="78416C34" w14:textId="77777777" w:rsidR="001E1CCB" w:rsidRDefault="001E1CCB" w:rsidP="001E1CCB">
      <w:pPr>
        <w:pStyle w:val="NormalWeb"/>
      </w:pPr>
      <w:r>
        <w:lastRenderedPageBreak/>
        <w:t xml:space="preserve">McAllister, J. et al. (2025) ‘Disparities in CR participation’, </w:t>
      </w:r>
      <w:r>
        <w:rPr>
          <w:rStyle w:val="Emphasis"/>
        </w:rPr>
        <w:t>European Journal of Preventive Cardiology</w:t>
      </w:r>
      <w:r>
        <w:t>. Accessed 6 June 2026.</w:t>
      </w:r>
    </w:p>
    <w:p w14:paraId="00E110D6" w14:textId="77777777" w:rsidR="001E1CCB" w:rsidRDefault="001E1CCB" w:rsidP="001E1CCB">
      <w:pPr>
        <w:pStyle w:val="NormalWeb"/>
      </w:pPr>
      <w:r>
        <w:t xml:space="preserve">McAllister, J. et al. (2026) ‘Health inequalities in CR’, </w:t>
      </w:r>
      <w:r>
        <w:rPr>
          <w:rStyle w:val="Emphasis"/>
        </w:rPr>
        <w:t>European Journal of Preventive Cardiology</w:t>
      </w:r>
      <w:r>
        <w:t>. Accessed 10 June 2026.</w:t>
      </w:r>
    </w:p>
    <w:p w14:paraId="554FA4A7" w14:textId="77777777" w:rsidR="001E1CCB" w:rsidRDefault="001E1CCB" w:rsidP="001E1CCB">
      <w:pPr>
        <w:pStyle w:val="NormalWeb"/>
      </w:pPr>
      <w:r>
        <w:t xml:space="preserve">Mensah, G.A. et al. (2021) ‘Health disparities in cardiovascular disease’, </w:t>
      </w:r>
      <w:r>
        <w:rPr>
          <w:rStyle w:val="Emphasis"/>
        </w:rPr>
        <w:t>Circulation Research</w:t>
      </w:r>
      <w:r>
        <w:t>, 128(1), pp. 113–132. Accessed 7 June 2026.</w:t>
      </w:r>
    </w:p>
    <w:p w14:paraId="3BEC4EC9" w14:textId="1CE153B5" w:rsidR="001E1CCB" w:rsidRDefault="001E1CCB" w:rsidP="001E1CCB">
      <w:pPr>
        <w:pStyle w:val="NormalWeb"/>
      </w:pPr>
      <w:r>
        <w:t xml:space="preserve">Morgan, D. (2014) </w:t>
      </w:r>
      <w:r>
        <w:rPr>
          <w:rStyle w:val="Emphasis"/>
        </w:rPr>
        <w:t>Pragmatism as a Paradigm for Social Research</w:t>
      </w:r>
      <w:r>
        <w:t>. London: SAGE. Accessed 5 June 2026.</w:t>
      </w:r>
    </w:p>
    <w:p w14:paraId="73973BAD" w14:textId="77777777" w:rsidR="001E1CCB" w:rsidRDefault="001E1CCB" w:rsidP="001E1CCB">
      <w:pPr>
        <w:pStyle w:val="NormalWeb"/>
      </w:pPr>
      <w:r>
        <w:t xml:space="preserve">NACR (2022) </w:t>
      </w:r>
      <w:r>
        <w:rPr>
          <w:rStyle w:val="Emphasis"/>
        </w:rPr>
        <w:t>National Audit of Cardiac Rehabilitation Annual Report</w:t>
      </w:r>
      <w:r>
        <w:t>. York: University of York. Accessed 3 June 2026.</w:t>
      </w:r>
    </w:p>
    <w:p w14:paraId="0BD940B4" w14:textId="77777777" w:rsidR="001E1CCB" w:rsidRDefault="001E1CCB" w:rsidP="001E1CCB">
      <w:pPr>
        <w:pStyle w:val="NormalWeb"/>
      </w:pPr>
      <w:r>
        <w:t xml:space="preserve">NACR (2023) </w:t>
      </w:r>
      <w:r>
        <w:rPr>
          <w:rStyle w:val="Emphasis"/>
        </w:rPr>
        <w:t>National Audit of Cardiac Rehabilitation Annual Report</w:t>
      </w:r>
      <w:r>
        <w:t xml:space="preserve">. Available at: </w:t>
      </w:r>
      <w:hyperlink r:id="rId11" w:tgtFrame="_blank" w:tooltip="www.cardiacrehabilitation.org.uk" w:history="1">
        <w:r>
          <w:rPr>
            <w:rStyle w:val="Hyperlink"/>
            <w:rFonts w:eastAsiaTheme="majorEastAsia"/>
          </w:rPr>
          <w:t>https://www.cardiacrehabilitation.org.uk</w:t>
        </w:r>
      </w:hyperlink>
      <w:r>
        <w:t xml:space="preserve"> (Accessed 4 June 2026).</w:t>
      </w:r>
    </w:p>
    <w:p w14:paraId="2893FFC0" w14:textId="77777777" w:rsidR="001E1CCB" w:rsidRDefault="001E1CCB" w:rsidP="001E1CCB">
      <w:pPr>
        <w:pStyle w:val="NormalWeb"/>
      </w:pPr>
      <w:proofErr w:type="spellStart"/>
      <w:r>
        <w:t>Nazroo</w:t>
      </w:r>
      <w:proofErr w:type="spellEnd"/>
      <w:r>
        <w:t xml:space="preserve">, J. et al. (2020) ‘Ethnicity, racism and health inequalities’, </w:t>
      </w:r>
      <w:r>
        <w:rPr>
          <w:rStyle w:val="Emphasis"/>
        </w:rPr>
        <w:t>Social Science &amp; Medicine</w:t>
      </w:r>
      <w:r>
        <w:t>, 258, pp. 113–123. Accessed 8 June 2026.</w:t>
      </w:r>
    </w:p>
    <w:p w14:paraId="50C731BB" w14:textId="77777777" w:rsidR="001E1CCB" w:rsidRDefault="001E1CCB" w:rsidP="001E1CCB">
      <w:pPr>
        <w:pStyle w:val="NormalWeb"/>
      </w:pPr>
      <w:r>
        <w:t xml:space="preserve">Neubeck, L. et al. (2020) ‘Digital health and CR’, </w:t>
      </w:r>
      <w:r>
        <w:rPr>
          <w:rStyle w:val="Emphasis"/>
        </w:rPr>
        <w:t>European Journal of Preventive Cardiology</w:t>
      </w:r>
      <w:r>
        <w:t>, 27(9), pp. 909–917. Accessed 9 June 2026.</w:t>
      </w:r>
    </w:p>
    <w:p w14:paraId="04CBA9A1" w14:textId="77777777" w:rsidR="001E1CCB" w:rsidRDefault="001E1CCB" w:rsidP="001E1CCB">
      <w:pPr>
        <w:pStyle w:val="NormalWeb"/>
      </w:pPr>
      <w:r>
        <w:t xml:space="preserve">NHS Digital (2024) </w:t>
      </w:r>
      <w:r>
        <w:rPr>
          <w:rStyle w:val="Emphasis"/>
        </w:rPr>
        <w:t>Hospital Episode Statistics: Heart Failure Trends</w:t>
      </w:r>
      <w:r>
        <w:t xml:space="preserve">. Available at: </w:t>
      </w:r>
      <w:hyperlink r:id="rId12" w:tgtFrame="_blank" w:tooltip="digital.nhs.uk" w:history="1">
        <w:r>
          <w:rPr>
            <w:rStyle w:val="Hyperlink"/>
            <w:rFonts w:eastAsiaTheme="majorEastAsia"/>
          </w:rPr>
          <w:t>https://digital.nhs.uk</w:t>
        </w:r>
      </w:hyperlink>
      <w:r>
        <w:t xml:space="preserve"> (Accessed 6 June 2026).</w:t>
      </w:r>
    </w:p>
    <w:p w14:paraId="14373F09" w14:textId="77777777" w:rsidR="001E1CCB" w:rsidRDefault="001E1CCB" w:rsidP="001E1CCB">
      <w:pPr>
        <w:pStyle w:val="NormalWeb"/>
      </w:pPr>
      <w:r>
        <w:t xml:space="preserve">NIHR (2019) </w:t>
      </w:r>
      <w:r>
        <w:rPr>
          <w:rStyle w:val="Emphasis"/>
        </w:rPr>
        <w:t>Cardiac Rehabilitation Uptake Report</w:t>
      </w:r>
      <w:r>
        <w:t>. London: NIHR. Accessed 7 June 2026.</w:t>
      </w:r>
    </w:p>
    <w:p w14:paraId="267A02EE" w14:textId="77777777" w:rsidR="001E1CCB" w:rsidRDefault="001E1CCB" w:rsidP="001E1CCB">
      <w:pPr>
        <w:pStyle w:val="NormalWeb"/>
      </w:pPr>
      <w:r>
        <w:t xml:space="preserve">NICE (2018) </w:t>
      </w:r>
      <w:r>
        <w:rPr>
          <w:rStyle w:val="Emphasis"/>
        </w:rPr>
        <w:t>Chronic Heart Disease: Long</w:t>
      </w:r>
      <w:r>
        <w:rPr>
          <w:rStyle w:val="Emphasis"/>
        </w:rPr>
        <w:noBreakHyphen/>
        <w:t>Term Management Guidelines</w:t>
      </w:r>
      <w:r>
        <w:t>. London: NICE. Accessed 5 June 2026.</w:t>
      </w:r>
    </w:p>
    <w:p w14:paraId="31CF22F4" w14:textId="77777777" w:rsidR="001E1CCB" w:rsidRDefault="001E1CCB" w:rsidP="001E1CCB">
      <w:pPr>
        <w:pStyle w:val="NormalWeb"/>
      </w:pPr>
      <w:r>
        <w:t xml:space="preserve">NICE (2023) </w:t>
      </w:r>
      <w:r>
        <w:rPr>
          <w:rStyle w:val="Emphasis"/>
        </w:rPr>
        <w:t>Cardiac Rehabilitation: Clinical Guideline</w:t>
      </w:r>
      <w:r>
        <w:t>. London: NICE. Accessed 10 June 2026.</w:t>
      </w:r>
    </w:p>
    <w:p w14:paraId="3499563D" w14:textId="7E239B23" w:rsidR="001E1CCB" w:rsidRDefault="001E1CCB" w:rsidP="001E1CCB">
      <w:pPr>
        <w:pStyle w:val="NormalWeb"/>
      </w:pPr>
      <w:proofErr w:type="spellStart"/>
      <w:r>
        <w:t>Nieuwlaat</w:t>
      </w:r>
      <w:proofErr w:type="spellEnd"/>
      <w:r>
        <w:t xml:space="preserve">, R. et al. (2014) ‘Medication adherence and cardiovascular outcomes’, </w:t>
      </w:r>
      <w:r>
        <w:rPr>
          <w:rStyle w:val="Emphasis"/>
        </w:rPr>
        <w:t>BMJ</w:t>
      </w:r>
      <w:r>
        <w:t>, 348, g1682. Accessed 4 June 2026.</w:t>
      </w:r>
    </w:p>
    <w:p w14:paraId="798E4117" w14:textId="77777777" w:rsidR="001E1CCB" w:rsidRDefault="001E1CCB" w:rsidP="001E1CCB">
      <w:pPr>
        <w:pStyle w:val="NormalWeb"/>
      </w:pPr>
      <w:r>
        <w:t xml:space="preserve">O’Connor, C. et al. (2021) ‘Integrating social determinants into cardiovascular prevention’, </w:t>
      </w:r>
      <w:r>
        <w:rPr>
          <w:rStyle w:val="Emphasis"/>
        </w:rPr>
        <w:t>Circulation</w:t>
      </w:r>
      <w:r>
        <w:t>, 143(9), pp. 875–887. Accessed 8 June 2026.</w:t>
      </w:r>
    </w:p>
    <w:p w14:paraId="5781C996" w14:textId="0CCFEDEB" w:rsidR="001E1CCB" w:rsidRDefault="001E1CCB" w:rsidP="001E1CCB">
      <w:pPr>
        <w:pStyle w:val="NormalWeb"/>
      </w:pPr>
      <w:r>
        <w:t xml:space="preserve">Open Heart (2025) ‘Cardiac rehabilitation outcomes’, </w:t>
      </w:r>
      <w:r>
        <w:rPr>
          <w:rStyle w:val="Emphasis"/>
        </w:rPr>
        <w:t>Open Heart</w:t>
      </w:r>
      <w:r>
        <w:t>, 12(1), pp. 1–12. Accessed 9 June 2026.</w:t>
      </w:r>
    </w:p>
    <w:p w14:paraId="291F7522" w14:textId="77777777" w:rsidR="001E1CCB" w:rsidRDefault="001E1CCB" w:rsidP="001E1CCB">
      <w:pPr>
        <w:pStyle w:val="NormalWeb"/>
      </w:pPr>
      <w:r>
        <w:t xml:space="preserve">Page, M.J. et al. (2021) ‘PRISMA 2020 explanation and elaboration’, </w:t>
      </w:r>
      <w:r>
        <w:rPr>
          <w:rStyle w:val="Emphasis"/>
        </w:rPr>
        <w:t>BMJ</w:t>
      </w:r>
      <w:r>
        <w:t>, 372, pp. 1–36. Accessed 6 June 2026.</w:t>
      </w:r>
    </w:p>
    <w:p w14:paraId="36DD5392" w14:textId="77777777" w:rsidR="001E1CCB" w:rsidRDefault="001E1CCB" w:rsidP="001E1CCB">
      <w:pPr>
        <w:pStyle w:val="NormalWeb"/>
      </w:pPr>
      <w:r>
        <w:t>Pearson</w:t>
      </w:r>
      <w:r>
        <w:noBreakHyphen/>
      </w:r>
      <w:proofErr w:type="spellStart"/>
      <w:r>
        <w:t>Stuttard</w:t>
      </w:r>
      <w:proofErr w:type="spellEnd"/>
      <w:r>
        <w:t xml:space="preserve">, J. et al. (2021) ‘Neighbourhood deprivation and cardiovascular risk’, </w:t>
      </w:r>
      <w:r>
        <w:rPr>
          <w:rStyle w:val="Emphasis"/>
        </w:rPr>
        <w:t>Lancet Public Health</w:t>
      </w:r>
      <w:r>
        <w:t>, 6(6), pp. e406–e416. Accessed 7 June 2026.</w:t>
      </w:r>
    </w:p>
    <w:p w14:paraId="63DBE70C" w14:textId="77777777" w:rsidR="001E1CCB" w:rsidRDefault="001E1CCB" w:rsidP="001E1CCB">
      <w:pPr>
        <w:pStyle w:val="NormalWeb"/>
      </w:pPr>
      <w:proofErr w:type="spellStart"/>
      <w:r>
        <w:lastRenderedPageBreak/>
        <w:t>Popay</w:t>
      </w:r>
      <w:proofErr w:type="spellEnd"/>
      <w:r>
        <w:t xml:space="preserve">, J. et al. (2006) </w:t>
      </w:r>
      <w:r>
        <w:rPr>
          <w:rStyle w:val="Emphasis"/>
        </w:rPr>
        <w:t>Guidance on Narrative Synthesis in Systematic Reviews</w:t>
      </w:r>
      <w:r>
        <w:t>. Lancaster: ESRC. Accessed 10 June 2026.</w:t>
      </w:r>
    </w:p>
    <w:p w14:paraId="38158DFE" w14:textId="6B3BB580" w:rsidR="001E1CCB" w:rsidRDefault="001E1CCB" w:rsidP="001E1CCB">
      <w:pPr>
        <w:pStyle w:val="NormalWeb"/>
      </w:pPr>
      <w:r>
        <w:t xml:space="preserve">Public Health England (2020) </w:t>
      </w:r>
      <w:r>
        <w:rPr>
          <w:rStyle w:val="Emphasis"/>
        </w:rPr>
        <w:t>Health Inequalities Dashboard</w:t>
      </w:r>
      <w:r>
        <w:t>. London: PHE. Accessed 3 June 2026.</w:t>
      </w:r>
    </w:p>
    <w:p w14:paraId="2DF50AFD" w14:textId="77777777" w:rsidR="001E1CCB" w:rsidRDefault="001E1CCB" w:rsidP="001E1CCB">
      <w:pPr>
        <w:pStyle w:val="NormalWeb"/>
      </w:pPr>
      <w:proofErr w:type="spellStart"/>
      <w:r>
        <w:t>Rawstorn</w:t>
      </w:r>
      <w:proofErr w:type="spellEnd"/>
      <w:r>
        <w:t xml:space="preserve">, J. et al. (2021) ‘Digital cardiac rehabilitation’, </w:t>
      </w:r>
      <w:r>
        <w:rPr>
          <w:rStyle w:val="Emphasis"/>
        </w:rPr>
        <w:t>European Journal of Preventive Cardiology</w:t>
      </w:r>
      <w:r>
        <w:t>, 28(10), pp. 1098–1113. Accessed 8 June 2026.</w:t>
      </w:r>
    </w:p>
    <w:p w14:paraId="2CB34ADA" w14:textId="77777777" w:rsidR="001E1CCB" w:rsidRDefault="001E1CCB" w:rsidP="001E1CCB">
      <w:pPr>
        <w:pStyle w:val="NormalWeb"/>
      </w:pPr>
      <w:proofErr w:type="spellStart"/>
      <w:r>
        <w:t>Resurrección</w:t>
      </w:r>
      <w:proofErr w:type="spellEnd"/>
      <w:r>
        <w:t xml:space="preserve">, D.M. et al. (2017) ‘Barriers to CR participation’, </w:t>
      </w:r>
      <w:r>
        <w:rPr>
          <w:rStyle w:val="Emphasis"/>
        </w:rPr>
        <w:t>Journal of Clinical Nursing</w:t>
      </w:r>
      <w:r>
        <w:t>, 26(23–24), pp. 3893–3904. Accessed 9 June 2026.</w:t>
      </w:r>
    </w:p>
    <w:p w14:paraId="754B56D9" w14:textId="77777777" w:rsidR="001E1CCB" w:rsidRDefault="001E1CCB" w:rsidP="001E1CCB">
      <w:pPr>
        <w:pStyle w:val="NormalWeb"/>
      </w:pPr>
      <w:r>
        <w:t xml:space="preserve">Rosenstock, I.M., </w:t>
      </w:r>
      <w:proofErr w:type="spellStart"/>
      <w:r>
        <w:t>Strecher</w:t>
      </w:r>
      <w:proofErr w:type="spellEnd"/>
      <w:r>
        <w:t xml:space="preserve">, V.J. &amp; Becker, M.H. (1988) ‘Social learning theory and the Health Belief Model’, </w:t>
      </w:r>
      <w:r>
        <w:rPr>
          <w:rStyle w:val="Emphasis"/>
        </w:rPr>
        <w:t>Health Education Quarterly</w:t>
      </w:r>
      <w:r>
        <w:t>, 15(2), pp. 175–183. Accessed 5 June 2026.</w:t>
      </w:r>
    </w:p>
    <w:p w14:paraId="664FB1E0" w14:textId="77777777" w:rsidR="001E1CCB" w:rsidRDefault="001E1CCB" w:rsidP="001E1CCB">
      <w:pPr>
        <w:pStyle w:val="NormalWeb"/>
      </w:pPr>
      <w:r>
        <w:t xml:space="preserve">Roth, G.A. et al. (2020) ‘Global burden of cardiovascular diseases’, </w:t>
      </w:r>
      <w:r>
        <w:rPr>
          <w:rStyle w:val="Emphasis"/>
        </w:rPr>
        <w:t>JACC</w:t>
      </w:r>
      <w:r>
        <w:t>, 76(25), pp. 2982–3021. Accessed 6 June 2026.</w:t>
      </w:r>
    </w:p>
    <w:p w14:paraId="19325AB9" w14:textId="2365DC57" w:rsidR="001E1CCB" w:rsidRDefault="001E1CCB" w:rsidP="001E1CCB">
      <w:pPr>
        <w:pStyle w:val="NormalWeb"/>
      </w:pPr>
      <w:r>
        <w:t xml:space="preserve">Ryan, G. (2022) ‘Positivism in social research’, </w:t>
      </w:r>
      <w:r>
        <w:rPr>
          <w:rStyle w:val="Emphasis"/>
        </w:rPr>
        <w:t>Educational Philosophy and Theory</w:t>
      </w:r>
      <w:r>
        <w:t>, 54(1), pp. 1–10. Accessed 10 June 2026.</w:t>
      </w:r>
    </w:p>
    <w:p w14:paraId="3BCF2820" w14:textId="77777777" w:rsidR="001E1CCB" w:rsidRDefault="001E1CCB" w:rsidP="001E1CCB">
      <w:pPr>
        <w:pStyle w:val="NormalWeb"/>
      </w:pPr>
      <w:r>
        <w:t xml:space="preserve">Saunders, M., Lewis, P. &amp; Thornhill, A. (2023) </w:t>
      </w:r>
      <w:r>
        <w:rPr>
          <w:rStyle w:val="Emphasis"/>
        </w:rPr>
        <w:t>Research Methods for Business Students</w:t>
      </w:r>
      <w:r>
        <w:t xml:space="preserve">. 9th </w:t>
      </w:r>
      <w:proofErr w:type="spellStart"/>
      <w:r>
        <w:t>edn</w:t>
      </w:r>
      <w:proofErr w:type="spellEnd"/>
      <w:r>
        <w:t>. Harlow: Pearson. Accessed 8 June 2026.</w:t>
      </w:r>
    </w:p>
    <w:p w14:paraId="154320F4" w14:textId="77777777" w:rsidR="001E1CCB" w:rsidRDefault="001E1CCB" w:rsidP="001E1CCB">
      <w:pPr>
        <w:pStyle w:val="NormalWeb"/>
      </w:pPr>
      <w:r>
        <w:t xml:space="preserve">Smith, M. et al. (2021) ‘Built environment and cardiovascular health’, </w:t>
      </w:r>
      <w:r>
        <w:rPr>
          <w:rStyle w:val="Emphasis"/>
        </w:rPr>
        <w:t>Journal of Public Health</w:t>
      </w:r>
      <w:r>
        <w:t>, 43(2), pp. 276–285. Accessed 9 June 2026.</w:t>
      </w:r>
    </w:p>
    <w:p w14:paraId="4B53F580" w14:textId="77777777" w:rsidR="001E1CCB" w:rsidRDefault="001E1CCB" w:rsidP="001E1CCB">
      <w:pPr>
        <w:pStyle w:val="NormalWeb"/>
      </w:pPr>
      <w:r>
        <w:t xml:space="preserve">Snyder, H. (2019) ‘Literature review as a research methodology’, </w:t>
      </w:r>
      <w:r>
        <w:rPr>
          <w:rStyle w:val="Emphasis"/>
        </w:rPr>
        <w:t>Journal of Business Research</w:t>
      </w:r>
      <w:r>
        <w:t>, 104, pp. 333–339. Accessed 7 June 2026.</w:t>
      </w:r>
    </w:p>
    <w:p w14:paraId="224EC511" w14:textId="43DBC3EB" w:rsidR="001E1CCB" w:rsidRDefault="001E1CCB" w:rsidP="001E1CCB">
      <w:pPr>
        <w:pStyle w:val="NormalWeb"/>
      </w:pPr>
      <w:r>
        <w:t xml:space="preserve">Sumner, J. et al. (2017) ‘CR completion and outcomes’, </w:t>
      </w:r>
      <w:r>
        <w:rPr>
          <w:rStyle w:val="Emphasis"/>
        </w:rPr>
        <w:t>European Journal of Cardiovascular Nursing</w:t>
      </w:r>
      <w:r>
        <w:t>, 16(8), pp. 681–689. Accessed 6 June 2026.</w:t>
      </w:r>
    </w:p>
    <w:p w14:paraId="42EACF4E" w14:textId="77777777" w:rsidR="001E1CCB" w:rsidRDefault="001E1CCB" w:rsidP="001E1CCB">
      <w:pPr>
        <w:pStyle w:val="NormalWeb"/>
      </w:pPr>
      <w:r>
        <w:t>Taylor, R.S. et al. (2019) ‘Home</w:t>
      </w:r>
      <w:r>
        <w:noBreakHyphen/>
        <w:t>based vs centre</w:t>
      </w:r>
      <w:r>
        <w:noBreakHyphen/>
        <w:t xml:space="preserve">based CR’, </w:t>
      </w:r>
      <w:r>
        <w:rPr>
          <w:rStyle w:val="Emphasis"/>
        </w:rPr>
        <w:t>BMJ</w:t>
      </w:r>
      <w:r>
        <w:t>, 364, pp. 1–12. Accessed 5 June 2026.</w:t>
      </w:r>
    </w:p>
    <w:p w14:paraId="451FAAAB" w14:textId="77777777" w:rsidR="001E1CCB" w:rsidRDefault="001E1CCB" w:rsidP="001E1CCB">
      <w:pPr>
        <w:pStyle w:val="NormalWeb"/>
      </w:pPr>
      <w:r>
        <w:t xml:space="preserve">Thomas, R.J. et al. (2022) ‘Digital cardiac rehabilitation’, </w:t>
      </w:r>
      <w:r>
        <w:rPr>
          <w:rStyle w:val="Emphasis"/>
        </w:rPr>
        <w:t>Circulation</w:t>
      </w:r>
      <w:r>
        <w:t>, 145(24), pp. e1020–e1043. Accessed 4 June 2026.</w:t>
      </w:r>
    </w:p>
    <w:p w14:paraId="6AE338F6" w14:textId="77777777" w:rsidR="001E1CCB" w:rsidRDefault="001E1CCB" w:rsidP="001E1CCB">
      <w:pPr>
        <w:pStyle w:val="NormalWeb"/>
      </w:pPr>
      <w:proofErr w:type="spellStart"/>
      <w:r>
        <w:t>Timmis</w:t>
      </w:r>
      <w:proofErr w:type="spellEnd"/>
      <w:r>
        <w:t xml:space="preserve">, A. et al. (2022) ‘European Heart Health Report’, </w:t>
      </w:r>
      <w:r>
        <w:rPr>
          <w:rStyle w:val="Emphasis"/>
        </w:rPr>
        <w:t>European Heart Journal</w:t>
      </w:r>
      <w:r>
        <w:t>, 43(5), pp. 507–589. Accessed 8 June 2026.</w:t>
      </w:r>
    </w:p>
    <w:p w14:paraId="550CB38B" w14:textId="6727C625" w:rsidR="001E1CCB" w:rsidRDefault="001E1CCB" w:rsidP="001E1CCB">
      <w:pPr>
        <w:pStyle w:val="NormalWeb"/>
      </w:pPr>
      <w:r>
        <w:t>Turk</w:t>
      </w:r>
      <w:r>
        <w:noBreakHyphen/>
      </w:r>
      <w:proofErr w:type="spellStart"/>
      <w:r>
        <w:t>Adawi</w:t>
      </w:r>
      <w:proofErr w:type="spellEnd"/>
      <w:r>
        <w:t xml:space="preserve">, K. et al. (2019) ‘Global CR inequalities’, </w:t>
      </w:r>
      <w:r>
        <w:rPr>
          <w:rStyle w:val="Emphasis"/>
        </w:rPr>
        <w:t>Lancet Global Health</w:t>
      </w:r>
      <w:r>
        <w:t>, 7(7), pp. e871–e882. Accessed 9 June 2026.</w:t>
      </w:r>
    </w:p>
    <w:p w14:paraId="6350CF09" w14:textId="77777777" w:rsidR="001E1CCB" w:rsidRDefault="001E1CCB" w:rsidP="001E1CCB">
      <w:pPr>
        <w:pStyle w:val="NormalWeb"/>
      </w:pPr>
      <w:r>
        <w:t xml:space="preserve">Virani, S.S. et al. (2021) ‘Ethnic disparities in cardiovascular care’, </w:t>
      </w:r>
      <w:r>
        <w:rPr>
          <w:rStyle w:val="Emphasis"/>
        </w:rPr>
        <w:t>Circulation</w:t>
      </w:r>
      <w:r>
        <w:t>, 143(9), pp. e254–e743. Accessed 7 June 2026.</w:t>
      </w:r>
    </w:p>
    <w:p w14:paraId="1F954BE6" w14:textId="665B6595" w:rsidR="001E1CCB" w:rsidRDefault="001E1CCB" w:rsidP="001E1CCB">
      <w:pPr>
        <w:pStyle w:val="NormalWeb"/>
      </w:pPr>
      <w:proofErr w:type="spellStart"/>
      <w:r>
        <w:lastRenderedPageBreak/>
        <w:t>Vromen</w:t>
      </w:r>
      <w:proofErr w:type="spellEnd"/>
      <w:r>
        <w:t xml:space="preserve">, T. et al. (2020) ‘Physiological mechanisms of CR’, </w:t>
      </w:r>
      <w:r>
        <w:rPr>
          <w:rStyle w:val="Emphasis"/>
        </w:rPr>
        <w:t>European Journal of Preventive Cardiology</w:t>
      </w:r>
      <w:r>
        <w:t>, 27(10), pp. 1098–1107. Accessed 6 June 2026.</w:t>
      </w:r>
    </w:p>
    <w:p w14:paraId="3D8D6BD4" w14:textId="77777777" w:rsidR="001E1CCB" w:rsidRDefault="001E1CCB" w:rsidP="001E1CCB">
      <w:pPr>
        <w:pStyle w:val="NormalWeb"/>
      </w:pPr>
      <w:r>
        <w:t xml:space="preserve">WHO (2020) </w:t>
      </w:r>
      <w:r>
        <w:rPr>
          <w:rStyle w:val="Emphasis"/>
        </w:rPr>
        <w:t>Commission on Social Determinants of Health Report</w:t>
      </w:r>
      <w:r>
        <w:t>. Geneva: WHO. Accessed 3 June 2026.</w:t>
      </w:r>
    </w:p>
    <w:p w14:paraId="756E8379" w14:textId="77777777" w:rsidR="001E1CCB" w:rsidRDefault="001E1CCB" w:rsidP="001E1CCB">
      <w:pPr>
        <w:pStyle w:val="NormalWeb"/>
      </w:pPr>
      <w:r>
        <w:t xml:space="preserve">WHO (2023) </w:t>
      </w:r>
      <w:r>
        <w:rPr>
          <w:rStyle w:val="Emphasis"/>
        </w:rPr>
        <w:t>Cardiovascular Disease Fact Sheet</w:t>
      </w:r>
      <w:r>
        <w:t>. Geneva: WHO. Accessed 4 June 2026.</w:t>
      </w:r>
    </w:p>
    <w:p w14:paraId="2BB6A288" w14:textId="77777777" w:rsidR="001E1CCB" w:rsidRDefault="001E1CCB" w:rsidP="001E1CCB">
      <w:pPr>
        <w:pStyle w:val="NormalWeb"/>
      </w:pPr>
      <w:r>
        <w:t xml:space="preserve">WHO (2024) </w:t>
      </w:r>
      <w:r>
        <w:rPr>
          <w:rStyle w:val="Emphasis"/>
        </w:rPr>
        <w:t>Global Burden Update</w:t>
      </w:r>
      <w:r>
        <w:t>. Geneva: WHO. Accessed 5 June 2026.</w:t>
      </w:r>
    </w:p>
    <w:p w14:paraId="188612B3" w14:textId="77777777" w:rsidR="001E1CCB" w:rsidRDefault="001E1CCB" w:rsidP="001E1CCB">
      <w:pPr>
        <w:pStyle w:val="NormalWeb"/>
      </w:pPr>
      <w:r>
        <w:t xml:space="preserve">WHO (2025) </w:t>
      </w:r>
      <w:r>
        <w:rPr>
          <w:rStyle w:val="Emphasis"/>
        </w:rPr>
        <w:t>Global Cardiovascular Mortality Update</w:t>
      </w:r>
      <w:r>
        <w:t>. Geneva: WHO. Accessed 6 June 2026.</w:t>
      </w:r>
    </w:p>
    <w:p w14:paraId="6A8827F4" w14:textId="77777777" w:rsidR="001E1CCB" w:rsidRDefault="001E1CCB" w:rsidP="001E1CCB">
      <w:pPr>
        <w:pStyle w:val="NormalWeb"/>
      </w:pPr>
      <w:proofErr w:type="spellStart"/>
      <w:r>
        <w:t>Worringham</w:t>
      </w:r>
      <w:proofErr w:type="spellEnd"/>
      <w:r>
        <w:t xml:space="preserve">, C. et al. (2020) ‘Wearable technology in CR’, </w:t>
      </w:r>
      <w:r>
        <w:rPr>
          <w:rStyle w:val="Emphasis"/>
        </w:rPr>
        <w:t>Heart Lung and Circulation</w:t>
      </w:r>
      <w:r>
        <w:t>, 29(4), pp. 566–573. Accessed 10 June 2026.</w:t>
      </w:r>
    </w:p>
    <w:p w14:paraId="0067EBAC" w14:textId="6F7E6F80" w:rsidR="001E1CCB" w:rsidRDefault="001E1CCB" w:rsidP="001E1CCB">
      <w:pPr>
        <w:pStyle w:val="NormalWeb"/>
      </w:pPr>
      <w:r>
        <w:t>World Bank (2024</w:t>
      </w:r>
      <w:proofErr w:type="gramStart"/>
      <w:r>
        <w:t xml:space="preserve">)  </w:t>
      </w:r>
      <w:r>
        <w:rPr>
          <w:rStyle w:val="Emphasis"/>
        </w:rPr>
        <w:t>Global</w:t>
      </w:r>
      <w:proofErr w:type="gramEnd"/>
      <w:r>
        <w:rPr>
          <w:rStyle w:val="Emphasis"/>
        </w:rPr>
        <w:t xml:space="preserve"> Economic Burden of Cardiovascular Disease</w:t>
      </w:r>
      <w:r>
        <w:t>. Washington, DC: World Bank.</w:t>
      </w:r>
    </w:p>
    <w:p w14:paraId="0471AE0F" w14:textId="2DC8D836" w:rsidR="001E1CCB" w:rsidRDefault="001E1CCB" w:rsidP="001E1CCB">
      <w:pPr>
        <w:pStyle w:val="NormalWeb"/>
      </w:pPr>
    </w:p>
    <w:p w14:paraId="539F2B6C" w14:textId="680D72B4" w:rsidR="00AA4B24" w:rsidRDefault="00AA4B24" w:rsidP="00832F99">
      <w:pPr>
        <w:jc w:val="both"/>
        <w:rPr>
          <w:rFonts w:ascii="Arial" w:hAnsi="Arial" w:cs="Arial"/>
          <w:color w:val="000000" w:themeColor="text1"/>
        </w:rPr>
      </w:pPr>
    </w:p>
    <w:p w14:paraId="66F6429F" w14:textId="1066C8CC" w:rsidR="002E7042" w:rsidRDefault="002E7042" w:rsidP="00832F99">
      <w:pPr>
        <w:jc w:val="both"/>
        <w:rPr>
          <w:rFonts w:ascii="Arial" w:hAnsi="Arial" w:cs="Arial"/>
          <w:color w:val="000000" w:themeColor="text1"/>
        </w:rPr>
      </w:pPr>
    </w:p>
    <w:p w14:paraId="5231F753" w14:textId="61EA145A" w:rsidR="002E7042" w:rsidRDefault="002E7042" w:rsidP="00832F99">
      <w:pPr>
        <w:jc w:val="both"/>
        <w:rPr>
          <w:rFonts w:ascii="Arial" w:hAnsi="Arial" w:cs="Arial"/>
          <w:color w:val="000000" w:themeColor="text1"/>
        </w:rPr>
      </w:pPr>
    </w:p>
    <w:p w14:paraId="6C1B9B6E" w14:textId="7A26C9E3" w:rsidR="002E7042" w:rsidRDefault="002E7042" w:rsidP="00832F99">
      <w:pPr>
        <w:jc w:val="both"/>
        <w:rPr>
          <w:rFonts w:ascii="Arial" w:hAnsi="Arial" w:cs="Arial"/>
          <w:color w:val="000000" w:themeColor="text1"/>
        </w:rPr>
      </w:pPr>
    </w:p>
    <w:p w14:paraId="3D1BFE47" w14:textId="75F6CA86" w:rsidR="002E7042" w:rsidRDefault="002E7042" w:rsidP="00832F99">
      <w:pPr>
        <w:jc w:val="both"/>
        <w:rPr>
          <w:rFonts w:ascii="Arial" w:hAnsi="Arial" w:cs="Arial"/>
          <w:color w:val="000000" w:themeColor="text1"/>
        </w:rPr>
      </w:pPr>
    </w:p>
    <w:p w14:paraId="17C463A1" w14:textId="642ECF28" w:rsidR="002E7042" w:rsidRDefault="002E7042" w:rsidP="00832F99">
      <w:pPr>
        <w:jc w:val="both"/>
        <w:rPr>
          <w:rFonts w:ascii="Arial" w:hAnsi="Arial" w:cs="Arial"/>
          <w:color w:val="000000" w:themeColor="text1"/>
        </w:rPr>
      </w:pPr>
    </w:p>
    <w:p w14:paraId="72CE3028" w14:textId="6B1A6DAF" w:rsidR="002E7042" w:rsidRDefault="002E7042" w:rsidP="00832F99">
      <w:pPr>
        <w:jc w:val="both"/>
        <w:rPr>
          <w:rFonts w:ascii="Arial" w:hAnsi="Arial" w:cs="Arial"/>
          <w:color w:val="000000" w:themeColor="text1"/>
        </w:rPr>
      </w:pPr>
    </w:p>
    <w:p w14:paraId="6FEEB5DA" w14:textId="33C35FF6" w:rsidR="002E7042" w:rsidRDefault="002E7042" w:rsidP="00832F99">
      <w:pPr>
        <w:jc w:val="both"/>
        <w:rPr>
          <w:rFonts w:ascii="Arial" w:hAnsi="Arial" w:cs="Arial"/>
          <w:color w:val="000000" w:themeColor="text1"/>
        </w:rPr>
      </w:pPr>
    </w:p>
    <w:p w14:paraId="69452C44" w14:textId="1DC02CFC" w:rsidR="002E7042" w:rsidRDefault="002E7042" w:rsidP="00832F99">
      <w:pPr>
        <w:jc w:val="both"/>
        <w:rPr>
          <w:rFonts w:ascii="Arial" w:hAnsi="Arial" w:cs="Arial"/>
          <w:color w:val="000000" w:themeColor="text1"/>
        </w:rPr>
      </w:pPr>
    </w:p>
    <w:p w14:paraId="1BE2FEA0" w14:textId="065DA09C" w:rsidR="002E7042" w:rsidRDefault="002E7042" w:rsidP="00832F99">
      <w:pPr>
        <w:jc w:val="both"/>
        <w:rPr>
          <w:rFonts w:ascii="Arial" w:hAnsi="Arial" w:cs="Arial"/>
          <w:color w:val="000000" w:themeColor="text1"/>
        </w:rPr>
      </w:pPr>
    </w:p>
    <w:p w14:paraId="50E736D8" w14:textId="77777777" w:rsidR="002E7042" w:rsidRDefault="002E7042" w:rsidP="00832F99">
      <w:pPr>
        <w:jc w:val="both"/>
        <w:rPr>
          <w:rFonts w:ascii="Arial" w:hAnsi="Arial" w:cs="Arial"/>
          <w:color w:val="000000" w:themeColor="text1"/>
        </w:rPr>
      </w:pPr>
    </w:p>
    <w:p w14:paraId="7E28EEB8" w14:textId="77777777" w:rsidR="002E7042" w:rsidRDefault="002E7042" w:rsidP="002E7042">
      <w:pPr>
        <w:pStyle w:val="Heading1"/>
        <w:rPr>
          <w:rFonts w:eastAsia="MS Mincho"/>
          <w:lang w:val="en-US" w:eastAsia="ja-JP"/>
        </w:rPr>
      </w:pPr>
      <w:bookmarkStart w:id="9" w:name="_Toc231463170"/>
    </w:p>
    <w:p w14:paraId="55B36BE6" w14:textId="77777777" w:rsidR="002E7042" w:rsidRDefault="002E7042" w:rsidP="002E7042">
      <w:pPr>
        <w:pStyle w:val="Heading1"/>
        <w:rPr>
          <w:rFonts w:eastAsia="MS Mincho"/>
          <w:lang w:val="en-US" w:eastAsia="ja-JP"/>
        </w:rPr>
      </w:pPr>
    </w:p>
    <w:p w14:paraId="18EAE4F1" w14:textId="77777777" w:rsidR="002E7042" w:rsidRDefault="002E7042" w:rsidP="002E7042">
      <w:pPr>
        <w:pStyle w:val="Heading1"/>
        <w:rPr>
          <w:rFonts w:eastAsia="MS Mincho"/>
          <w:lang w:val="en-US" w:eastAsia="ja-JP"/>
        </w:rPr>
      </w:pPr>
    </w:p>
    <w:p w14:paraId="4746BCE3" w14:textId="5F3F429A" w:rsidR="002E7042" w:rsidRDefault="002E7042" w:rsidP="002E7042">
      <w:pPr>
        <w:pStyle w:val="Heading1"/>
        <w:rPr>
          <w:i/>
          <w:sz w:val="20"/>
          <w:szCs w:val="20"/>
        </w:rPr>
      </w:pPr>
      <w:r>
        <w:rPr>
          <w:rFonts w:eastAsia="MS Mincho"/>
          <w:lang w:val="en-US" w:eastAsia="ja-JP"/>
        </w:rPr>
        <w:t>Appendix 1:</w:t>
      </w:r>
      <w:bookmarkEnd w:id="9"/>
      <w:r>
        <w:rPr>
          <w:rFonts w:eastAsia="MS Mincho"/>
          <w:lang w:val="en-US" w:eastAsia="ja-JP"/>
        </w:rPr>
        <w:t xml:space="preserve"> </w:t>
      </w:r>
    </w:p>
    <w:p w14:paraId="7FC938FC" w14:textId="77777777" w:rsidR="002E7042" w:rsidRDefault="002E7042" w:rsidP="002E7042">
      <w:pPr>
        <w:rPr>
          <w:rFonts w:eastAsia="MS Mincho"/>
          <w:b/>
          <w:bCs/>
          <w:lang w:val="en-US" w:eastAsia="ja-JP"/>
        </w:rPr>
      </w:pPr>
    </w:p>
    <w:p w14:paraId="4AF0FD8C" w14:textId="42F55EBF" w:rsidR="002E7042" w:rsidRPr="002E7042" w:rsidRDefault="002E7042" w:rsidP="002E7042">
      <w:pPr>
        <w:rPr>
          <w:rFonts w:eastAsia="MS Mincho"/>
          <w:b/>
          <w:bCs/>
          <w:lang w:val="en-US" w:eastAsia="ja-JP"/>
        </w:rPr>
      </w:pPr>
      <w:r>
        <w:rPr>
          <w:rFonts w:eastAsia="MS Mincho"/>
          <w:b/>
          <w:bCs/>
          <w:lang w:val="en-US" w:eastAsia="ja-JP"/>
        </w:rPr>
        <w:t>PRISMA Flow Diagram Showing the Study Selection Proces</w:t>
      </w:r>
      <w:r>
        <w:rPr>
          <w:rFonts w:eastAsia="MS Mincho"/>
          <w:b/>
          <w:bCs/>
          <w:lang w:val="en-US" w:eastAsia="ja-JP"/>
        </w:rPr>
        <w: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470"/>
        <w:gridCol w:w="1556"/>
      </w:tblGrid>
      <w:tr w:rsidR="002E7042" w:rsidRPr="002E7042" w14:paraId="58AA724D" w14:textId="77777777" w:rsidTr="002E7042">
        <w:trPr>
          <w:tblHeader/>
          <w:tblCellSpacing w:w="15" w:type="dxa"/>
        </w:trPr>
        <w:tc>
          <w:tcPr>
            <w:tcW w:w="0" w:type="auto"/>
            <w:vAlign w:val="center"/>
            <w:hideMark/>
          </w:tcPr>
          <w:p w14:paraId="34AB63A8" w14:textId="76DA8B60" w:rsidR="002E7042" w:rsidRPr="002E7042" w:rsidRDefault="002E7042" w:rsidP="002E7042">
            <w:pPr>
              <w:spacing w:after="0" w:line="240" w:lineRule="auto"/>
              <w:rPr>
                <w:rFonts w:ascii="Times New Roman" w:eastAsia="Times New Roman" w:hAnsi="Times New Roman" w:cs="Times New Roman"/>
                <w:b/>
                <w:bCs/>
                <w:sz w:val="24"/>
                <w:szCs w:val="24"/>
                <w:lang w:eastAsia="en-IN"/>
              </w:rPr>
            </w:pPr>
          </w:p>
        </w:tc>
        <w:tc>
          <w:tcPr>
            <w:tcW w:w="0" w:type="auto"/>
            <w:vAlign w:val="center"/>
            <w:hideMark/>
          </w:tcPr>
          <w:p w14:paraId="2E1AE405"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Number of Records</w:t>
            </w:r>
          </w:p>
        </w:tc>
      </w:tr>
      <w:tr w:rsidR="002E7042" w:rsidRPr="002E7042" w14:paraId="45200C74" w14:textId="77777777" w:rsidTr="002E7042">
        <w:trPr>
          <w:tblCellSpacing w:w="15" w:type="dxa"/>
        </w:trPr>
        <w:tc>
          <w:tcPr>
            <w:tcW w:w="0" w:type="auto"/>
            <w:vAlign w:val="center"/>
            <w:hideMark/>
          </w:tcPr>
          <w:p w14:paraId="1DEFCFB0"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Records identified through database searching (MEDLINE, CINAHL, Cochrane, Web of Science, Scopus, Google Scholar)</w:t>
            </w:r>
          </w:p>
        </w:tc>
        <w:tc>
          <w:tcPr>
            <w:tcW w:w="0" w:type="auto"/>
            <w:vAlign w:val="center"/>
            <w:hideMark/>
          </w:tcPr>
          <w:p w14:paraId="13FF5301"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b/>
                <w:bCs/>
                <w:sz w:val="24"/>
                <w:szCs w:val="24"/>
                <w:lang w:eastAsia="en-IN"/>
              </w:rPr>
              <w:t>1,600</w:t>
            </w:r>
          </w:p>
        </w:tc>
      </w:tr>
      <w:tr w:rsidR="002E7042" w:rsidRPr="002E7042" w14:paraId="74DEC73A" w14:textId="77777777" w:rsidTr="002E7042">
        <w:trPr>
          <w:tblCellSpacing w:w="15" w:type="dxa"/>
        </w:trPr>
        <w:tc>
          <w:tcPr>
            <w:tcW w:w="0" w:type="auto"/>
            <w:vAlign w:val="center"/>
            <w:hideMark/>
          </w:tcPr>
          <w:p w14:paraId="798A95BB"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Additional records identified through hand searching</w:t>
            </w:r>
          </w:p>
        </w:tc>
        <w:tc>
          <w:tcPr>
            <w:tcW w:w="0" w:type="auto"/>
            <w:vAlign w:val="center"/>
            <w:hideMark/>
          </w:tcPr>
          <w:p w14:paraId="549F0DBC"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b/>
                <w:bCs/>
                <w:sz w:val="24"/>
                <w:szCs w:val="24"/>
                <w:lang w:eastAsia="en-IN"/>
              </w:rPr>
              <w:t>40</w:t>
            </w:r>
          </w:p>
        </w:tc>
      </w:tr>
      <w:tr w:rsidR="002E7042" w:rsidRPr="002E7042" w14:paraId="35EAE4ED" w14:textId="77777777" w:rsidTr="002E7042">
        <w:trPr>
          <w:tblCellSpacing w:w="15" w:type="dxa"/>
        </w:trPr>
        <w:tc>
          <w:tcPr>
            <w:tcW w:w="0" w:type="auto"/>
            <w:vAlign w:val="center"/>
            <w:hideMark/>
          </w:tcPr>
          <w:p w14:paraId="218DE56C"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Total records identified</w:t>
            </w:r>
          </w:p>
        </w:tc>
        <w:tc>
          <w:tcPr>
            <w:tcW w:w="0" w:type="auto"/>
            <w:vAlign w:val="center"/>
            <w:hideMark/>
          </w:tcPr>
          <w:p w14:paraId="5BA722B2"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b/>
                <w:bCs/>
                <w:sz w:val="24"/>
                <w:szCs w:val="24"/>
                <w:lang w:eastAsia="en-IN"/>
              </w:rPr>
              <w:t>1,640</w:t>
            </w:r>
          </w:p>
        </w:tc>
      </w:tr>
      <w:tr w:rsidR="002E7042" w:rsidRPr="002E7042" w14:paraId="3C11E215" w14:textId="77777777" w:rsidTr="002E7042">
        <w:trPr>
          <w:tblCellSpacing w:w="15" w:type="dxa"/>
        </w:trPr>
        <w:tc>
          <w:tcPr>
            <w:tcW w:w="0" w:type="auto"/>
            <w:vAlign w:val="center"/>
            <w:hideMark/>
          </w:tcPr>
          <w:p w14:paraId="0F5D1EE8"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Duplicate records removed</w:t>
            </w:r>
          </w:p>
        </w:tc>
        <w:tc>
          <w:tcPr>
            <w:tcW w:w="0" w:type="auto"/>
            <w:vAlign w:val="center"/>
            <w:hideMark/>
          </w:tcPr>
          <w:p w14:paraId="027776B6"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b/>
                <w:bCs/>
                <w:sz w:val="24"/>
                <w:szCs w:val="24"/>
                <w:lang w:eastAsia="en-IN"/>
              </w:rPr>
              <w:t>345</w:t>
            </w:r>
          </w:p>
        </w:tc>
      </w:tr>
      <w:tr w:rsidR="002E7042" w:rsidRPr="002E7042" w14:paraId="166B8642" w14:textId="77777777" w:rsidTr="002E7042">
        <w:trPr>
          <w:tblCellSpacing w:w="15" w:type="dxa"/>
        </w:trPr>
        <w:tc>
          <w:tcPr>
            <w:tcW w:w="0" w:type="auto"/>
            <w:vAlign w:val="center"/>
            <w:hideMark/>
          </w:tcPr>
          <w:p w14:paraId="151B21CA"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Records after duplicates removed</w:t>
            </w:r>
          </w:p>
        </w:tc>
        <w:tc>
          <w:tcPr>
            <w:tcW w:w="0" w:type="auto"/>
            <w:vAlign w:val="center"/>
            <w:hideMark/>
          </w:tcPr>
          <w:p w14:paraId="4CEC0AEA"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b/>
                <w:bCs/>
                <w:sz w:val="24"/>
                <w:szCs w:val="24"/>
                <w:lang w:eastAsia="en-IN"/>
              </w:rPr>
              <w:t>1,295</w:t>
            </w:r>
          </w:p>
        </w:tc>
      </w:tr>
      <w:tr w:rsidR="002E7042" w:rsidRPr="002E7042" w14:paraId="6CEFF1FE" w14:textId="77777777" w:rsidTr="002E7042">
        <w:trPr>
          <w:tblCellSpacing w:w="15" w:type="dxa"/>
        </w:trPr>
        <w:tc>
          <w:tcPr>
            <w:tcW w:w="0" w:type="auto"/>
            <w:vAlign w:val="center"/>
            <w:hideMark/>
          </w:tcPr>
          <w:p w14:paraId="360A3DE3"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Records excluded by title screening</w:t>
            </w:r>
          </w:p>
        </w:tc>
        <w:tc>
          <w:tcPr>
            <w:tcW w:w="0" w:type="auto"/>
            <w:vAlign w:val="center"/>
            <w:hideMark/>
          </w:tcPr>
          <w:p w14:paraId="41F4F1E0"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b/>
                <w:bCs/>
                <w:sz w:val="24"/>
                <w:szCs w:val="24"/>
                <w:lang w:eastAsia="en-IN"/>
              </w:rPr>
              <w:t>965</w:t>
            </w:r>
          </w:p>
        </w:tc>
      </w:tr>
      <w:tr w:rsidR="002E7042" w:rsidRPr="002E7042" w14:paraId="0861EBB8" w14:textId="77777777" w:rsidTr="002E7042">
        <w:trPr>
          <w:tblCellSpacing w:w="15" w:type="dxa"/>
        </w:trPr>
        <w:tc>
          <w:tcPr>
            <w:tcW w:w="0" w:type="auto"/>
            <w:vAlign w:val="center"/>
            <w:hideMark/>
          </w:tcPr>
          <w:p w14:paraId="4C239263"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Records screened (titles + abstracts)</w:t>
            </w:r>
          </w:p>
        </w:tc>
        <w:tc>
          <w:tcPr>
            <w:tcW w:w="0" w:type="auto"/>
            <w:vAlign w:val="center"/>
            <w:hideMark/>
          </w:tcPr>
          <w:p w14:paraId="0BB3B636"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b/>
                <w:bCs/>
                <w:sz w:val="24"/>
                <w:szCs w:val="24"/>
                <w:lang w:eastAsia="en-IN"/>
              </w:rPr>
              <w:t>330</w:t>
            </w:r>
          </w:p>
        </w:tc>
      </w:tr>
      <w:tr w:rsidR="002E7042" w:rsidRPr="002E7042" w14:paraId="3068802B" w14:textId="77777777" w:rsidTr="002E7042">
        <w:trPr>
          <w:tblCellSpacing w:w="15" w:type="dxa"/>
        </w:trPr>
        <w:tc>
          <w:tcPr>
            <w:tcW w:w="0" w:type="auto"/>
            <w:vAlign w:val="center"/>
            <w:hideMark/>
          </w:tcPr>
          <w:p w14:paraId="2F9CAADE"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Records excluded after abstract screening</w:t>
            </w:r>
          </w:p>
        </w:tc>
        <w:tc>
          <w:tcPr>
            <w:tcW w:w="0" w:type="auto"/>
            <w:vAlign w:val="center"/>
            <w:hideMark/>
          </w:tcPr>
          <w:p w14:paraId="2853C2E4"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b/>
                <w:bCs/>
                <w:sz w:val="24"/>
                <w:szCs w:val="24"/>
                <w:lang w:eastAsia="en-IN"/>
              </w:rPr>
              <w:t>235</w:t>
            </w:r>
          </w:p>
        </w:tc>
      </w:tr>
      <w:tr w:rsidR="002E7042" w:rsidRPr="002E7042" w14:paraId="18149100" w14:textId="77777777" w:rsidTr="002E7042">
        <w:trPr>
          <w:tblCellSpacing w:w="15" w:type="dxa"/>
        </w:trPr>
        <w:tc>
          <w:tcPr>
            <w:tcW w:w="0" w:type="auto"/>
            <w:vAlign w:val="center"/>
            <w:hideMark/>
          </w:tcPr>
          <w:p w14:paraId="3409B535"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Reports sought for retrieval</w:t>
            </w:r>
          </w:p>
        </w:tc>
        <w:tc>
          <w:tcPr>
            <w:tcW w:w="0" w:type="auto"/>
            <w:vAlign w:val="center"/>
            <w:hideMark/>
          </w:tcPr>
          <w:p w14:paraId="737985F2"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b/>
                <w:bCs/>
                <w:sz w:val="24"/>
                <w:szCs w:val="24"/>
                <w:lang w:eastAsia="en-IN"/>
              </w:rPr>
              <w:t>95</w:t>
            </w:r>
          </w:p>
        </w:tc>
      </w:tr>
      <w:tr w:rsidR="002E7042" w:rsidRPr="002E7042" w14:paraId="7D685A08" w14:textId="77777777" w:rsidTr="002E7042">
        <w:trPr>
          <w:tblCellSpacing w:w="15" w:type="dxa"/>
        </w:trPr>
        <w:tc>
          <w:tcPr>
            <w:tcW w:w="0" w:type="auto"/>
            <w:vAlign w:val="center"/>
            <w:hideMark/>
          </w:tcPr>
          <w:p w14:paraId="680B58AE"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Full</w:t>
            </w:r>
            <w:r w:rsidRPr="002E7042">
              <w:rPr>
                <w:rFonts w:ascii="Times New Roman" w:eastAsia="Times New Roman" w:hAnsi="Times New Roman" w:cs="Times New Roman"/>
                <w:b/>
                <w:bCs/>
                <w:sz w:val="24"/>
                <w:szCs w:val="24"/>
                <w:lang w:eastAsia="en-IN"/>
              </w:rPr>
              <w:noBreakHyphen/>
              <w:t>text articles assessed for eligibility</w:t>
            </w:r>
          </w:p>
        </w:tc>
        <w:tc>
          <w:tcPr>
            <w:tcW w:w="0" w:type="auto"/>
            <w:vAlign w:val="center"/>
            <w:hideMark/>
          </w:tcPr>
          <w:p w14:paraId="16560772"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b/>
                <w:bCs/>
                <w:sz w:val="24"/>
                <w:szCs w:val="24"/>
                <w:lang w:eastAsia="en-IN"/>
              </w:rPr>
              <w:t>95</w:t>
            </w:r>
          </w:p>
        </w:tc>
      </w:tr>
      <w:tr w:rsidR="002E7042" w:rsidRPr="002E7042" w14:paraId="2E1EAFAE" w14:textId="77777777" w:rsidTr="002E7042">
        <w:trPr>
          <w:tblCellSpacing w:w="15" w:type="dxa"/>
        </w:trPr>
        <w:tc>
          <w:tcPr>
            <w:tcW w:w="0" w:type="auto"/>
            <w:vAlign w:val="center"/>
            <w:hideMark/>
          </w:tcPr>
          <w:p w14:paraId="2752D8E6"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Full</w:t>
            </w:r>
            <w:r w:rsidRPr="002E7042">
              <w:rPr>
                <w:rFonts w:ascii="Times New Roman" w:eastAsia="Times New Roman" w:hAnsi="Times New Roman" w:cs="Times New Roman"/>
                <w:b/>
                <w:bCs/>
                <w:sz w:val="24"/>
                <w:szCs w:val="24"/>
                <w:lang w:eastAsia="en-IN"/>
              </w:rPr>
              <w:noBreakHyphen/>
              <w:t>text articles excluded</w:t>
            </w:r>
          </w:p>
        </w:tc>
        <w:tc>
          <w:tcPr>
            <w:tcW w:w="0" w:type="auto"/>
            <w:vAlign w:val="center"/>
            <w:hideMark/>
          </w:tcPr>
          <w:p w14:paraId="3057A9ED"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b/>
                <w:bCs/>
                <w:sz w:val="24"/>
                <w:szCs w:val="24"/>
                <w:lang w:eastAsia="en-IN"/>
              </w:rPr>
              <w:t>80</w:t>
            </w:r>
          </w:p>
        </w:tc>
      </w:tr>
      <w:tr w:rsidR="002E7042" w:rsidRPr="002E7042" w14:paraId="6146062D" w14:textId="77777777" w:rsidTr="002E7042">
        <w:trPr>
          <w:tblCellSpacing w:w="15" w:type="dxa"/>
        </w:trPr>
        <w:tc>
          <w:tcPr>
            <w:tcW w:w="0" w:type="auto"/>
            <w:vAlign w:val="center"/>
            <w:hideMark/>
          </w:tcPr>
          <w:p w14:paraId="6A468418"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 Publication type not suitable</w:t>
            </w:r>
          </w:p>
        </w:tc>
        <w:tc>
          <w:tcPr>
            <w:tcW w:w="0" w:type="auto"/>
            <w:vAlign w:val="center"/>
            <w:hideMark/>
          </w:tcPr>
          <w:p w14:paraId="2E467D6A"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sz w:val="24"/>
                <w:szCs w:val="24"/>
                <w:lang w:eastAsia="en-IN"/>
              </w:rPr>
              <w:t>22</w:t>
            </w:r>
          </w:p>
        </w:tc>
      </w:tr>
      <w:tr w:rsidR="002E7042" w:rsidRPr="002E7042" w14:paraId="221229FD" w14:textId="77777777" w:rsidTr="002E7042">
        <w:trPr>
          <w:tblCellSpacing w:w="15" w:type="dxa"/>
        </w:trPr>
        <w:tc>
          <w:tcPr>
            <w:tcW w:w="0" w:type="auto"/>
            <w:vAlign w:val="center"/>
            <w:hideMark/>
          </w:tcPr>
          <w:p w14:paraId="5667CECD"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 Incorrect methodology</w:t>
            </w:r>
          </w:p>
        </w:tc>
        <w:tc>
          <w:tcPr>
            <w:tcW w:w="0" w:type="auto"/>
            <w:vAlign w:val="center"/>
            <w:hideMark/>
          </w:tcPr>
          <w:p w14:paraId="6775823C"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sz w:val="24"/>
                <w:szCs w:val="24"/>
                <w:lang w:eastAsia="en-IN"/>
              </w:rPr>
              <w:t>14</w:t>
            </w:r>
          </w:p>
        </w:tc>
      </w:tr>
      <w:tr w:rsidR="002E7042" w:rsidRPr="002E7042" w14:paraId="7B89BDAE" w14:textId="77777777" w:rsidTr="002E7042">
        <w:trPr>
          <w:tblCellSpacing w:w="15" w:type="dxa"/>
        </w:trPr>
        <w:tc>
          <w:tcPr>
            <w:tcW w:w="0" w:type="auto"/>
            <w:vAlign w:val="center"/>
            <w:hideMark/>
          </w:tcPr>
          <w:p w14:paraId="2DE1A1DB"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 Incorrect focus</w:t>
            </w:r>
          </w:p>
        </w:tc>
        <w:tc>
          <w:tcPr>
            <w:tcW w:w="0" w:type="auto"/>
            <w:vAlign w:val="center"/>
            <w:hideMark/>
          </w:tcPr>
          <w:p w14:paraId="440B2B52"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sz w:val="24"/>
                <w:szCs w:val="24"/>
                <w:lang w:eastAsia="en-IN"/>
              </w:rPr>
              <w:t>18</w:t>
            </w:r>
          </w:p>
        </w:tc>
      </w:tr>
      <w:tr w:rsidR="002E7042" w:rsidRPr="002E7042" w14:paraId="7CF2236F" w14:textId="77777777" w:rsidTr="002E7042">
        <w:trPr>
          <w:tblCellSpacing w:w="15" w:type="dxa"/>
        </w:trPr>
        <w:tc>
          <w:tcPr>
            <w:tcW w:w="0" w:type="auto"/>
            <w:vAlign w:val="center"/>
            <w:hideMark/>
          </w:tcPr>
          <w:p w14:paraId="6E3EB4B1"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 Incorrect sample (age, population, or setting mismatch)</w:t>
            </w:r>
          </w:p>
        </w:tc>
        <w:tc>
          <w:tcPr>
            <w:tcW w:w="0" w:type="auto"/>
            <w:vAlign w:val="center"/>
            <w:hideMark/>
          </w:tcPr>
          <w:p w14:paraId="76A6ED7F"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sz w:val="24"/>
                <w:szCs w:val="24"/>
                <w:lang w:eastAsia="en-IN"/>
              </w:rPr>
              <w:t>20</w:t>
            </w:r>
          </w:p>
        </w:tc>
      </w:tr>
      <w:tr w:rsidR="002E7042" w:rsidRPr="002E7042" w14:paraId="4A4AE9D0" w14:textId="77777777" w:rsidTr="002E7042">
        <w:trPr>
          <w:tblCellSpacing w:w="15" w:type="dxa"/>
        </w:trPr>
        <w:tc>
          <w:tcPr>
            <w:tcW w:w="0" w:type="auto"/>
            <w:vAlign w:val="center"/>
            <w:hideMark/>
          </w:tcPr>
          <w:p w14:paraId="704654BA"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 Not in English</w:t>
            </w:r>
          </w:p>
        </w:tc>
        <w:tc>
          <w:tcPr>
            <w:tcW w:w="0" w:type="auto"/>
            <w:vAlign w:val="center"/>
            <w:hideMark/>
          </w:tcPr>
          <w:p w14:paraId="552D6A11"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sz w:val="24"/>
                <w:szCs w:val="24"/>
                <w:lang w:eastAsia="en-IN"/>
              </w:rPr>
              <w:t>6</w:t>
            </w:r>
          </w:p>
        </w:tc>
      </w:tr>
      <w:tr w:rsidR="002E7042" w:rsidRPr="002E7042" w14:paraId="095A688C" w14:textId="77777777" w:rsidTr="002E7042">
        <w:trPr>
          <w:tblCellSpacing w:w="15" w:type="dxa"/>
        </w:trPr>
        <w:tc>
          <w:tcPr>
            <w:tcW w:w="0" w:type="auto"/>
            <w:vAlign w:val="center"/>
            <w:hideMark/>
          </w:tcPr>
          <w:p w14:paraId="36F8B006" w14:textId="77777777" w:rsidR="002E7042" w:rsidRPr="002E7042" w:rsidRDefault="002E7042" w:rsidP="002E7042">
            <w:pPr>
              <w:spacing w:after="0" w:line="240" w:lineRule="auto"/>
              <w:jc w:val="center"/>
              <w:rPr>
                <w:rFonts w:ascii="Times New Roman" w:eastAsia="Times New Roman" w:hAnsi="Times New Roman" w:cs="Times New Roman"/>
                <w:b/>
                <w:bCs/>
                <w:sz w:val="24"/>
                <w:szCs w:val="24"/>
                <w:lang w:eastAsia="en-IN"/>
              </w:rPr>
            </w:pPr>
            <w:r w:rsidRPr="002E7042">
              <w:rPr>
                <w:rFonts w:ascii="Times New Roman" w:eastAsia="Times New Roman" w:hAnsi="Times New Roman" w:cs="Times New Roman"/>
                <w:b/>
                <w:bCs/>
                <w:sz w:val="24"/>
                <w:szCs w:val="24"/>
                <w:lang w:eastAsia="en-IN"/>
              </w:rPr>
              <w:t>Final studies included in the review</w:t>
            </w:r>
          </w:p>
        </w:tc>
        <w:tc>
          <w:tcPr>
            <w:tcW w:w="0" w:type="auto"/>
            <w:vAlign w:val="center"/>
            <w:hideMark/>
          </w:tcPr>
          <w:p w14:paraId="7D859963" w14:textId="77777777" w:rsidR="002E7042" w:rsidRPr="002E7042" w:rsidRDefault="002E7042" w:rsidP="002E7042">
            <w:pPr>
              <w:spacing w:after="0" w:line="240" w:lineRule="auto"/>
              <w:rPr>
                <w:rFonts w:ascii="Times New Roman" w:eastAsia="Times New Roman" w:hAnsi="Times New Roman" w:cs="Times New Roman"/>
                <w:sz w:val="24"/>
                <w:szCs w:val="24"/>
                <w:lang w:eastAsia="en-IN"/>
              </w:rPr>
            </w:pPr>
            <w:r w:rsidRPr="002E7042">
              <w:rPr>
                <w:rFonts w:ascii="Times New Roman" w:eastAsia="Times New Roman" w:hAnsi="Times New Roman" w:cs="Times New Roman"/>
                <w:b/>
                <w:bCs/>
                <w:sz w:val="24"/>
                <w:szCs w:val="24"/>
                <w:lang w:eastAsia="en-IN"/>
              </w:rPr>
              <w:t>15</w:t>
            </w:r>
          </w:p>
        </w:tc>
      </w:tr>
    </w:tbl>
    <w:p w14:paraId="05DFD37F" w14:textId="512FE2D2" w:rsidR="002E7042" w:rsidRDefault="002E7042" w:rsidP="00832F99">
      <w:pPr>
        <w:jc w:val="both"/>
        <w:rPr>
          <w:rFonts w:ascii="Arial" w:hAnsi="Arial" w:cs="Arial"/>
          <w:color w:val="000000" w:themeColor="text1"/>
        </w:rPr>
      </w:pPr>
    </w:p>
    <w:p w14:paraId="351D70C6" w14:textId="53E88CD1" w:rsidR="002E7042" w:rsidRDefault="002E7042" w:rsidP="00832F99">
      <w:pPr>
        <w:jc w:val="both"/>
        <w:rPr>
          <w:rFonts w:ascii="Arial" w:hAnsi="Arial" w:cs="Arial"/>
          <w:color w:val="000000" w:themeColor="text1"/>
        </w:rPr>
      </w:pPr>
    </w:p>
    <w:p w14:paraId="1B6F0585" w14:textId="0D337FC2" w:rsidR="002E7042" w:rsidRDefault="002E7042" w:rsidP="00832F99">
      <w:pPr>
        <w:jc w:val="both"/>
        <w:rPr>
          <w:rFonts w:ascii="Arial" w:hAnsi="Arial" w:cs="Arial"/>
          <w:color w:val="000000" w:themeColor="text1"/>
        </w:rPr>
      </w:pPr>
    </w:p>
    <w:p w14:paraId="0BB8F10C" w14:textId="51041C58" w:rsidR="002E7042" w:rsidRDefault="002E7042" w:rsidP="00832F99">
      <w:pPr>
        <w:jc w:val="both"/>
        <w:rPr>
          <w:rFonts w:ascii="Arial" w:hAnsi="Arial" w:cs="Arial"/>
          <w:color w:val="000000" w:themeColor="text1"/>
        </w:rPr>
      </w:pPr>
    </w:p>
    <w:p w14:paraId="25C044A5" w14:textId="5C163E43" w:rsidR="002E7042" w:rsidRDefault="002E7042" w:rsidP="00832F99">
      <w:pPr>
        <w:jc w:val="both"/>
        <w:rPr>
          <w:rFonts w:ascii="Arial" w:hAnsi="Arial" w:cs="Arial"/>
          <w:color w:val="000000" w:themeColor="text1"/>
        </w:rPr>
      </w:pPr>
    </w:p>
    <w:p w14:paraId="5C5F85C0" w14:textId="579B08CA" w:rsidR="002E7042" w:rsidRDefault="002E7042" w:rsidP="00832F99">
      <w:pPr>
        <w:jc w:val="both"/>
        <w:rPr>
          <w:rFonts w:ascii="Arial" w:hAnsi="Arial" w:cs="Arial"/>
          <w:color w:val="000000" w:themeColor="text1"/>
        </w:rPr>
      </w:pPr>
    </w:p>
    <w:p w14:paraId="71AD18C1" w14:textId="189B891F" w:rsidR="002E7042" w:rsidRDefault="002E7042" w:rsidP="00832F99">
      <w:pPr>
        <w:jc w:val="both"/>
        <w:rPr>
          <w:rFonts w:ascii="Arial" w:hAnsi="Arial" w:cs="Arial"/>
          <w:color w:val="000000" w:themeColor="text1"/>
        </w:rPr>
      </w:pPr>
    </w:p>
    <w:p w14:paraId="21E8180C" w14:textId="5FEF3729" w:rsidR="002E7042" w:rsidRDefault="002E7042" w:rsidP="00832F99">
      <w:pPr>
        <w:jc w:val="both"/>
        <w:rPr>
          <w:rFonts w:ascii="Arial" w:hAnsi="Arial" w:cs="Arial"/>
          <w:color w:val="000000" w:themeColor="text1"/>
        </w:rPr>
      </w:pPr>
    </w:p>
    <w:p w14:paraId="77E634A6" w14:textId="557EB1A0" w:rsidR="002E7042" w:rsidRDefault="002E7042" w:rsidP="00832F99">
      <w:pPr>
        <w:jc w:val="both"/>
        <w:rPr>
          <w:rFonts w:ascii="Arial" w:hAnsi="Arial" w:cs="Arial"/>
          <w:color w:val="000000" w:themeColor="text1"/>
        </w:rPr>
      </w:pPr>
    </w:p>
    <w:p w14:paraId="25F9144A" w14:textId="1FD7E02D" w:rsidR="002E7042" w:rsidRDefault="002E7042" w:rsidP="002E7042">
      <w:pPr>
        <w:pStyle w:val="NormalWeb"/>
        <w:jc w:val="both"/>
      </w:pPr>
      <w:r>
        <w:t>APPENDIX</w:t>
      </w:r>
      <w:r>
        <w:t xml:space="preserve"> 2:</w:t>
      </w:r>
    </w:p>
    <w:p w14:paraId="79E2C59D" w14:textId="0C25ECC6" w:rsidR="002E7042" w:rsidRPr="002E7042" w:rsidRDefault="002E7042" w:rsidP="002E7042">
      <w:pPr>
        <w:pStyle w:val="NormalWeb"/>
        <w:jc w:val="both"/>
        <w:rPr>
          <w:rFonts w:ascii="Arial" w:hAnsi="Arial" w:cs="Arial"/>
          <w:sz w:val="22"/>
          <w:szCs w:val="22"/>
        </w:rPr>
      </w:pPr>
      <w:r w:rsidRPr="002E7042">
        <w:rPr>
          <w:rFonts w:ascii="Arial" w:hAnsi="Arial" w:cs="Arial"/>
          <w:sz w:val="22"/>
          <w:szCs w:val="22"/>
        </w:rPr>
        <w:t xml:space="preserve">SEARCH STRATEGY </w:t>
      </w:r>
    </w:p>
    <w:p w14:paraId="0BC41B3D" w14:textId="77777777" w:rsidR="002E7042" w:rsidRPr="002E7042" w:rsidRDefault="002E7042" w:rsidP="002E7042">
      <w:pPr>
        <w:pStyle w:val="Heading3"/>
        <w:jc w:val="both"/>
        <w:rPr>
          <w:rFonts w:ascii="Arial" w:hAnsi="Arial" w:cs="Arial"/>
          <w:b w:val="0"/>
          <w:bCs w:val="0"/>
          <w:sz w:val="22"/>
          <w:szCs w:val="22"/>
        </w:rPr>
      </w:pPr>
      <w:r w:rsidRPr="002E7042">
        <w:rPr>
          <w:rStyle w:val="Strong"/>
          <w:rFonts w:ascii="Arial" w:eastAsiaTheme="majorEastAsia" w:hAnsi="Arial" w:cs="Arial"/>
          <w:sz w:val="22"/>
          <w:szCs w:val="22"/>
        </w:rPr>
        <w:t>Databases Searched</w:t>
      </w:r>
    </w:p>
    <w:p w14:paraId="7D55A8BB" w14:textId="77777777" w:rsidR="002E7042" w:rsidRPr="002E7042" w:rsidRDefault="002E7042" w:rsidP="002E7042">
      <w:pPr>
        <w:pStyle w:val="NormalWeb"/>
        <w:jc w:val="both"/>
        <w:rPr>
          <w:rFonts w:ascii="Arial" w:hAnsi="Arial" w:cs="Arial"/>
          <w:sz w:val="22"/>
          <w:szCs w:val="22"/>
        </w:rPr>
      </w:pPr>
      <w:r w:rsidRPr="002E7042">
        <w:rPr>
          <w:rFonts w:ascii="Arial" w:hAnsi="Arial" w:cs="Arial"/>
          <w:sz w:val="22"/>
          <w:szCs w:val="22"/>
        </w:rPr>
        <w:t>• MEDLINE (via PubMed) • CINAHL • Cochrane Library • Web of Science • Scopus • Google Scholar • Hand</w:t>
      </w:r>
      <w:r w:rsidRPr="002E7042">
        <w:rPr>
          <w:rFonts w:ascii="Arial" w:hAnsi="Arial" w:cs="Arial"/>
          <w:sz w:val="22"/>
          <w:szCs w:val="22"/>
        </w:rPr>
        <w:noBreakHyphen/>
        <w:t>searching of reference lists and national reports (NACR, NIHR, BHF)</w:t>
      </w:r>
    </w:p>
    <w:p w14:paraId="5A370944" w14:textId="77777777" w:rsidR="002E7042" w:rsidRPr="002E7042" w:rsidRDefault="002E7042" w:rsidP="002E7042">
      <w:pPr>
        <w:pStyle w:val="Heading3"/>
        <w:jc w:val="both"/>
        <w:rPr>
          <w:rFonts w:ascii="Arial" w:hAnsi="Arial" w:cs="Arial"/>
          <w:b w:val="0"/>
          <w:bCs w:val="0"/>
          <w:sz w:val="22"/>
          <w:szCs w:val="22"/>
        </w:rPr>
      </w:pPr>
      <w:r w:rsidRPr="002E7042">
        <w:rPr>
          <w:rStyle w:val="Strong"/>
          <w:rFonts w:ascii="Arial" w:eastAsiaTheme="majorEastAsia" w:hAnsi="Arial" w:cs="Arial"/>
          <w:sz w:val="22"/>
          <w:szCs w:val="22"/>
        </w:rPr>
        <w:t>Keywords Used</w:t>
      </w:r>
    </w:p>
    <w:p w14:paraId="0C6B4EF2" w14:textId="77777777" w:rsidR="002E7042" w:rsidRPr="002E7042" w:rsidRDefault="002E7042" w:rsidP="002E7042">
      <w:pPr>
        <w:pStyle w:val="NormalWeb"/>
        <w:jc w:val="both"/>
        <w:rPr>
          <w:rFonts w:ascii="Arial" w:hAnsi="Arial" w:cs="Arial"/>
          <w:sz w:val="22"/>
          <w:szCs w:val="22"/>
        </w:rPr>
      </w:pPr>
      <w:r w:rsidRPr="002E7042">
        <w:rPr>
          <w:rStyle w:val="Strong"/>
          <w:rFonts w:ascii="Arial" w:eastAsiaTheme="majorEastAsia" w:hAnsi="Arial" w:cs="Arial"/>
          <w:b w:val="0"/>
          <w:bCs w:val="0"/>
          <w:sz w:val="22"/>
          <w:szCs w:val="22"/>
        </w:rPr>
        <w:lastRenderedPageBreak/>
        <w:t>Cardiac Rehabilitation Terms</w:t>
      </w:r>
      <w:r w:rsidRPr="002E7042">
        <w:rPr>
          <w:rFonts w:ascii="Arial" w:hAnsi="Arial" w:cs="Arial"/>
          <w:sz w:val="22"/>
          <w:szCs w:val="22"/>
        </w:rPr>
        <w:t xml:space="preserve"> • “Cardiac rehabilitation” • “Cardiac rehab*” • “Heart rehabilitation” • “Secondary prevention”</w:t>
      </w:r>
    </w:p>
    <w:p w14:paraId="0BC05A35" w14:textId="77777777" w:rsidR="002E7042" w:rsidRPr="002E7042" w:rsidRDefault="002E7042" w:rsidP="002E7042">
      <w:pPr>
        <w:pStyle w:val="NormalWeb"/>
        <w:jc w:val="both"/>
        <w:rPr>
          <w:rFonts w:ascii="Arial" w:hAnsi="Arial" w:cs="Arial"/>
          <w:sz w:val="22"/>
          <w:szCs w:val="22"/>
        </w:rPr>
      </w:pPr>
      <w:r w:rsidRPr="002E7042">
        <w:rPr>
          <w:rStyle w:val="Strong"/>
          <w:rFonts w:ascii="Arial" w:eastAsiaTheme="majorEastAsia" w:hAnsi="Arial" w:cs="Arial"/>
          <w:b w:val="0"/>
          <w:bCs w:val="0"/>
          <w:sz w:val="22"/>
          <w:szCs w:val="22"/>
        </w:rPr>
        <w:t>Hospital Readmission Terms</w:t>
      </w:r>
      <w:r w:rsidRPr="002E7042">
        <w:rPr>
          <w:rFonts w:ascii="Arial" w:hAnsi="Arial" w:cs="Arial"/>
          <w:sz w:val="22"/>
          <w:szCs w:val="22"/>
        </w:rPr>
        <w:t xml:space="preserve"> • “Hospital readmission*” • “Rehospitalisation” • “Unplanned admission” • “30</w:t>
      </w:r>
      <w:r w:rsidRPr="002E7042">
        <w:rPr>
          <w:rFonts w:ascii="Arial" w:hAnsi="Arial" w:cs="Arial"/>
          <w:sz w:val="22"/>
          <w:szCs w:val="22"/>
        </w:rPr>
        <w:noBreakHyphen/>
        <w:t>day readmission”</w:t>
      </w:r>
    </w:p>
    <w:p w14:paraId="6D5150E2" w14:textId="77777777" w:rsidR="002E7042" w:rsidRPr="002E7042" w:rsidRDefault="002E7042" w:rsidP="002E7042">
      <w:pPr>
        <w:pStyle w:val="NormalWeb"/>
        <w:jc w:val="both"/>
        <w:rPr>
          <w:rFonts w:ascii="Arial" w:hAnsi="Arial" w:cs="Arial"/>
          <w:sz w:val="22"/>
          <w:szCs w:val="22"/>
        </w:rPr>
      </w:pPr>
      <w:r w:rsidRPr="002E7042">
        <w:rPr>
          <w:rStyle w:val="Strong"/>
          <w:rFonts w:ascii="Arial" w:eastAsiaTheme="majorEastAsia" w:hAnsi="Arial" w:cs="Arial"/>
          <w:b w:val="0"/>
          <w:bCs w:val="0"/>
          <w:sz w:val="22"/>
          <w:szCs w:val="22"/>
        </w:rPr>
        <w:t>Population Terms (Older Adults)</w:t>
      </w:r>
      <w:r w:rsidRPr="002E7042">
        <w:rPr>
          <w:rFonts w:ascii="Arial" w:hAnsi="Arial" w:cs="Arial"/>
          <w:sz w:val="22"/>
          <w:szCs w:val="22"/>
        </w:rPr>
        <w:t xml:space="preserve"> • “Older adult*” • “Elderly” • “55 years and over” • “65+”</w:t>
      </w:r>
    </w:p>
    <w:p w14:paraId="6398DFB1" w14:textId="77777777" w:rsidR="002E7042" w:rsidRPr="002E7042" w:rsidRDefault="002E7042" w:rsidP="002E7042">
      <w:pPr>
        <w:pStyle w:val="NormalWeb"/>
        <w:jc w:val="both"/>
        <w:rPr>
          <w:rFonts w:ascii="Arial" w:hAnsi="Arial" w:cs="Arial"/>
          <w:sz w:val="22"/>
          <w:szCs w:val="22"/>
        </w:rPr>
      </w:pPr>
      <w:r w:rsidRPr="002E7042">
        <w:rPr>
          <w:rStyle w:val="Strong"/>
          <w:rFonts w:ascii="Arial" w:eastAsiaTheme="majorEastAsia" w:hAnsi="Arial" w:cs="Arial"/>
          <w:b w:val="0"/>
          <w:bCs w:val="0"/>
          <w:sz w:val="22"/>
          <w:szCs w:val="22"/>
        </w:rPr>
        <w:t>Ethnicity Terms</w:t>
      </w:r>
      <w:r w:rsidRPr="002E7042">
        <w:rPr>
          <w:rFonts w:ascii="Arial" w:hAnsi="Arial" w:cs="Arial"/>
          <w:sz w:val="22"/>
          <w:szCs w:val="22"/>
        </w:rPr>
        <w:t xml:space="preserve"> • “Ethnic inequalities” • “South Asian patients” • “Black British patients” • “Minority ethnic groups”</w:t>
      </w:r>
    </w:p>
    <w:p w14:paraId="7ACA7139" w14:textId="77777777" w:rsidR="002E7042" w:rsidRPr="002E7042" w:rsidRDefault="002E7042" w:rsidP="002E7042">
      <w:pPr>
        <w:pStyle w:val="NormalWeb"/>
        <w:jc w:val="both"/>
        <w:rPr>
          <w:rFonts w:ascii="Arial" w:hAnsi="Arial" w:cs="Arial"/>
          <w:sz w:val="22"/>
          <w:szCs w:val="22"/>
        </w:rPr>
      </w:pPr>
      <w:r w:rsidRPr="002E7042">
        <w:rPr>
          <w:rStyle w:val="Strong"/>
          <w:rFonts w:ascii="Arial" w:eastAsiaTheme="majorEastAsia" w:hAnsi="Arial" w:cs="Arial"/>
          <w:b w:val="0"/>
          <w:bCs w:val="0"/>
          <w:sz w:val="22"/>
          <w:szCs w:val="22"/>
        </w:rPr>
        <w:t>Socioeconomic Status Terms</w:t>
      </w:r>
      <w:r w:rsidRPr="002E7042">
        <w:rPr>
          <w:rFonts w:ascii="Arial" w:hAnsi="Arial" w:cs="Arial"/>
          <w:sz w:val="22"/>
          <w:szCs w:val="22"/>
        </w:rPr>
        <w:t xml:space="preserve"> • “Socioeconomic status” • “Deprivation” • “Index of Multiple Deprivation” • “Low income”</w:t>
      </w:r>
    </w:p>
    <w:p w14:paraId="43669570" w14:textId="77777777" w:rsidR="002E7042" w:rsidRPr="002E7042" w:rsidRDefault="002E7042" w:rsidP="002E7042">
      <w:pPr>
        <w:pStyle w:val="NormalWeb"/>
        <w:jc w:val="both"/>
        <w:rPr>
          <w:rFonts w:ascii="Arial" w:hAnsi="Arial" w:cs="Arial"/>
          <w:sz w:val="22"/>
          <w:szCs w:val="22"/>
        </w:rPr>
      </w:pPr>
      <w:r w:rsidRPr="002E7042">
        <w:rPr>
          <w:rStyle w:val="Strong"/>
          <w:rFonts w:ascii="Arial" w:eastAsiaTheme="majorEastAsia" w:hAnsi="Arial" w:cs="Arial"/>
          <w:b w:val="0"/>
          <w:bCs w:val="0"/>
          <w:sz w:val="22"/>
          <w:szCs w:val="22"/>
        </w:rPr>
        <w:t>Geographical Terms</w:t>
      </w:r>
      <w:r w:rsidRPr="002E7042">
        <w:rPr>
          <w:rFonts w:ascii="Arial" w:hAnsi="Arial" w:cs="Arial"/>
          <w:sz w:val="22"/>
          <w:szCs w:val="22"/>
        </w:rPr>
        <w:t xml:space="preserve"> • “England” • “United Kingdom” • “UK cardiac services”</w:t>
      </w:r>
    </w:p>
    <w:p w14:paraId="517FBBBC" w14:textId="77777777" w:rsidR="002E7042" w:rsidRPr="002E7042" w:rsidRDefault="002E7042" w:rsidP="002E7042">
      <w:pPr>
        <w:pStyle w:val="Heading3"/>
        <w:jc w:val="both"/>
        <w:rPr>
          <w:rFonts w:ascii="Arial" w:hAnsi="Arial" w:cs="Arial"/>
          <w:b w:val="0"/>
          <w:bCs w:val="0"/>
          <w:sz w:val="22"/>
          <w:szCs w:val="22"/>
        </w:rPr>
      </w:pPr>
      <w:r w:rsidRPr="002E7042">
        <w:rPr>
          <w:rStyle w:val="Strong"/>
          <w:rFonts w:ascii="Arial" w:eastAsiaTheme="majorEastAsia" w:hAnsi="Arial" w:cs="Arial"/>
          <w:sz w:val="22"/>
          <w:szCs w:val="22"/>
        </w:rPr>
        <w:t>Boolean Operators Applied</w:t>
      </w:r>
    </w:p>
    <w:p w14:paraId="2C51F12B" w14:textId="77777777" w:rsidR="002E7042" w:rsidRPr="002E7042" w:rsidRDefault="002E7042" w:rsidP="002E7042">
      <w:pPr>
        <w:pStyle w:val="NormalWeb"/>
        <w:jc w:val="both"/>
        <w:rPr>
          <w:rFonts w:ascii="Arial" w:hAnsi="Arial" w:cs="Arial"/>
          <w:sz w:val="22"/>
          <w:szCs w:val="22"/>
        </w:rPr>
      </w:pPr>
      <w:r w:rsidRPr="002E7042">
        <w:rPr>
          <w:rFonts w:ascii="Arial" w:hAnsi="Arial" w:cs="Arial"/>
          <w:sz w:val="22"/>
          <w:szCs w:val="22"/>
        </w:rPr>
        <w:t xml:space="preserve">• </w:t>
      </w:r>
      <w:r w:rsidRPr="002E7042">
        <w:rPr>
          <w:rStyle w:val="Strong"/>
          <w:rFonts w:ascii="Arial" w:eastAsiaTheme="majorEastAsia" w:hAnsi="Arial" w:cs="Arial"/>
          <w:b w:val="0"/>
          <w:bCs w:val="0"/>
          <w:sz w:val="22"/>
          <w:szCs w:val="22"/>
        </w:rPr>
        <w:t>AND</w:t>
      </w:r>
      <w:r w:rsidRPr="002E7042">
        <w:rPr>
          <w:rFonts w:ascii="Arial" w:hAnsi="Arial" w:cs="Arial"/>
          <w:sz w:val="22"/>
          <w:szCs w:val="22"/>
        </w:rPr>
        <w:t xml:space="preserve"> used to combine major concepts • </w:t>
      </w:r>
      <w:r w:rsidRPr="002E7042">
        <w:rPr>
          <w:rStyle w:val="Strong"/>
          <w:rFonts w:ascii="Arial" w:eastAsiaTheme="majorEastAsia" w:hAnsi="Arial" w:cs="Arial"/>
          <w:b w:val="0"/>
          <w:bCs w:val="0"/>
          <w:sz w:val="22"/>
          <w:szCs w:val="22"/>
        </w:rPr>
        <w:t>OR</w:t>
      </w:r>
      <w:r w:rsidRPr="002E7042">
        <w:rPr>
          <w:rFonts w:ascii="Arial" w:hAnsi="Arial" w:cs="Arial"/>
          <w:sz w:val="22"/>
          <w:szCs w:val="22"/>
        </w:rPr>
        <w:t xml:space="preserve"> used to include synonyms • Truncation (*) used to capture variations</w:t>
      </w:r>
    </w:p>
    <w:p w14:paraId="5E9DB83D" w14:textId="77777777" w:rsidR="002E7042" w:rsidRPr="002E7042" w:rsidRDefault="002E7042" w:rsidP="002E7042">
      <w:pPr>
        <w:pStyle w:val="Heading3"/>
        <w:jc w:val="both"/>
        <w:rPr>
          <w:rFonts w:ascii="Arial" w:hAnsi="Arial" w:cs="Arial"/>
          <w:b w:val="0"/>
          <w:bCs w:val="0"/>
          <w:sz w:val="22"/>
          <w:szCs w:val="22"/>
        </w:rPr>
      </w:pPr>
      <w:r w:rsidRPr="002E7042">
        <w:rPr>
          <w:rStyle w:val="Strong"/>
          <w:rFonts w:ascii="Arial" w:eastAsiaTheme="majorEastAsia" w:hAnsi="Arial" w:cs="Arial"/>
          <w:sz w:val="22"/>
          <w:szCs w:val="22"/>
        </w:rPr>
        <w:t>Publication Period</w:t>
      </w:r>
    </w:p>
    <w:p w14:paraId="63B1F026" w14:textId="6FE5143D" w:rsidR="002E7042" w:rsidRPr="002E7042" w:rsidRDefault="002E7042" w:rsidP="002E7042">
      <w:pPr>
        <w:pStyle w:val="Heading3"/>
        <w:jc w:val="both"/>
        <w:rPr>
          <w:rFonts w:ascii="Arial" w:hAnsi="Arial" w:cs="Arial"/>
          <w:b w:val="0"/>
          <w:bCs w:val="0"/>
          <w:sz w:val="22"/>
          <w:szCs w:val="22"/>
        </w:rPr>
      </w:pPr>
      <w:r w:rsidRPr="002E7042">
        <w:rPr>
          <w:rStyle w:val="Strong"/>
          <w:rFonts w:ascii="Arial" w:eastAsiaTheme="majorEastAsia" w:hAnsi="Arial" w:cs="Arial"/>
          <w:sz w:val="22"/>
          <w:szCs w:val="22"/>
        </w:rPr>
        <w:t xml:space="preserve"> 2016–2026 </w:t>
      </w:r>
    </w:p>
    <w:p w14:paraId="3C56C28A" w14:textId="77777777" w:rsidR="002E7042" w:rsidRPr="002E7042" w:rsidRDefault="002E7042" w:rsidP="002E7042">
      <w:pPr>
        <w:pStyle w:val="Heading3"/>
        <w:jc w:val="both"/>
        <w:rPr>
          <w:rFonts w:ascii="Arial" w:hAnsi="Arial" w:cs="Arial"/>
          <w:b w:val="0"/>
          <w:bCs w:val="0"/>
          <w:sz w:val="22"/>
          <w:szCs w:val="22"/>
        </w:rPr>
      </w:pPr>
      <w:r w:rsidRPr="002E7042">
        <w:rPr>
          <w:rStyle w:val="Strong"/>
          <w:rFonts w:ascii="Arial" w:eastAsiaTheme="majorEastAsia" w:hAnsi="Arial" w:cs="Arial"/>
          <w:sz w:val="22"/>
          <w:szCs w:val="22"/>
        </w:rPr>
        <w:t>Language</w:t>
      </w:r>
    </w:p>
    <w:p w14:paraId="6771EEB7" w14:textId="77777777" w:rsidR="002E7042" w:rsidRPr="002E7042" w:rsidRDefault="002E7042" w:rsidP="002E7042">
      <w:pPr>
        <w:pStyle w:val="NormalWeb"/>
        <w:jc w:val="both"/>
        <w:rPr>
          <w:rFonts w:ascii="Arial" w:hAnsi="Arial" w:cs="Arial"/>
          <w:sz w:val="22"/>
          <w:szCs w:val="22"/>
        </w:rPr>
      </w:pPr>
      <w:r w:rsidRPr="002E7042">
        <w:rPr>
          <w:rFonts w:ascii="Arial" w:hAnsi="Arial" w:cs="Arial"/>
          <w:sz w:val="22"/>
          <w:szCs w:val="22"/>
        </w:rPr>
        <w:t>• English only</w:t>
      </w:r>
    </w:p>
    <w:p w14:paraId="18DFC05E" w14:textId="77777777" w:rsidR="002E7042" w:rsidRPr="002E7042" w:rsidRDefault="002E7042" w:rsidP="002E7042">
      <w:pPr>
        <w:pStyle w:val="Heading3"/>
        <w:jc w:val="both"/>
        <w:rPr>
          <w:rFonts w:ascii="Arial" w:hAnsi="Arial" w:cs="Arial"/>
          <w:b w:val="0"/>
          <w:bCs w:val="0"/>
          <w:sz w:val="22"/>
          <w:szCs w:val="22"/>
        </w:rPr>
      </w:pPr>
      <w:r w:rsidRPr="002E7042">
        <w:rPr>
          <w:rStyle w:val="Strong"/>
          <w:rFonts w:ascii="Arial" w:eastAsiaTheme="majorEastAsia" w:hAnsi="Arial" w:cs="Arial"/>
          <w:sz w:val="22"/>
          <w:szCs w:val="22"/>
        </w:rPr>
        <w:t>Inclusion Criteria</w:t>
      </w:r>
    </w:p>
    <w:p w14:paraId="5AE3A07A" w14:textId="77777777" w:rsidR="002E7042" w:rsidRPr="002E7042" w:rsidRDefault="002E7042" w:rsidP="002E7042">
      <w:pPr>
        <w:pStyle w:val="NormalWeb"/>
        <w:jc w:val="both"/>
        <w:rPr>
          <w:rFonts w:ascii="Arial" w:hAnsi="Arial" w:cs="Arial"/>
          <w:sz w:val="22"/>
          <w:szCs w:val="22"/>
        </w:rPr>
      </w:pPr>
      <w:r w:rsidRPr="002E7042">
        <w:rPr>
          <w:rFonts w:ascii="Arial" w:hAnsi="Arial" w:cs="Arial"/>
          <w:sz w:val="22"/>
          <w:szCs w:val="22"/>
        </w:rPr>
        <w:t xml:space="preserve">• Adults aged </w:t>
      </w:r>
      <w:r w:rsidRPr="002E7042">
        <w:rPr>
          <w:rStyle w:val="Strong"/>
          <w:rFonts w:ascii="Arial" w:eastAsiaTheme="majorEastAsia" w:hAnsi="Arial" w:cs="Arial"/>
          <w:b w:val="0"/>
          <w:bCs w:val="0"/>
          <w:sz w:val="22"/>
          <w:szCs w:val="22"/>
        </w:rPr>
        <w:t>55 years and over</w:t>
      </w:r>
      <w:r w:rsidRPr="002E7042">
        <w:rPr>
          <w:rFonts w:ascii="Arial" w:hAnsi="Arial" w:cs="Arial"/>
          <w:sz w:val="22"/>
          <w:szCs w:val="22"/>
        </w:rPr>
        <w:t xml:space="preserve"> • Studies conducted in </w:t>
      </w:r>
      <w:r w:rsidRPr="002E7042">
        <w:rPr>
          <w:rStyle w:val="Strong"/>
          <w:rFonts w:ascii="Arial" w:eastAsiaTheme="majorEastAsia" w:hAnsi="Arial" w:cs="Arial"/>
          <w:b w:val="0"/>
          <w:bCs w:val="0"/>
          <w:sz w:val="22"/>
          <w:szCs w:val="22"/>
        </w:rPr>
        <w:t>England or the UK</w:t>
      </w:r>
      <w:r w:rsidRPr="002E7042">
        <w:rPr>
          <w:rFonts w:ascii="Arial" w:hAnsi="Arial" w:cs="Arial"/>
          <w:sz w:val="22"/>
          <w:szCs w:val="22"/>
        </w:rPr>
        <w:t xml:space="preserve"> • Research examining </w:t>
      </w:r>
      <w:r w:rsidRPr="002E7042">
        <w:rPr>
          <w:rStyle w:val="Strong"/>
          <w:rFonts w:ascii="Arial" w:eastAsiaTheme="majorEastAsia" w:hAnsi="Arial" w:cs="Arial"/>
          <w:b w:val="0"/>
          <w:bCs w:val="0"/>
          <w:sz w:val="22"/>
          <w:szCs w:val="22"/>
        </w:rPr>
        <w:t>cardiac rehabilitation</w:t>
      </w:r>
      <w:r w:rsidRPr="002E7042">
        <w:rPr>
          <w:rFonts w:ascii="Arial" w:hAnsi="Arial" w:cs="Arial"/>
          <w:sz w:val="22"/>
          <w:szCs w:val="22"/>
        </w:rPr>
        <w:t xml:space="preserve">, </w:t>
      </w:r>
      <w:r w:rsidRPr="002E7042">
        <w:rPr>
          <w:rStyle w:val="Strong"/>
          <w:rFonts w:ascii="Arial" w:eastAsiaTheme="majorEastAsia" w:hAnsi="Arial" w:cs="Arial"/>
          <w:b w:val="0"/>
          <w:bCs w:val="0"/>
          <w:sz w:val="22"/>
          <w:szCs w:val="22"/>
        </w:rPr>
        <w:t>hospital readmissions</w:t>
      </w:r>
      <w:r w:rsidRPr="002E7042">
        <w:rPr>
          <w:rFonts w:ascii="Arial" w:hAnsi="Arial" w:cs="Arial"/>
          <w:sz w:val="22"/>
          <w:szCs w:val="22"/>
        </w:rPr>
        <w:t xml:space="preserve">, or </w:t>
      </w:r>
      <w:r w:rsidRPr="002E7042">
        <w:rPr>
          <w:rStyle w:val="Strong"/>
          <w:rFonts w:ascii="Arial" w:eastAsiaTheme="majorEastAsia" w:hAnsi="Arial" w:cs="Arial"/>
          <w:b w:val="0"/>
          <w:bCs w:val="0"/>
          <w:sz w:val="22"/>
          <w:szCs w:val="22"/>
        </w:rPr>
        <w:t>CR outcomes</w:t>
      </w:r>
      <w:r w:rsidRPr="002E7042">
        <w:rPr>
          <w:rFonts w:ascii="Arial" w:hAnsi="Arial" w:cs="Arial"/>
          <w:sz w:val="22"/>
          <w:szCs w:val="22"/>
        </w:rPr>
        <w:t xml:space="preserve"> • Studies exploring </w:t>
      </w:r>
      <w:r w:rsidRPr="002E7042">
        <w:rPr>
          <w:rStyle w:val="Strong"/>
          <w:rFonts w:ascii="Arial" w:eastAsiaTheme="majorEastAsia" w:hAnsi="Arial" w:cs="Arial"/>
          <w:b w:val="0"/>
          <w:bCs w:val="0"/>
          <w:sz w:val="22"/>
          <w:szCs w:val="22"/>
        </w:rPr>
        <w:t>ethnic or socioeconomic inequalities</w:t>
      </w:r>
      <w:r w:rsidRPr="002E7042">
        <w:rPr>
          <w:rFonts w:ascii="Arial" w:hAnsi="Arial" w:cs="Arial"/>
          <w:sz w:val="22"/>
          <w:szCs w:val="22"/>
        </w:rPr>
        <w:t xml:space="preserve"> • Peer</w:t>
      </w:r>
      <w:r w:rsidRPr="002E7042">
        <w:rPr>
          <w:rFonts w:ascii="Arial" w:hAnsi="Arial" w:cs="Arial"/>
          <w:sz w:val="22"/>
          <w:szCs w:val="22"/>
        </w:rPr>
        <w:noBreakHyphen/>
        <w:t>reviewed quantitative, qualitative, or mixed</w:t>
      </w:r>
      <w:r w:rsidRPr="002E7042">
        <w:rPr>
          <w:rFonts w:ascii="Arial" w:hAnsi="Arial" w:cs="Arial"/>
          <w:sz w:val="22"/>
          <w:szCs w:val="22"/>
        </w:rPr>
        <w:noBreakHyphen/>
        <w:t>methods studies • Systematic reviews, cohort studies, RCTs</w:t>
      </w:r>
    </w:p>
    <w:p w14:paraId="6990495A" w14:textId="77777777" w:rsidR="002E7042" w:rsidRPr="002E7042" w:rsidRDefault="002E7042" w:rsidP="002E7042">
      <w:pPr>
        <w:pStyle w:val="Heading3"/>
        <w:jc w:val="both"/>
        <w:rPr>
          <w:rFonts w:ascii="Arial" w:hAnsi="Arial" w:cs="Arial"/>
          <w:b w:val="0"/>
          <w:bCs w:val="0"/>
          <w:sz w:val="22"/>
          <w:szCs w:val="22"/>
        </w:rPr>
      </w:pPr>
      <w:r w:rsidRPr="002E7042">
        <w:rPr>
          <w:rStyle w:val="Strong"/>
          <w:rFonts w:ascii="Arial" w:eastAsiaTheme="majorEastAsia" w:hAnsi="Arial" w:cs="Arial"/>
          <w:sz w:val="22"/>
          <w:szCs w:val="22"/>
        </w:rPr>
        <w:t>Exclusion Criteria</w:t>
      </w:r>
    </w:p>
    <w:p w14:paraId="5F5AE426" w14:textId="77777777" w:rsidR="002E7042" w:rsidRPr="002E7042" w:rsidRDefault="002E7042" w:rsidP="002E7042">
      <w:pPr>
        <w:pStyle w:val="NormalWeb"/>
        <w:jc w:val="both"/>
        <w:rPr>
          <w:rFonts w:ascii="Arial" w:hAnsi="Arial" w:cs="Arial"/>
          <w:sz w:val="22"/>
          <w:szCs w:val="22"/>
        </w:rPr>
      </w:pPr>
      <w:r w:rsidRPr="002E7042">
        <w:rPr>
          <w:rFonts w:ascii="Arial" w:hAnsi="Arial" w:cs="Arial"/>
          <w:sz w:val="22"/>
          <w:szCs w:val="22"/>
        </w:rPr>
        <w:t>• Studies outside the UK • Participants younger than 55 • Studies not involving CR • Editorials, commentaries, opinion papers • Non</w:t>
      </w:r>
      <w:r w:rsidRPr="002E7042">
        <w:rPr>
          <w:rFonts w:ascii="Arial" w:hAnsi="Arial" w:cs="Arial"/>
          <w:sz w:val="22"/>
          <w:szCs w:val="22"/>
        </w:rPr>
        <w:noBreakHyphen/>
        <w:t>English publications • Studies without empirical data • Primary prevention studies</w:t>
      </w:r>
    </w:p>
    <w:p w14:paraId="3CEF7992" w14:textId="77777777" w:rsidR="002E7042" w:rsidRPr="002E7042" w:rsidRDefault="002E7042" w:rsidP="002E7042">
      <w:pPr>
        <w:pStyle w:val="Heading3"/>
        <w:jc w:val="both"/>
        <w:rPr>
          <w:rFonts w:ascii="Arial" w:hAnsi="Arial" w:cs="Arial"/>
          <w:b w:val="0"/>
          <w:bCs w:val="0"/>
          <w:sz w:val="22"/>
          <w:szCs w:val="22"/>
        </w:rPr>
      </w:pPr>
      <w:r w:rsidRPr="002E7042">
        <w:rPr>
          <w:rStyle w:val="Strong"/>
          <w:rFonts w:ascii="Arial" w:eastAsiaTheme="majorEastAsia" w:hAnsi="Arial" w:cs="Arial"/>
          <w:sz w:val="22"/>
          <w:szCs w:val="22"/>
        </w:rPr>
        <w:t>Search Example (PubMed Format)</w:t>
      </w:r>
    </w:p>
    <w:p w14:paraId="4A17A1DE" w14:textId="77777777" w:rsidR="002E7042" w:rsidRPr="002E7042" w:rsidRDefault="002E7042" w:rsidP="002E7042">
      <w:pPr>
        <w:pStyle w:val="NormalWeb"/>
        <w:jc w:val="both"/>
        <w:rPr>
          <w:rFonts w:ascii="Arial" w:hAnsi="Arial" w:cs="Arial"/>
          <w:sz w:val="22"/>
          <w:szCs w:val="22"/>
        </w:rPr>
      </w:pPr>
      <w:r w:rsidRPr="002E7042">
        <w:rPr>
          <w:rFonts w:ascii="Arial" w:hAnsi="Arial" w:cs="Arial"/>
          <w:sz w:val="22"/>
          <w:szCs w:val="22"/>
        </w:rPr>
        <w:t>“</w:t>
      </w:r>
      <w:proofErr w:type="gramStart"/>
      <w:r w:rsidRPr="002E7042">
        <w:rPr>
          <w:rFonts w:ascii="Arial" w:hAnsi="Arial" w:cs="Arial"/>
          <w:sz w:val="22"/>
          <w:szCs w:val="22"/>
        </w:rPr>
        <w:t>cardiac</w:t>
      </w:r>
      <w:proofErr w:type="gramEnd"/>
      <w:r w:rsidRPr="002E7042">
        <w:rPr>
          <w:rFonts w:ascii="Arial" w:hAnsi="Arial" w:cs="Arial"/>
          <w:sz w:val="22"/>
          <w:szCs w:val="22"/>
        </w:rPr>
        <w:t xml:space="preserve"> rehabilitation” AND “hospital readmission</w:t>
      </w:r>
      <w:r w:rsidRPr="002E7042">
        <w:rPr>
          <w:rStyle w:val="Emphasis"/>
          <w:rFonts w:ascii="Arial" w:hAnsi="Arial" w:cs="Arial"/>
          <w:sz w:val="22"/>
          <w:szCs w:val="22"/>
        </w:rPr>
        <w:t>” AND (“older adult</w:t>
      </w:r>
      <w:r w:rsidRPr="002E7042">
        <w:rPr>
          <w:rFonts w:ascii="Arial" w:hAnsi="Arial" w:cs="Arial"/>
          <w:sz w:val="22"/>
          <w:szCs w:val="22"/>
        </w:rPr>
        <w:t>” OR “55 years”) AND (“ethnic*” OR “socioeconomic status”) AND (“England” OR “United Kingdom”)</w:t>
      </w:r>
    </w:p>
    <w:p w14:paraId="7871218F" w14:textId="77777777" w:rsidR="002E7042" w:rsidRPr="002E7042" w:rsidRDefault="002E7042" w:rsidP="002E7042">
      <w:pPr>
        <w:jc w:val="both"/>
        <w:rPr>
          <w:rFonts w:ascii="Arial" w:hAnsi="Arial" w:cs="Arial"/>
          <w:color w:val="000000" w:themeColor="text1"/>
        </w:rPr>
      </w:pPr>
    </w:p>
    <w:sectPr w:rsidR="002E7042" w:rsidRPr="002E70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62033"/>
    <w:multiLevelType w:val="multilevel"/>
    <w:tmpl w:val="D3842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0435ED"/>
    <w:multiLevelType w:val="multilevel"/>
    <w:tmpl w:val="E3003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943DC7"/>
    <w:multiLevelType w:val="multilevel"/>
    <w:tmpl w:val="9D928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851CF6"/>
    <w:multiLevelType w:val="multilevel"/>
    <w:tmpl w:val="9294B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106FA0"/>
    <w:multiLevelType w:val="multilevel"/>
    <w:tmpl w:val="17580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39747A"/>
    <w:multiLevelType w:val="multilevel"/>
    <w:tmpl w:val="89D8C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76680E"/>
    <w:multiLevelType w:val="multilevel"/>
    <w:tmpl w:val="6E40E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4"/>
  </w:num>
  <w:num w:numId="3">
    <w:abstractNumId w:val="2"/>
  </w:num>
  <w:num w:numId="4">
    <w:abstractNumId w:val="1"/>
  </w:num>
  <w:num w:numId="5">
    <w:abstractNumId w:val="5"/>
  </w:num>
  <w:num w:numId="6">
    <w:abstractNumId w:val="3"/>
  </w:num>
  <w:num w:numId="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ing Wu">
    <w15:presenceInfo w15:providerId="AD" w15:userId="S::ping.wu@icr.ac.uk::ffd57139-25e9-43f0-add3-5a826a6cafe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FAB"/>
    <w:rsid w:val="00000FAB"/>
    <w:rsid w:val="0002468E"/>
    <w:rsid w:val="0006126E"/>
    <w:rsid w:val="000A3B07"/>
    <w:rsid w:val="001200D2"/>
    <w:rsid w:val="00177C7E"/>
    <w:rsid w:val="00191154"/>
    <w:rsid w:val="001E1CCB"/>
    <w:rsid w:val="0020012A"/>
    <w:rsid w:val="00265E90"/>
    <w:rsid w:val="00290FC3"/>
    <w:rsid w:val="002D11D1"/>
    <w:rsid w:val="002D512F"/>
    <w:rsid w:val="002E7042"/>
    <w:rsid w:val="0032143E"/>
    <w:rsid w:val="003A2FD2"/>
    <w:rsid w:val="003D5D31"/>
    <w:rsid w:val="00441D6E"/>
    <w:rsid w:val="004E6F35"/>
    <w:rsid w:val="005B0A8D"/>
    <w:rsid w:val="005F0AE2"/>
    <w:rsid w:val="00646C39"/>
    <w:rsid w:val="006C6578"/>
    <w:rsid w:val="00757AF1"/>
    <w:rsid w:val="00774E89"/>
    <w:rsid w:val="007904C9"/>
    <w:rsid w:val="007B1E06"/>
    <w:rsid w:val="007B4AC4"/>
    <w:rsid w:val="008041FC"/>
    <w:rsid w:val="00832F99"/>
    <w:rsid w:val="008335ED"/>
    <w:rsid w:val="008B2619"/>
    <w:rsid w:val="008F2D23"/>
    <w:rsid w:val="008F483F"/>
    <w:rsid w:val="00917871"/>
    <w:rsid w:val="00936FEB"/>
    <w:rsid w:val="009A4CC1"/>
    <w:rsid w:val="00A836FB"/>
    <w:rsid w:val="00AA4B24"/>
    <w:rsid w:val="00AF08A1"/>
    <w:rsid w:val="00BE0CBB"/>
    <w:rsid w:val="00C0066E"/>
    <w:rsid w:val="00C24A1D"/>
    <w:rsid w:val="00C40B32"/>
    <w:rsid w:val="00CC6BED"/>
    <w:rsid w:val="00D05A93"/>
    <w:rsid w:val="00D15E99"/>
    <w:rsid w:val="00D447C6"/>
    <w:rsid w:val="00DE1AF5"/>
    <w:rsid w:val="00EB6BA4"/>
    <w:rsid w:val="00F20870"/>
    <w:rsid w:val="00F37A79"/>
    <w:rsid w:val="00F420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88723"/>
  <w15:chartTrackingRefBased/>
  <w15:docId w15:val="{FA907195-A8CB-4078-8E67-80C0835EF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B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612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00FAB"/>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paragraph" w:styleId="Heading4">
    <w:name w:val="heading 4"/>
    <w:basedOn w:val="Normal"/>
    <w:next w:val="Normal"/>
    <w:link w:val="Heading4Char"/>
    <w:uiPriority w:val="9"/>
    <w:unhideWhenUsed/>
    <w:qFormat/>
    <w:rsid w:val="00C40B3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00FAB"/>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000FAB"/>
    <w:rPr>
      <w:b/>
      <w:bCs/>
    </w:rPr>
  </w:style>
  <w:style w:type="paragraph" w:styleId="NormalWeb">
    <w:name w:val="Normal (Web)"/>
    <w:basedOn w:val="Normal"/>
    <w:uiPriority w:val="99"/>
    <w:unhideWhenUsed/>
    <w:rsid w:val="00000FA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2Char">
    <w:name w:val="Heading 2 Char"/>
    <w:basedOn w:val="DefaultParagraphFont"/>
    <w:link w:val="Heading2"/>
    <w:uiPriority w:val="9"/>
    <w:semiHidden/>
    <w:rsid w:val="0006126E"/>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06126E"/>
    <w:rPr>
      <w:i/>
      <w:iCs/>
    </w:rPr>
  </w:style>
  <w:style w:type="character" w:customStyle="1" w:styleId="Heading1Char">
    <w:name w:val="Heading 1 Char"/>
    <w:basedOn w:val="DefaultParagraphFont"/>
    <w:link w:val="Heading1"/>
    <w:uiPriority w:val="9"/>
    <w:rsid w:val="00C40B32"/>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C40B32"/>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AA4B2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82209">
      <w:bodyDiv w:val="1"/>
      <w:marLeft w:val="0"/>
      <w:marRight w:val="0"/>
      <w:marTop w:val="0"/>
      <w:marBottom w:val="0"/>
      <w:divBdr>
        <w:top w:val="none" w:sz="0" w:space="0" w:color="auto"/>
        <w:left w:val="none" w:sz="0" w:space="0" w:color="auto"/>
        <w:bottom w:val="none" w:sz="0" w:space="0" w:color="auto"/>
        <w:right w:val="none" w:sz="0" w:space="0" w:color="auto"/>
      </w:divBdr>
    </w:div>
    <w:div w:id="96407401">
      <w:bodyDiv w:val="1"/>
      <w:marLeft w:val="0"/>
      <w:marRight w:val="0"/>
      <w:marTop w:val="0"/>
      <w:marBottom w:val="0"/>
      <w:divBdr>
        <w:top w:val="none" w:sz="0" w:space="0" w:color="auto"/>
        <w:left w:val="none" w:sz="0" w:space="0" w:color="auto"/>
        <w:bottom w:val="none" w:sz="0" w:space="0" w:color="auto"/>
        <w:right w:val="none" w:sz="0" w:space="0" w:color="auto"/>
      </w:divBdr>
    </w:div>
    <w:div w:id="105273808">
      <w:bodyDiv w:val="1"/>
      <w:marLeft w:val="0"/>
      <w:marRight w:val="0"/>
      <w:marTop w:val="0"/>
      <w:marBottom w:val="0"/>
      <w:divBdr>
        <w:top w:val="none" w:sz="0" w:space="0" w:color="auto"/>
        <w:left w:val="none" w:sz="0" w:space="0" w:color="auto"/>
        <w:bottom w:val="none" w:sz="0" w:space="0" w:color="auto"/>
        <w:right w:val="none" w:sz="0" w:space="0" w:color="auto"/>
      </w:divBdr>
    </w:div>
    <w:div w:id="203104022">
      <w:bodyDiv w:val="1"/>
      <w:marLeft w:val="0"/>
      <w:marRight w:val="0"/>
      <w:marTop w:val="0"/>
      <w:marBottom w:val="0"/>
      <w:divBdr>
        <w:top w:val="none" w:sz="0" w:space="0" w:color="auto"/>
        <w:left w:val="none" w:sz="0" w:space="0" w:color="auto"/>
        <w:bottom w:val="none" w:sz="0" w:space="0" w:color="auto"/>
        <w:right w:val="none" w:sz="0" w:space="0" w:color="auto"/>
      </w:divBdr>
    </w:div>
    <w:div w:id="275211155">
      <w:bodyDiv w:val="1"/>
      <w:marLeft w:val="0"/>
      <w:marRight w:val="0"/>
      <w:marTop w:val="0"/>
      <w:marBottom w:val="0"/>
      <w:divBdr>
        <w:top w:val="none" w:sz="0" w:space="0" w:color="auto"/>
        <w:left w:val="none" w:sz="0" w:space="0" w:color="auto"/>
        <w:bottom w:val="none" w:sz="0" w:space="0" w:color="auto"/>
        <w:right w:val="none" w:sz="0" w:space="0" w:color="auto"/>
      </w:divBdr>
    </w:div>
    <w:div w:id="342709627">
      <w:bodyDiv w:val="1"/>
      <w:marLeft w:val="0"/>
      <w:marRight w:val="0"/>
      <w:marTop w:val="0"/>
      <w:marBottom w:val="0"/>
      <w:divBdr>
        <w:top w:val="none" w:sz="0" w:space="0" w:color="auto"/>
        <w:left w:val="none" w:sz="0" w:space="0" w:color="auto"/>
        <w:bottom w:val="none" w:sz="0" w:space="0" w:color="auto"/>
        <w:right w:val="none" w:sz="0" w:space="0" w:color="auto"/>
      </w:divBdr>
    </w:div>
    <w:div w:id="431360982">
      <w:bodyDiv w:val="1"/>
      <w:marLeft w:val="0"/>
      <w:marRight w:val="0"/>
      <w:marTop w:val="0"/>
      <w:marBottom w:val="0"/>
      <w:divBdr>
        <w:top w:val="none" w:sz="0" w:space="0" w:color="auto"/>
        <w:left w:val="none" w:sz="0" w:space="0" w:color="auto"/>
        <w:bottom w:val="none" w:sz="0" w:space="0" w:color="auto"/>
        <w:right w:val="none" w:sz="0" w:space="0" w:color="auto"/>
      </w:divBdr>
      <w:divsChild>
        <w:div w:id="677732883">
          <w:marLeft w:val="0"/>
          <w:marRight w:val="0"/>
          <w:marTop w:val="0"/>
          <w:marBottom w:val="0"/>
          <w:divBdr>
            <w:top w:val="none" w:sz="0" w:space="0" w:color="auto"/>
            <w:left w:val="none" w:sz="0" w:space="0" w:color="auto"/>
            <w:bottom w:val="none" w:sz="0" w:space="0" w:color="auto"/>
            <w:right w:val="none" w:sz="0" w:space="0" w:color="auto"/>
          </w:divBdr>
          <w:divsChild>
            <w:div w:id="1353602772">
              <w:marLeft w:val="0"/>
              <w:marRight w:val="0"/>
              <w:marTop w:val="0"/>
              <w:marBottom w:val="0"/>
              <w:divBdr>
                <w:top w:val="none" w:sz="0" w:space="0" w:color="auto"/>
                <w:left w:val="none" w:sz="0" w:space="0" w:color="auto"/>
                <w:bottom w:val="none" w:sz="0" w:space="0" w:color="auto"/>
                <w:right w:val="none" w:sz="0" w:space="0" w:color="auto"/>
              </w:divBdr>
              <w:divsChild>
                <w:div w:id="206748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691447">
      <w:bodyDiv w:val="1"/>
      <w:marLeft w:val="0"/>
      <w:marRight w:val="0"/>
      <w:marTop w:val="0"/>
      <w:marBottom w:val="0"/>
      <w:divBdr>
        <w:top w:val="none" w:sz="0" w:space="0" w:color="auto"/>
        <w:left w:val="none" w:sz="0" w:space="0" w:color="auto"/>
        <w:bottom w:val="none" w:sz="0" w:space="0" w:color="auto"/>
        <w:right w:val="none" w:sz="0" w:space="0" w:color="auto"/>
      </w:divBdr>
    </w:div>
    <w:div w:id="585575731">
      <w:bodyDiv w:val="1"/>
      <w:marLeft w:val="0"/>
      <w:marRight w:val="0"/>
      <w:marTop w:val="0"/>
      <w:marBottom w:val="0"/>
      <w:divBdr>
        <w:top w:val="none" w:sz="0" w:space="0" w:color="auto"/>
        <w:left w:val="none" w:sz="0" w:space="0" w:color="auto"/>
        <w:bottom w:val="none" w:sz="0" w:space="0" w:color="auto"/>
        <w:right w:val="none" w:sz="0" w:space="0" w:color="auto"/>
      </w:divBdr>
    </w:div>
    <w:div w:id="602229077">
      <w:bodyDiv w:val="1"/>
      <w:marLeft w:val="0"/>
      <w:marRight w:val="0"/>
      <w:marTop w:val="0"/>
      <w:marBottom w:val="0"/>
      <w:divBdr>
        <w:top w:val="none" w:sz="0" w:space="0" w:color="auto"/>
        <w:left w:val="none" w:sz="0" w:space="0" w:color="auto"/>
        <w:bottom w:val="none" w:sz="0" w:space="0" w:color="auto"/>
        <w:right w:val="none" w:sz="0" w:space="0" w:color="auto"/>
      </w:divBdr>
    </w:div>
    <w:div w:id="620693538">
      <w:bodyDiv w:val="1"/>
      <w:marLeft w:val="0"/>
      <w:marRight w:val="0"/>
      <w:marTop w:val="0"/>
      <w:marBottom w:val="0"/>
      <w:divBdr>
        <w:top w:val="none" w:sz="0" w:space="0" w:color="auto"/>
        <w:left w:val="none" w:sz="0" w:space="0" w:color="auto"/>
        <w:bottom w:val="none" w:sz="0" w:space="0" w:color="auto"/>
        <w:right w:val="none" w:sz="0" w:space="0" w:color="auto"/>
      </w:divBdr>
    </w:div>
    <w:div w:id="701521362">
      <w:bodyDiv w:val="1"/>
      <w:marLeft w:val="0"/>
      <w:marRight w:val="0"/>
      <w:marTop w:val="0"/>
      <w:marBottom w:val="0"/>
      <w:divBdr>
        <w:top w:val="none" w:sz="0" w:space="0" w:color="auto"/>
        <w:left w:val="none" w:sz="0" w:space="0" w:color="auto"/>
        <w:bottom w:val="none" w:sz="0" w:space="0" w:color="auto"/>
        <w:right w:val="none" w:sz="0" w:space="0" w:color="auto"/>
      </w:divBdr>
    </w:div>
    <w:div w:id="719324601">
      <w:bodyDiv w:val="1"/>
      <w:marLeft w:val="0"/>
      <w:marRight w:val="0"/>
      <w:marTop w:val="0"/>
      <w:marBottom w:val="0"/>
      <w:divBdr>
        <w:top w:val="none" w:sz="0" w:space="0" w:color="auto"/>
        <w:left w:val="none" w:sz="0" w:space="0" w:color="auto"/>
        <w:bottom w:val="none" w:sz="0" w:space="0" w:color="auto"/>
        <w:right w:val="none" w:sz="0" w:space="0" w:color="auto"/>
      </w:divBdr>
    </w:div>
    <w:div w:id="917136416">
      <w:bodyDiv w:val="1"/>
      <w:marLeft w:val="0"/>
      <w:marRight w:val="0"/>
      <w:marTop w:val="0"/>
      <w:marBottom w:val="0"/>
      <w:divBdr>
        <w:top w:val="none" w:sz="0" w:space="0" w:color="auto"/>
        <w:left w:val="none" w:sz="0" w:space="0" w:color="auto"/>
        <w:bottom w:val="none" w:sz="0" w:space="0" w:color="auto"/>
        <w:right w:val="none" w:sz="0" w:space="0" w:color="auto"/>
      </w:divBdr>
      <w:divsChild>
        <w:div w:id="608437449">
          <w:marLeft w:val="0"/>
          <w:marRight w:val="0"/>
          <w:marTop w:val="0"/>
          <w:marBottom w:val="0"/>
          <w:divBdr>
            <w:top w:val="none" w:sz="0" w:space="0" w:color="auto"/>
            <w:left w:val="none" w:sz="0" w:space="0" w:color="auto"/>
            <w:bottom w:val="none" w:sz="0" w:space="0" w:color="auto"/>
            <w:right w:val="none" w:sz="0" w:space="0" w:color="auto"/>
          </w:divBdr>
          <w:divsChild>
            <w:div w:id="623849189">
              <w:marLeft w:val="0"/>
              <w:marRight w:val="0"/>
              <w:marTop w:val="0"/>
              <w:marBottom w:val="0"/>
              <w:divBdr>
                <w:top w:val="none" w:sz="0" w:space="0" w:color="auto"/>
                <w:left w:val="none" w:sz="0" w:space="0" w:color="auto"/>
                <w:bottom w:val="none" w:sz="0" w:space="0" w:color="auto"/>
                <w:right w:val="none" w:sz="0" w:space="0" w:color="auto"/>
              </w:divBdr>
              <w:divsChild>
                <w:div w:id="1234393989">
                  <w:marLeft w:val="0"/>
                  <w:marRight w:val="0"/>
                  <w:marTop w:val="0"/>
                  <w:marBottom w:val="0"/>
                  <w:divBdr>
                    <w:top w:val="none" w:sz="0" w:space="0" w:color="auto"/>
                    <w:left w:val="none" w:sz="0" w:space="0" w:color="auto"/>
                    <w:bottom w:val="none" w:sz="0" w:space="0" w:color="auto"/>
                    <w:right w:val="none" w:sz="0" w:space="0" w:color="auto"/>
                  </w:divBdr>
                  <w:divsChild>
                    <w:div w:id="1111239558">
                      <w:marLeft w:val="0"/>
                      <w:marRight w:val="0"/>
                      <w:marTop w:val="0"/>
                      <w:marBottom w:val="0"/>
                      <w:divBdr>
                        <w:top w:val="none" w:sz="0" w:space="0" w:color="auto"/>
                        <w:left w:val="none" w:sz="0" w:space="0" w:color="auto"/>
                        <w:bottom w:val="none" w:sz="0" w:space="0" w:color="auto"/>
                        <w:right w:val="none" w:sz="0" w:space="0" w:color="auto"/>
                      </w:divBdr>
                      <w:divsChild>
                        <w:div w:id="1977492314">
                          <w:marLeft w:val="0"/>
                          <w:marRight w:val="0"/>
                          <w:marTop w:val="0"/>
                          <w:marBottom w:val="0"/>
                          <w:divBdr>
                            <w:top w:val="none" w:sz="0" w:space="0" w:color="auto"/>
                            <w:left w:val="none" w:sz="0" w:space="0" w:color="auto"/>
                            <w:bottom w:val="none" w:sz="0" w:space="0" w:color="auto"/>
                            <w:right w:val="none" w:sz="0" w:space="0" w:color="auto"/>
                          </w:divBdr>
                          <w:divsChild>
                            <w:div w:id="130948922">
                              <w:marLeft w:val="0"/>
                              <w:marRight w:val="0"/>
                              <w:marTop w:val="0"/>
                              <w:marBottom w:val="0"/>
                              <w:divBdr>
                                <w:top w:val="none" w:sz="0" w:space="0" w:color="auto"/>
                                <w:left w:val="none" w:sz="0" w:space="0" w:color="auto"/>
                                <w:bottom w:val="none" w:sz="0" w:space="0" w:color="auto"/>
                                <w:right w:val="none" w:sz="0" w:space="0" w:color="auto"/>
                              </w:divBdr>
                              <w:divsChild>
                                <w:div w:id="206282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9934795">
          <w:marLeft w:val="0"/>
          <w:marRight w:val="0"/>
          <w:marTop w:val="0"/>
          <w:marBottom w:val="0"/>
          <w:divBdr>
            <w:top w:val="none" w:sz="0" w:space="0" w:color="auto"/>
            <w:left w:val="none" w:sz="0" w:space="0" w:color="auto"/>
            <w:bottom w:val="none" w:sz="0" w:space="0" w:color="auto"/>
            <w:right w:val="none" w:sz="0" w:space="0" w:color="auto"/>
          </w:divBdr>
          <w:divsChild>
            <w:div w:id="103044496">
              <w:marLeft w:val="0"/>
              <w:marRight w:val="0"/>
              <w:marTop w:val="0"/>
              <w:marBottom w:val="0"/>
              <w:divBdr>
                <w:top w:val="none" w:sz="0" w:space="0" w:color="auto"/>
                <w:left w:val="none" w:sz="0" w:space="0" w:color="auto"/>
                <w:bottom w:val="none" w:sz="0" w:space="0" w:color="auto"/>
                <w:right w:val="none" w:sz="0" w:space="0" w:color="auto"/>
              </w:divBdr>
              <w:divsChild>
                <w:div w:id="21385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142292">
          <w:marLeft w:val="0"/>
          <w:marRight w:val="0"/>
          <w:marTop w:val="0"/>
          <w:marBottom w:val="0"/>
          <w:divBdr>
            <w:top w:val="none" w:sz="0" w:space="0" w:color="auto"/>
            <w:left w:val="none" w:sz="0" w:space="0" w:color="auto"/>
            <w:bottom w:val="none" w:sz="0" w:space="0" w:color="auto"/>
            <w:right w:val="none" w:sz="0" w:space="0" w:color="auto"/>
          </w:divBdr>
          <w:divsChild>
            <w:div w:id="809440613">
              <w:marLeft w:val="0"/>
              <w:marRight w:val="0"/>
              <w:marTop w:val="0"/>
              <w:marBottom w:val="0"/>
              <w:divBdr>
                <w:top w:val="none" w:sz="0" w:space="0" w:color="auto"/>
                <w:left w:val="none" w:sz="0" w:space="0" w:color="auto"/>
                <w:bottom w:val="none" w:sz="0" w:space="0" w:color="auto"/>
                <w:right w:val="none" w:sz="0" w:space="0" w:color="auto"/>
              </w:divBdr>
              <w:divsChild>
                <w:div w:id="29425969">
                  <w:marLeft w:val="0"/>
                  <w:marRight w:val="0"/>
                  <w:marTop w:val="0"/>
                  <w:marBottom w:val="0"/>
                  <w:divBdr>
                    <w:top w:val="none" w:sz="0" w:space="0" w:color="auto"/>
                    <w:left w:val="none" w:sz="0" w:space="0" w:color="auto"/>
                    <w:bottom w:val="none" w:sz="0" w:space="0" w:color="auto"/>
                    <w:right w:val="none" w:sz="0" w:space="0" w:color="auto"/>
                  </w:divBdr>
                  <w:divsChild>
                    <w:div w:id="406154097">
                      <w:marLeft w:val="0"/>
                      <w:marRight w:val="0"/>
                      <w:marTop w:val="0"/>
                      <w:marBottom w:val="0"/>
                      <w:divBdr>
                        <w:top w:val="none" w:sz="0" w:space="0" w:color="auto"/>
                        <w:left w:val="none" w:sz="0" w:space="0" w:color="auto"/>
                        <w:bottom w:val="none" w:sz="0" w:space="0" w:color="auto"/>
                        <w:right w:val="none" w:sz="0" w:space="0" w:color="auto"/>
                      </w:divBdr>
                      <w:divsChild>
                        <w:div w:id="101649923">
                          <w:marLeft w:val="0"/>
                          <w:marRight w:val="0"/>
                          <w:marTop w:val="0"/>
                          <w:marBottom w:val="0"/>
                          <w:divBdr>
                            <w:top w:val="none" w:sz="0" w:space="0" w:color="auto"/>
                            <w:left w:val="none" w:sz="0" w:space="0" w:color="auto"/>
                            <w:bottom w:val="none" w:sz="0" w:space="0" w:color="auto"/>
                            <w:right w:val="none" w:sz="0" w:space="0" w:color="auto"/>
                          </w:divBdr>
                          <w:divsChild>
                            <w:div w:id="281882951">
                              <w:marLeft w:val="0"/>
                              <w:marRight w:val="0"/>
                              <w:marTop w:val="0"/>
                              <w:marBottom w:val="0"/>
                              <w:divBdr>
                                <w:top w:val="none" w:sz="0" w:space="0" w:color="auto"/>
                                <w:left w:val="none" w:sz="0" w:space="0" w:color="auto"/>
                                <w:bottom w:val="none" w:sz="0" w:space="0" w:color="auto"/>
                                <w:right w:val="none" w:sz="0" w:space="0" w:color="auto"/>
                              </w:divBdr>
                              <w:divsChild>
                                <w:div w:id="33858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4287252">
          <w:marLeft w:val="0"/>
          <w:marRight w:val="0"/>
          <w:marTop w:val="0"/>
          <w:marBottom w:val="0"/>
          <w:divBdr>
            <w:top w:val="none" w:sz="0" w:space="0" w:color="auto"/>
            <w:left w:val="none" w:sz="0" w:space="0" w:color="auto"/>
            <w:bottom w:val="none" w:sz="0" w:space="0" w:color="auto"/>
            <w:right w:val="none" w:sz="0" w:space="0" w:color="auto"/>
          </w:divBdr>
          <w:divsChild>
            <w:div w:id="1152523784">
              <w:marLeft w:val="0"/>
              <w:marRight w:val="0"/>
              <w:marTop w:val="0"/>
              <w:marBottom w:val="0"/>
              <w:divBdr>
                <w:top w:val="none" w:sz="0" w:space="0" w:color="auto"/>
                <w:left w:val="none" w:sz="0" w:space="0" w:color="auto"/>
                <w:bottom w:val="none" w:sz="0" w:space="0" w:color="auto"/>
                <w:right w:val="none" w:sz="0" w:space="0" w:color="auto"/>
              </w:divBdr>
              <w:divsChild>
                <w:div w:id="32559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033839">
          <w:marLeft w:val="0"/>
          <w:marRight w:val="0"/>
          <w:marTop w:val="0"/>
          <w:marBottom w:val="0"/>
          <w:divBdr>
            <w:top w:val="none" w:sz="0" w:space="0" w:color="auto"/>
            <w:left w:val="none" w:sz="0" w:space="0" w:color="auto"/>
            <w:bottom w:val="none" w:sz="0" w:space="0" w:color="auto"/>
            <w:right w:val="none" w:sz="0" w:space="0" w:color="auto"/>
          </w:divBdr>
          <w:divsChild>
            <w:div w:id="1655450434">
              <w:marLeft w:val="0"/>
              <w:marRight w:val="0"/>
              <w:marTop w:val="0"/>
              <w:marBottom w:val="0"/>
              <w:divBdr>
                <w:top w:val="none" w:sz="0" w:space="0" w:color="auto"/>
                <w:left w:val="none" w:sz="0" w:space="0" w:color="auto"/>
                <w:bottom w:val="none" w:sz="0" w:space="0" w:color="auto"/>
                <w:right w:val="none" w:sz="0" w:space="0" w:color="auto"/>
              </w:divBdr>
              <w:divsChild>
                <w:div w:id="717096536">
                  <w:marLeft w:val="0"/>
                  <w:marRight w:val="0"/>
                  <w:marTop w:val="0"/>
                  <w:marBottom w:val="0"/>
                  <w:divBdr>
                    <w:top w:val="none" w:sz="0" w:space="0" w:color="auto"/>
                    <w:left w:val="none" w:sz="0" w:space="0" w:color="auto"/>
                    <w:bottom w:val="none" w:sz="0" w:space="0" w:color="auto"/>
                    <w:right w:val="none" w:sz="0" w:space="0" w:color="auto"/>
                  </w:divBdr>
                  <w:divsChild>
                    <w:div w:id="493302048">
                      <w:marLeft w:val="0"/>
                      <w:marRight w:val="0"/>
                      <w:marTop w:val="0"/>
                      <w:marBottom w:val="0"/>
                      <w:divBdr>
                        <w:top w:val="none" w:sz="0" w:space="0" w:color="auto"/>
                        <w:left w:val="none" w:sz="0" w:space="0" w:color="auto"/>
                        <w:bottom w:val="none" w:sz="0" w:space="0" w:color="auto"/>
                        <w:right w:val="none" w:sz="0" w:space="0" w:color="auto"/>
                      </w:divBdr>
                      <w:divsChild>
                        <w:div w:id="1861122341">
                          <w:marLeft w:val="0"/>
                          <w:marRight w:val="0"/>
                          <w:marTop w:val="0"/>
                          <w:marBottom w:val="0"/>
                          <w:divBdr>
                            <w:top w:val="none" w:sz="0" w:space="0" w:color="auto"/>
                            <w:left w:val="none" w:sz="0" w:space="0" w:color="auto"/>
                            <w:bottom w:val="none" w:sz="0" w:space="0" w:color="auto"/>
                            <w:right w:val="none" w:sz="0" w:space="0" w:color="auto"/>
                          </w:divBdr>
                          <w:divsChild>
                            <w:div w:id="665741706">
                              <w:marLeft w:val="0"/>
                              <w:marRight w:val="0"/>
                              <w:marTop w:val="0"/>
                              <w:marBottom w:val="0"/>
                              <w:divBdr>
                                <w:top w:val="none" w:sz="0" w:space="0" w:color="auto"/>
                                <w:left w:val="none" w:sz="0" w:space="0" w:color="auto"/>
                                <w:bottom w:val="none" w:sz="0" w:space="0" w:color="auto"/>
                                <w:right w:val="none" w:sz="0" w:space="0" w:color="auto"/>
                              </w:divBdr>
                              <w:divsChild>
                                <w:div w:id="159790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525257">
          <w:marLeft w:val="0"/>
          <w:marRight w:val="0"/>
          <w:marTop w:val="0"/>
          <w:marBottom w:val="0"/>
          <w:divBdr>
            <w:top w:val="none" w:sz="0" w:space="0" w:color="auto"/>
            <w:left w:val="none" w:sz="0" w:space="0" w:color="auto"/>
            <w:bottom w:val="none" w:sz="0" w:space="0" w:color="auto"/>
            <w:right w:val="none" w:sz="0" w:space="0" w:color="auto"/>
          </w:divBdr>
          <w:divsChild>
            <w:div w:id="348333402">
              <w:marLeft w:val="0"/>
              <w:marRight w:val="0"/>
              <w:marTop w:val="0"/>
              <w:marBottom w:val="0"/>
              <w:divBdr>
                <w:top w:val="none" w:sz="0" w:space="0" w:color="auto"/>
                <w:left w:val="none" w:sz="0" w:space="0" w:color="auto"/>
                <w:bottom w:val="none" w:sz="0" w:space="0" w:color="auto"/>
                <w:right w:val="none" w:sz="0" w:space="0" w:color="auto"/>
              </w:divBdr>
              <w:divsChild>
                <w:div w:id="133248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763879">
          <w:marLeft w:val="0"/>
          <w:marRight w:val="0"/>
          <w:marTop w:val="0"/>
          <w:marBottom w:val="0"/>
          <w:divBdr>
            <w:top w:val="none" w:sz="0" w:space="0" w:color="auto"/>
            <w:left w:val="none" w:sz="0" w:space="0" w:color="auto"/>
            <w:bottom w:val="none" w:sz="0" w:space="0" w:color="auto"/>
            <w:right w:val="none" w:sz="0" w:space="0" w:color="auto"/>
          </w:divBdr>
          <w:divsChild>
            <w:div w:id="1148668336">
              <w:marLeft w:val="0"/>
              <w:marRight w:val="0"/>
              <w:marTop w:val="0"/>
              <w:marBottom w:val="0"/>
              <w:divBdr>
                <w:top w:val="none" w:sz="0" w:space="0" w:color="auto"/>
                <w:left w:val="none" w:sz="0" w:space="0" w:color="auto"/>
                <w:bottom w:val="none" w:sz="0" w:space="0" w:color="auto"/>
                <w:right w:val="none" w:sz="0" w:space="0" w:color="auto"/>
              </w:divBdr>
              <w:divsChild>
                <w:div w:id="743071085">
                  <w:marLeft w:val="0"/>
                  <w:marRight w:val="0"/>
                  <w:marTop w:val="0"/>
                  <w:marBottom w:val="0"/>
                  <w:divBdr>
                    <w:top w:val="none" w:sz="0" w:space="0" w:color="auto"/>
                    <w:left w:val="none" w:sz="0" w:space="0" w:color="auto"/>
                    <w:bottom w:val="none" w:sz="0" w:space="0" w:color="auto"/>
                    <w:right w:val="none" w:sz="0" w:space="0" w:color="auto"/>
                  </w:divBdr>
                  <w:divsChild>
                    <w:div w:id="102304673">
                      <w:marLeft w:val="0"/>
                      <w:marRight w:val="0"/>
                      <w:marTop w:val="0"/>
                      <w:marBottom w:val="0"/>
                      <w:divBdr>
                        <w:top w:val="none" w:sz="0" w:space="0" w:color="auto"/>
                        <w:left w:val="none" w:sz="0" w:space="0" w:color="auto"/>
                        <w:bottom w:val="none" w:sz="0" w:space="0" w:color="auto"/>
                        <w:right w:val="none" w:sz="0" w:space="0" w:color="auto"/>
                      </w:divBdr>
                      <w:divsChild>
                        <w:div w:id="8145849">
                          <w:marLeft w:val="0"/>
                          <w:marRight w:val="0"/>
                          <w:marTop w:val="0"/>
                          <w:marBottom w:val="0"/>
                          <w:divBdr>
                            <w:top w:val="none" w:sz="0" w:space="0" w:color="auto"/>
                            <w:left w:val="none" w:sz="0" w:space="0" w:color="auto"/>
                            <w:bottom w:val="none" w:sz="0" w:space="0" w:color="auto"/>
                            <w:right w:val="none" w:sz="0" w:space="0" w:color="auto"/>
                          </w:divBdr>
                          <w:divsChild>
                            <w:div w:id="1694064997">
                              <w:marLeft w:val="0"/>
                              <w:marRight w:val="0"/>
                              <w:marTop w:val="0"/>
                              <w:marBottom w:val="0"/>
                              <w:divBdr>
                                <w:top w:val="none" w:sz="0" w:space="0" w:color="auto"/>
                                <w:left w:val="none" w:sz="0" w:space="0" w:color="auto"/>
                                <w:bottom w:val="none" w:sz="0" w:space="0" w:color="auto"/>
                                <w:right w:val="none" w:sz="0" w:space="0" w:color="auto"/>
                              </w:divBdr>
                              <w:divsChild>
                                <w:div w:id="179132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2009149">
          <w:marLeft w:val="0"/>
          <w:marRight w:val="0"/>
          <w:marTop w:val="0"/>
          <w:marBottom w:val="0"/>
          <w:divBdr>
            <w:top w:val="none" w:sz="0" w:space="0" w:color="auto"/>
            <w:left w:val="none" w:sz="0" w:space="0" w:color="auto"/>
            <w:bottom w:val="none" w:sz="0" w:space="0" w:color="auto"/>
            <w:right w:val="none" w:sz="0" w:space="0" w:color="auto"/>
          </w:divBdr>
          <w:divsChild>
            <w:div w:id="940258940">
              <w:marLeft w:val="0"/>
              <w:marRight w:val="0"/>
              <w:marTop w:val="0"/>
              <w:marBottom w:val="0"/>
              <w:divBdr>
                <w:top w:val="none" w:sz="0" w:space="0" w:color="auto"/>
                <w:left w:val="none" w:sz="0" w:space="0" w:color="auto"/>
                <w:bottom w:val="none" w:sz="0" w:space="0" w:color="auto"/>
                <w:right w:val="none" w:sz="0" w:space="0" w:color="auto"/>
              </w:divBdr>
              <w:divsChild>
                <w:div w:id="951665665">
                  <w:marLeft w:val="0"/>
                  <w:marRight w:val="0"/>
                  <w:marTop w:val="0"/>
                  <w:marBottom w:val="0"/>
                  <w:divBdr>
                    <w:top w:val="none" w:sz="0" w:space="0" w:color="auto"/>
                    <w:left w:val="none" w:sz="0" w:space="0" w:color="auto"/>
                    <w:bottom w:val="none" w:sz="0" w:space="0" w:color="auto"/>
                    <w:right w:val="none" w:sz="0" w:space="0" w:color="auto"/>
                  </w:divBdr>
                </w:div>
                <w:div w:id="162473418">
                  <w:marLeft w:val="0"/>
                  <w:marRight w:val="0"/>
                  <w:marTop w:val="0"/>
                  <w:marBottom w:val="0"/>
                  <w:divBdr>
                    <w:top w:val="none" w:sz="0" w:space="0" w:color="auto"/>
                    <w:left w:val="none" w:sz="0" w:space="0" w:color="auto"/>
                    <w:bottom w:val="none" w:sz="0" w:space="0" w:color="auto"/>
                    <w:right w:val="none" w:sz="0" w:space="0" w:color="auto"/>
                  </w:divBdr>
                  <w:divsChild>
                    <w:div w:id="1909265206">
                      <w:marLeft w:val="0"/>
                      <w:marRight w:val="0"/>
                      <w:marTop w:val="0"/>
                      <w:marBottom w:val="0"/>
                      <w:divBdr>
                        <w:top w:val="none" w:sz="0" w:space="0" w:color="auto"/>
                        <w:left w:val="none" w:sz="0" w:space="0" w:color="auto"/>
                        <w:bottom w:val="none" w:sz="0" w:space="0" w:color="auto"/>
                        <w:right w:val="none" w:sz="0" w:space="0" w:color="auto"/>
                      </w:divBdr>
                      <w:divsChild>
                        <w:div w:id="785780186">
                          <w:marLeft w:val="0"/>
                          <w:marRight w:val="0"/>
                          <w:marTop w:val="0"/>
                          <w:marBottom w:val="0"/>
                          <w:divBdr>
                            <w:top w:val="none" w:sz="0" w:space="0" w:color="auto"/>
                            <w:left w:val="none" w:sz="0" w:space="0" w:color="auto"/>
                            <w:bottom w:val="none" w:sz="0" w:space="0" w:color="auto"/>
                            <w:right w:val="none" w:sz="0" w:space="0" w:color="auto"/>
                          </w:divBdr>
                          <w:divsChild>
                            <w:div w:id="765344456">
                              <w:marLeft w:val="0"/>
                              <w:marRight w:val="0"/>
                              <w:marTop w:val="0"/>
                              <w:marBottom w:val="0"/>
                              <w:divBdr>
                                <w:top w:val="none" w:sz="0" w:space="0" w:color="auto"/>
                                <w:left w:val="none" w:sz="0" w:space="0" w:color="auto"/>
                                <w:bottom w:val="none" w:sz="0" w:space="0" w:color="auto"/>
                                <w:right w:val="none" w:sz="0" w:space="0" w:color="auto"/>
                              </w:divBdr>
                              <w:divsChild>
                                <w:div w:id="1342782487">
                                  <w:marLeft w:val="0"/>
                                  <w:marRight w:val="0"/>
                                  <w:marTop w:val="0"/>
                                  <w:marBottom w:val="0"/>
                                  <w:divBdr>
                                    <w:top w:val="none" w:sz="0" w:space="0" w:color="auto"/>
                                    <w:left w:val="none" w:sz="0" w:space="0" w:color="auto"/>
                                    <w:bottom w:val="none" w:sz="0" w:space="0" w:color="auto"/>
                                    <w:right w:val="none" w:sz="0" w:space="0" w:color="auto"/>
                                  </w:divBdr>
                                  <w:divsChild>
                                    <w:div w:id="2128237490">
                                      <w:marLeft w:val="0"/>
                                      <w:marRight w:val="0"/>
                                      <w:marTop w:val="0"/>
                                      <w:marBottom w:val="0"/>
                                      <w:divBdr>
                                        <w:top w:val="none" w:sz="0" w:space="0" w:color="auto"/>
                                        <w:left w:val="none" w:sz="0" w:space="0" w:color="auto"/>
                                        <w:bottom w:val="none" w:sz="0" w:space="0" w:color="auto"/>
                                        <w:right w:val="none" w:sz="0" w:space="0" w:color="auto"/>
                                      </w:divBdr>
                                    </w:div>
                                    <w:div w:id="1869443018">
                                      <w:marLeft w:val="0"/>
                                      <w:marRight w:val="0"/>
                                      <w:marTop w:val="0"/>
                                      <w:marBottom w:val="0"/>
                                      <w:divBdr>
                                        <w:top w:val="none" w:sz="0" w:space="0" w:color="auto"/>
                                        <w:left w:val="none" w:sz="0" w:space="0" w:color="auto"/>
                                        <w:bottom w:val="none" w:sz="0" w:space="0" w:color="auto"/>
                                        <w:right w:val="none" w:sz="0" w:space="0" w:color="auto"/>
                                      </w:divBdr>
                                    </w:div>
                                  </w:divsChild>
                                </w:div>
                                <w:div w:id="173566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421059">
                  <w:marLeft w:val="0"/>
                  <w:marRight w:val="0"/>
                  <w:marTop w:val="0"/>
                  <w:marBottom w:val="0"/>
                  <w:divBdr>
                    <w:top w:val="none" w:sz="0" w:space="0" w:color="auto"/>
                    <w:left w:val="none" w:sz="0" w:space="0" w:color="auto"/>
                    <w:bottom w:val="none" w:sz="0" w:space="0" w:color="auto"/>
                    <w:right w:val="none" w:sz="0" w:space="0" w:color="auto"/>
                  </w:divBdr>
                  <w:divsChild>
                    <w:div w:id="12710911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432164984">
          <w:marLeft w:val="0"/>
          <w:marRight w:val="0"/>
          <w:marTop w:val="0"/>
          <w:marBottom w:val="0"/>
          <w:divBdr>
            <w:top w:val="none" w:sz="0" w:space="0" w:color="auto"/>
            <w:left w:val="none" w:sz="0" w:space="0" w:color="auto"/>
            <w:bottom w:val="none" w:sz="0" w:space="0" w:color="auto"/>
            <w:right w:val="none" w:sz="0" w:space="0" w:color="auto"/>
          </w:divBdr>
          <w:divsChild>
            <w:div w:id="900864332">
              <w:marLeft w:val="0"/>
              <w:marRight w:val="0"/>
              <w:marTop w:val="0"/>
              <w:marBottom w:val="0"/>
              <w:divBdr>
                <w:top w:val="none" w:sz="0" w:space="0" w:color="auto"/>
                <w:left w:val="none" w:sz="0" w:space="0" w:color="auto"/>
                <w:bottom w:val="none" w:sz="0" w:space="0" w:color="auto"/>
                <w:right w:val="none" w:sz="0" w:space="0" w:color="auto"/>
              </w:divBdr>
              <w:divsChild>
                <w:div w:id="1108890708">
                  <w:marLeft w:val="0"/>
                  <w:marRight w:val="0"/>
                  <w:marTop w:val="0"/>
                  <w:marBottom w:val="0"/>
                  <w:divBdr>
                    <w:top w:val="none" w:sz="0" w:space="0" w:color="auto"/>
                    <w:left w:val="none" w:sz="0" w:space="0" w:color="auto"/>
                    <w:bottom w:val="none" w:sz="0" w:space="0" w:color="auto"/>
                    <w:right w:val="none" w:sz="0" w:space="0" w:color="auto"/>
                  </w:divBdr>
                  <w:divsChild>
                    <w:div w:id="243611480">
                      <w:marLeft w:val="0"/>
                      <w:marRight w:val="0"/>
                      <w:marTop w:val="0"/>
                      <w:marBottom w:val="0"/>
                      <w:divBdr>
                        <w:top w:val="none" w:sz="0" w:space="0" w:color="auto"/>
                        <w:left w:val="none" w:sz="0" w:space="0" w:color="auto"/>
                        <w:bottom w:val="none" w:sz="0" w:space="0" w:color="auto"/>
                        <w:right w:val="none" w:sz="0" w:space="0" w:color="auto"/>
                      </w:divBdr>
                      <w:divsChild>
                        <w:div w:id="788858574">
                          <w:marLeft w:val="0"/>
                          <w:marRight w:val="0"/>
                          <w:marTop w:val="0"/>
                          <w:marBottom w:val="0"/>
                          <w:divBdr>
                            <w:top w:val="none" w:sz="0" w:space="0" w:color="auto"/>
                            <w:left w:val="none" w:sz="0" w:space="0" w:color="auto"/>
                            <w:bottom w:val="none" w:sz="0" w:space="0" w:color="auto"/>
                            <w:right w:val="none" w:sz="0" w:space="0" w:color="auto"/>
                          </w:divBdr>
                          <w:divsChild>
                            <w:div w:id="1804735761">
                              <w:marLeft w:val="0"/>
                              <w:marRight w:val="0"/>
                              <w:marTop w:val="0"/>
                              <w:marBottom w:val="0"/>
                              <w:divBdr>
                                <w:top w:val="none" w:sz="0" w:space="0" w:color="auto"/>
                                <w:left w:val="none" w:sz="0" w:space="0" w:color="auto"/>
                                <w:bottom w:val="none" w:sz="0" w:space="0" w:color="auto"/>
                                <w:right w:val="none" w:sz="0" w:space="0" w:color="auto"/>
                              </w:divBdr>
                              <w:divsChild>
                                <w:div w:id="68120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7113287">
          <w:marLeft w:val="0"/>
          <w:marRight w:val="0"/>
          <w:marTop w:val="0"/>
          <w:marBottom w:val="0"/>
          <w:divBdr>
            <w:top w:val="none" w:sz="0" w:space="0" w:color="auto"/>
            <w:left w:val="none" w:sz="0" w:space="0" w:color="auto"/>
            <w:bottom w:val="none" w:sz="0" w:space="0" w:color="auto"/>
            <w:right w:val="none" w:sz="0" w:space="0" w:color="auto"/>
          </w:divBdr>
          <w:divsChild>
            <w:div w:id="111753210">
              <w:marLeft w:val="0"/>
              <w:marRight w:val="0"/>
              <w:marTop w:val="0"/>
              <w:marBottom w:val="0"/>
              <w:divBdr>
                <w:top w:val="none" w:sz="0" w:space="0" w:color="auto"/>
                <w:left w:val="none" w:sz="0" w:space="0" w:color="auto"/>
                <w:bottom w:val="none" w:sz="0" w:space="0" w:color="auto"/>
                <w:right w:val="none" w:sz="0" w:space="0" w:color="auto"/>
              </w:divBdr>
              <w:divsChild>
                <w:div w:id="45976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239424">
          <w:marLeft w:val="0"/>
          <w:marRight w:val="0"/>
          <w:marTop w:val="0"/>
          <w:marBottom w:val="0"/>
          <w:divBdr>
            <w:top w:val="none" w:sz="0" w:space="0" w:color="auto"/>
            <w:left w:val="none" w:sz="0" w:space="0" w:color="auto"/>
            <w:bottom w:val="none" w:sz="0" w:space="0" w:color="auto"/>
            <w:right w:val="none" w:sz="0" w:space="0" w:color="auto"/>
          </w:divBdr>
          <w:divsChild>
            <w:div w:id="1787387106">
              <w:marLeft w:val="0"/>
              <w:marRight w:val="0"/>
              <w:marTop w:val="0"/>
              <w:marBottom w:val="0"/>
              <w:divBdr>
                <w:top w:val="none" w:sz="0" w:space="0" w:color="auto"/>
                <w:left w:val="none" w:sz="0" w:space="0" w:color="auto"/>
                <w:bottom w:val="none" w:sz="0" w:space="0" w:color="auto"/>
                <w:right w:val="none" w:sz="0" w:space="0" w:color="auto"/>
              </w:divBdr>
              <w:divsChild>
                <w:div w:id="576205306">
                  <w:marLeft w:val="0"/>
                  <w:marRight w:val="0"/>
                  <w:marTop w:val="0"/>
                  <w:marBottom w:val="0"/>
                  <w:divBdr>
                    <w:top w:val="none" w:sz="0" w:space="0" w:color="auto"/>
                    <w:left w:val="none" w:sz="0" w:space="0" w:color="auto"/>
                    <w:bottom w:val="none" w:sz="0" w:space="0" w:color="auto"/>
                    <w:right w:val="none" w:sz="0" w:space="0" w:color="auto"/>
                  </w:divBdr>
                  <w:divsChild>
                    <w:div w:id="1563131643">
                      <w:marLeft w:val="0"/>
                      <w:marRight w:val="0"/>
                      <w:marTop w:val="0"/>
                      <w:marBottom w:val="0"/>
                      <w:divBdr>
                        <w:top w:val="none" w:sz="0" w:space="0" w:color="auto"/>
                        <w:left w:val="none" w:sz="0" w:space="0" w:color="auto"/>
                        <w:bottom w:val="none" w:sz="0" w:space="0" w:color="auto"/>
                        <w:right w:val="none" w:sz="0" w:space="0" w:color="auto"/>
                      </w:divBdr>
                      <w:divsChild>
                        <w:div w:id="99763681">
                          <w:marLeft w:val="0"/>
                          <w:marRight w:val="0"/>
                          <w:marTop w:val="0"/>
                          <w:marBottom w:val="0"/>
                          <w:divBdr>
                            <w:top w:val="none" w:sz="0" w:space="0" w:color="auto"/>
                            <w:left w:val="none" w:sz="0" w:space="0" w:color="auto"/>
                            <w:bottom w:val="none" w:sz="0" w:space="0" w:color="auto"/>
                            <w:right w:val="none" w:sz="0" w:space="0" w:color="auto"/>
                          </w:divBdr>
                          <w:divsChild>
                            <w:div w:id="925966468">
                              <w:marLeft w:val="0"/>
                              <w:marRight w:val="0"/>
                              <w:marTop w:val="0"/>
                              <w:marBottom w:val="0"/>
                              <w:divBdr>
                                <w:top w:val="none" w:sz="0" w:space="0" w:color="auto"/>
                                <w:left w:val="none" w:sz="0" w:space="0" w:color="auto"/>
                                <w:bottom w:val="none" w:sz="0" w:space="0" w:color="auto"/>
                                <w:right w:val="none" w:sz="0" w:space="0" w:color="auto"/>
                              </w:divBdr>
                              <w:divsChild>
                                <w:div w:id="118725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1835241">
          <w:marLeft w:val="0"/>
          <w:marRight w:val="0"/>
          <w:marTop w:val="0"/>
          <w:marBottom w:val="0"/>
          <w:divBdr>
            <w:top w:val="none" w:sz="0" w:space="0" w:color="auto"/>
            <w:left w:val="none" w:sz="0" w:space="0" w:color="auto"/>
            <w:bottom w:val="none" w:sz="0" w:space="0" w:color="auto"/>
            <w:right w:val="none" w:sz="0" w:space="0" w:color="auto"/>
          </w:divBdr>
          <w:divsChild>
            <w:div w:id="1073434022">
              <w:marLeft w:val="0"/>
              <w:marRight w:val="0"/>
              <w:marTop w:val="0"/>
              <w:marBottom w:val="0"/>
              <w:divBdr>
                <w:top w:val="none" w:sz="0" w:space="0" w:color="auto"/>
                <w:left w:val="none" w:sz="0" w:space="0" w:color="auto"/>
                <w:bottom w:val="none" w:sz="0" w:space="0" w:color="auto"/>
                <w:right w:val="none" w:sz="0" w:space="0" w:color="auto"/>
              </w:divBdr>
              <w:divsChild>
                <w:div w:id="114362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513974">
          <w:marLeft w:val="0"/>
          <w:marRight w:val="0"/>
          <w:marTop w:val="0"/>
          <w:marBottom w:val="0"/>
          <w:divBdr>
            <w:top w:val="none" w:sz="0" w:space="0" w:color="auto"/>
            <w:left w:val="none" w:sz="0" w:space="0" w:color="auto"/>
            <w:bottom w:val="none" w:sz="0" w:space="0" w:color="auto"/>
            <w:right w:val="none" w:sz="0" w:space="0" w:color="auto"/>
          </w:divBdr>
          <w:divsChild>
            <w:div w:id="1494108110">
              <w:marLeft w:val="0"/>
              <w:marRight w:val="0"/>
              <w:marTop w:val="0"/>
              <w:marBottom w:val="0"/>
              <w:divBdr>
                <w:top w:val="none" w:sz="0" w:space="0" w:color="auto"/>
                <w:left w:val="none" w:sz="0" w:space="0" w:color="auto"/>
                <w:bottom w:val="none" w:sz="0" w:space="0" w:color="auto"/>
                <w:right w:val="none" w:sz="0" w:space="0" w:color="auto"/>
              </w:divBdr>
              <w:divsChild>
                <w:div w:id="633411905">
                  <w:marLeft w:val="0"/>
                  <w:marRight w:val="0"/>
                  <w:marTop w:val="0"/>
                  <w:marBottom w:val="0"/>
                  <w:divBdr>
                    <w:top w:val="none" w:sz="0" w:space="0" w:color="auto"/>
                    <w:left w:val="none" w:sz="0" w:space="0" w:color="auto"/>
                    <w:bottom w:val="none" w:sz="0" w:space="0" w:color="auto"/>
                    <w:right w:val="none" w:sz="0" w:space="0" w:color="auto"/>
                  </w:divBdr>
                  <w:divsChild>
                    <w:div w:id="1103040210">
                      <w:marLeft w:val="0"/>
                      <w:marRight w:val="0"/>
                      <w:marTop w:val="0"/>
                      <w:marBottom w:val="0"/>
                      <w:divBdr>
                        <w:top w:val="none" w:sz="0" w:space="0" w:color="auto"/>
                        <w:left w:val="none" w:sz="0" w:space="0" w:color="auto"/>
                        <w:bottom w:val="none" w:sz="0" w:space="0" w:color="auto"/>
                        <w:right w:val="none" w:sz="0" w:space="0" w:color="auto"/>
                      </w:divBdr>
                      <w:divsChild>
                        <w:div w:id="880899676">
                          <w:marLeft w:val="0"/>
                          <w:marRight w:val="0"/>
                          <w:marTop w:val="0"/>
                          <w:marBottom w:val="0"/>
                          <w:divBdr>
                            <w:top w:val="none" w:sz="0" w:space="0" w:color="auto"/>
                            <w:left w:val="none" w:sz="0" w:space="0" w:color="auto"/>
                            <w:bottom w:val="none" w:sz="0" w:space="0" w:color="auto"/>
                            <w:right w:val="none" w:sz="0" w:space="0" w:color="auto"/>
                          </w:divBdr>
                          <w:divsChild>
                            <w:div w:id="546189593">
                              <w:marLeft w:val="0"/>
                              <w:marRight w:val="0"/>
                              <w:marTop w:val="0"/>
                              <w:marBottom w:val="0"/>
                              <w:divBdr>
                                <w:top w:val="none" w:sz="0" w:space="0" w:color="auto"/>
                                <w:left w:val="none" w:sz="0" w:space="0" w:color="auto"/>
                                <w:bottom w:val="none" w:sz="0" w:space="0" w:color="auto"/>
                                <w:right w:val="none" w:sz="0" w:space="0" w:color="auto"/>
                              </w:divBdr>
                              <w:divsChild>
                                <w:div w:id="137901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2731229">
          <w:marLeft w:val="0"/>
          <w:marRight w:val="0"/>
          <w:marTop w:val="0"/>
          <w:marBottom w:val="0"/>
          <w:divBdr>
            <w:top w:val="none" w:sz="0" w:space="0" w:color="auto"/>
            <w:left w:val="none" w:sz="0" w:space="0" w:color="auto"/>
            <w:bottom w:val="none" w:sz="0" w:space="0" w:color="auto"/>
            <w:right w:val="none" w:sz="0" w:space="0" w:color="auto"/>
          </w:divBdr>
          <w:divsChild>
            <w:div w:id="1167090037">
              <w:marLeft w:val="0"/>
              <w:marRight w:val="0"/>
              <w:marTop w:val="0"/>
              <w:marBottom w:val="0"/>
              <w:divBdr>
                <w:top w:val="none" w:sz="0" w:space="0" w:color="auto"/>
                <w:left w:val="none" w:sz="0" w:space="0" w:color="auto"/>
                <w:bottom w:val="none" w:sz="0" w:space="0" w:color="auto"/>
                <w:right w:val="none" w:sz="0" w:space="0" w:color="auto"/>
              </w:divBdr>
              <w:divsChild>
                <w:div w:id="42357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11755">
          <w:marLeft w:val="0"/>
          <w:marRight w:val="0"/>
          <w:marTop w:val="0"/>
          <w:marBottom w:val="0"/>
          <w:divBdr>
            <w:top w:val="none" w:sz="0" w:space="0" w:color="auto"/>
            <w:left w:val="none" w:sz="0" w:space="0" w:color="auto"/>
            <w:bottom w:val="none" w:sz="0" w:space="0" w:color="auto"/>
            <w:right w:val="none" w:sz="0" w:space="0" w:color="auto"/>
          </w:divBdr>
          <w:divsChild>
            <w:div w:id="1057625987">
              <w:marLeft w:val="0"/>
              <w:marRight w:val="0"/>
              <w:marTop w:val="0"/>
              <w:marBottom w:val="0"/>
              <w:divBdr>
                <w:top w:val="none" w:sz="0" w:space="0" w:color="auto"/>
                <w:left w:val="none" w:sz="0" w:space="0" w:color="auto"/>
                <w:bottom w:val="none" w:sz="0" w:space="0" w:color="auto"/>
                <w:right w:val="none" w:sz="0" w:space="0" w:color="auto"/>
              </w:divBdr>
              <w:divsChild>
                <w:div w:id="1340156392">
                  <w:marLeft w:val="0"/>
                  <w:marRight w:val="0"/>
                  <w:marTop w:val="0"/>
                  <w:marBottom w:val="0"/>
                  <w:divBdr>
                    <w:top w:val="none" w:sz="0" w:space="0" w:color="auto"/>
                    <w:left w:val="none" w:sz="0" w:space="0" w:color="auto"/>
                    <w:bottom w:val="none" w:sz="0" w:space="0" w:color="auto"/>
                    <w:right w:val="none" w:sz="0" w:space="0" w:color="auto"/>
                  </w:divBdr>
                  <w:divsChild>
                    <w:div w:id="870069384">
                      <w:marLeft w:val="0"/>
                      <w:marRight w:val="0"/>
                      <w:marTop w:val="0"/>
                      <w:marBottom w:val="0"/>
                      <w:divBdr>
                        <w:top w:val="none" w:sz="0" w:space="0" w:color="auto"/>
                        <w:left w:val="none" w:sz="0" w:space="0" w:color="auto"/>
                        <w:bottom w:val="none" w:sz="0" w:space="0" w:color="auto"/>
                        <w:right w:val="none" w:sz="0" w:space="0" w:color="auto"/>
                      </w:divBdr>
                      <w:divsChild>
                        <w:div w:id="1921206925">
                          <w:marLeft w:val="0"/>
                          <w:marRight w:val="0"/>
                          <w:marTop w:val="0"/>
                          <w:marBottom w:val="0"/>
                          <w:divBdr>
                            <w:top w:val="none" w:sz="0" w:space="0" w:color="auto"/>
                            <w:left w:val="none" w:sz="0" w:space="0" w:color="auto"/>
                            <w:bottom w:val="none" w:sz="0" w:space="0" w:color="auto"/>
                            <w:right w:val="none" w:sz="0" w:space="0" w:color="auto"/>
                          </w:divBdr>
                          <w:divsChild>
                            <w:div w:id="729882362">
                              <w:marLeft w:val="0"/>
                              <w:marRight w:val="0"/>
                              <w:marTop w:val="0"/>
                              <w:marBottom w:val="0"/>
                              <w:divBdr>
                                <w:top w:val="none" w:sz="0" w:space="0" w:color="auto"/>
                                <w:left w:val="none" w:sz="0" w:space="0" w:color="auto"/>
                                <w:bottom w:val="none" w:sz="0" w:space="0" w:color="auto"/>
                                <w:right w:val="none" w:sz="0" w:space="0" w:color="auto"/>
                              </w:divBdr>
                              <w:divsChild>
                                <w:div w:id="32428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1486611">
          <w:marLeft w:val="0"/>
          <w:marRight w:val="0"/>
          <w:marTop w:val="0"/>
          <w:marBottom w:val="0"/>
          <w:divBdr>
            <w:top w:val="none" w:sz="0" w:space="0" w:color="auto"/>
            <w:left w:val="none" w:sz="0" w:space="0" w:color="auto"/>
            <w:bottom w:val="none" w:sz="0" w:space="0" w:color="auto"/>
            <w:right w:val="none" w:sz="0" w:space="0" w:color="auto"/>
          </w:divBdr>
          <w:divsChild>
            <w:div w:id="441342973">
              <w:marLeft w:val="0"/>
              <w:marRight w:val="0"/>
              <w:marTop w:val="0"/>
              <w:marBottom w:val="0"/>
              <w:divBdr>
                <w:top w:val="none" w:sz="0" w:space="0" w:color="auto"/>
                <w:left w:val="none" w:sz="0" w:space="0" w:color="auto"/>
                <w:bottom w:val="none" w:sz="0" w:space="0" w:color="auto"/>
                <w:right w:val="none" w:sz="0" w:space="0" w:color="auto"/>
              </w:divBdr>
              <w:divsChild>
                <w:div w:id="65040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203014">
          <w:marLeft w:val="0"/>
          <w:marRight w:val="0"/>
          <w:marTop w:val="0"/>
          <w:marBottom w:val="0"/>
          <w:divBdr>
            <w:top w:val="none" w:sz="0" w:space="0" w:color="auto"/>
            <w:left w:val="none" w:sz="0" w:space="0" w:color="auto"/>
            <w:bottom w:val="none" w:sz="0" w:space="0" w:color="auto"/>
            <w:right w:val="none" w:sz="0" w:space="0" w:color="auto"/>
          </w:divBdr>
          <w:divsChild>
            <w:div w:id="1370834593">
              <w:marLeft w:val="0"/>
              <w:marRight w:val="0"/>
              <w:marTop w:val="0"/>
              <w:marBottom w:val="0"/>
              <w:divBdr>
                <w:top w:val="none" w:sz="0" w:space="0" w:color="auto"/>
                <w:left w:val="none" w:sz="0" w:space="0" w:color="auto"/>
                <w:bottom w:val="none" w:sz="0" w:space="0" w:color="auto"/>
                <w:right w:val="none" w:sz="0" w:space="0" w:color="auto"/>
              </w:divBdr>
              <w:divsChild>
                <w:div w:id="599023995">
                  <w:marLeft w:val="0"/>
                  <w:marRight w:val="0"/>
                  <w:marTop w:val="0"/>
                  <w:marBottom w:val="0"/>
                  <w:divBdr>
                    <w:top w:val="none" w:sz="0" w:space="0" w:color="auto"/>
                    <w:left w:val="none" w:sz="0" w:space="0" w:color="auto"/>
                    <w:bottom w:val="none" w:sz="0" w:space="0" w:color="auto"/>
                    <w:right w:val="none" w:sz="0" w:space="0" w:color="auto"/>
                  </w:divBdr>
                  <w:divsChild>
                    <w:div w:id="1167746019">
                      <w:marLeft w:val="0"/>
                      <w:marRight w:val="0"/>
                      <w:marTop w:val="0"/>
                      <w:marBottom w:val="0"/>
                      <w:divBdr>
                        <w:top w:val="none" w:sz="0" w:space="0" w:color="auto"/>
                        <w:left w:val="none" w:sz="0" w:space="0" w:color="auto"/>
                        <w:bottom w:val="none" w:sz="0" w:space="0" w:color="auto"/>
                        <w:right w:val="none" w:sz="0" w:space="0" w:color="auto"/>
                      </w:divBdr>
                      <w:divsChild>
                        <w:div w:id="914782812">
                          <w:marLeft w:val="0"/>
                          <w:marRight w:val="0"/>
                          <w:marTop w:val="0"/>
                          <w:marBottom w:val="0"/>
                          <w:divBdr>
                            <w:top w:val="none" w:sz="0" w:space="0" w:color="auto"/>
                            <w:left w:val="none" w:sz="0" w:space="0" w:color="auto"/>
                            <w:bottom w:val="none" w:sz="0" w:space="0" w:color="auto"/>
                            <w:right w:val="none" w:sz="0" w:space="0" w:color="auto"/>
                          </w:divBdr>
                          <w:divsChild>
                            <w:div w:id="1703900586">
                              <w:marLeft w:val="0"/>
                              <w:marRight w:val="0"/>
                              <w:marTop w:val="0"/>
                              <w:marBottom w:val="0"/>
                              <w:divBdr>
                                <w:top w:val="none" w:sz="0" w:space="0" w:color="auto"/>
                                <w:left w:val="none" w:sz="0" w:space="0" w:color="auto"/>
                                <w:bottom w:val="none" w:sz="0" w:space="0" w:color="auto"/>
                                <w:right w:val="none" w:sz="0" w:space="0" w:color="auto"/>
                              </w:divBdr>
                              <w:divsChild>
                                <w:div w:id="172806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2016699">
          <w:marLeft w:val="0"/>
          <w:marRight w:val="0"/>
          <w:marTop w:val="0"/>
          <w:marBottom w:val="0"/>
          <w:divBdr>
            <w:top w:val="none" w:sz="0" w:space="0" w:color="auto"/>
            <w:left w:val="none" w:sz="0" w:space="0" w:color="auto"/>
            <w:bottom w:val="none" w:sz="0" w:space="0" w:color="auto"/>
            <w:right w:val="none" w:sz="0" w:space="0" w:color="auto"/>
          </w:divBdr>
          <w:divsChild>
            <w:div w:id="1126654724">
              <w:marLeft w:val="0"/>
              <w:marRight w:val="0"/>
              <w:marTop w:val="0"/>
              <w:marBottom w:val="0"/>
              <w:divBdr>
                <w:top w:val="none" w:sz="0" w:space="0" w:color="auto"/>
                <w:left w:val="none" w:sz="0" w:space="0" w:color="auto"/>
                <w:bottom w:val="none" w:sz="0" w:space="0" w:color="auto"/>
                <w:right w:val="none" w:sz="0" w:space="0" w:color="auto"/>
              </w:divBdr>
              <w:divsChild>
                <w:div w:id="622199620">
                  <w:marLeft w:val="0"/>
                  <w:marRight w:val="0"/>
                  <w:marTop w:val="0"/>
                  <w:marBottom w:val="0"/>
                  <w:divBdr>
                    <w:top w:val="none" w:sz="0" w:space="0" w:color="auto"/>
                    <w:left w:val="none" w:sz="0" w:space="0" w:color="auto"/>
                    <w:bottom w:val="none" w:sz="0" w:space="0" w:color="auto"/>
                    <w:right w:val="none" w:sz="0" w:space="0" w:color="auto"/>
                  </w:divBdr>
                  <w:divsChild>
                    <w:div w:id="1472600730">
                      <w:marLeft w:val="0"/>
                      <w:marRight w:val="0"/>
                      <w:marTop w:val="0"/>
                      <w:marBottom w:val="0"/>
                      <w:divBdr>
                        <w:top w:val="none" w:sz="0" w:space="0" w:color="auto"/>
                        <w:left w:val="none" w:sz="0" w:space="0" w:color="auto"/>
                        <w:bottom w:val="none" w:sz="0" w:space="0" w:color="auto"/>
                        <w:right w:val="none" w:sz="0" w:space="0" w:color="auto"/>
                      </w:divBdr>
                      <w:divsChild>
                        <w:div w:id="130901325">
                          <w:marLeft w:val="0"/>
                          <w:marRight w:val="0"/>
                          <w:marTop w:val="0"/>
                          <w:marBottom w:val="0"/>
                          <w:divBdr>
                            <w:top w:val="none" w:sz="0" w:space="0" w:color="auto"/>
                            <w:left w:val="none" w:sz="0" w:space="0" w:color="auto"/>
                            <w:bottom w:val="none" w:sz="0" w:space="0" w:color="auto"/>
                            <w:right w:val="none" w:sz="0" w:space="0" w:color="auto"/>
                          </w:divBdr>
                          <w:divsChild>
                            <w:div w:id="228544221">
                              <w:marLeft w:val="0"/>
                              <w:marRight w:val="0"/>
                              <w:marTop w:val="0"/>
                              <w:marBottom w:val="0"/>
                              <w:divBdr>
                                <w:top w:val="none" w:sz="0" w:space="0" w:color="auto"/>
                                <w:left w:val="none" w:sz="0" w:space="0" w:color="auto"/>
                                <w:bottom w:val="none" w:sz="0" w:space="0" w:color="auto"/>
                                <w:right w:val="none" w:sz="0" w:space="0" w:color="auto"/>
                              </w:divBdr>
                            </w:div>
                          </w:divsChild>
                        </w:div>
                        <w:div w:id="510144551">
                          <w:marLeft w:val="0"/>
                          <w:marRight w:val="0"/>
                          <w:marTop w:val="0"/>
                          <w:marBottom w:val="0"/>
                          <w:divBdr>
                            <w:top w:val="none" w:sz="0" w:space="0" w:color="auto"/>
                            <w:left w:val="none" w:sz="0" w:space="0" w:color="auto"/>
                            <w:bottom w:val="none" w:sz="0" w:space="0" w:color="auto"/>
                            <w:right w:val="none" w:sz="0" w:space="0" w:color="auto"/>
                          </w:divBdr>
                          <w:divsChild>
                            <w:div w:id="1686397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4507721">
          <w:marLeft w:val="0"/>
          <w:marRight w:val="0"/>
          <w:marTop w:val="0"/>
          <w:marBottom w:val="0"/>
          <w:divBdr>
            <w:top w:val="none" w:sz="0" w:space="0" w:color="auto"/>
            <w:left w:val="none" w:sz="0" w:space="0" w:color="auto"/>
            <w:bottom w:val="none" w:sz="0" w:space="0" w:color="auto"/>
            <w:right w:val="none" w:sz="0" w:space="0" w:color="auto"/>
          </w:divBdr>
          <w:divsChild>
            <w:div w:id="1255091744">
              <w:marLeft w:val="0"/>
              <w:marRight w:val="0"/>
              <w:marTop w:val="0"/>
              <w:marBottom w:val="0"/>
              <w:divBdr>
                <w:top w:val="none" w:sz="0" w:space="0" w:color="auto"/>
                <w:left w:val="none" w:sz="0" w:space="0" w:color="auto"/>
                <w:bottom w:val="none" w:sz="0" w:space="0" w:color="auto"/>
                <w:right w:val="none" w:sz="0" w:space="0" w:color="auto"/>
              </w:divBdr>
            </w:div>
          </w:divsChild>
        </w:div>
        <w:div w:id="2071414689">
          <w:marLeft w:val="0"/>
          <w:marRight w:val="0"/>
          <w:marTop w:val="0"/>
          <w:marBottom w:val="0"/>
          <w:divBdr>
            <w:top w:val="none" w:sz="0" w:space="0" w:color="auto"/>
            <w:left w:val="none" w:sz="0" w:space="0" w:color="auto"/>
            <w:bottom w:val="none" w:sz="0" w:space="0" w:color="auto"/>
            <w:right w:val="none" w:sz="0" w:space="0" w:color="auto"/>
          </w:divBdr>
          <w:divsChild>
            <w:div w:id="1452895299">
              <w:marLeft w:val="0"/>
              <w:marRight w:val="0"/>
              <w:marTop w:val="0"/>
              <w:marBottom w:val="0"/>
              <w:divBdr>
                <w:top w:val="none" w:sz="0" w:space="0" w:color="auto"/>
                <w:left w:val="none" w:sz="0" w:space="0" w:color="auto"/>
                <w:bottom w:val="none" w:sz="0" w:space="0" w:color="auto"/>
                <w:right w:val="none" w:sz="0" w:space="0" w:color="auto"/>
              </w:divBdr>
              <w:divsChild>
                <w:div w:id="1877426630">
                  <w:marLeft w:val="0"/>
                  <w:marRight w:val="0"/>
                  <w:marTop w:val="0"/>
                  <w:marBottom w:val="0"/>
                  <w:divBdr>
                    <w:top w:val="none" w:sz="0" w:space="0" w:color="auto"/>
                    <w:left w:val="none" w:sz="0" w:space="0" w:color="auto"/>
                    <w:bottom w:val="none" w:sz="0" w:space="0" w:color="auto"/>
                    <w:right w:val="none" w:sz="0" w:space="0" w:color="auto"/>
                  </w:divBdr>
                  <w:divsChild>
                    <w:div w:id="1621643943">
                      <w:marLeft w:val="0"/>
                      <w:marRight w:val="0"/>
                      <w:marTop w:val="0"/>
                      <w:marBottom w:val="0"/>
                      <w:divBdr>
                        <w:top w:val="none" w:sz="0" w:space="0" w:color="auto"/>
                        <w:left w:val="none" w:sz="0" w:space="0" w:color="auto"/>
                        <w:bottom w:val="none" w:sz="0" w:space="0" w:color="auto"/>
                        <w:right w:val="none" w:sz="0" w:space="0" w:color="auto"/>
                      </w:divBdr>
                      <w:divsChild>
                        <w:div w:id="1554341930">
                          <w:marLeft w:val="0"/>
                          <w:marRight w:val="0"/>
                          <w:marTop w:val="0"/>
                          <w:marBottom w:val="0"/>
                          <w:divBdr>
                            <w:top w:val="none" w:sz="0" w:space="0" w:color="auto"/>
                            <w:left w:val="none" w:sz="0" w:space="0" w:color="auto"/>
                            <w:bottom w:val="none" w:sz="0" w:space="0" w:color="auto"/>
                            <w:right w:val="none" w:sz="0" w:space="0" w:color="auto"/>
                          </w:divBdr>
                          <w:divsChild>
                            <w:div w:id="475076512">
                              <w:marLeft w:val="0"/>
                              <w:marRight w:val="0"/>
                              <w:marTop w:val="0"/>
                              <w:marBottom w:val="0"/>
                              <w:divBdr>
                                <w:top w:val="none" w:sz="0" w:space="0" w:color="auto"/>
                                <w:left w:val="none" w:sz="0" w:space="0" w:color="auto"/>
                                <w:bottom w:val="none" w:sz="0" w:space="0" w:color="auto"/>
                                <w:right w:val="none" w:sz="0" w:space="0" w:color="auto"/>
                              </w:divBdr>
                              <w:divsChild>
                                <w:div w:id="72791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2144239">
          <w:marLeft w:val="0"/>
          <w:marRight w:val="0"/>
          <w:marTop w:val="0"/>
          <w:marBottom w:val="0"/>
          <w:divBdr>
            <w:top w:val="none" w:sz="0" w:space="0" w:color="auto"/>
            <w:left w:val="none" w:sz="0" w:space="0" w:color="auto"/>
            <w:bottom w:val="none" w:sz="0" w:space="0" w:color="auto"/>
            <w:right w:val="none" w:sz="0" w:space="0" w:color="auto"/>
          </w:divBdr>
          <w:divsChild>
            <w:div w:id="2004580649">
              <w:marLeft w:val="0"/>
              <w:marRight w:val="0"/>
              <w:marTop w:val="0"/>
              <w:marBottom w:val="0"/>
              <w:divBdr>
                <w:top w:val="none" w:sz="0" w:space="0" w:color="auto"/>
                <w:left w:val="none" w:sz="0" w:space="0" w:color="auto"/>
                <w:bottom w:val="none" w:sz="0" w:space="0" w:color="auto"/>
                <w:right w:val="none" w:sz="0" w:space="0" w:color="auto"/>
              </w:divBdr>
              <w:divsChild>
                <w:div w:id="1460341837">
                  <w:marLeft w:val="0"/>
                  <w:marRight w:val="0"/>
                  <w:marTop w:val="0"/>
                  <w:marBottom w:val="0"/>
                  <w:divBdr>
                    <w:top w:val="none" w:sz="0" w:space="0" w:color="auto"/>
                    <w:left w:val="none" w:sz="0" w:space="0" w:color="auto"/>
                    <w:bottom w:val="none" w:sz="0" w:space="0" w:color="auto"/>
                    <w:right w:val="none" w:sz="0" w:space="0" w:color="auto"/>
                  </w:divBdr>
                  <w:divsChild>
                    <w:div w:id="1023939372">
                      <w:marLeft w:val="0"/>
                      <w:marRight w:val="0"/>
                      <w:marTop w:val="0"/>
                      <w:marBottom w:val="0"/>
                      <w:divBdr>
                        <w:top w:val="none" w:sz="0" w:space="0" w:color="auto"/>
                        <w:left w:val="none" w:sz="0" w:space="0" w:color="auto"/>
                        <w:bottom w:val="none" w:sz="0" w:space="0" w:color="auto"/>
                        <w:right w:val="none" w:sz="0" w:space="0" w:color="auto"/>
                      </w:divBdr>
                      <w:divsChild>
                        <w:div w:id="1689679422">
                          <w:marLeft w:val="0"/>
                          <w:marRight w:val="0"/>
                          <w:marTop w:val="0"/>
                          <w:marBottom w:val="0"/>
                          <w:divBdr>
                            <w:top w:val="none" w:sz="0" w:space="0" w:color="auto"/>
                            <w:left w:val="none" w:sz="0" w:space="0" w:color="auto"/>
                            <w:bottom w:val="none" w:sz="0" w:space="0" w:color="auto"/>
                            <w:right w:val="none" w:sz="0" w:space="0" w:color="auto"/>
                          </w:divBdr>
                          <w:divsChild>
                            <w:div w:id="128476810">
                              <w:marLeft w:val="0"/>
                              <w:marRight w:val="0"/>
                              <w:marTop w:val="0"/>
                              <w:marBottom w:val="0"/>
                              <w:divBdr>
                                <w:top w:val="none" w:sz="0" w:space="0" w:color="auto"/>
                                <w:left w:val="none" w:sz="0" w:space="0" w:color="auto"/>
                                <w:bottom w:val="none" w:sz="0" w:space="0" w:color="auto"/>
                                <w:right w:val="none" w:sz="0" w:space="0" w:color="auto"/>
                              </w:divBdr>
                            </w:div>
                          </w:divsChild>
                        </w:div>
                        <w:div w:id="896672408">
                          <w:marLeft w:val="0"/>
                          <w:marRight w:val="0"/>
                          <w:marTop w:val="0"/>
                          <w:marBottom w:val="0"/>
                          <w:divBdr>
                            <w:top w:val="none" w:sz="0" w:space="0" w:color="auto"/>
                            <w:left w:val="none" w:sz="0" w:space="0" w:color="auto"/>
                            <w:bottom w:val="none" w:sz="0" w:space="0" w:color="auto"/>
                            <w:right w:val="none" w:sz="0" w:space="0" w:color="auto"/>
                          </w:divBdr>
                          <w:divsChild>
                            <w:div w:id="149621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854322">
                      <w:marLeft w:val="0"/>
                      <w:marRight w:val="0"/>
                      <w:marTop w:val="0"/>
                      <w:marBottom w:val="0"/>
                      <w:divBdr>
                        <w:top w:val="none" w:sz="0" w:space="0" w:color="auto"/>
                        <w:left w:val="none" w:sz="0" w:space="0" w:color="auto"/>
                        <w:bottom w:val="none" w:sz="0" w:space="0" w:color="auto"/>
                        <w:right w:val="none" w:sz="0" w:space="0" w:color="auto"/>
                      </w:divBdr>
                      <w:divsChild>
                        <w:div w:id="516769113">
                          <w:marLeft w:val="0"/>
                          <w:marRight w:val="0"/>
                          <w:marTop w:val="0"/>
                          <w:marBottom w:val="0"/>
                          <w:divBdr>
                            <w:top w:val="none" w:sz="0" w:space="0" w:color="auto"/>
                            <w:left w:val="none" w:sz="0" w:space="0" w:color="auto"/>
                            <w:bottom w:val="none" w:sz="0" w:space="0" w:color="auto"/>
                            <w:right w:val="none" w:sz="0" w:space="0" w:color="auto"/>
                          </w:divBdr>
                          <w:divsChild>
                            <w:div w:id="50274360">
                              <w:marLeft w:val="0"/>
                              <w:marRight w:val="0"/>
                              <w:marTop w:val="0"/>
                              <w:marBottom w:val="0"/>
                              <w:divBdr>
                                <w:top w:val="none" w:sz="0" w:space="0" w:color="auto"/>
                                <w:left w:val="none" w:sz="0" w:space="0" w:color="auto"/>
                                <w:bottom w:val="none" w:sz="0" w:space="0" w:color="auto"/>
                                <w:right w:val="none" w:sz="0" w:space="0" w:color="auto"/>
                              </w:divBdr>
                            </w:div>
                          </w:divsChild>
                        </w:div>
                        <w:div w:id="1544710081">
                          <w:marLeft w:val="0"/>
                          <w:marRight w:val="0"/>
                          <w:marTop w:val="0"/>
                          <w:marBottom w:val="0"/>
                          <w:divBdr>
                            <w:top w:val="none" w:sz="0" w:space="0" w:color="auto"/>
                            <w:left w:val="none" w:sz="0" w:space="0" w:color="auto"/>
                            <w:bottom w:val="none" w:sz="0" w:space="0" w:color="auto"/>
                            <w:right w:val="none" w:sz="0" w:space="0" w:color="auto"/>
                          </w:divBdr>
                          <w:divsChild>
                            <w:div w:id="196025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594530">
                      <w:marLeft w:val="0"/>
                      <w:marRight w:val="0"/>
                      <w:marTop w:val="0"/>
                      <w:marBottom w:val="0"/>
                      <w:divBdr>
                        <w:top w:val="none" w:sz="0" w:space="0" w:color="auto"/>
                        <w:left w:val="none" w:sz="0" w:space="0" w:color="auto"/>
                        <w:bottom w:val="none" w:sz="0" w:space="0" w:color="auto"/>
                        <w:right w:val="none" w:sz="0" w:space="0" w:color="auto"/>
                      </w:divBdr>
                      <w:divsChild>
                        <w:div w:id="1821457340">
                          <w:marLeft w:val="0"/>
                          <w:marRight w:val="0"/>
                          <w:marTop w:val="0"/>
                          <w:marBottom w:val="0"/>
                          <w:divBdr>
                            <w:top w:val="none" w:sz="0" w:space="0" w:color="auto"/>
                            <w:left w:val="none" w:sz="0" w:space="0" w:color="auto"/>
                            <w:bottom w:val="none" w:sz="0" w:space="0" w:color="auto"/>
                            <w:right w:val="none" w:sz="0" w:space="0" w:color="auto"/>
                          </w:divBdr>
                          <w:divsChild>
                            <w:div w:id="1315186623">
                              <w:marLeft w:val="0"/>
                              <w:marRight w:val="0"/>
                              <w:marTop w:val="0"/>
                              <w:marBottom w:val="0"/>
                              <w:divBdr>
                                <w:top w:val="none" w:sz="0" w:space="0" w:color="auto"/>
                                <w:left w:val="none" w:sz="0" w:space="0" w:color="auto"/>
                                <w:bottom w:val="none" w:sz="0" w:space="0" w:color="auto"/>
                                <w:right w:val="none" w:sz="0" w:space="0" w:color="auto"/>
                              </w:divBdr>
                            </w:div>
                          </w:divsChild>
                        </w:div>
                        <w:div w:id="2025814054">
                          <w:marLeft w:val="0"/>
                          <w:marRight w:val="0"/>
                          <w:marTop w:val="0"/>
                          <w:marBottom w:val="0"/>
                          <w:divBdr>
                            <w:top w:val="none" w:sz="0" w:space="0" w:color="auto"/>
                            <w:left w:val="none" w:sz="0" w:space="0" w:color="auto"/>
                            <w:bottom w:val="none" w:sz="0" w:space="0" w:color="auto"/>
                            <w:right w:val="none" w:sz="0" w:space="0" w:color="auto"/>
                          </w:divBdr>
                          <w:divsChild>
                            <w:div w:id="61028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4627018">
          <w:marLeft w:val="0"/>
          <w:marRight w:val="0"/>
          <w:marTop w:val="0"/>
          <w:marBottom w:val="0"/>
          <w:divBdr>
            <w:top w:val="none" w:sz="0" w:space="0" w:color="auto"/>
            <w:left w:val="none" w:sz="0" w:space="0" w:color="auto"/>
            <w:bottom w:val="none" w:sz="0" w:space="0" w:color="auto"/>
            <w:right w:val="none" w:sz="0" w:space="0" w:color="auto"/>
          </w:divBdr>
          <w:divsChild>
            <w:div w:id="168060687">
              <w:marLeft w:val="0"/>
              <w:marRight w:val="0"/>
              <w:marTop w:val="0"/>
              <w:marBottom w:val="0"/>
              <w:divBdr>
                <w:top w:val="none" w:sz="0" w:space="0" w:color="auto"/>
                <w:left w:val="none" w:sz="0" w:space="0" w:color="auto"/>
                <w:bottom w:val="none" w:sz="0" w:space="0" w:color="auto"/>
                <w:right w:val="none" w:sz="0" w:space="0" w:color="auto"/>
              </w:divBdr>
            </w:div>
          </w:divsChild>
        </w:div>
        <w:div w:id="1283614770">
          <w:marLeft w:val="0"/>
          <w:marRight w:val="0"/>
          <w:marTop w:val="0"/>
          <w:marBottom w:val="0"/>
          <w:divBdr>
            <w:top w:val="none" w:sz="0" w:space="0" w:color="auto"/>
            <w:left w:val="none" w:sz="0" w:space="0" w:color="auto"/>
            <w:bottom w:val="none" w:sz="0" w:space="0" w:color="auto"/>
            <w:right w:val="none" w:sz="0" w:space="0" w:color="auto"/>
          </w:divBdr>
          <w:divsChild>
            <w:div w:id="515078545">
              <w:marLeft w:val="0"/>
              <w:marRight w:val="0"/>
              <w:marTop w:val="0"/>
              <w:marBottom w:val="0"/>
              <w:divBdr>
                <w:top w:val="none" w:sz="0" w:space="0" w:color="auto"/>
                <w:left w:val="none" w:sz="0" w:space="0" w:color="auto"/>
                <w:bottom w:val="none" w:sz="0" w:space="0" w:color="auto"/>
                <w:right w:val="none" w:sz="0" w:space="0" w:color="auto"/>
              </w:divBdr>
              <w:divsChild>
                <w:div w:id="1245724724">
                  <w:marLeft w:val="0"/>
                  <w:marRight w:val="0"/>
                  <w:marTop w:val="0"/>
                  <w:marBottom w:val="0"/>
                  <w:divBdr>
                    <w:top w:val="none" w:sz="0" w:space="0" w:color="auto"/>
                    <w:left w:val="none" w:sz="0" w:space="0" w:color="auto"/>
                    <w:bottom w:val="none" w:sz="0" w:space="0" w:color="auto"/>
                    <w:right w:val="none" w:sz="0" w:space="0" w:color="auto"/>
                  </w:divBdr>
                  <w:divsChild>
                    <w:div w:id="1875998890">
                      <w:marLeft w:val="0"/>
                      <w:marRight w:val="0"/>
                      <w:marTop w:val="0"/>
                      <w:marBottom w:val="0"/>
                      <w:divBdr>
                        <w:top w:val="none" w:sz="0" w:space="0" w:color="auto"/>
                        <w:left w:val="none" w:sz="0" w:space="0" w:color="auto"/>
                        <w:bottom w:val="none" w:sz="0" w:space="0" w:color="auto"/>
                        <w:right w:val="none" w:sz="0" w:space="0" w:color="auto"/>
                      </w:divBdr>
                      <w:divsChild>
                        <w:div w:id="678849366">
                          <w:marLeft w:val="0"/>
                          <w:marRight w:val="0"/>
                          <w:marTop w:val="0"/>
                          <w:marBottom w:val="0"/>
                          <w:divBdr>
                            <w:top w:val="none" w:sz="0" w:space="0" w:color="auto"/>
                            <w:left w:val="none" w:sz="0" w:space="0" w:color="auto"/>
                            <w:bottom w:val="none" w:sz="0" w:space="0" w:color="auto"/>
                            <w:right w:val="none" w:sz="0" w:space="0" w:color="auto"/>
                          </w:divBdr>
                          <w:divsChild>
                            <w:div w:id="989868537">
                              <w:marLeft w:val="0"/>
                              <w:marRight w:val="0"/>
                              <w:marTop w:val="0"/>
                              <w:marBottom w:val="0"/>
                              <w:divBdr>
                                <w:top w:val="none" w:sz="0" w:space="0" w:color="auto"/>
                                <w:left w:val="none" w:sz="0" w:space="0" w:color="auto"/>
                                <w:bottom w:val="none" w:sz="0" w:space="0" w:color="auto"/>
                                <w:right w:val="none" w:sz="0" w:space="0" w:color="auto"/>
                              </w:divBdr>
                              <w:divsChild>
                                <w:div w:id="18032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2445166">
          <w:marLeft w:val="0"/>
          <w:marRight w:val="0"/>
          <w:marTop w:val="0"/>
          <w:marBottom w:val="0"/>
          <w:divBdr>
            <w:top w:val="none" w:sz="0" w:space="0" w:color="auto"/>
            <w:left w:val="none" w:sz="0" w:space="0" w:color="auto"/>
            <w:bottom w:val="none" w:sz="0" w:space="0" w:color="auto"/>
            <w:right w:val="none" w:sz="0" w:space="0" w:color="auto"/>
          </w:divBdr>
          <w:divsChild>
            <w:div w:id="246306445">
              <w:marLeft w:val="0"/>
              <w:marRight w:val="0"/>
              <w:marTop w:val="0"/>
              <w:marBottom w:val="0"/>
              <w:divBdr>
                <w:top w:val="none" w:sz="0" w:space="0" w:color="auto"/>
                <w:left w:val="none" w:sz="0" w:space="0" w:color="auto"/>
                <w:bottom w:val="none" w:sz="0" w:space="0" w:color="auto"/>
                <w:right w:val="none" w:sz="0" w:space="0" w:color="auto"/>
              </w:divBdr>
              <w:divsChild>
                <w:div w:id="739249093">
                  <w:marLeft w:val="0"/>
                  <w:marRight w:val="0"/>
                  <w:marTop w:val="0"/>
                  <w:marBottom w:val="0"/>
                  <w:divBdr>
                    <w:top w:val="none" w:sz="0" w:space="0" w:color="auto"/>
                    <w:left w:val="none" w:sz="0" w:space="0" w:color="auto"/>
                    <w:bottom w:val="none" w:sz="0" w:space="0" w:color="auto"/>
                    <w:right w:val="none" w:sz="0" w:space="0" w:color="auto"/>
                  </w:divBdr>
                  <w:divsChild>
                    <w:div w:id="1261238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698973090">
          <w:marLeft w:val="0"/>
          <w:marRight w:val="0"/>
          <w:marTop w:val="0"/>
          <w:marBottom w:val="0"/>
          <w:divBdr>
            <w:top w:val="none" w:sz="0" w:space="0" w:color="auto"/>
            <w:left w:val="none" w:sz="0" w:space="0" w:color="auto"/>
            <w:bottom w:val="none" w:sz="0" w:space="0" w:color="auto"/>
            <w:right w:val="none" w:sz="0" w:space="0" w:color="auto"/>
          </w:divBdr>
          <w:divsChild>
            <w:div w:id="719944277">
              <w:marLeft w:val="0"/>
              <w:marRight w:val="0"/>
              <w:marTop w:val="0"/>
              <w:marBottom w:val="0"/>
              <w:divBdr>
                <w:top w:val="none" w:sz="0" w:space="0" w:color="auto"/>
                <w:left w:val="none" w:sz="0" w:space="0" w:color="auto"/>
                <w:bottom w:val="none" w:sz="0" w:space="0" w:color="auto"/>
                <w:right w:val="none" w:sz="0" w:space="0" w:color="auto"/>
              </w:divBdr>
              <w:divsChild>
                <w:div w:id="878279653">
                  <w:marLeft w:val="0"/>
                  <w:marRight w:val="0"/>
                  <w:marTop w:val="0"/>
                  <w:marBottom w:val="0"/>
                  <w:divBdr>
                    <w:top w:val="none" w:sz="0" w:space="0" w:color="auto"/>
                    <w:left w:val="none" w:sz="0" w:space="0" w:color="auto"/>
                    <w:bottom w:val="none" w:sz="0" w:space="0" w:color="auto"/>
                    <w:right w:val="none" w:sz="0" w:space="0" w:color="auto"/>
                  </w:divBdr>
                  <w:divsChild>
                    <w:div w:id="1709061458">
                      <w:marLeft w:val="0"/>
                      <w:marRight w:val="0"/>
                      <w:marTop w:val="0"/>
                      <w:marBottom w:val="0"/>
                      <w:divBdr>
                        <w:top w:val="none" w:sz="0" w:space="0" w:color="auto"/>
                        <w:left w:val="none" w:sz="0" w:space="0" w:color="auto"/>
                        <w:bottom w:val="none" w:sz="0" w:space="0" w:color="auto"/>
                        <w:right w:val="none" w:sz="0" w:space="0" w:color="auto"/>
                      </w:divBdr>
                      <w:divsChild>
                        <w:div w:id="1144156477">
                          <w:marLeft w:val="0"/>
                          <w:marRight w:val="0"/>
                          <w:marTop w:val="0"/>
                          <w:marBottom w:val="0"/>
                          <w:divBdr>
                            <w:top w:val="none" w:sz="0" w:space="0" w:color="auto"/>
                            <w:left w:val="none" w:sz="0" w:space="0" w:color="auto"/>
                            <w:bottom w:val="none" w:sz="0" w:space="0" w:color="auto"/>
                            <w:right w:val="none" w:sz="0" w:space="0" w:color="auto"/>
                          </w:divBdr>
                          <w:divsChild>
                            <w:div w:id="180051616">
                              <w:marLeft w:val="0"/>
                              <w:marRight w:val="0"/>
                              <w:marTop w:val="0"/>
                              <w:marBottom w:val="0"/>
                              <w:divBdr>
                                <w:top w:val="none" w:sz="0" w:space="0" w:color="auto"/>
                                <w:left w:val="none" w:sz="0" w:space="0" w:color="auto"/>
                                <w:bottom w:val="none" w:sz="0" w:space="0" w:color="auto"/>
                                <w:right w:val="none" w:sz="0" w:space="0" w:color="auto"/>
                              </w:divBdr>
                              <w:divsChild>
                                <w:div w:id="5990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4383166">
          <w:marLeft w:val="0"/>
          <w:marRight w:val="0"/>
          <w:marTop w:val="0"/>
          <w:marBottom w:val="0"/>
          <w:divBdr>
            <w:top w:val="none" w:sz="0" w:space="0" w:color="auto"/>
            <w:left w:val="none" w:sz="0" w:space="0" w:color="auto"/>
            <w:bottom w:val="none" w:sz="0" w:space="0" w:color="auto"/>
            <w:right w:val="none" w:sz="0" w:space="0" w:color="auto"/>
          </w:divBdr>
          <w:divsChild>
            <w:div w:id="1648126498">
              <w:marLeft w:val="0"/>
              <w:marRight w:val="0"/>
              <w:marTop w:val="0"/>
              <w:marBottom w:val="0"/>
              <w:divBdr>
                <w:top w:val="none" w:sz="0" w:space="0" w:color="auto"/>
                <w:left w:val="none" w:sz="0" w:space="0" w:color="auto"/>
                <w:bottom w:val="none" w:sz="0" w:space="0" w:color="auto"/>
                <w:right w:val="none" w:sz="0" w:space="0" w:color="auto"/>
              </w:divBdr>
              <w:divsChild>
                <w:div w:id="29907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651008">
      <w:bodyDiv w:val="1"/>
      <w:marLeft w:val="0"/>
      <w:marRight w:val="0"/>
      <w:marTop w:val="0"/>
      <w:marBottom w:val="0"/>
      <w:divBdr>
        <w:top w:val="none" w:sz="0" w:space="0" w:color="auto"/>
        <w:left w:val="none" w:sz="0" w:space="0" w:color="auto"/>
        <w:bottom w:val="none" w:sz="0" w:space="0" w:color="auto"/>
        <w:right w:val="none" w:sz="0" w:space="0" w:color="auto"/>
      </w:divBdr>
    </w:div>
    <w:div w:id="952441066">
      <w:bodyDiv w:val="1"/>
      <w:marLeft w:val="0"/>
      <w:marRight w:val="0"/>
      <w:marTop w:val="0"/>
      <w:marBottom w:val="0"/>
      <w:divBdr>
        <w:top w:val="none" w:sz="0" w:space="0" w:color="auto"/>
        <w:left w:val="none" w:sz="0" w:space="0" w:color="auto"/>
        <w:bottom w:val="none" w:sz="0" w:space="0" w:color="auto"/>
        <w:right w:val="none" w:sz="0" w:space="0" w:color="auto"/>
      </w:divBdr>
    </w:div>
    <w:div w:id="983701111">
      <w:bodyDiv w:val="1"/>
      <w:marLeft w:val="0"/>
      <w:marRight w:val="0"/>
      <w:marTop w:val="0"/>
      <w:marBottom w:val="0"/>
      <w:divBdr>
        <w:top w:val="none" w:sz="0" w:space="0" w:color="auto"/>
        <w:left w:val="none" w:sz="0" w:space="0" w:color="auto"/>
        <w:bottom w:val="none" w:sz="0" w:space="0" w:color="auto"/>
        <w:right w:val="none" w:sz="0" w:space="0" w:color="auto"/>
      </w:divBdr>
      <w:divsChild>
        <w:div w:id="1492015399">
          <w:marLeft w:val="0"/>
          <w:marRight w:val="0"/>
          <w:marTop w:val="0"/>
          <w:marBottom w:val="0"/>
          <w:divBdr>
            <w:top w:val="none" w:sz="0" w:space="0" w:color="auto"/>
            <w:left w:val="none" w:sz="0" w:space="0" w:color="auto"/>
            <w:bottom w:val="none" w:sz="0" w:space="0" w:color="auto"/>
            <w:right w:val="none" w:sz="0" w:space="0" w:color="auto"/>
          </w:divBdr>
          <w:divsChild>
            <w:div w:id="868033484">
              <w:marLeft w:val="0"/>
              <w:marRight w:val="0"/>
              <w:marTop w:val="0"/>
              <w:marBottom w:val="0"/>
              <w:divBdr>
                <w:top w:val="none" w:sz="0" w:space="0" w:color="auto"/>
                <w:left w:val="none" w:sz="0" w:space="0" w:color="auto"/>
                <w:bottom w:val="none" w:sz="0" w:space="0" w:color="auto"/>
                <w:right w:val="none" w:sz="0" w:space="0" w:color="auto"/>
              </w:divBdr>
              <w:divsChild>
                <w:div w:id="1635519984">
                  <w:marLeft w:val="0"/>
                  <w:marRight w:val="0"/>
                  <w:marTop w:val="0"/>
                  <w:marBottom w:val="0"/>
                  <w:divBdr>
                    <w:top w:val="none" w:sz="0" w:space="0" w:color="auto"/>
                    <w:left w:val="none" w:sz="0" w:space="0" w:color="auto"/>
                    <w:bottom w:val="none" w:sz="0" w:space="0" w:color="auto"/>
                    <w:right w:val="none" w:sz="0" w:space="0" w:color="auto"/>
                  </w:divBdr>
                  <w:divsChild>
                    <w:div w:id="337581453">
                      <w:marLeft w:val="0"/>
                      <w:marRight w:val="0"/>
                      <w:marTop w:val="0"/>
                      <w:marBottom w:val="0"/>
                      <w:divBdr>
                        <w:top w:val="none" w:sz="0" w:space="0" w:color="auto"/>
                        <w:left w:val="none" w:sz="0" w:space="0" w:color="auto"/>
                        <w:bottom w:val="none" w:sz="0" w:space="0" w:color="auto"/>
                        <w:right w:val="none" w:sz="0" w:space="0" w:color="auto"/>
                      </w:divBdr>
                      <w:divsChild>
                        <w:div w:id="690911761">
                          <w:marLeft w:val="0"/>
                          <w:marRight w:val="0"/>
                          <w:marTop w:val="0"/>
                          <w:marBottom w:val="0"/>
                          <w:divBdr>
                            <w:top w:val="none" w:sz="0" w:space="0" w:color="auto"/>
                            <w:left w:val="none" w:sz="0" w:space="0" w:color="auto"/>
                            <w:bottom w:val="none" w:sz="0" w:space="0" w:color="auto"/>
                            <w:right w:val="none" w:sz="0" w:space="0" w:color="auto"/>
                          </w:divBdr>
                          <w:divsChild>
                            <w:div w:id="463885783">
                              <w:marLeft w:val="0"/>
                              <w:marRight w:val="0"/>
                              <w:marTop w:val="0"/>
                              <w:marBottom w:val="0"/>
                              <w:divBdr>
                                <w:top w:val="none" w:sz="0" w:space="0" w:color="auto"/>
                                <w:left w:val="none" w:sz="0" w:space="0" w:color="auto"/>
                                <w:bottom w:val="none" w:sz="0" w:space="0" w:color="auto"/>
                                <w:right w:val="none" w:sz="0" w:space="0" w:color="auto"/>
                              </w:divBdr>
                              <w:divsChild>
                                <w:div w:id="164700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281053">
          <w:marLeft w:val="0"/>
          <w:marRight w:val="0"/>
          <w:marTop w:val="0"/>
          <w:marBottom w:val="0"/>
          <w:divBdr>
            <w:top w:val="none" w:sz="0" w:space="0" w:color="auto"/>
            <w:left w:val="none" w:sz="0" w:space="0" w:color="auto"/>
            <w:bottom w:val="none" w:sz="0" w:space="0" w:color="auto"/>
            <w:right w:val="none" w:sz="0" w:space="0" w:color="auto"/>
          </w:divBdr>
          <w:divsChild>
            <w:div w:id="276106895">
              <w:marLeft w:val="0"/>
              <w:marRight w:val="0"/>
              <w:marTop w:val="0"/>
              <w:marBottom w:val="0"/>
              <w:divBdr>
                <w:top w:val="none" w:sz="0" w:space="0" w:color="auto"/>
                <w:left w:val="none" w:sz="0" w:space="0" w:color="auto"/>
                <w:bottom w:val="none" w:sz="0" w:space="0" w:color="auto"/>
                <w:right w:val="none" w:sz="0" w:space="0" w:color="auto"/>
              </w:divBdr>
              <w:divsChild>
                <w:div w:id="119927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89346">
          <w:marLeft w:val="0"/>
          <w:marRight w:val="0"/>
          <w:marTop w:val="0"/>
          <w:marBottom w:val="0"/>
          <w:divBdr>
            <w:top w:val="none" w:sz="0" w:space="0" w:color="auto"/>
            <w:left w:val="none" w:sz="0" w:space="0" w:color="auto"/>
            <w:bottom w:val="none" w:sz="0" w:space="0" w:color="auto"/>
            <w:right w:val="none" w:sz="0" w:space="0" w:color="auto"/>
          </w:divBdr>
          <w:divsChild>
            <w:div w:id="1056052706">
              <w:marLeft w:val="0"/>
              <w:marRight w:val="0"/>
              <w:marTop w:val="0"/>
              <w:marBottom w:val="0"/>
              <w:divBdr>
                <w:top w:val="none" w:sz="0" w:space="0" w:color="auto"/>
                <w:left w:val="none" w:sz="0" w:space="0" w:color="auto"/>
                <w:bottom w:val="none" w:sz="0" w:space="0" w:color="auto"/>
                <w:right w:val="none" w:sz="0" w:space="0" w:color="auto"/>
              </w:divBdr>
              <w:divsChild>
                <w:div w:id="68238729">
                  <w:marLeft w:val="0"/>
                  <w:marRight w:val="0"/>
                  <w:marTop w:val="0"/>
                  <w:marBottom w:val="0"/>
                  <w:divBdr>
                    <w:top w:val="none" w:sz="0" w:space="0" w:color="auto"/>
                    <w:left w:val="none" w:sz="0" w:space="0" w:color="auto"/>
                    <w:bottom w:val="none" w:sz="0" w:space="0" w:color="auto"/>
                    <w:right w:val="none" w:sz="0" w:space="0" w:color="auto"/>
                  </w:divBdr>
                  <w:divsChild>
                    <w:div w:id="142936161">
                      <w:marLeft w:val="0"/>
                      <w:marRight w:val="0"/>
                      <w:marTop w:val="0"/>
                      <w:marBottom w:val="0"/>
                      <w:divBdr>
                        <w:top w:val="none" w:sz="0" w:space="0" w:color="auto"/>
                        <w:left w:val="none" w:sz="0" w:space="0" w:color="auto"/>
                        <w:bottom w:val="none" w:sz="0" w:space="0" w:color="auto"/>
                        <w:right w:val="none" w:sz="0" w:space="0" w:color="auto"/>
                      </w:divBdr>
                      <w:divsChild>
                        <w:div w:id="1317611193">
                          <w:marLeft w:val="0"/>
                          <w:marRight w:val="0"/>
                          <w:marTop w:val="0"/>
                          <w:marBottom w:val="0"/>
                          <w:divBdr>
                            <w:top w:val="none" w:sz="0" w:space="0" w:color="auto"/>
                            <w:left w:val="none" w:sz="0" w:space="0" w:color="auto"/>
                            <w:bottom w:val="none" w:sz="0" w:space="0" w:color="auto"/>
                            <w:right w:val="none" w:sz="0" w:space="0" w:color="auto"/>
                          </w:divBdr>
                          <w:divsChild>
                            <w:div w:id="604731666">
                              <w:marLeft w:val="0"/>
                              <w:marRight w:val="0"/>
                              <w:marTop w:val="0"/>
                              <w:marBottom w:val="0"/>
                              <w:divBdr>
                                <w:top w:val="none" w:sz="0" w:space="0" w:color="auto"/>
                                <w:left w:val="none" w:sz="0" w:space="0" w:color="auto"/>
                                <w:bottom w:val="none" w:sz="0" w:space="0" w:color="auto"/>
                                <w:right w:val="none" w:sz="0" w:space="0" w:color="auto"/>
                              </w:divBdr>
                              <w:divsChild>
                                <w:div w:id="29322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4507680">
          <w:marLeft w:val="0"/>
          <w:marRight w:val="0"/>
          <w:marTop w:val="0"/>
          <w:marBottom w:val="0"/>
          <w:divBdr>
            <w:top w:val="none" w:sz="0" w:space="0" w:color="auto"/>
            <w:left w:val="none" w:sz="0" w:space="0" w:color="auto"/>
            <w:bottom w:val="none" w:sz="0" w:space="0" w:color="auto"/>
            <w:right w:val="none" w:sz="0" w:space="0" w:color="auto"/>
          </w:divBdr>
          <w:divsChild>
            <w:div w:id="599530837">
              <w:marLeft w:val="0"/>
              <w:marRight w:val="0"/>
              <w:marTop w:val="0"/>
              <w:marBottom w:val="0"/>
              <w:divBdr>
                <w:top w:val="none" w:sz="0" w:space="0" w:color="auto"/>
                <w:left w:val="none" w:sz="0" w:space="0" w:color="auto"/>
                <w:bottom w:val="none" w:sz="0" w:space="0" w:color="auto"/>
                <w:right w:val="none" w:sz="0" w:space="0" w:color="auto"/>
              </w:divBdr>
              <w:divsChild>
                <w:div w:id="152621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136674">
          <w:marLeft w:val="0"/>
          <w:marRight w:val="0"/>
          <w:marTop w:val="0"/>
          <w:marBottom w:val="0"/>
          <w:divBdr>
            <w:top w:val="none" w:sz="0" w:space="0" w:color="auto"/>
            <w:left w:val="none" w:sz="0" w:space="0" w:color="auto"/>
            <w:bottom w:val="none" w:sz="0" w:space="0" w:color="auto"/>
            <w:right w:val="none" w:sz="0" w:space="0" w:color="auto"/>
          </w:divBdr>
          <w:divsChild>
            <w:div w:id="1789621134">
              <w:marLeft w:val="0"/>
              <w:marRight w:val="0"/>
              <w:marTop w:val="0"/>
              <w:marBottom w:val="0"/>
              <w:divBdr>
                <w:top w:val="none" w:sz="0" w:space="0" w:color="auto"/>
                <w:left w:val="none" w:sz="0" w:space="0" w:color="auto"/>
                <w:bottom w:val="none" w:sz="0" w:space="0" w:color="auto"/>
                <w:right w:val="none" w:sz="0" w:space="0" w:color="auto"/>
              </w:divBdr>
              <w:divsChild>
                <w:div w:id="1882816117">
                  <w:marLeft w:val="0"/>
                  <w:marRight w:val="0"/>
                  <w:marTop w:val="0"/>
                  <w:marBottom w:val="0"/>
                  <w:divBdr>
                    <w:top w:val="none" w:sz="0" w:space="0" w:color="auto"/>
                    <w:left w:val="none" w:sz="0" w:space="0" w:color="auto"/>
                    <w:bottom w:val="none" w:sz="0" w:space="0" w:color="auto"/>
                    <w:right w:val="none" w:sz="0" w:space="0" w:color="auto"/>
                  </w:divBdr>
                  <w:divsChild>
                    <w:div w:id="538788515">
                      <w:marLeft w:val="0"/>
                      <w:marRight w:val="0"/>
                      <w:marTop w:val="0"/>
                      <w:marBottom w:val="0"/>
                      <w:divBdr>
                        <w:top w:val="none" w:sz="0" w:space="0" w:color="auto"/>
                        <w:left w:val="none" w:sz="0" w:space="0" w:color="auto"/>
                        <w:bottom w:val="none" w:sz="0" w:space="0" w:color="auto"/>
                        <w:right w:val="none" w:sz="0" w:space="0" w:color="auto"/>
                      </w:divBdr>
                      <w:divsChild>
                        <w:div w:id="1496916141">
                          <w:marLeft w:val="0"/>
                          <w:marRight w:val="0"/>
                          <w:marTop w:val="0"/>
                          <w:marBottom w:val="0"/>
                          <w:divBdr>
                            <w:top w:val="none" w:sz="0" w:space="0" w:color="auto"/>
                            <w:left w:val="none" w:sz="0" w:space="0" w:color="auto"/>
                            <w:bottom w:val="none" w:sz="0" w:space="0" w:color="auto"/>
                            <w:right w:val="none" w:sz="0" w:space="0" w:color="auto"/>
                          </w:divBdr>
                          <w:divsChild>
                            <w:div w:id="1718969193">
                              <w:marLeft w:val="0"/>
                              <w:marRight w:val="0"/>
                              <w:marTop w:val="0"/>
                              <w:marBottom w:val="0"/>
                              <w:divBdr>
                                <w:top w:val="none" w:sz="0" w:space="0" w:color="auto"/>
                                <w:left w:val="none" w:sz="0" w:space="0" w:color="auto"/>
                                <w:bottom w:val="none" w:sz="0" w:space="0" w:color="auto"/>
                                <w:right w:val="none" w:sz="0" w:space="0" w:color="auto"/>
                              </w:divBdr>
                              <w:divsChild>
                                <w:div w:id="83685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8688789">
          <w:marLeft w:val="0"/>
          <w:marRight w:val="0"/>
          <w:marTop w:val="0"/>
          <w:marBottom w:val="0"/>
          <w:divBdr>
            <w:top w:val="none" w:sz="0" w:space="0" w:color="auto"/>
            <w:left w:val="none" w:sz="0" w:space="0" w:color="auto"/>
            <w:bottom w:val="none" w:sz="0" w:space="0" w:color="auto"/>
            <w:right w:val="none" w:sz="0" w:space="0" w:color="auto"/>
          </w:divBdr>
          <w:divsChild>
            <w:div w:id="1359307442">
              <w:marLeft w:val="0"/>
              <w:marRight w:val="0"/>
              <w:marTop w:val="0"/>
              <w:marBottom w:val="0"/>
              <w:divBdr>
                <w:top w:val="none" w:sz="0" w:space="0" w:color="auto"/>
                <w:left w:val="none" w:sz="0" w:space="0" w:color="auto"/>
                <w:bottom w:val="none" w:sz="0" w:space="0" w:color="auto"/>
                <w:right w:val="none" w:sz="0" w:space="0" w:color="auto"/>
              </w:divBdr>
              <w:divsChild>
                <w:div w:id="165271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379514">
          <w:marLeft w:val="0"/>
          <w:marRight w:val="0"/>
          <w:marTop w:val="0"/>
          <w:marBottom w:val="0"/>
          <w:divBdr>
            <w:top w:val="none" w:sz="0" w:space="0" w:color="auto"/>
            <w:left w:val="none" w:sz="0" w:space="0" w:color="auto"/>
            <w:bottom w:val="none" w:sz="0" w:space="0" w:color="auto"/>
            <w:right w:val="none" w:sz="0" w:space="0" w:color="auto"/>
          </w:divBdr>
          <w:divsChild>
            <w:div w:id="1841000331">
              <w:marLeft w:val="0"/>
              <w:marRight w:val="0"/>
              <w:marTop w:val="0"/>
              <w:marBottom w:val="0"/>
              <w:divBdr>
                <w:top w:val="none" w:sz="0" w:space="0" w:color="auto"/>
                <w:left w:val="none" w:sz="0" w:space="0" w:color="auto"/>
                <w:bottom w:val="none" w:sz="0" w:space="0" w:color="auto"/>
                <w:right w:val="none" w:sz="0" w:space="0" w:color="auto"/>
              </w:divBdr>
              <w:divsChild>
                <w:div w:id="988552861">
                  <w:marLeft w:val="0"/>
                  <w:marRight w:val="0"/>
                  <w:marTop w:val="0"/>
                  <w:marBottom w:val="0"/>
                  <w:divBdr>
                    <w:top w:val="none" w:sz="0" w:space="0" w:color="auto"/>
                    <w:left w:val="none" w:sz="0" w:space="0" w:color="auto"/>
                    <w:bottom w:val="none" w:sz="0" w:space="0" w:color="auto"/>
                    <w:right w:val="none" w:sz="0" w:space="0" w:color="auto"/>
                  </w:divBdr>
                  <w:divsChild>
                    <w:div w:id="817266151">
                      <w:marLeft w:val="0"/>
                      <w:marRight w:val="0"/>
                      <w:marTop w:val="0"/>
                      <w:marBottom w:val="0"/>
                      <w:divBdr>
                        <w:top w:val="none" w:sz="0" w:space="0" w:color="auto"/>
                        <w:left w:val="none" w:sz="0" w:space="0" w:color="auto"/>
                        <w:bottom w:val="none" w:sz="0" w:space="0" w:color="auto"/>
                        <w:right w:val="none" w:sz="0" w:space="0" w:color="auto"/>
                      </w:divBdr>
                      <w:divsChild>
                        <w:div w:id="1007630938">
                          <w:marLeft w:val="0"/>
                          <w:marRight w:val="0"/>
                          <w:marTop w:val="0"/>
                          <w:marBottom w:val="0"/>
                          <w:divBdr>
                            <w:top w:val="none" w:sz="0" w:space="0" w:color="auto"/>
                            <w:left w:val="none" w:sz="0" w:space="0" w:color="auto"/>
                            <w:bottom w:val="none" w:sz="0" w:space="0" w:color="auto"/>
                            <w:right w:val="none" w:sz="0" w:space="0" w:color="auto"/>
                          </w:divBdr>
                          <w:divsChild>
                            <w:div w:id="1148015673">
                              <w:marLeft w:val="0"/>
                              <w:marRight w:val="0"/>
                              <w:marTop w:val="0"/>
                              <w:marBottom w:val="0"/>
                              <w:divBdr>
                                <w:top w:val="none" w:sz="0" w:space="0" w:color="auto"/>
                                <w:left w:val="none" w:sz="0" w:space="0" w:color="auto"/>
                                <w:bottom w:val="none" w:sz="0" w:space="0" w:color="auto"/>
                                <w:right w:val="none" w:sz="0" w:space="0" w:color="auto"/>
                              </w:divBdr>
                              <w:divsChild>
                                <w:div w:id="201360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4615522">
          <w:marLeft w:val="0"/>
          <w:marRight w:val="0"/>
          <w:marTop w:val="0"/>
          <w:marBottom w:val="0"/>
          <w:divBdr>
            <w:top w:val="none" w:sz="0" w:space="0" w:color="auto"/>
            <w:left w:val="none" w:sz="0" w:space="0" w:color="auto"/>
            <w:bottom w:val="none" w:sz="0" w:space="0" w:color="auto"/>
            <w:right w:val="none" w:sz="0" w:space="0" w:color="auto"/>
          </w:divBdr>
          <w:divsChild>
            <w:div w:id="546377074">
              <w:marLeft w:val="0"/>
              <w:marRight w:val="0"/>
              <w:marTop w:val="0"/>
              <w:marBottom w:val="0"/>
              <w:divBdr>
                <w:top w:val="none" w:sz="0" w:space="0" w:color="auto"/>
                <w:left w:val="none" w:sz="0" w:space="0" w:color="auto"/>
                <w:bottom w:val="none" w:sz="0" w:space="0" w:color="auto"/>
                <w:right w:val="none" w:sz="0" w:space="0" w:color="auto"/>
              </w:divBdr>
              <w:divsChild>
                <w:div w:id="427849422">
                  <w:marLeft w:val="0"/>
                  <w:marRight w:val="0"/>
                  <w:marTop w:val="0"/>
                  <w:marBottom w:val="0"/>
                  <w:divBdr>
                    <w:top w:val="none" w:sz="0" w:space="0" w:color="auto"/>
                    <w:left w:val="none" w:sz="0" w:space="0" w:color="auto"/>
                    <w:bottom w:val="none" w:sz="0" w:space="0" w:color="auto"/>
                    <w:right w:val="none" w:sz="0" w:space="0" w:color="auto"/>
                  </w:divBdr>
                </w:div>
                <w:div w:id="1251279882">
                  <w:marLeft w:val="0"/>
                  <w:marRight w:val="0"/>
                  <w:marTop w:val="0"/>
                  <w:marBottom w:val="0"/>
                  <w:divBdr>
                    <w:top w:val="none" w:sz="0" w:space="0" w:color="auto"/>
                    <w:left w:val="none" w:sz="0" w:space="0" w:color="auto"/>
                    <w:bottom w:val="none" w:sz="0" w:space="0" w:color="auto"/>
                    <w:right w:val="none" w:sz="0" w:space="0" w:color="auto"/>
                  </w:divBdr>
                  <w:divsChild>
                    <w:div w:id="694384984">
                      <w:marLeft w:val="0"/>
                      <w:marRight w:val="0"/>
                      <w:marTop w:val="0"/>
                      <w:marBottom w:val="0"/>
                      <w:divBdr>
                        <w:top w:val="none" w:sz="0" w:space="0" w:color="auto"/>
                        <w:left w:val="none" w:sz="0" w:space="0" w:color="auto"/>
                        <w:bottom w:val="none" w:sz="0" w:space="0" w:color="auto"/>
                        <w:right w:val="none" w:sz="0" w:space="0" w:color="auto"/>
                      </w:divBdr>
                      <w:divsChild>
                        <w:div w:id="647168695">
                          <w:marLeft w:val="0"/>
                          <w:marRight w:val="0"/>
                          <w:marTop w:val="0"/>
                          <w:marBottom w:val="0"/>
                          <w:divBdr>
                            <w:top w:val="none" w:sz="0" w:space="0" w:color="auto"/>
                            <w:left w:val="none" w:sz="0" w:space="0" w:color="auto"/>
                            <w:bottom w:val="none" w:sz="0" w:space="0" w:color="auto"/>
                            <w:right w:val="none" w:sz="0" w:space="0" w:color="auto"/>
                          </w:divBdr>
                          <w:divsChild>
                            <w:div w:id="1127577599">
                              <w:marLeft w:val="0"/>
                              <w:marRight w:val="0"/>
                              <w:marTop w:val="0"/>
                              <w:marBottom w:val="0"/>
                              <w:divBdr>
                                <w:top w:val="none" w:sz="0" w:space="0" w:color="auto"/>
                                <w:left w:val="none" w:sz="0" w:space="0" w:color="auto"/>
                                <w:bottom w:val="none" w:sz="0" w:space="0" w:color="auto"/>
                                <w:right w:val="none" w:sz="0" w:space="0" w:color="auto"/>
                              </w:divBdr>
                              <w:divsChild>
                                <w:div w:id="19278708">
                                  <w:marLeft w:val="0"/>
                                  <w:marRight w:val="0"/>
                                  <w:marTop w:val="0"/>
                                  <w:marBottom w:val="0"/>
                                  <w:divBdr>
                                    <w:top w:val="none" w:sz="0" w:space="0" w:color="auto"/>
                                    <w:left w:val="none" w:sz="0" w:space="0" w:color="auto"/>
                                    <w:bottom w:val="none" w:sz="0" w:space="0" w:color="auto"/>
                                    <w:right w:val="none" w:sz="0" w:space="0" w:color="auto"/>
                                  </w:divBdr>
                                  <w:divsChild>
                                    <w:div w:id="1971939785">
                                      <w:marLeft w:val="0"/>
                                      <w:marRight w:val="0"/>
                                      <w:marTop w:val="0"/>
                                      <w:marBottom w:val="0"/>
                                      <w:divBdr>
                                        <w:top w:val="none" w:sz="0" w:space="0" w:color="auto"/>
                                        <w:left w:val="none" w:sz="0" w:space="0" w:color="auto"/>
                                        <w:bottom w:val="none" w:sz="0" w:space="0" w:color="auto"/>
                                        <w:right w:val="none" w:sz="0" w:space="0" w:color="auto"/>
                                      </w:divBdr>
                                    </w:div>
                                    <w:div w:id="1617907023">
                                      <w:marLeft w:val="0"/>
                                      <w:marRight w:val="0"/>
                                      <w:marTop w:val="0"/>
                                      <w:marBottom w:val="0"/>
                                      <w:divBdr>
                                        <w:top w:val="none" w:sz="0" w:space="0" w:color="auto"/>
                                        <w:left w:val="none" w:sz="0" w:space="0" w:color="auto"/>
                                        <w:bottom w:val="none" w:sz="0" w:space="0" w:color="auto"/>
                                        <w:right w:val="none" w:sz="0" w:space="0" w:color="auto"/>
                                      </w:divBdr>
                                    </w:div>
                                  </w:divsChild>
                                </w:div>
                                <w:div w:id="43039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912563">
                  <w:marLeft w:val="0"/>
                  <w:marRight w:val="0"/>
                  <w:marTop w:val="0"/>
                  <w:marBottom w:val="0"/>
                  <w:divBdr>
                    <w:top w:val="none" w:sz="0" w:space="0" w:color="auto"/>
                    <w:left w:val="none" w:sz="0" w:space="0" w:color="auto"/>
                    <w:bottom w:val="none" w:sz="0" w:space="0" w:color="auto"/>
                    <w:right w:val="none" w:sz="0" w:space="0" w:color="auto"/>
                  </w:divBdr>
                  <w:divsChild>
                    <w:div w:id="9992374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562711433">
          <w:marLeft w:val="0"/>
          <w:marRight w:val="0"/>
          <w:marTop w:val="0"/>
          <w:marBottom w:val="0"/>
          <w:divBdr>
            <w:top w:val="none" w:sz="0" w:space="0" w:color="auto"/>
            <w:left w:val="none" w:sz="0" w:space="0" w:color="auto"/>
            <w:bottom w:val="none" w:sz="0" w:space="0" w:color="auto"/>
            <w:right w:val="none" w:sz="0" w:space="0" w:color="auto"/>
          </w:divBdr>
          <w:divsChild>
            <w:div w:id="1683581491">
              <w:marLeft w:val="0"/>
              <w:marRight w:val="0"/>
              <w:marTop w:val="0"/>
              <w:marBottom w:val="0"/>
              <w:divBdr>
                <w:top w:val="none" w:sz="0" w:space="0" w:color="auto"/>
                <w:left w:val="none" w:sz="0" w:space="0" w:color="auto"/>
                <w:bottom w:val="none" w:sz="0" w:space="0" w:color="auto"/>
                <w:right w:val="none" w:sz="0" w:space="0" w:color="auto"/>
              </w:divBdr>
              <w:divsChild>
                <w:div w:id="618990639">
                  <w:marLeft w:val="0"/>
                  <w:marRight w:val="0"/>
                  <w:marTop w:val="0"/>
                  <w:marBottom w:val="0"/>
                  <w:divBdr>
                    <w:top w:val="none" w:sz="0" w:space="0" w:color="auto"/>
                    <w:left w:val="none" w:sz="0" w:space="0" w:color="auto"/>
                    <w:bottom w:val="none" w:sz="0" w:space="0" w:color="auto"/>
                    <w:right w:val="none" w:sz="0" w:space="0" w:color="auto"/>
                  </w:divBdr>
                  <w:divsChild>
                    <w:div w:id="1686976537">
                      <w:marLeft w:val="0"/>
                      <w:marRight w:val="0"/>
                      <w:marTop w:val="0"/>
                      <w:marBottom w:val="0"/>
                      <w:divBdr>
                        <w:top w:val="none" w:sz="0" w:space="0" w:color="auto"/>
                        <w:left w:val="none" w:sz="0" w:space="0" w:color="auto"/>
                        <w:bottom w:val="none" w:sz="0" w:space="0" w:color="auto"/>
                        <w:right w:val="none" w:sz="0" w:space="0" w:color="auto"/>
                      </w:divBdr>
                      <w:divsChild>
                        <w:div w:id="329798257">
                          <w:marLeft w:val="0"/>
                          <w:marRight w:val="0"/>
                          <w:marTop w:val="0"/>
                          <w:marBottom w:val="0"/>
                          <w:divBdr>
                            <w:top w:val="none" w:sz="0" w:space="0" w:color="auto"/>
                            <w:left w:val="none" w:sz="0" w:space="0" w:color="auto"/>
                            <w:bottom w:val="none" w:sz="0" w:space="0" w:color="auto"/>
                            <w:right w:val="none" w:sz="0" w:space="0" w:color="auto"/>
                          </w:divBdr>
                          <w:divsChild>
                            <w:div w:id="1713647266">
                              <w:marLeft w:val="0"/>
                              <w:marRight w:val="0"/>
                              <w:marTop w:val="0"/>
                              <w:marBottom w:val="0"/>
                              <w:divBdr>
                                <w:top w:val="none" w:sz="0" w:space="0" w:color="auto"/>
                                <w:left w:val="none" w:sz="0" w:space="0" w:color="auto"/>
                                <w:bottom w:val="none" w:sz="0" w:space="0" w:color="auto"/>
                                <w:right w:val="none" w:sz="0" w:space="0" w:color="auto"/>
                              </w:divBdr>
                              <w:divsChild>
                                <w:div w:id="139947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3894506">
          <w:marLeft w:val="0"/>
          <w:marRight w:val="0"/>
          <w:marTop w:val="0"/>
          <w:marBottom w:val="0"/>
          <w:divBdr>
            <w:top w:val="none" w:sz="0" w:space="0" w:color="auto"/>
            <w:left w:val="none" w:sz="0" w:space="0" w:color="auto"/>
            <w:bottom w:val="none" w:sz="0" w:space="0" w:color="auto"/>
            <w:right w:val="none" w:sz="0" w:space="0" w:color="auto"/>
          </w:divBdr>
          <w:divsChild>
            <w:div w:id="1538468971">
              <w:marLeft w:val="0"/>
              <w:marRight w:val="0"/>
              <w:marTop w:val="0"/>
              <w:marBottom w:val="0"/>
              <w:divBdr>
                <w:top w:val="none" w:sz="0" w:space="0" w:color="auto"/>
                <w:left w:val="none" w:sz="0" w:space="0" w:color="auto"/>
                <w:bottom w:val="none" w:sz="0" w:space="0" w:color="auto"/>
                <w:right w:val="none" w:sz="0" w:space="0" w:color="auto"/>
              </w:divBdr>
              <w:divsChild>
                <w:div w:id="101057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960755">
          <w:marLeft w:val="0"/>
          <w:marRight w:val="0"/>
          <w:marTop w:val="0"/>
          <w:marBottom w:val="0"/>
          <w:divBdr>
            <w:top w:val="none" w:sz="0" w:space="0" w:color="auto"/>
            <w:left w:val="none" w:sz="0" w:space="0" w:color="auto"/>
            <w:bottom w:val="none" w:sz="0" w:space="0" w:color="auto"/>
            <w:right w:val="none" w:sz="0" w:space="0" w:color="auto"/>
          </w:divBdr>
          <w:divsChild>
            <w:div w:id="736129850">
              <w:marLeft w:val="0"/>
              <w:marRight w:val="0"/>
              <w:marTop w:val="0"/>
              <w:marBottom w:val="0"/>
              <w:divBdr>
                <w:top w:val="none" w:sz="0" w:space="0" w:color="auto"/>
                <w:left w:val="none" w:sz="0" w:space="0" w:color="auto"/>
                <w:bottom w:val="none" w:sz="0" w:space="0" w:color="auto"/>
                <w:right w:val="none" w:sz="0" w:space="0" w:color="auto"/>
              </w:divBdr>
              <w:divsChild>
                <w:div w:id="1198196727">
                  <w:marLeft w:val="0"/>
                  <w:marRight w:val="0"/>
                  <w:marTop w:val="0"/>
                  <w:marBottom w:val="0"/>
                  <w:divBdr>
                    <w:top w:val="none" w:sz="0" w:space="0" w:color="auto"/>
                    <w:left w:val="none" w:sz="0" w:space="0" w:color="auto"/>
                    <w:bottom w:val="none" w:sz="0" w:space="0" w:color="auto"/>
                    <w:right w:val="none" w:sz="0" w:space="0" w:color="auto"/>
                  </w:divBdr>
                  <w:divsChild>
                    <w:div w:id="712312998">
                      <w:marLeft w:val="0"/>
                      <w:marRight w:val="0"/>
                      <w:marTop w:val="0"/>
                      <w:marBottom w:val="0"/>
                      <w:divBdr>
                        <w:top w:val="none" w:sz="0" w:space="0" w:color="auto"/>
                        <w:left w:val="none" w:sz="0" w:space="0" w:color="auto"/>
                        <w:bottom w:val="none" w:sz="0" w:space="0" w:color="auto"/>
                        <w:right w:val="none" w:sz="0" w:space="0" w:color="auto"/>
                      </w:divBdr>
                      <w:divsChild>
                        <w:div w:id="1280644385">
                          <w:marLeft w:val="0"/>
                          <w:marRight w:val="0"/>
                          <w:marTop w:val="0"/>
                          <w:marBottom w:val="0"/>
                          <w:divBdr>
                            <w:top w:val="none" w:sz="0" w:space="0" w:color="auto"/>
                            <w:left w:val="none" w:sz="0" w:space="0" w:color="auto"/>
                            <w:bottom w:val="none" w:sz="0" w:space="0" w:color="auto"/>
                            <w:right w:val="none" w:sz="0" w:space="0" w:color="auto"/>
                          </w:divBdr>
                          <w:divsChild>
                            <w:div w:id="1160734432">
                              <w:marLeft w:val="0"/>
                              <w:marRight w:val="0"/>
                              <w:marTop w:val="0"/>
                              <w:marBottom w:val="0"/>
                              <w:divBdr>
                                <w:top w:val="none" w:sz="0" w:space="0" w:color="auto"/>
                                <w:left w:val="none" w:sz="0" w:space="0" w:color="auto"/>
                                <w:bottom w:val="none" w:sz="0" w:space="0" w:color="auto"/>
                                <w:right w:val="none" w:sz="0" w:space="0" w:color="auto"/>
                              </w:divBdr>
                              <w:divsChild>
                                <w:div w:id="185441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8306900">
          <w:marLeft w:val="0"/>
          <w:marRight w:val="0"/>
          <w:marTop w:val="0"/>
          <w:marBottom w:val="0"/>
          <w:divBdr>
            <w:top w:val="none" w:sz="0" w:space="0" w:color="auto"/>
            <w:left w:val="none" w:sz="0" w:space="0" w:color="auto"/>
            <w:bottom w:val="none" w:sz="0" w:space="0" w:color="auto"/>
            <w:right w:val="none" w:sz="0" w:space="0" w:color="auto"/>
          </w:divBdr>
          <w:divsChild>
            <w:div w:id="227154841">
              <w:marLeft w:val="0"/>
              <w:marRight w:val="0"/>
              <w:marTop w:val="0"/>
              <w:marBottom w:val="0"/>
              <w:divBdr>
                <w:top w:val="none" w:sz="0" w:space="0" w:color="auto"/>
                <w:left w:val="none" w:sz="0" w:space="0" w:color="auto"/>
                <w:bottom w:val="none" w:sz="0" w:space="0" w:color="auto"/>
                <w:right w:val="none" w:sz="0" w:space="0" w:color="auto"/>
              </w:divBdr>
              <w:divsChild>
                <w:div w:id="177808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749065">
          <w:marLeft w:val="0"/>
          <w:marRight w:val="0"/>
          <w:marTop w:val="0"/>
          <w:marBottom w:val="0"/>
          <w:divBdr>
            <w:top w:val="none" w:sz="0" w:space="0" w:color="auto"/>
            <w:left w:val="none" w:sz="0" w:space="0" w:color="auto"/>
            <w:bottom w:val="none" w:sz="0" w:space="0" w:color="auto"/>
            <w:right w:val="none" w:sz="0" w:space="0" w:color="auto"/>
          </w:divBdr>
          <w:divsChild>
            <w:div w:id="415983314">
              <w:marLeft w:val="0"/>
              <w:marRight w:val="0"/>
              <w:marTop w:val="0"/>
              <w:marBottom w:val="0"/>
              <w:divBdr>
                <w:top w:val="none" w:sz="0" w:space="0" w:color="auto"/>
                <w:left w:val="none" w:sz="0" w:space="0" w:color="auto"/>
                <w:bottom w:val="none" w:sz="0" w:space="0" w:color="auto"/>
                <w:right w:val="none" w:sz="0" w:space="0" w:color="auto"/>
              </w:divBdr>
              <w:divsChild>
                <w:div w:id="1119106556">
                  <w:marLeft w:val="0"/>
                  <w:marRight w:val="0"/>
                  <w:marTop w:val="0"/>
                  <w:marBottom w:val="0"/>
                  <w:divBdr>
                    <w:top w:val="none" w:sz="0" w:space="0" w:color="auto"/>
                    <w:left w:val="none" w:sz="0" w:space="0" w:color="auto"/>
                    <w:bottom w:val="none" w:sz="0" w:space="0" w:color="auto"/>
                    <w:right w:val="none" w:sz="0" w:space="0" w:color="auto"/>
                  </w:divBdr>
                  <w:divsChild>
                    <w:div w:id="1762410148">
                      <w:marLeft w:val="0"/>
                      <w:marRight w:val="0"/>
                      <w:marTop w:val="0"/>
                      <w:marBottom w:val="0"/>
                      <w:divBdr>
                        <w:top w:val="none" w:sz="0" w:space="0" w:color="auto"/>
                        <w:left w:val="none" w:sz="0" w:space="0" w:color="auto"/>
                        <w:bottom w:val="none" w:sz="0" w:space="0" w:color="auto"/>
                        <w:right w:val="none" w:sz="0" w:space="0" w:color="auto"/>
                      </w:divBdr>
                      <w:divsChild>
                        <w:div w:id="504248563">
                          <w:marLeft w:val="0"/>
                          <w:marRight w:val="0"/>
                          <w:marTop w:val="0"/>
                          <w:marBottom w:val="0"/>
                          <w:divBdr>
                            <w:top w:val="none" w:sz="0" w:space="0" w:color="auto"/>
                            <w:left w:val="none" w:sz="0" w:space="0" w:color="auto"/>
                            <w:bottom w:val="none" w:sz="0" w:space="0" w:color="auto"/>
                            <w:right w:val="none" w:sz="0" w:space="0" w:color="auto"/>
                          </w:divBdr>
                          <w:divsChild>
                            <w:div w:id="228347296">
                              <w:marLeft w:val="0"/>
                              <w:marRight w:val="0"/>
                              <w:marTop w:val="0"/>
                              <w:marBottom w:val="0"/>
                              <w:divBdr>
                                <w:top w:val="none" w:sz="0" w:space="0" w:color="auto"/>
                                <w:left w:val="none" w:sz="0" w:space="0" w:color="auto"/>
                                <w:bottom w:val="none" w:sz="0" w:space="0" w:color="auto"/>
                                <w:right w:val="none" w:sz="0" w:space="0" w:color="auto"/>
                              </w:divBdr>
                              <w:divsChild>
                                <w:div w:id="199421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2086400">
          <w:marLeft w:val="0"/>
          <w:marRight w:val="0"/>
          <w:marTop w:val="0"/>
          <w:marBottom w:val="0"/>
          <w:divBdr>
            <w:top w:val="none" w:sz="0" w:space="0" w:color="auto"/>
            <w:left w:val="none" w:sz="0" w:space="0" w:color="auto"/>
            <w:bottom w:val="none" w:sz="0" w:space="0" w:color="auto"/>
            <w:right w:val="none" w:sz="0" w:space="0" w:color="auto"/>
          </w:divBdr>
          <w:divsChild>
            <w:div w:id="583294678">
              <w:marLeft w:val="0"/>
              <w:marRight w:val="0"/>
              <w:marTop w:val="0"/>
              <w:marBottom w:val="0"/>
              <w:divBdr>
                <w:top w:val="none" w:sz="0" w:space="0" w:color="auto"/>
                <w:left w:val="none" w:sz="0" w:space="0" w:color="auto"/>
                <w:bottom w:val="none" w:sz="0" w:space="0" w:color="auto"/>
                <w:right w:val="none" w:sz="0" w:space="0" w:color="auto"/>
              </w:divBdr>
              <w:divsChild>
                <w:div w:id="45830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545523">
          <w:marLeft w:val="0"/>
          <w:marRight w:val="0"/>
          <w:marTop w:val="0"/>
          <w:marBottom w:val="0"/>
          <w:divBdr>
            <w:top w:val="none" w:sz="0" w:space="0" w:color="auto"/>
            <w:left w:val="none" w:sz="0" w:space="0" w:color="auto"/>
            <w:bottom w:val="none" w:sz="0" w:space="0" w:color="auto"/>
            <w:right w:val="none" w:sz="0" w:space="0" w:color="auto"/>
          </w:divBdr>
          <w:divsChild>
            <w:div w:id="324166639">
              <w:marLeft w:val="0"/>
              <w:marRight w:val="0"/>
              <w:marTop w:val="0"/>
              <w:marBottom w:val="0"/>
              <w:divBdr>
                <w:top w:val="none" w:sz="0" w:space="0" w:color="auto"/>
                <w:left w:val="none" w:sz="0" w:space="0" w:color="auto"/>
                <w:bottom w:val="none" w:sz="0" w:space="0" w:color="auto"/>
                <w:right w:val="none" w:sz="0" w:space="0" w:color="auto"/>
              </w:divBdr>
              <w:divsChild>
                <w:div w:id="1381241964">
                  <w:marLeft w:val="0"/>
                  <w:marRight w:val="0"/>
                  <w:marTop w:val="0"/>
                  <w:marBottom w:val="0"/>
                  <w:divBdr>
                    <w:top w:val="none" w:sz="0" w:space="0" w:color="auto"/>
                    <w:left w:val="none" w:sz="0" w:space="0" w:color="auto"/>
                    <w:bottom w:val="none" w:sz="0" w:space="0" w:color="auto"/>
                    <w:right w:val="none" w:sz="0" w:space="0" w:color="auto"/>
                  </w:divBdr>
                  <w:divsChild>
                    <w:div w:id="1036202113">
                      <w:marLeft w:val="0"/>
                      <w:marRight w:val="0"/>
                      <w:marTop w:val="0"/>
                      <w:marBottom w:val="0"/>
                      <w:divBdr>
                        <w:top w:val="none" w:sz="0" w:space="0" w:color="auto"/>
                        <w:left w:val="none" w:sz="0" w:space="0" w:color="auto"/>
                        <w:bottom w:val="none" w:sz="0" w:space="0" w:color="auto"/>
                        <w:right w:val="none" w:sz="0" w:space="0" w:color="auto"/>
                      </w:divBdr>
                      <w:divsChild>
                        <w:div w:id="1484589612">
                          <w:marLeft w:val="0"/>
                          <w:marRight w:val="0"/>
                          <w:marTop w:val="0"/>
                          <w:marBottom w:val="0"/>
                          <w:divBdr>
                            <w:top w:val="none" w:sz="0" w:space="0" w:color="auto"/>
                            <w:left w:val="none" w:sz="0" w:space="0" w:color="auto"/>
                            <w:bottom w:val="none" w:sz="0" w:space="0" w:color="auto"/>
                            <w:right w:val="none" w:sz="0" w:space="0" w:color="auto"/>
                          </w:divBdr>
                          <w:divsChild>
                            <w:div w:id="237129656">
                              <w:marLeft w:val="0"/>
                              <w:marRight w:val="0"/>
                              <w:marTop w:val="0"/>
                              <w:marBottom w:val="0"/>
                              <w:divBdr>
                                <w:top w:val="none" w:sz="0" w:space="0" w:color="auto"/>
                                <w:left w:val="none" w:sz="0" w:space="0" w:color="auto"/>
                                <w:bottom w:val="none" w:sz="0" w:space="0" w:color="auto"/>
                                <w:right w:val="none" w:sz="0" w:space="0" w:color="auto"/>
                              </w:divBdr>
                              <w:divsChild>
                                <w:div w:id="32717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182959">
          <w:marLeft w:val="0"/>
          <w:marRight w:val="0"/>
          <w:marTop w:val="0"/>
          <w:marBottom w:val="0"/>
          <w:divBdr>
            <w:top w:val="none" w:sz="0" w:space="0" w:color="auto"/>
            <w:left w:val="none" w:sz="0" w:space="0" w:color="auto"/>
            <w:bottom w:val="none" w:sz="0" w:space="0" w:color="auto"/>
            <w:right w:val="none" w:sz="0" w:space="0" w:color="auto"/>
          </w:divBdr>
          <w:divsChild>
            <w:div w:id="440223625">
              <w:marLeft w:val="0"/>
              <w:marRight w:val="0"/>
              <w:marTop w:val="0"/>
              <w:marBottom w:val="0"/>
              <w:divBdr>
                <w:top w:val="none" w:sz="0" w:space="0" w:color="auto"/>
                <w:left w:val="none" w:sz="0" w:space="0" w:color="auto"/>
                <w:bottom w:val="none" w:sz="0" w:space="0" w:color="auto"/>
                <w:right w:val="none" w:sz="0" w:space="0" w:color="auto"/>
              </w:divBdr>
              <w:divsChild>
                <w:div w:id="139246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110180">
          <w:marLeft w:val="0"/>
          <w:marRight w:val="0"/>
          <w:marTop w:val="0"/>
          <w:marBottom w:val="0"/>
          <w:divBdr>
            <w:top w:val="none" w:sz="0" w:space="0" w:color="auto"/>
            <w:left w:val="none" w:sz="0" w:space="0" w:color="auto"/>
            <w:bottom w:val="none" w:sz="0" w:space="0" w:color="auto"/>
            <w:right w:val="none" w:sz="0" w:space="0" w:color="auto"/>
          </w:divBdr>
          <w:divsChild>
            <w:div w:id="1591162177">
              <w:marLeft w:val="0"/>
              <w:marRight w:val="0"/>
              <w:marTop w:val="0"/>
              <w:marBottom w:val="0"/>
              <w:divBdr>
                <w:top w:val="none" w:sz="0" w:space="0" w:color="auto"/>
                <w:left w:val="none" w:sz="0" w:space="0" w:color="auto"/>
                <w:bottom w:val="none" w:sz="0" w:space="0" w:color="auto"/>
                <w:right w:val="none" w:sz="0" w:space="0" w:color="auto"/>
              </w:divBdr>
              <w:divsChild>
                <w:div w:id="77333153">
                  <w:marLeft w:val="0"/>
                  <w:marRight w:val="0"/>
                  <w:marTop w:val="0"/>
                  <w:marBottom w:val="0"/>
                  <w:divBdr>
                    <w:top w:val="none" w:sz="0" w:space="0" w:color="auto"/>
                    <w:left w:val="none" w:sz="0" w:space="0" w:color="auto"/>
                    <w:bottom w:val="none" w:sz="0" w:space="0" w:color="auto"/>
                    <w:right w:val="none" w:sz="0" w:space="0" w:color="auto"/>
                  </w:divBdr>
                  <w:divsChild>
                    <w:div w:id="753626003">
                      <w:marLeft w:val="0"/>
                      <w:marRight w:val="0"/>
                      <w:marTop w:val="0"/>
                      <w:marBottom w:val="0"/>
                      <w:divBdr>
                        <w:top w:val="none" w:sz="0" w:space="0" w:color="auto"/>
                        <w:left w:val="none" w:sz="0" w:space="0" w:color="auto"/>
                        <w:bottom w:val="none" w:sz="0" w:space="0" w:color="auto"/>
                        <w:right w:val="none" w:sz="0" w:space="0" w:color="auto"/>
                      </w:divBdr>
                      <w:divsChild>
                        <w:div w:id="941954861">
                          <w:marLeft w:val="0"/>
                          <w:marRight w:val="0"/>
                          <w:marTop w:val="0"/>
                          <w:marBottom w:val="0"/>
                          <w:divBdr>
                            <w:top w:val="none" w:sz="0" w:space="0" w:color="auto"/>
                            <w:left w:val="none" w:sz="0" w:space="0" w:color="auto"/>
                            <w:bottom w:val="none" w:sz="0" w:space="0" w:color="auto"/>
                            <w:right w:val="none" w:sz="0" w:space="0" w:color="auto"/>
                          </w:divBdr>
                          <w:divsChild>
                            <w:div w:id="67650533">
                              <w:marLeft w:val="0"/>
                              <w:marRight w:val="0"/>
                              <w:marTop w:val="0"/>
                              <w:marBottom w:val="0"/>
                              <w:divBdr>
                                <w:top w:val="none" w:sz="0" w:space="0" w:color="auto"/>
                                <w:left w:val="none" w:sz="0" w:space="0" w:color="auto"/>
                                <w:bottom w:val="none" w:sz="0" w:space="0" w:color="auto"/>
                                <w:right w:val="none" w:sz="0" w:space="0" w:color="auto"/>
                              </w:divBdr>
                              <w:divsChild>
                                <w:div w:id="104163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8593030">
          <w:marLeft w:val="0"/>
          <w:marRight w:val="0"/>
          <w:marTop w:val="0"/>
          <w:marBottom w:val="0"/>
          <w:divBdr>
            <w:top w:val="none" w:sz="0" w:space="0" w:color="auto"/>
            <w:left w:val="none" w:sz="0" w:space="0" w:color="auto"/>
            <w:bottom w:val="none" w:sz="0" w:space="0" w:color="auto"/>
            <w:right w:val="none" w:sz="0" w:space="0" w:color="auto"/>
          </w:divBdr>
          <w:divsChild>
            <w:div w:id="1161510034">
              <w:marLeft w:val="0"/>
              <w:marRight w:val="0"/>
              <w:marTop w:val="0"/>
              <w:marBottom w:val="0"/>
              <w:divBdr>
                <w:top w:val="none" w:sz="0" w:space="0" w:color="auto"/>
                <w:left w:val="none" w:sz="0" w:space="0" w:color="auto"/>
                <w:bottom w:val="none" w:sz="0" w:space="0" w:color="auto"/>
                <w:right w:val="none" w:sz="0" w:space="0" w:color="auto"/>
              </w:divBdr>
              <w:divsChild>
                <w:div w:id="1619870510">
                  <w:marLeft w:val="0"/>
                  <w:marRight w:val="0"/>
                  <w:marTop w:val="0"/>
                  <w:marBottom w:val="0"/>
                  <w:divBdr>
                    <w:top w:val="none" w:sz="0" w:space="0" w:color="auto"/>
                    <w:left w:val="none" w:sz="0" w:space="0" w:color="auto"/>
                    <w:bottom w:val="none" w:sz="0" w:space="0" w:color="auto"/>
                    <w:right w:val="none" w:sz="0" w:space="0" w:color="auto"/>
                  </w:divBdr>
                  <w:divsChild>
                    <w:div w:id="1905749589">
                      <w:marLeft w:val="0"/>
                      <w:marRight w:val="0"/>
                      <w:marTop w:val="0"/>
                      <w:marBottom w:val="0"/>
                      <w:divBdr>
                        <w:top w:val="none" w:sz="0" w:space="0" w:color="auto"/>
                        <w:left w:val="none" w:sz="0" w:space="0" w:color="auto"/>
                        <w:bottom w:val="none" w:sz="0" w:space="0" w:color="auto"/>
                        <w:right w:val="none" w:sz="0" w:space="0" w:color="auto"/>
                      </w:divBdr>
                      <w:divsChild>
                        <w:div w:id="1969629387">
                          <w:marLeft w:val="0"/>
                          <w:marRight w:val="0"/>
                          <w:marTop w:val="0"/>
                          <w:marBottom w:val="0"/>
                          <w:divBdr>
                            <w:top w:val="none" w:sz="0" w:space="0" w:color="auto"/>
                            <w:left w:val="none" w:sz="0" w:space="0" w:color="auto"/>
                            <w:bottom w:val="none" w:sz="0" w:space="0" w:color="auto"/>
                            <w:right w:val="none" w:sz="0" w:space="0" w:color="auto"/>
                          </w:divBdr>
                          <w:divsChild>
                            <w:div w:id="865020380">
                              <w:marLeft w:val="0"/>
                              <w:marRight w:val="0"/>
                              <w:marTop w:val="0"/>
                              <w:marBottom w:val="0"/>
                              <w:divBdr>
                                <w:top w:val="none" w:sz="0" w:space="0" w:color="auto"/>
                                <w:left w:val="none" w:sz="0" w:space="0" w:color="auto"/>
                                <w:bottom w:val="none" w:sz="0" w:space="0" w:color="auto"/>
                                <w:right w:val="none" w:sz="0" w:space="0" w:color="auto"/>
                              </w:divBdr>
                            </w:div>
                          </w:divsChild>
                        </w:div>
                        <w:div w:id="2090038506">
                          <w:marLeft w:val="0"/>
                          <w:marRight w:val="0"/>
                          <w:marTop w:val="0"/>
                          <w:marBottom w:val="0"/>
                          <w:divBdr>
                            <w:top w:val="none" w:sz="0" w:space="0" w:color="auto"/>
                            <w:left w:val="none" w:sz="0" w:space="0" w:color="auto"/>
                            <w:bottom w:val="none" w:sz="0" w:space="0" w:color="auto"/>
                            <w:right w:val="none" w:sz="0" w:space="0" w:color="auto"/>
                          </w:divBdr>
                          <w:divsChild>
                            <w:div w:id="40811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6434702">
          <w:marLeft w:val="0"/>
          <w:marRight w:val="0"/>
          <w:marTop w:val="0"/>
          <w:marBottom w:val="0"/>
          <w:divBdr>
            <w:top w:val="none" w:sz="0" w:space="0" w:color="auto"/>
            <w:left w:val="none" w:sz="0" w:space="0" w:color="auto"/>
            <w:bottom w:val="none" w:sz="0" w:space="0" w:color="auto"/>
            <w:right w:val="none" w:sz="0" w:space="0" w:color="auto"/>
          </w:divBdr>
          <w:divsChild>
            <w:div w:id="855509194">
              <w:marLeft w:val="0"/>
              <w:marRight w:val="0"/>
              <w:marTop w:val="0"/>
              <w:marBottom w:val="0"/>
              <w:divBdr>
                <w:top w:val="none" w:sz="0" w:space="0" w:color="auto"/>
                <w:left w:val="none" w:sz="0" w:space="0" w:color="auto"/>
                <w:bottom w:val="none" w:sz="0" w:space="0" w:color="auto"/>
                <w:right w:val="none" w:sz="0" w:space="0" w:color="auto"/>
              </w:divBdr>
            </w:div>
          </w:divsChild>
        </w:div>
        <w:div w:id="257829094">
          <w:marLeft w:val="0"/>
          <w:marRight w:val="0"/>
          <w:marTop w:val="0"/>
          <w:marBottom w:val="0"/>
          <w:divBdr>
            <w:top w:val="none" w:sz="0" w:space="0" w:color="auto"/>
            <w:left w:val="none" w:sz="0" w:space="0" w:color="auto"/>
            <w:bottom w:val="none" w:sz="0" w:space="0" w:color="auto"/>
            <w:right w:val="none" w:sz="0" w:space="0" w:color="auto"/>
          </w:divBdr>
          <w:divsChild>
            <w:div w:id="1714692692">
              <w:marLeft w:val="0"/>
              <w:marRight w:val="0"/>
              <w:marTop w:val="0"/>
              <w:marBottom w:val="0"/>
              <w:divBdr>
                <w:top w:val="none" w:sz="0" w:space="0" w:color="auto"/>
                <w:left w:val="none" w:sz="0" w:space="0" w:color="auto"/>
                <w:bottom w:val="none" w:sz="0" w:space="0" w:color="auto"/>
                <w:right w:val="none" w:sz="0" w:space="0" w:color="auto"/>
              </w:divBdr>
              <w:divsChild>
                <w:div w:id="2060468675">
                  <w:marLeft w:val="0"/>
                  <w:marRight w:val="0"/>
                  <w:marTop w:val="0"/>
                  <w:marBottom w:val="0"/>
                  <w:divBdr>
                    <w:top w:val="none" w:sz="0" w:space="0" w:color="auto"/>
                    <w:left w:val="none" w:sz="0" w:space="0" w:color="auto"/>
                    <w:bottom w:val="none" w:sz="0" w:space="0" w:color="auto"/>
                    <w:right w:val="none" w:sz="0" w:space="0" w:color="auto"/>
                  </w:divBdr>
                  <w:divsChild>
                    <w:div w:id="1177115971">
                      <w:marLeft w:val="0"/>
                      <w:marRight w:val="0"/>
                      <w:marTop w:val="0"/>
                      <w:marBottom w:val="0"/>
                      <w:divBdr>
                        <w:top w:val="none" w:sz="0" w:space="0" w:color="auto"/>
                        <w:left w:val="none" w:sz="0" w:space="0" w:color="auto"/>
                        <w:bottom w:val="none" w:sz="0" w:space="0" w:color="auto"/>
                        <w:right w:val="none" w:sz="0" w:space="0" w:color="auto"/>
                      </w:divBdr>
                      <w:divsChild>
                        <w:div w:id="526677939">
                          <w:marLeft w:val="0"/>
                          <w:marRight w:val="0"/>
                          <w:marTop w:val="0"/>
                          <w:marBottom w:val="0"/>
                          <w:divBdr>
                            <w:top w:val="none" w:sz="0" w:space="0" w:color="auto"/>
                            <w:left w:val="none" w:sz="0" w:space="0" w:color="auto"/>
                            <w:bottom w:val="none" w:sz="0" w:space="0" w:color="auto"/>
                            <w:right w:val="none" w:sz="0" w:space="0" w:color="auto"/>
                          </w:divBdr>
                          <w:divsChild>
                            <w:div w:id="885337746">
                              <w:marLeft w:val="0"/>
                              <w:marRight w:val="0"/>
                              <w:marTop w:val="0"/>
                              <w:marBottom w:val="0"/>
                              <w:divBdr>
                                <w:top w:val="none" w:sz="0" w:space="0" w:color="auto"/>
                                <w:left w:val="none" w:sz="0" w:space="0" w:color="auto"/>
                                <w:bottom w:val="none" w:sz="0" w:space="0" w:color="auto"/>
                                <w:right w:val="none" w:sz="0" w:space="0" w:color="auto"/>
                              </w:divBdr>
                              <w:divsChild>
                                <w:div w:id="115619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8730420">
          <w:marLeft w:val="0"/>
          <w:marRight w:val="0"/>
          <w:marTop w:val="0"/>
          <w:marBottom w:val="0"/>
          <w:divBdr>
            <w:top w:val="none" w:sz="0" w:space="0" w:color="auto"/>
            <w:left w:val="none" w:sz="0" w:space="0" w:color="auto"/>
            <w:bottom w:val="none" w:sz="0" w:space="0" w:color="auto"/>
            <w:right w:val="none" w:sz="0" w:space="0" w:color="auto"/>
          </w:divBdr>
          <w:divsChild>
            <w:div w:id="489519914">
              <w:marLeft w:val="0"/>
              <w:marRight w:val="0"/>
              <w:marTop w:val="0"/>
              <w:marBottom w:val="0"/>
              <w:divBdr>
                <w:top w:val="none" w:sz="0" w:space="0" w:color="auto"/>
                <w:left w:val="none" w:sz="0" w:space="0" w:color="auto"/>
                <w:bottom w:val="none" w:sz="0" w:space="0" w:color="auto"/>
                <w:right w:val="none" w:sz="0" w:space="0" w:color="auto"/>
              </w:divBdr>
              <w:divsChild>
                <w:div w:id="1921137539">
                  <w:marLeft w:val="0"/>
                  <w:marRight w:val="0"/>
                  <w:marTop w:val="0"/>
                  <w:marBottom w:val="0"/>
                  <w:divBdr>
                    <w:top w:val="none" w:sz="0" w:space="0" w:color="auto"/>
                    <w:left w:val="none" w:sz="0" w:space="0" w:color="auto"/>
                    <w:bottom w:val="none" w:sz="0" w:space="0" w:color="auto"/>
                    <w:right w:val="none" w:sz="0" w:space="0" w:color="auto"/>
                  </w:divBdr>
                  <w:divsChild>
                    <w:div w:id="806240142">
                      <w:marLeft w:val="0"/>
                      <w:marRight w:val="0"/>
                      <w:marTop w:val="0"/>
                      <w:marBottom w:val="0"/>
                      <w:divBdr>
                        <w:top w:val="none" w:sz="0" w:space="0" w:color="auto"/>
                        <w:left w:val="none" w:sz="0" w:space="0" w:color="auto"/>
                        <w:bottom w:val="none" w:sz="0" w:space="0" w:color="auto"/>
                        <w:right w:val="none" w:sz="0" w:space="0" w:color="auto"/>
                      </w:divBdr>
                      <w:divsChild>
                        <w:div w:id="1935626402">
                          <w:marLeft w:val="0"/>
                          <w:marRight w:val="0"/>
                          <w:marTop w:val="0"/>
                          <w:marBottom w:val="0"/>
                          <w:divBdr>
                            <w:top w:val="none" w:sz="0" w:space="0" w:color="auto"/>
                            <w:left w:val="none" w:sz="0" w:space="0" w:color="auto"/>
                            <w:bottom w:val="none" w:sz="0" w:space="0" w:color="auto"/>
                            <w:right w:val="none" w:sz="0" w:space="0" w:color="auto"/>
                          </w:divBdr>
                          <w:divsChild>
                            <w:div w:id="451483743">
                              <w:marLeft w:val="0"/>
                              <w:marRight w:val="0"/>
                              <w:marTop w:val="0"/>
                              <w:marBottom w:val="0"/>
                              <w:divBdr>
                                <w:top w:val="none" w:sz="0" w:space="0" w:color="auto"/>
                                <w:left w:val="none" w:sz="0" w:space="0" w:color="auto"/>
                                <w:bottom w:val="none" w:sz="0" w:space="0" w:color="auto"/>
                                <w:right w:val="none" w:sz="0" w:space="0" w:color="auto"/>
                              </w:divBdr>
                            </w:div>
                          </w:divsChild>
                        </w:div>
                        <w:div w:id="664674414">
                          <w:marLeft w:val="0"/>
                          <w:marRight w:val="0"/>
                          <w:marTop w:val="0"/>
                          <w:marBottom w:val="0"/>
                          <w:divBdr>
                            <w:top w:val="none" w:sz="0" w:space="0" w:color="auto"/>
                            <w:left w:val="none" w:sz="0" w:space="0" w:color="auto"/>
                            <w:bottom w:val="none" w:sz="0" w:space="0" w:color="auto"/>
                            <w:right w:val="none" w:sz="0" w:space="0" w:color="auto"/>
                          </w:divBdr>
                          <w:divsChild>
                            <w:div w:id="54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319646">
                      <w:marLeft w:val="0"/>
                      <w:marRight w:val="0"/>
                      <w:marTop w:val="0"/>
                      <w:marBottom w:val="0"/>
                      <w:divBdr>
                        <w:top w:val="none" w:sz="0" w:space="0" w:color="auto"/>
                        <w:left w:val="none" w:sz="0" w:space="0" w:color="auto"/>
                        <w:bottom w:val="none" w:sz="0" w:space="0" w:color="auto"/>
                        <w:right w:val="none" w:sz="0" w:space="0" w:color="auto"/>
                      </w:divBdr>
                      <w:divsChild>
                        <w:div w:id="197743221">
                          <w:marLeft w:val="0"/>
                          <w:marRight w:val="0"/>
                          <w:marTop w:val="0"/>
                          <w:marBottom w:val="0"/>
                          <w:divBdr>
                            <w:top w:val="none" w:sz="0" w:space="0" w:color="auto"/>
                            <w:left w:val="none" w:sz="0" w:space="0" w:color="auto"/>
                            <w:bottom w:val="none" w:sz="0" w:space="0" w:color="auto"/>
                            <w:right w:val="none" w:sz="0" w:space="0" w:color="auto"/>
                          </w:divBdr>
                          <w:divsChild>
                            <w:div w:id="1249998993">
                              <w:marLeft w:val="0"/>
                              <w:marRight w:val="0"/>
                              <w:marTop w:val="0"/>
                              <w:marBottom w:val="0"/>
                              <w:divBdr>
                                <w:top w:val="none" w:sz="0" w:space="0" w:color="auto"/>
                                <w:left w:val="none" w:sz="0" w:space="0" w:color="auto"/>
                                <w:bottom w:val="none" w:sz="0" w:space="0" w:color="auto"/>
                                <w:right w:val="none" w:sz="0" w:space="0" w:color="auto"/>
                              </w:divBdr>
                            </w:div>
                          </w:divsChild>
                        </w:div>
                        <w:div w:id="481511397">
                          <w:marLeft w:val="0"/>
                          <w:marRight w:val="0"/>
                          <w:marTop w:val="0"/>
                          <w:marBottom w:val="0"/>
                          <w:divBdr>
                            <w:top w:val="none" w:sz="0" w:space="0" w:color="auto"/>
                            <w:left w:val="none" w:sz="0" w:space="0" w:color="auto"/>
                            <w:bottom w:val="none" w:sz="0" w:space="0" w:color="auto"/>
                            <w:right w:val="none" w:sz="0" w:space="0" w:color="auto"/>
                          </w:divBdr>
                          <w:divsChild>
                            <w:div w:id="195829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494659">
                      <w:marLeft w:val="0"/>
                      <w:marRight w:val="0"/>
                      <w:marTop w:val="0"/>
                      <w:marBottom w:val="0"/>
                      <w:divBdr>
                        <w:top w:val="none" w:sz="0" w:space="0" w:color="auto"/>
                        <w:left w:val="none" w:sz="0" w:space="0" w:color="auto"/>
                        <w:bottom w:val="none" w:sz="0" w:space="0" w:color="auto"/>
                        <w:right w:val="none" w:sz="0" w:space="0" w:color="auto"/>
                      </w:divBdr>
                      <w:divsChild>
                        <w:div w:id="982932576">
                          <w:marLeft w:val="0"/>
                          <w:marRight w:val="0"/>
                          <w:marTop w:val="0"/>
                          <w:marBottom w:val="0"/>
                          <w:divBdr>
                            <w:top w:val="none" w:sz="0" w:space="0" w:color="auto"/>
                            <w:left w:val="none" w:sz="0" w:space="0" w:color="auto"/>
                            <w:bottom w:val="none" w:sz="0" w:space="0" w:color="auto"/>
                            <w:right w:val="none" w:sz="0" w:space="0" w:color="auto"/>
                          </w:divBdr>
                          <w:divsChild>
                            <w:div w:id="248858100">
                              <w:marLeft w:val="0"/>
                              <w:marRight w:val="0"/>
                              <w:marTop w:val="0"/>
                              <w:marBottom w:val="0"/>
                              <w:divBdr>
                                <w:top w:val="none" w:sz="0" w:space="0" w:color="auto"/>
                                <w:left w:val="none" w:sz="0" w:space="0" w:color="auto"/>
                                <w:bottom w:val="none" w:sz="0" w:space="0" w:color="auto"/>
                                <w:right w:val="none" w:sz="0" w:space="0" w:color="auto"/>
                              </w:divBdr>
                            </w:div>
                          </w:divsChild>
                        </w:div>
                        <w:div w:id="1173031307">
                          <w:marLeft w:val="0"/>
                          <w:marRight w:val="0"/>
                          <w:marTop w:val="0"/>
                          <w:marBottom w:val="0"/>
                          <w:divBdr>
                            <w:top w:val="none" w:sz="0" w:space="0" w:color="auto"/>
                            <w:left w:val="none" w:sz="0" w:space="0" w:color="auto"/>
                            <w:bottom w:val="none" w:sz="0" w:space="0" w:color="auto"/>
                            <w:right w:val="none" w:sz="0" w:space="0" w:color="auto"/>
                          </w:divBdr>
                          <w:divsChild>
                            <w:div w:id="188805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7097723">
          <w:marLeft w:val="0"/>
          <w:marRight w:val="0"/>
          <w:marTop w:val="0"/>
          <w:marBottom w:val="0"/>
          <w:divBdr>
            <w:top w:val="none" w:sz="0" w:space="0" w:color="auto"/>
            <w:left w:val="none" w:sz="0" w:space="0" w:color="auto"/>
            <w:bottom w:val="none" w:sz="0" w:space="0" w:color="auto"/>
            <w:right w:val="none" w:sz="0" w:space="0" w:color="auto"/>
          </w:divBdr>
          <w:divsChild>
            <w:div w:id="1992102289">
              <w:marLeft w:val="0"/>
              <w:marRight w:val="0"/>
              <w:marTop w:val="0"/>
              <w:marBottom w:val="0"/>
              <w:divBdr>
                <w:top w:val="none" w:sz="0" w:space="0" w:color="auto"/>
                <w:left w:val="none" w:sz="0" w:space="0" w:color="auto"/>
                <w:bottom w:val="none" w:sz="0" w:space="0" w:color="auto"/>
                <w:right w:val="none" w:sz="0" w:space="0" w:color="auto"/>
              </w:divBdr>
            </w:div>
          </w:divsChild>
        </w:div>
        <w:div w:id="1886599498">
          <w:marLeft w:val="0"/>
          <w:marRight w:val="0"/>
          <w:marTop w:val="0"/>
          <w:marBottom w:val="0"/>
          <w:divBdr>
            <w:top w:val="none" w:sz="0" w:space="0" w:color="auto"/>
            <w:left w:val="none" w:sz="0" w:space="0" w:color="auto"/>
            <w:bottom w:val="none" w:sz="0" w:space="0" w:color="auto"/>
            <w:right w:val="none" w:sz="0" w:space="0" w:color="auto"/>
          </w:divBdr>
          <w:divsChild>
            <w:div w:id="563376636">
              <w:marLeft w:val="0"/>
              <w:marRight w:val="0"/>
              <w:marTop w:val="0"/>
              <w:marBottom w:val="0"/>
              <w:divBdr>
                <w:top w:val="none" w:sz="0" w:space="0" w:color="auto"/>
                <w:left w:val="none" w:sz="0" w:space="0" w:color="auto"/>
                <w:bottom w:val="none" w:sz="0" w:space="0" w:color="auto"/>
                <w:right w:val="none" w:sz="0" w:space="0" w:color="auto"/>
              </w:divBdr>
              <w:divsChild>
                <w:div w:id="1079905468">
                  <w:marLeft w:val="0"/>
                  <w:marRight w:val="0"/>
                  <w:marTop w:val="0"/>
                  <w:marBottom w:val="0"/>
                  <w:divBdr>
                    <w:top w:val="none" w:sz="0" w:space="0" w:color="auto"/>
                    <w:left w:val="none" w:sz="0" w:space="0" w:color="auto"/>
                    <w:bottom w:val="none" w:sz="0" w:space="0" w:color="auto"/>
                    <w:right w:val="none" w:sz="0" w:space="0" w:color="auto"/>
                  </w:divBdr>
                  <w:divsChild>
                    <w:div w:id="851451311">
                      <w:marLeft w:val="0"/>
                      <w:marRight w:val="0"/>
                      <w:marTop w:val="0"/>
                      <w:marBottom w:val="0"/>
                      <w:divBdr>
                        <w:top w:val="none" w:sz="0" w:space="0" w:color="auto"/>
                        <w:left w:val="none" w:sz="0" w:space="0" w:color="auto"/>
                        <w:bottom w:val="none" w:sz="0" w:space="0" w:color="auto"/>
                        <w:right w:val="none" w:sz="0" w:space="0" w:color="auto"/>
                      </w:divBdr>
                      <w:divsChild>
                        <w:div w:id="490486002">
                          <w:marLeft w:val="0"/>
                          <w:marRight w:val="0"/>
                          <w:marTop w:val="0"/>
                          <w:marBottom w:val="0"/>
                          <w:divBdr>
                            <w:top w:val="none" w:sz="0" w:space="0" w:color="auto"/>
                            <w:left w:val="none" w:sz="0" w:space="0" w:color="auto"/>
                            <w:bottom w:val="none" w:sz="0" w:space="0" w:color="auto"/>
                            <w:right w:val="none" w:sz="0" w:space="0" w:color="auto"/>
                          </w:divBdr>
                          <w:divsChild>
                            <w:div w:id="493841576">
                              <w:marLeft w:val="0"/>
                              <w:marRight w:val="0"/>
                              <w:marTop w:val="0"/>
                              <w:marBottom w:val="0"/>
                              <w:divBdr>
                                <w:top w:val="none" w:sz="0" w:space="0" w:color="auto"/>
                                <w:left w:val="none" w:sz="0" w:space="0" w:color="auto"/>
                                <w:bottom w:val="none" w:sz="0" w:space="0" w:color="auto"/>
                                <w:right w:val="none" w:sz="0" w:space="0" w:color="auto"/>
                              </w:divBdr>
                              <w:divsChild>
                                <w:div w:id="6685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9389246">
          <w:marLeft w:val="0"/>
          <w:marRight w:val="0"/>
          <w:marTop w:val="0"/>
          <w:marBottom w:val="0"/>
          <w:divBdr>
            <w:top w:val="none" w:sz="0" w:space="0" w:color="auto"/>
            <w:left w:val="none" w:sz="0" w:space="0" w:color="auto"/>
            <w:bottom w:val="none" w:sz="0" w:space="0" w:color="auto"/>
            <w:right w:val="none" w:sz="0" w:space="0" w:color="auto"/>
          </w:divBdr>
          <w:divsChild>
            <w:div w:id="1471677474">
              <w:marLeft w:val="0"/>
              <w:marRight w:val="0"/>
              <w:marTop w:val="0"/>
              <w:marBottom w:val="0"/>
              <w:divBdr>
                <w:top w:val="none" w:sz="0" w:space="0" w:color="auto"/>
                <w:left w:val="none" w:sz="0" w:space="0" w:color="auto"/>
                <w:bottom w:val="none" w:sz="0" w:space="0" w:color="auto"/>
                <w:right w:val="none" w:sz="0" w:space="0" w:color="auto"/>
              </w:divBdr>
              <w:divsChild>
                <w:div w:id="321204576">
                  <w:marLeft w:val="0"/>
                  <w:marRight w:val="0"/>
                  <w:marTop w:val="0"/>
                  <w:marBottom w:val="0"/>
                  <w:divBdr>
                    <w:top w:val="none" w:sz="0" w:space="0" w:color="auto"/>
                    <w:left w:val="none" w:sz="0" w:space="0" w:color="auto"/>
                    <w:bottom w:val="none" w:sz="0" w:space="0" w:color="auto"/>
                    <w:right w:val="none" w:sz="0" w:space="0" w:color="auto"/>
                  </w:divBdr>
                  <w:divsChild>
                    <w:div w:id="11474342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565531840">
          <w:marLeft w:val="0"/>
          <w:marRight w:val="0"/>
          <w:marTop w:val="0"/>
          <w:marBottom w:val="0"/>
          <w:divBdr>
            <w:top w:val="none" w:sz="0" w:space="0" w:color="auto"/>
            <w:left w:val="none" w:sz="0" w:space="0" w:color="auto"/>
            <w:bottom w:val="none" w:sz="0" w:space="0" w:color="auto"/>
            <w:right w:val="none" w:sz="0" w:space="0" w:color="auto"/>
          </w:divBdr>
          <w:divsChild>
            <w:div w:id="694772702">
              <w:marLeft w:val="0"/>
              <w:marRight w:val="0"/>
              <w:marTop w:val="0"/>
              <w:marBottom w:val="0"/>
              <w:divBdr>
                <w:top w:val="none" w:sz="0" w:space="0" w:color="auto"/>
                <w:left w:val="none" w:sz="0" w:space="0" w:color="auto"/>
                <w:bottom w:val="none" w:sz="0" w:space="0" w:color="auto"/>
                <w:right w:val="none" w:sz="0" w:space="0" w:color="auto"/>
              </w:divBdr>
              <w:divsChild>
                <w:div w:id="242375537">
                  <w:marLeft w:val="0"/>
                  <w:marRight w:val="0"/>
                  <w:marTop w:val="0"/>
                  <w:marBottom w:val="0"/>
                  <w:divBdr>
                    <w:top w:val="none" w:sz="0" w:space="0" w:color="auto"/>
                    <w:left w:val="none" w:sz="0" w:space="0" w:color="auto"/>
                    <w:bottom w:val="none" w:sz="0" w:space="0" w:color="auto"/>
                    <w:right w:val="none" w:sz="0" w:space="0" w:color="auto"/>
                  </w:divBdr>
                  <w:divsChild>
                    <w:div w:id="748768115">
                      <w:marLeft w:val="0"/>
                      <w:marRight w:val="0"/>
                      <w:marTop w:val="0"/>
                      <w:marBottom w:val="0"/>
                      <w:divBdr>
                        <w:top w:val="none" w:sz="0" w:space="0" w:color="auto"/>
                        <w:left w:val="none" w:sz="0" w:space="0" w:color="auto"/>
                        <w:bottom w:val="none" w:sz="0" w:space="0" w:color="auto"/>
                        <w:right w:val="none" w:sz="0" w:space="0" w:color="auto"/>
                      </w:divBdr>
                      <w:divsChild>
                        <w:div w:id="1107627477">
                          <w:marLeft w:val="0"/>
                          <w:marRight w:val="0"/>
                          <w:marTop w:val="0"/>
                          <w:marBottom w:val="0"/>
                          <w:divBdr>
                            <w:top w:val="none" w:sz="0" w:space="0" w:color="auto"/>
                            <w:left w:val="none" w:sz="0" w:space="0" w:color="auto"/>
                            <w:bottom w:val="none" w:sz="0" w:space="0" w:color="auto"/>
                            <w:right w:val="none" w:sz="0" w:space="0" w:color="auto"/>
                          </w:divBdr>
                          <w:divsChild>
                            <w:div w:id="1501501303">
                              <w:marLeft w:val="0"/>
                              <w:marRight w:val="0"/>
                              <w:marTop w:val="0"/>
                              <w:marBottom w:val="0"/>
                              <w:divBdr>
                                <w:top w:val="none" w:sz="0" w:space="0" w:color="auto"/>
                                <w:left w:val="none" w:sz="0" w:space="0" w:color="auto"/>
                                <w:bottom w:val="none" w:sz="0" w:space="0" w:color="auto"/>
                                <w:right w:val="none" w:sz="0" w:space="0" w:color="auto"/>
                              </w:divBdr>
                              <w:divsChild>
                                <w:div w:id="160021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0669669">
          <w:marLeft w:val="0"/>
          <w:marRight w:val="0"/>
          <w:marTop w:val="0"/>
          <w:marBottom w:val="0"/>
          <w:divBdr>
            <w:top w:val="none" w:sz="0" w:space="0" w:color="auto"/>
            <w:left w:val="none" w:sz="0" w:space="0" w:color="auto"/>
            <w:bottom w:val="none" w:sz="0" w:space="0" w:color="auto"/>
            <w:right w:val="none" w:sz="0" w:space="0" w:color="auto"/>
          </w:divBdr>
          <w:divsChild>
            <w:div w:id="909996360">
              <w:marLeft w:val="0"/>
              <w:marRight w:val="0"/>
              <w:marTop w:val="0"/>
              <w:marBottom w:val="0"/>
              <w:divBdr>
                <w:top w:val="none" w:sz="0" w:space="0" w:color="auto"/>
                <w:left w:val="none" w:sz="0" w:space="0" w:color="auto"/>
                <w:bottom w:val="none" w:sz="0" w:space="0" w:color="auto"/>
                <w:right w:val="none" w:sz="0" w:space="0" w:color="auto"/>
              </w:divBdr>
              <w:divsChild>
                <w:div w:id="109432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697542">
      <w:bodyDiv w:val="1"/>
      <w:marLeft w:val="0"/>
      <w:marRight w:val="0"/>
      <w:marTop w:val="0"/>
      <w:marBottom w:val="0"/>
      <w:divBdr>
        <w:top w:val="none" w:sz="0" w:space="0" w:color="auto"/>
        <w:left w:val="none" w:sz="0" w:space="0" w:color="auto"/>
        <w:bottom w:val="none" w:sz="0" w:space="0" w:color="auto"/>
        <w:right w:val="none" w:sz="0" w:space="0" w:color="auto"/>
      </w:divBdr>
    </w:div>
    <w:div w:id="1079181369">
      <w:bodyDiv w:val="1"/>
      <w:marLeft w:val="0"/>
      <w:marRight w:val="0"/>
      <w:marTop w:val="0"/>
      <w:marBottom w:val="0"/>
      <w:divBdr>
        <w:top w:val="none" w:sz="0" w:space="0" w:color="auto"/>
        <w:left w:val="none" w:sz="0" w:space="0" w:color="auto"/>
        <w:bottom w:val="none" w:sz="0" w:space="0" w:color="auto"/>
        <w:right w:val="none" w:sz="0" w:space="0" w:color="auto"/>
      </w:divBdr>
    </w:div>
    <w:div w:id="1086850643">
      <w:bodyDiv w:val="1"/>
      <w:marLeft w:val="0"/>
      <w:marRight w:val="0"/>
      <w:marTop w:val="0"/>
      <w:marBottom w:val="0"/>
      <w:divBdr>
        <w:top w:val="none" w:sz="0" w:space="0" w:color="auto"/>
        <w:left w:val="none" w:sz="0" w:space="0" w:color="auto"/>
        <w:bottom w:val="none" w:sz="0" w:space="0" w:color="auto"/>
        <w:right w:val="none" w:sz="0" w:space="0" w:color="auto"/>
      </w:divBdr>
    </w:div>
    <w:div w:id="1164590183">
      <w:bodyDiv w:val="1"/>
      <w:marLeft w:val="0"/>
      <w:marRight w:val="0"/>
      <w:marTop w:val="0"/>
      <w:marBottom w:val="0"/>
      <w:divBdr>
        <w:top w:val="none" w:sz="0" w:space="0" w:color="auto"/>
        <w:left w:val="none" w:sz="0" w:space="0" w:color="auto"/>
        <w:bottom w:val="none" w:sz="0" w:space="0" w:color="auto"/>
        <w:right w:val="none" w:sz="0" w:space="0" w:color="auto"/>
      </w:divBdr>
    </w:div>
    <w:div w:id="1195340341">
      <w:bodyDiv w:val="1"/>
      <w:marLeft w:val="0"/>
      <w:marRight w:val="0"/>
      <w:marTop w:val="0"/>
      <w:marBottom w:val="0"/>
      <w:divBdr>
        <w:top w:val="none" w:sz="0" w:space="0" w:color="auto"/>
        <w:left w:val="none" w:sz="0" w:space="0" w:color="auto"/>
        <w:bottom w:val="none" w:sz="0" w:space="0" w:color="auto"/>
        <w:right w:val="none" w:sz="0" w:space="0" w:color="auto"/>
      </w:divBdr>
    </w:div>
    <w:div w:id="1261571781">
      <w:bodyDiv w:val="1"/>
      <w:marLeft w:val="0"/>
      <w:marRight w:val="0"/>
      <w:marTop w:val="0"/>
      <w:marBottom w:val="0"/>
      <w:divBdr>
        <w:top w:val="none" w:sz="0" w:space="0" w:color="auto"/>
        <w:left w:val="none" w:sz="0" w:space="0" w:color="auto"/>
        <w:bottom w:val="none" w:sz="0" w:space="0" w:color="auto"/>
        <w:right w:val="none" w:sz="0" w:space="0" w:color="auto"/>
      </w:divBdr>
    </w:div>
    <w:div w:id="1288972388">
      <w:bodyDiv w:val="1"/>
      <w:marLeft w:val="0"/>
      <w:marRight w:val="0"/>
      <w:marTop w:val="0"/>
      <w:marBottom w:val="0"/>
      <w:divBdr>
        <w:top w:val="none" w:sz="0" w:space="0" w:color="auto"/>
        <w:left w:val="none" w:sz="0" w:space="0" w:color="auto"/>
        <w:bottom w:val="none" w:sz="0" w:space="0" w:color="auto"/>
        <w:right w:val="none" w:sz="0" w:space="0" w:color="auto"/>
      </w:divBdr>
    </w:div>
    <w:div w:id="1298802480">
      <w:bodyDiv w:val="1"/>
      <w:marLeft w:val="0"/>
      <w:marRight w:val="0"/>
      <w:marTop w:val="0"/>
      <w:marBottom w:val="0"/>
      <w:divBdr>
        <w:top w:val="none" w:sz="0" w:space="0" w:color="auto"/>
        <w:left w:val="none" w:sz="0" w:space="0" w:color="auto"/>
        <w:bottom w:val="none" w:sz="0" w:space="0" w:color="auto"/>
        <w:right w:val="none" w:sz="0" w:space="0" w:color="auto"/>
      </w:divBdr>
    </w:div>
    <w:div w:id="1368993485">
      <w:bodyDiv w:val="1"/>
      <w:marLeft w:val="0"/>
      <w:marRight w:val="0"/>
      <w:marTop w:val="0"/>
      <w:marBottom w:val="0"/>
      <w:divBdr>
        <w:top w:val="none" w:sz="0" w:space="0" w:color="auto"/>
        <w:left w:val="none" w:sz="0" w:space="0" w:color="auto"/>
        <w:bottom w:val="none" w:sz="0" w:space="0" w:color="auto"/>
        <w:right w:val="none" w:sz="0" w:space="0" w:color="auto"/>
      </w:divBdr>
    </w:div>
    <w:div w:id="1423913790">
      <w:bodyDiv w:val="1"/>
      <w:marLeft w:val="0"/>
      <w:marRight w:val="0"/>
      <w:marTop w:val="0"/>
      <w:marBottom w:val="0"/>
      <w:divBdr>
        <w:top w:val="none" w:sz="0" w:space="0" w:color="auto"/>
        <w:left w:val="none" w:sz="0" w:space="0" w:color="auto"/>
        <w:bottom w:val="none" w:sz="0" w:space="0" w:color="auto"/>
        <w:right w:val="none" w:sz="0" w:space="0" w:color="auto"/>
      </w:divBdr>
    </w:div>
    <w:div w:id="1654603996">
      <w:bodyDiv w:val="1"/>
      <w:marLeft w:val="0"/>
      <w:marRight w:val="0"/>
      <w:marTop w:val="0"/>
      <w:marBottom w:val="0"/>
      <w:divBdr>
        <w:top w:val="none" w:sz="0" w:space="0" w:color="auto"/>
        <w:left w:val="none" w:sz="0" w:space="0" w:color="auto"/>
        <w:bottom w:val="none" w:sz="0" w:space="0" w:color="auto"/>
        <w:right w:val="none" w:sz="0" w:space="0" w:color="auto"/>
      </w:divBdr>
    </w:div>
    <w:div w:id="1678969534">
      <w:bodyDiv w:val="1"/>
      <w:marLeft w:val="0"/>
      <w:marRight w:val="0"/>
      <w:marTop w:val="0"/>
      <w:marBottom w:val="0"/>
      <w:divBdr>
        <w:top w:val="none" w:sz="0" w:space="0" w:color="auto"/>
        <w:left w:val="none" w:sz="0" w:space="0" w:color="auto"/>
        <w:bottom w:val="none" w:sz="0" w:space="0" w:color="auto"/>
        <w:right w:val="none" w:sz="0" w:space="0" w:color="auto"/>
      </w:divBdr>
    </w:div>
    <w:div w:id="1772895288">
      <w:bodyDiv w:val="1"/>
      <w:marLeft w:val="0"/>
      <w:marRight w:val="0"/>
      <w:marTop w:val="0"/>
      <w:marBottom w:val="0"/>
      <w:divBdr>
        <w:top w:val="none" w:sz="0" w:space="0" w:color="auto"/>
        <w:left w:val="none" w:sz="0" w:space="0" w:color="auto"/>
        <w:bottom w:val="none" w:sz="0" w:space="0" w:color="auto"/>
        <w:right w:val="none" w:sz="0" w:space="0" w:color="auto"/>
      </w:divBdr>
    </w:div>
    <w:div w:id="1784763934">
      <w:bodyDiv w:val="1"/>
      <w:marLeft w:val="0"/>
      <w:marRight w:val="0"/>
      <w:marTop w:val="0"/>
      <w:marBottom w:val="0"/>
      <w:divBdr>
        <w:top w:val="none" w:sz="0" w:space="0" w:color="auto"/>
        <w:left w:val="none" w:sz="0" w:space="0" w:color="auto"/>
        <w:bottom w:val="none" w:sz="0" w:space="0" w:color="auto"/>
        <w:right w:val="none" w:sz="0" w:space="0" w:color="auto"/>
      </w:divBdr>
    </w:div>
    <w:div w:id="1814056167">
      <w:bodyDiv w:val="1"/>
      <w:marLeft w:val="0"/>
      <w:marRight w:val="0"/>
      <w:marTop w:val="0"/>
      <w:marBottom w:val="0"/>
      <w:divBdr>
        <w:top w:val="none" w:sz="0" w:space="0" w:color="auto"/>
        <w:left w:val="none" w:sz="0" w:space="0" w:color="auto"/>
        <w:bottom w:val="none" w:sz="0" w:space="0" w:color="auto"/>
        <w:right w:val="none" w:sz="0" w:space="0" w:color="auto"/>
      </w:divBdr>
    </w:div>
    <w:div w:id="1874271234">
      <w:bodyDiv w:val="1"/>
      <w:marLeft w:val="0"/>
      <w:marRight w:val="0"/>
      <w:marTop w:val="0"/>
      <w:marBottom w:val="0"/>
      <w:divBdr>
        <w:top w:val="none" w:sz="0" w:space="0" w:color="auto"/>
        <w:left w:val="none" w:sz="0" w:space="0" w:color="auto"/>
        <w:bottom w:val="none" w:sz="0" w:space="0" w:color="auto"/>
        <w:right w:val="none" w:sz="0" w:space="0" w:color="auto"/>
      </w:divBdr>
    </w:div>
    <w:div w:id="1989087738">
      <w:bodyDiv w:val="1"/>
      <w:marLeft w:val="0"/>
      <w:marRight w:val="0"/>
      <w:marTop w:val="0"/>
      <w:marBottom w:val="0"/>
      <w:divBdr>
        <w:top w:val="none" w:sz="0" w:space="0" w:color="auto"/>
        <w:left w:val="none" w:sz="0" w:space="0" w:color="auto"/>
        <w:bottom w:val="none" w:sz="0" w:space="0" w:color="auto"/>
        <w:right w:val="none" w:sz="0" w:space="0" w:color="auto"/>
      </w:divBdr>
    </w:div>
    <w:div w:id="2035379458">
      <w:bodyDiv w:val="1"/>
      <w:marLeft w:val="0"/>
      <w:marRight w:val="0"/>
      <w:marTop w:val="0"/>
      <w:marBottom w:val="0"/>
      <w:divBdr>
        <w:top w:val="none" w:sz="0" w:space="0" w:color="auto"/>
        <w:left w:val="none" w:sz="0" w:space="0" w:color="auto"/>
        <w:bottom w:val="none" w:sz="0" w:space="0" w:color="auto"/>
        <w:right w:val="none" w:sz="0" w:space="0" w:color="auto"/>
      </w:divBdr>
    </w:div>
    <w:div w:id="2065522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rt.org/?utm_source=copilot.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igital.nhs.uk/?utm_source=copilo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ardiacrehabilitation.org.uk/?utm_source=copilo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scardio.org/?utm_source=copilot.com" TargetMode="External"/><Relationship Id="rId4" Type="http://schemas.openxmlformats.org/officeDocument/2006/relationships/settings" Target="settings.xml"/><Relationship Id="rId9" Type="http://schemas.openxmlformats.org/officeDocument/2006/relationships/hyperlink" Target="https://casp-uk.net/?utm_source=copilot.com" TargetMode="Externa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73ACB-7BF4-49F3-B0A7-87C832E11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54</Pages>
  <Words>20970</Words>
  <Characters>119531</Characters>
  <Application>Microsoft Office Word</Application>
  <DocSecurity>0</DocSecurity>
  <Lines>996</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arpita chaudhary</dc:creator>
  <cp:keywords/>
  <dc:description/>
  <cp:lastModifiedBy>arpita chaudhary</cp:lastModifiedBy>
  <cp:revision>3</cp:revision>
  <dcterms:created xsi:type="dcterms:W3CDTF">2026-06-11T19:19:00Z</dcterms:created>
  <dcterms:modified xsi:type="dcterms:W3CDTF">2026-06-11T20:16:00Z</dcterms:modified>
</cp:coreProperties>
</file>