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itle"/>
        <w:jc w:val="center"/>
        <w:rPr/>
      </w:pPr>
      <w:r>
        <w:rPr/>
        <w:t xml:space="preserve">Introducing the Modern Workplace </w:t>
      </w:r>
    </w:p>
    <w:p>
      <w:pPr>
        <w:pStyle w:val="Normal"/>
        <w:jc w:val="center"/>
        <w:rPr>
          <w:b/>
          <w:b/>
          <w:bCs/>
          <w:color w:val="365F91" w:themeColor="accent1" w:themeShade="bf"/>
          <w:sz w:val="32"/>
          <w:szCs w:val="28"/>
          <w:lang w:val="en-US"/>
        </w:rPr>
      </w:pPr>
      <w:r>
        <w:rPr/>
      </w:r>
    </w:p>
    <w:p>
      <w:pPr>
        <w:pStyle w:val="Normal"/>
        <w:jc w:val="center"/>
        <w:rPr>
          <w:b/>
          <w:b/>
          <w:bCs/>
          <w:color w:val="365F91" w:themeColor="accent1" w:themeShade="bf"/>
          <w:sz w:val="32"/>
          <w:szCs w:val="28"/>
          <w:lang w:val="en-US"/>
        </w:rPr>
      </w:pPr>
      <w:r>
        <w:rPr/>
      </w:r>
    </w:p>
    <w:p>
      <w:pPr>
        <w:pStyle w:val="Normal"/>
        <w:jc w:val="center"/>
        <w:rPr/>
      </w:pPr>
      <w:r>
        <w:rPr>
          <w:b/>
          <w:bCs/>
          <w:color w:val="365F91" w:themeColor="accent1" w:themeShade="bf"/>
          <w:sz w:val="32"/>
          <w:szCs w:val="28"/>
          <w:lang w:val="en-US"/>
        </w:rPr>
        <w:t>LCBB4003</w:t>
      </w:r>
    </w:p>
    <w:p>
      <w:pPr>
        <w:pStyle w:val="Normal"/>
        <w:jc w:val="center"/>
        <w:rPr>
          <w:b/>
          <w:b/>
          <w:bCs/>
          <w:color w:val="365F91" w:themeColor="accent1" w:themeShade="bf"/>
          <w:sz w:val="32"/>
          <w:szCs w:val="28"/>
          <w:lang w:val="en-US"/>
        </w:rPr>
      </w:pPr>
      <w:r>
        <w:rPr/>
      </w:r>
    </w:p>
    <w:p>
      <w:pPr>
        <w:pStyle w:val="Normal"/>
        <w:jc w:val="center"/>
        <w:rPr>
          <w:b/>
          <w:b/>
          <w:bCs/>
          <w:color w:val="365F91" w:themeColor="accent1" w:themeShade="bf"/>
          <w:sz w:val="32"/>
          <w:szCs w:val="28"/>
          <w:lang w:val="en-US"/>
        </w:rPr>
      </w:pPr>
      <w:r>
        <w:rPr/>
      </w:r>
    </w:p>
    <w:p>
      <w:pPr>
        <w:pStyle w:val="Normal"/>
        <w:jc w:val="center"/>
        <w:rPr>
          <w:b/>
          <w:b/>
          <w:bCs/>
          <w:color w:val="365F91" w:themeColor="accent1" w:themeShade="bf"/>
          <w:sz w:val="32"/>
          <w:szCs w:val="28"/>
          <w:lang w:val="en-US"/>
        </w:rPr>
      </w:pPr>
      <w:r>
        <w:rPr/>
      </w:r>
    </w:p>
    <w:p>
      <w:pPr>
        <w:pStyle w:val="Normal"/>
        <w:jc w:val="center"/>
        <w:rPr>
          <w:b/>
          <w:b/>
          <w:bCs/>
          <w:color w:val="365F91" w:themeColor="accent1" w:themeShade="bf"/>
          <w:sz w:val="32"/>
          <w:szCs w:val="28"/>
          <w:lang w:val="en-US"/>
        </w:rPr>
      </w:pPr>
      <w:r>
        <w:rPr/>
      </w:r>
    </w:p>
    <w:p>
      <w:pPr>
        <w:pStyle w:val="Normal"/>
        <w:jc w:val="center"/>
        <w:rPr>
          <w:b/>
          <w:b/>
          <w:bCs/>
          <w:color w:val="365F91" w:themeColor="accent1" w:themeShade="bf"/>
          <w:sz w:val="32"/>
          <w:szCs w:val="28"/>
          <w:lang w:val="en-US"/>
        </w:rPr>
      </w:pPr>
      <w:r>
        <w:rPr/>
      </w:r>
    </w:p>
    <w:p>
      <w:pPr>
        <w:pStyle w:val="Normal"/>
        <w:jc w:val="left"/>
        <w:rPr>
          <w:b/>
          <w:b/>
          <w:bCs/>
          <w:color w:val="365F91" w:themeColor="accent1" w:themeShade="bf"/>
          <w:sz w:val="32"/>
          <w:szCs w:val="28"/>
          <w:lang w:val="en-US"/>
        </w:rPr>
      </w:pPr>
      <w:r>
        <w:rPr/>
      </w:r>
    </w:p>
    <w:p>
      <w:pPr>
        <w:pStyle w:val="Normal"/>
        <w:jc w:val="center"/>
        <w:rPr>
          <w:b/>
          <w:b/>
          <w:bCs/>
          <w:color w:val="365F91" w:themeColor="accent1" w:themeShade="bf"/>
          <w:sz w:val="32"/>
          <w:szCs w:val="28"/>
          <w:lang w:val="en-US"/>
        </w:rPr>
      </w:pPr>
      <w:r>
        <w:rPr/>
      </w:r>
    </w:p>
    <w:p>
      <w:pPr>
        <w:pStyle w:val="Normal"/>
        <w:jc w:val="center"/>
        <w:rPr>
          <w:b/>
          <w:b/>
          <w:bCs/>
          <w:color w:val="365F91" w:themeColor="accent1" w:themeShade="bf"/>
          <w:sz w:val="32"/>
          <w:szCs w:val="28"/>
          <w:lang w:val="en-US"/>
        </w:rPr>
      </w:pPr>
      <w:r>
        <w:rPr/>
      </w:r>
    </w:p>
    <w:p>
      <w:pPr>
        <w:pStyle w:val="Normal"/>
        <w:jc w:val="center"/>
        <w:rPr>
          <w:b/>
          <w:b/>
          <w:bCs/>
          <w:color w:val="365F91" w:themeColor="accent1" w:themeShade="bf"/>
          <w:sz w:val="32"/>
          <w:szCs w:val="28"/>
          <w:lang w:val="en-US"/>
        </w:rPr>
      </w:pPr>
      <w:r>
        <w:rPr/>
      </w:r>
    </w:p>
    <w:p>
      <w:pPr>
        <w:pStyle w:val="Normal"/>
        <w:jc w:val="center"/>
        <w:rPr>
          <w:b/>
          <w:b/>
          <w:bCs/>
          <w:color w:val="365F91" w:themeColor="accent1" w:themeShade="bf"/>
          <w:sz w:val="32"/>
          <w:szCs w:val="28"/>
          <w:lang w:val="en-US"/>
        </w:rPr>
      </w:pPr>
      <w:r>
        <w:rPr/>
      </w:r>
    </w:p>
    <w:p>
      <w:pPr>
        <w:pStyle w:val="Normal"/>
        <w:jc w:val="center"/>
        <w:rPr>
          <w:b/>
          <w:b/>
          <w:bCs/>
          <w:color w:val="365F91" w:themeColor="accent1" w:themeShade="bf"/>
          <w:sz w:val="32"/>
          <w:szCs w:val="28"/>
          <w:lang w:val="en-US"/>
        </w:rPr>
      </w:pPr>
      <w:r>
        <w:rPr/>
      </w:r>
    </w:p>
    <w:p>
      <w:pPr>
        <w:pStyle w:val="Normal"/>
        <w:jc w:val="center"/>
        <w:rPr>
          <w:b/>
          <w:b/>
          <w:bCs/>
          <w:color w:val="365F91" w:themeColor="accent1" w:themeShade="bf"/>
          <w:sz w:val="32"/>
          <w:szCs w:val="28"/>
          <w:lang w:val="en-US"/>
        </w:rPr>
      </w:pPr>
      <w:r>
        <w:rPr/>
      </w:r>
    </w:p>
    <w:p>
      <w:pPr>
        <w:pStyle w:val="Normal"/>
        <w:jc w:val="center"/>
        <w:rPr>
          <w:b/>
          <w:b/>
          <w:bCs/>
          <w:color w:val="365F91" w:themeColor="accent1" w:themeShade="bf"/>
          <w:sz w:val="32"/>
          <w:szCs w:val="28"/>
          <w:lang w:val="en-US"/>
        </w:rPr>
      </w:pPr>
      <w:r>
        <w:rPr/>
      </w:r>
    </w:p>
    <w:p>
      <w:pPr>
        <w:pStyle w:val="Normal"/>
        <w:jc w:val="left"/>
        <w:rPr/>
      </w:pPr>
      <w:r>
        <w:rPr>
          <w:b/>
          <w:bCs/>
          <w:color w:val="365F91" w:themeColor="accent1" w:themeShade="bf"/>
          <w:sz w:val="32"/>
          <w:szCs w:val="28"/>
          <w:lang w:val="en-US"/>
        </w:rPr>
        <w:t>Student Name: Radostin Angelov</w:t>
      </w:r>
    </w:p>
    <w:p>
      <w:pPr>
        <w:pStyle w:val="Normal"/>
        <w:jc w:val="left"/>
        <w:rPr/>
      </w:pPr>
      <w:r>
        <w:rPr>
          <w:b/>
          <w:bCs/>
          <w:color w:val="365F91" w:themeColor="accent1" w:themeShade="bf"/>
          <w:sz w:val="32"/>
          <w:szCs w:val="28"/>
          <w:lang w:val="en-US"/>
        </w:rPr>
        <w:t>S</w:t>
      </w:r>
      <w:r>
        <w:rPr>
          <w:b/>
          <w:bCs/>
          <w:color w:val="365F91" w:themeColor="accent1" w:themeShade="bf"/>
          <w:sz w:val="32"/>
          <w:szCs w:val="28"/>
          <w:lang w:val="en-US"/>
        </w:rPr>
        <w:t>tudent ID: 2132532</w:t>
      </w:r>
    </w:p>
    <w:sdt>
      <w:sdtPr>
        <w:docPartObj>
          <w:docPartGallery w:val="Table of Contents"/>
          <w:docPartUnique w:val="true"/>
        </w:docPartObj>
      </w:sdtPr>
      <w:sdtContent>
        <w:p>
          <w:pPr>
            <w:pStyle w:val="TOCHeading"/>
            <w:rPr/>
          </w:pPr>
          <w:r>
            <w:rPr/>
            <w:t>Table of Contents</w:t>
          </w:r>
        </w:p>
        <w:p>
          <w:pPr>
            <w:pStyle w:val="Contents1"/>
            <w:tabs>
              <w:tab w:val="clear" w:pos="720"/>
              <w:tab w:val="right" w:pos="9350" w:leader="dot"/>
            </w:tabs>
            <w:rPr>
              <w:rFonts w:ascii="Calibri" w:hAnsi="Calibri" w:eastAsia="" w:asciiTheme="minorHAnsi" w:eastAsiaTheme="minorEastAsia" w:hAnsiTheme="minorHAnsi"/>
              <w:sz w:val="22"/>
              <w:lang w:val="en-US"/>
            </w:rPr>
          </w:pPr>
          <w:r>
            <w:fldChar w:fldCharType="begin"/>
          </w:r>
          <w:r>
            <w:rPr>
              <w:webHidden/>
              <w:rStyle w:val="IndexLink"/>
            </w:rPr>
            <w:instrText> TOC \z \o "1-3" \u \h</w:instrText>
          </w:r>
          <w:r>
            <w:rPr>
              <w:webHidden/>
              <w:rStyle w:val="IndexLink"/>
            </w:rPr>
            <w:fldChar w:fldCharType="separate"/>
          </w:r>
          <w:hyperlink w:anchor="_Toc130988591">
            <w:r>
              <w:rPr>
                <w:webHidden/>
                <w:rStyle w:val="IndexLink"/>
              </w:rPr>
              <w:t>Introduction</w:t>
            </w:r>
            <w:r>
              <w:rPr>
                <w:webHidden/>
              </w:rPr>
              <w:fldChar w:fldCharType="begin"/>
            </w:r>
            <w:r>
              <w:rPr>
                <w:webHidden/>
              </w:rPr>
              <w:instrText>PAGEREF _Toc130988591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lang w:val="en-US"/>
            </w:rPr>
          </w:pPr>
          <w:hyperlink w:anchor="_Toc130988592">
            <w:r>
              <w:rPr>
                <w:webHidden/>
                <w:rStyle w:val="IndexLink"/>
              </w:rPr>
              <w:t>About HSBC</w:t>
            </w:r>
            <w:r>
              <w:rPr>
                <w:webHidden/>
              </w:rPr>
              <w:fldChar w:fldCharType="begin"/>
            </w:r>
            <w:r>
              <w:rPr>
                <w:webHidden/>
              </w:rPr>
              <w:instrText>PAGEREF _Toc130988592 \h</w:instrText>
            </w:r>
            <w:r>
              <w:rPr>
                <w:webHidden/>
              </w:rPr>
              <w:fldChar w:fldCharType="separate"/>
            </w:r>
            <w:r>
              <w:rPr>
                <w:rStyle w:val="IndexLink"/>
                <w:vanish w:val="false"/>
              </w:rPr>
              <w:tab/>
              <w:t>3</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lang w:val="en-US"/>
            </w:rPr>
          </w:pPr>
          <w:hyperlink w:anchor="_Toc130988593">
            <w:r>
              <w:rPr>
                <w:webHidden/>
                <w:rStyle w:val="IndexLink"/>
              </w:rPr>
              <w:t>Organisation Structure</w:t>
            </w:r>
            <w:r>
              <w:rPr>
                <w:webHidden/>
              </w:rPr>
              <w:fldChar w:fldCharType="begin"/>
            </w:r>
            <w:r>
              <w:rPr>
                <w:webHidden/>
              </w:rPr>
              <w:instrText>PAGEREF _Toc130988593 \h</w:instrText>
            </w:r>
            <w:r>
              <w:rPr>
                <w:webHidden/>
              </w:rPr>
              <w:fldChar w:fldCharType="separate"/>
            </w:r>
            <w:r>
              <w:rPr>
                <w:rStyle w:val="IndexLink"/>
                <w:vanish w:val="false"/>
              </w:rPr>
              <w:tab/>
              <w:t>4</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lang w:val="en-US"/>
            </w:rPr>
          </w:pPr>
          <w:hyperlink w:anchor="_Toc130988594">
            <w:r>
              <w:rPr>
                <w:webHidden/>
                <w:rStyle w:val="IndexLink"/>
              </w:rPr>
              <w:t>Effect on Organisational Performance</w:t>
            </w:r>
            <w:r>
              <w:rPr>
                <w:webHidden/>
              </w:rPr>
              <w:fldChar w:fldCharType="begin"/>
            </w:r>
            <w:r>
              <w:rPr>
                <w:webHidden/>
              </w:rPr>
              <w:instrText>PAGEREF _Toc130988594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lang w:val="en-US"/>
            </w:rPr>
          </w:pPr>
          <w:hyperlink w:anchor="_Toc130988595">
            <w:r>
              <w:rPr>
                <w:webHidden/>
                <w:rStyle w:val="IndexLink"/>
              </w:rPr>
              <w:t>Organisational Culture</w:t>
            </w:r>
            <w:r>
              <w:rPr>
                <w:webHidden/>
              </w:rPr>
              <w:fldChar w:fldCharType="begin"/>
            </w:r>
            <w:r>
              <w:rPr>
                <w:webHidden/>
              </w:rPr>
              <w:instrText>PAGEREF _Toc130988595 \h</w:instrText>
            </w:r>
            <w:r>
              <w:rPr>
                <w:webHidden/>
              </w:rPr>
              <w:fldChar w:fldCharType="separate"/>
            </w:r>
            <w:r>
              <w:rPr>
                <w:rStyle w:val="IndexLink"/>
                <w:vanish w:val="false"/>
              </w:rPr>
              <w:tab/>
              <w:t>5</w:t>
            </w:r>
            <w:r>
              <w:rPr>
                <w:webHidden/>
              </w:rPr>
              <w:fldChar w:fldCharType="end"/>
            </w:r>
          </w:hyperlink>
        </w:p>
        <w:p>
          <w:pPr>
            <w:pStyle w:val="Contents2"/>
            <w:tabs>
              <w:tab w:val="clear" w:pos="720"/>
              <w:tab w:val="right" w:pos="9350" w:leader="dot"/>
            </w:tabs>
            <w:rPr>
              <w:rFonts w:ascii="Calibri" w:hAnsi="Calibri" w:eastAsia="" w:asciiTheme="minorHAnsi" w:eastAsiaTheme="minorEastAsia" w:hAnsiTheme="minorHAnsi"/>
              <w:sz w:val="22"/>
              <w:lang w:val="en-US"/>
            </w:rPr>
          </w:pPr>
          <w:hyperlink w:anchor="_Toc130988596">
            <w:r>
              <w:rPr>
                <w:webHidden/>
                <w:rStyle w:val="IndexLink"/>
              </w:rPr>
              <w:t>Impact on Organisational Performance</w:t>
            </w:r>
            <w:r>
              <w:rPr>
                <w:webHidden/>
              </w:rPr>
              <w:fldChar w:fldCharType="begin"/>
            </w:r>
            <w:r>
              <w:rPr>
                <w:webHidden/>
              </w:rPr>
              <w:instrText>PAGEREF _Toc130988596 \h</w:instrText>
            </w:r>
            <w:r>
              <w:rPr>
                <w:webHidden/>
              </w:rPr>
              <w:fldChar w:fldCharType="separate"/>
            </w:r>
            <w:r>
              <w:rPr>
                <w:rStyle w:val="IndexLink"/>
                <w:vanish w:val="false"/>
              </w:rPr>
              <w:tab/>
              <w:t>6</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lang w:val="en-US"/>
            </w:rPr>
          </w:pPr>
          <w:hyperlink w:anchor="_Toc130988597">
            <w:r>
              <w:rPr>
                <w:webHidden/>
                <w:rStyle w:val="IndexLink"/>
              </w:rPr>
              <w:t>Leadership in HSBC</w:t>
            </w:r>
            <w:r>
              <w:rPr>
                <w:webHidden/>
              </w:rPr>
              <w:fldChar w:fldCharType="begin"/>
            </w:r>
            <w:r>
              <w:rPr>
                <w:webHidden/>
              </w:rPr>
              <w:instrText>PAGEREF _Toc130988597 \h</w:instrText>
            </w:r>
            <w:r>
              <w:rPr>
                <w:webHidden/>
              </w:rPr>
              <w:fldChar w:fldCharType="separate"/>
            </w:r>
            <w:r>
              <w:rPr>
                <w:rStyle w:val="IndexLink"/>
                <w:vanish w:val="false"/>
              </w:rPr>
              <w:tab/>
              <w:t>7</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lang w:val="en-US"/>
            </w:rPr>
          </w:pPr>
          <w:hyperlink w:anchor="_Toc130988598">
            <w:r>
              <w:rPr>
                <w:webHidden/>
                <w:rStyle w:val="IndexLink"/>
              </w:rPr>
              <w:t>Motivating the employees</w:t>
            </w:r>
            <w:r>
              <w:rPr>
                <w:webHidden/>
              </w:rPr>
              <w:fldChar w:fldCharType="begin"/>
            </w:r>
            <w:r>
              <w:rPr>
                <w:webHidden/>
              </w:rPr>
              <w:instrText>PAGEREF _Toc130988598 \h</w:instrText>
            </w:r>
            <w:r>
              <w:rPr>
                <w:webHidden/>
              </w:rPr>
              <w:fldChar w:fldCharType="separate"/>
            </w:r>
            <w:r>
              <w:rPr>
                <w:rStyle w:val="IndexLink"/>
                <w:vanish w:val="false"/>
              </w:rPr>
              <w:tab/>
              <w:t>8</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lang w:val="en-US"/>
            </w:rPr>
          </w:pPr>
          <w:hyperlink w:anchor="_Toc130988599">
            <w:r>
              <w:rPr>
                <w:webHidden/>
                <w:rStyle w:val="IndexLink"/>
              </w:rPr>
              <w:t>Conclusion</w:t>
            </w:r>
            <w:r>
              <w:rPr>
                <w:webHidden/>
              </w:rPr>
              <w:fldChar w:fldCharType="begin"/>
            </w:r>
            <w:r>
              <w:rPr>
                <w:webHidden/>
              </w:rPr>
              <w:instrText>PAGEREF _Toc130988599 \h</w:instrText>
            </w:r>
            <w:r>
              <w:rPr>
                <w:webHidden/>
              </w:rPr>
              <w:fldChar w:fldCharType="separate"/>
            </w:r>
            <w:r>
              <w:rPr>
                <w:rStyle w:val="IndexLink"/>
                <w:vanish w:val="false"/>
              </w:rPr>
              <w:tab/>
              <w:t>9</w:t>
            </w:r>
            <w:r>
              <w:rPr>
                <w:webHidden/>
              </w:rPr>
              <w:fldChar w:fldCharType="end"/>
            </w:r>
          </w:hyperlink>
        </w:p>
        <w:p>
          <w:pPr>
            <w:pStyle w:val="Contents1"/>
            <w:tabs>
              <w:tab w:val="clear" w:pos="720"/>
              <w:tab w:val="right" w:pos="9350" w:leader="dot"/>
            </w:tabs>
            <w:rPr>
              <w:rFonts w:ascii="Calibri" w:hAnsi="Calibri" w:eastAsia="" w:asciiTheme="minorHAnsi" w:eastAsiaTheme="minorEastAsia" w:hAnsiTheme="minorHAnsi"/>
              <w:sz w:val="22"/>
              <w:lang w:val="en-US"/>
            </w:rPr>
          </w:pPr>
          <w:hyperlink w:anchor="_Toc130988600">
            <w:r>
              <w:rPr>
                <w:webHidden/>
                <w:rStyle w:val="IndexLink"/>
              </w:rPr>
              <w:t>References</w:t>
            </w:r>
            <w:r>
              <w:rPr>
                <w:webHidden/>
              </w:rPr>
              <w:fldChar w:fldCharType="begin"/>
            </w:r>
            <w:r>
              <w:rPr>
                <w:webHidden/>
              </w:rPr>
              <w:instrText>PAGEREF _Toc130988600 \h</w:instrText>
            </w:r>
            <w:r>
              <w:rPr>
                <w:webHidden/>
              </w:rPr>
              <w:fldChar w:fldCharType="separate"/>
            </w:r>
            <w:r>
              <w:rPr>
                <w:rStyle w:val="IndexLink"/>
                <w:vanish w:val="false"/>
              </w:rPr>
              <w:tab/>
              <w:t>9</w:t>
            </w:r>
            <w:r>
              <w:rPr>
                <w:webHidden/>
              </w:rPr>
              <w:fldChar w:fldCharType="end"/>
            </w:r>
          </w:hyperlink>
        </w:p>
        <w:p>
          <w:pPr>
            <w:pStyle w:val="Normal"/>
            <w:rPr/>
          </w:pPr>
          <w:r>
            <w:rPr/>
          </w:r>
          <w:r>
            <w:rPr/>
            <w:fldChar w:fldCharType="end"/>
          </w:r>
        </w:p>
      </w:sdtContent>
    </w:sdt>
    <w:p>
      <w:pPr>
        <w:pStyle w:val="Normal"/>
        <w:spacing w:lineRule="auto" w:line="276" w:before="0" w:after="200"/>
        <w:jc w:val="left"/>
        <w:rPr>
          <w:rFonts w:eastAsia="" w:cs="Vrinda" w:cstheme="majorBidi" w:eastAsiaTheme="majorEastAsia"/>
          <w:b/>
          <w:b/>
          <w:bCs/>
          <w:color w:val="365F91" w:themeColor="accent1" w:themeShade="bf"/>
          <w:sz w:val="32"/>
          <w:szCs w:val="28"/>
          <w:lang w:val="en-US"/>
        </w:rPr>
      </w:pPr>
      <w:r>
        <w:rPr>
          <w:rFonts w:eastAsia="" w:cs="Vrinda" w:cstheme="majorBidi" w:eastAsiaTheme="majorEastAsia"/>
          <w:b/>
          <w:bCs/>
          <w:color w:val="365F91" w:themeColor="accent1" w:themeShade="bf"/>
          <w:sz w:val="32"/>
          <w:szCs w:val="28"/>
          <w:lang w:val="en-US"/>
        </w:rPr>
      </w:r>
      <w:r>
        <w:br w:type="page"/>
      </w:r>
    </w:p>
    <w:p>
      <w:pPr>
        <w:pStyle w:val="Heading1"/>
        <w:rPr/>
      </w:pPr>
      <w:bookmarkStart w:id="0" w:name="_Toc130988591"/>
      <w:r>
        <w:rPr/>
        <w:t>Introduction</w:t>
      </w:r>
      <w:bookmarkEnd w:id="0"/>
    </w:p>
    <w:p>
      <w:pPr>
        <w:pStyle w:val="Normal"/>
        <w:rPr>
          <w:lang w:val="en-US"/>
        </w:rPr>
      </w:pPr>
      <w:r>
        <w:rPr>
          <w:lang w:val="en-US"/>
        </w:rPr>
        <w:t>The link between the structure of an organisation, the culture of that organisation, the people that work in that organisation, and the performance of the organisation is an important topic of research for academics and practitioners in the field of management. An organization's performance may be strongly impacted by its structure, culture, and people. This includes the organization's capacity to fulfil its strategic goals and objectives, adapt to changes in the market, and keep its competitive edge. Using HSBC as a case study, the purpose of this research is to examine the link that exists between these four characteristics and the influence that it has on the performance of a business.</w:t>
      </w:r>
    </w:p>
    <w:p>
      <w:pPr>
        <w:pStyle w:val="Heading1"/>
        <w:rPr/>
      </w:pPr>
      <w:bookmarkStart w:id="1" w:name="_Toc130988592"/>
      <w:r>
        <w:rPr/>
        <w:t>About HSBC</w:t>
      </w:r>
      <w:bookmarkEnd w:id="1"/>
    </w:p>
    <w:p>
      <w:pPr>
        <w:pStyle w:val="Normal"/>
        <w:rPr/>
      </w:pPr>
      <w:r>
        <w:rPr/>
        <w:t>HSBC, short for Hongkong and Shanghai Banking Corporation, is one of the world's largest multinational banking and financial services organizations (Smith, 2019). Founded in 1865 in Hong Kong, HSBC has a long history of providing financial services to individuals, businesses, and institutions across the globe.</w:t>
      </w:r>
    </w:p>
    <w:p>
      <w:pPr>
        <w:pStyle w:val="Normal"/>
        <w:rPr/>
      </w:pPr>
      <w:r>
        <w:rPr/>
        <w:t>In 2008, HSBC was hit hard by the global financial crisis, with profits dropping by 62% and the bank announcing a rights issue to raise £12.5 billion. The bank also faced allegations of money laundering in 2012, resulting in a record $1.9 billion fine by US authorities.</w:t>
      </w:r>
    </w:p>
    <w:p>
      <w:pPr>
        <w:pStyle w:val="Normal"/>
        <w:rPr/>
      </w:pPr>
      <w:r>
        <w:rPr/>
        <w:t>Despite these setbacks, HSBC has continued to expand its operations and strengthen its position as a global banking powerhouse. In 2015, the bank announced a strategic plan to focus on its core businesses and cut costs by $5 billion by 2017. In 2019, HSBC announced plans to increase its investment in Asia, where it sees significant growth opportunities, and to shift its focus away from underperforming businesses in Europe and the US (Savicki, 2022).</w:t>
      </w:r>
    </w:p>
    <w:p>
      <w:pPr>
        <w:pStyle w:val="Normal"/>
        <w:rPr/>
      </w:pPr>
      <w:r>
        <w:rPr/>
        <w:t>HSBC has also made efforts to improve its reputation and address concerns about its role in facilitating financial crime. In 2020, the bank announced plans to accelerate its pivot to Asia, while also announcing the closure of its US retail banking business to focus on wealth management and investment banking.</w:t>
      </w:r>
    </w:p>
    <w:p>
      <w:pPr>
        <w:pStyle w:val="Normal"/>
        <w:rPr/>
      </w:pPr>
      <w:r>
        <w:rPr/>
        <w:t>Today, HSBC remains a major player in the global banking industry, with operations in over 60 countries and territories and a strong focus on serving the needs of its customers and stakeholders.</w:t>
      </w:r>
    </w:p>
    <w:p>
      <w:pPr>
        <w:pStyle w:val="Heading1"/>
        <w:rPr/>
      </w:pPr>
      <w:bookmarkStart w:id="2" w:name="_Toc130988593"/>
      <w:r>
        <w:rPr/>
        <w:t>Organisation Structure</w:t>
      </w:r>
      <w:bookmarkEnd w:id="2"/>
    </w:p>
    <w:p>
      <w:pPr>
        <w:pStyle w:val="Normal"/>
        <w:rPr>
          <w:lang w:val="en-US"/>
        </w:rPr>
      </w:pPr>
      <w:r>
        <w:rPr>
          <w:lang w:val="en-US"/>
        </w:rPr>
        <w:t xml:space="preserve">The organisational structure of HSBC is intended to facilitate its worldwide operations and strategic objectives. Retail Banking and Wealth Management, Commercial Banking, Global Banking and Markets, and Global Private Banking are the bank's four primary business sectors </w:t>
      </w:r>
      <w:r>
        <w:rPr/>
        <w:t>(Rainbird, 2016)</w:t>
      </w:r>
      <w:r>
        <w:rPr>
          <w:lang w:val="en-US"/>
        </w:rPr>
        <w:t>. There are several sub-businesses within each sector that specialise on certain geographies, goods, or consumer categories.</w:t>
      </w:r>
    </w:p>
    <w:p>
      <w:pPr>
        <w:pStyle w:val="Normal"/>
        <w:rPr>
          <w:lang w:val="en-US"/>
        </w:rPr>
      </w:pPr>
      <w:r>
        <w:rPr>
          <w:b/>
          <w:i/>
          <w:lang w:val="en-US"/>
        </w:rPr>
        <w:t>The organisational structure of HSBC is hierarchical,</w:t>
      </w:r>
      <w:r>
        <w:rPr>
          <w:lang w:val="en-US"/>
        </w:rPr>
        <w:t xml:space="preserve"> with clear reporting and command lines. The Group Chairman and Group Chief Executive Officer manage the bank's overall direction and performance and sit at the top of the hierarchy. Each business segment is overseen by a chief executive officer who is accountable for the segment's strategy, performance, and risk management. Several managers and teams supervise specialised responsibilities, such as marketing, operations, and risk, under the CEO.</w:t>
      </w:r>
    </w:p>
    <w:p>
      <w:pPr>
        <w:pStyle w:val="Normal"/>
        <w:rPr>
          <w:lang w:val="en-US"/>
        </w:rPr>
      </w:pPr>
      <w:r>
        <w:rPr>
          <w:lang w:val="en-US"/>
        </w:rPr>
        <w:t xml:space="preserve">HSBC's organisational structure reflects its commitment to meeting the demands of its broad client base across countries and market categories </w:t>
      </w:r>
      <w:r>
        <w:rPr/>
        <w:t>(Oliver, 2018)</w:t>
      </w:r>
      <w:r>
        <w:rPr>
          <w:lang w:val="en-US"/>
        </w:rPr>
        <w:t>. The bank's matrix structure enables it to strike a balance between local responsiveness and global coordination, allowing it to respond to local market circumstances while maximising its global size and resources.</w:t>
      </w:r>
    </w:p>
    <w:p>
      <w:pPr>
        <w:pStyle w:val="Normal"/>
        <w:rPr>
          <w:lang w:val="en-US"/>
        </w:rPr>
      </w:pPr>
      <w:r>
        <w:rPr>
          <w:lang w:val="en-US"/>
        </w:rPr>
        <w:t>HSBC's organisational performance is significantly affected by its organisational structure. The hierarchical structure ensures that choices are made efficiently and effectively, with clear accountability and responsibility lines. The matrix structure allows the bank to capitalise on its worldwide reach and experience while responding to local market circumstances.</w:t>
      </w:r>
    </w:p>
    <w:p>
      <w:pPr>
        <w:pStyle w:val="Heading2"/>
        <w:rPr/>
      </w:pPr>
      <w:bookmarkStart w:id="3" w:name="_Toc130988594"/>
      <w:r>
        <w:rPr/>
        <w:t>Effect on Organisational Performance</w:t>
      </w:r>
      <w:bookmarkEnd w:id="3"/>
    </w:p>
    <w:p>
      <w:pPr>
        <w:pStyle w:val="Normal"/>
        <w:rPr/>
      </w:pPr>
      <w:r>
        <w:rPr/>
        <w:t>HSBC's organisational performance is significantly influenced by its organisational structure. The bank's hierarchical structure ensures that decisions are made quickly and effectively, with clear lines of authority and accountability. This allows the bank to adapt swiftly and effectively to market developments, allowing it to keep its competitive advantage.</w:t>
      </w:r>
    </w:p>
    <w:p>
      <w:pPr>
        <w:pStyle w:val="Normal"/>
        <w:rPr/>
      </w:pPr>
      <w:r>
        <w:rPr/>
        <w:t>HSBC's matrix organisational structure enables the bank to capitalise on its worldwide reach and experience while also responding to local market circumstances (Oliver, 2018). This allows the bank to provide customised services and products to its clients, therefore enhancing their pleasure and loyalty. Moreover, the matrix structure enables the bank to innovate and create new products and services by facilitating information exchange and cooperation across various business sectors and locations.</w:t>
      </w:r>
    </w:p>
    <w:p>
      <w:pPr>
        <w:pStyle w:val="Normal"/>
        <w:rPr/>
      </w:pPr>
      <w:r>
        <w:rPr/>
        <w:t>Yet, HSBC's complicated organisational structure might sometimes provide obstacles. Coordination and communication across many company sectors and geographies may be challenging, and there is a danger of redundancy and inefficiency (Luhmann, 2018). This may have an effect on the bank's overall performance and its capacity to react rapidly to market developments.</w:t>
      </w:r>
    </w:p>
    <w:p>
      <w:pPr>
        <w:pStyle w:val="Normal"/>
        <w:rPr/>
      </w:pPr>
      <w:r>
        <w:rPr/>
        <w:t>Overall, HSBC's organisational structure is essential to the bank's performance, allowing it to manage the complexity of the global banking sector and provide value to clients and shareholders. Key to the organization's effectiveness is the bank's capacity to strike a balance between local responsiveness and global coordination.</w:t>
      </w:r>
    </w:p>
    <w:p>
      <w:pPr>
        <w:pStyle w:val="Heading1"/>
        <w:rPr/>
      </w:pPr>
      <w:bookmarkStart w:id="4" w:name="_Toc130988595"/>
      <w:r>
        <w:rPr/>
        <w:t>Organisational Culture</w:t>
      </w:r>
      <w:bookmarkEnd w:id="4"/>
    </w:p>
    <w:p>
      <w:pPr>
        <w:pStyle w:val="Normal"/>
        <w:rPr>
          <w:lang w:val="en-US"/>
        </w:rPr>
      </w:pPr>
      <w:r>
        <w:rPr>
          <w:lang w:val="en-US"/>
        </w:rPr>
        <w:t>The corporate culture of HSBC places a heavy emphasis on customer service, ethical conduct, and professionalism. According to the bank's "Values and Business Principles," its principles include being receptive to diverse ideas and cultures, being reliable and doing the right thing, and putting clients' needs first.</w:t>
      </w:r>
    </w:p>
    <w:p>
      <w:pPr>
        <w:pStyle w:val="Normal"/>
        <w:rPr>
          <w:lang w:val="en-US"/>
        </w:rPr>
      </w:pPr>
      <w:r>
        <w:rPr>
          <w:lang w:val="en-US"/>
        </w:rPr>
        <w:t xml:space="preserve">The bank's culture is influenced by many elements, including its history, leadership, and staff conduct. HSBC has a long history of servicing clients from many areas and cultures, which has contributed to the development of its culture of openness and flexibility </w:t>
      </w:r>
      <w:r>
        <w:rPr/>
        <w:t>(Luhmann, 2018)</w:t>
      </w:r>
      <w:r>
        <w:rPr>
          <w:lang w:val="en-US"/>
        </w:rPr>
        <w:t>. The bank's leadership, including the Group Chairman and Group Chief Executive, play a crucial role in defining the bank's culture, setting the tone from the top and ensuring staff alignment with the bank's values and objectives.</w:t>
      </w:r>
    </w:p>
    <w:p>
      <w:pPr>
        <w:pStyle w:val="Normal"/>
        <w:rPr>
          <w:lang w:val="en-US"/>
        </w:rPr>
      </w:pPr>
      <w:r>
        <w:rPr>
          <w:lang w:val="en-US"/>
        </w:rPr>
        <w:t>Employees are required to maintain the bank's principles and conduct themselves in an ethical and professional way. The employee code of conduct, which is based on the bank's "Values and Business Principles," defines behavioural requirements, such as compliance with laws and regulations, honesty and integrity, and respect for others.</w:t>
      </w:r>
    </w:p>
    <w:p>
      <w:pPr>
        <w:pStyle w:val="Normal"/>
        <w:rPr>
          <w:lang w:val="en-US"/>
        </w:rPr>
      </w:pPr>
      <w:r>
        <w:rPr>
          <w:lang w:val="en-US"/>
        </w:rPr>
        <w:t xml:space="preserve">HSBC's organisational culture is amenable to theories such as </w:t>
      </w:r>
      <w:r>
        <w:rPr>
          <w:b/>
          <w:i/>
          <w:lang w:val="en-US"/>
        </w:rPr>
        <w:t>Schein's model of organisational culture</w:t>
      </w:r>
      <w:r>
        <w:rPr>
          <w:lang w:val="en-US"/>
        </w:rPr>
        <w:t xml:space="preserve"> and </w:t>
      </w:r>
      <w:r>
        <w:rPr>
          <w:b/>
          <w:i/>
          <w:lang w:val="en-US"/>
        </w:rPr>
        <w:t xml:space="preserve">Cameron and Quinn's Competing Values Framework </w:t>
      </w:r>
      <w:r>
        <w:rPr/>
        <w:t>(Fan, 2020)</w:t>
      </w:r>
      <w:r>
        <w:rPr>
          <w:lang w:val="en-US"/>
        </w:rPr>
        <w:t>. Schein's approach stresses the significance of assumptions, values, and artefacts in culture formation, while Cameron and Quinn's framework emphasises the balance between various cultural elements, such as flexibility against control and internal vs exterior emphasis.</w:t>
      </w:r>
    </w:p>
    <w:p>
      <w:pPr>
        <w:pStyle w:val="Normal"/>
        <w:rPr>
          <w:lang w:val="en-US"/>
        </w:rPr>
      </w:pPr>
      <w:r>
        <w:rPr>
          <w:lang w:val="en-US"/>
        </w:rPr>
        <w:t>Overall, the organisational culture of HSBC is a significant contributor to the bank's performance, allowing it to create great client connections, recruit and retain bright workers, and preserve its image as a trustworthy and ethical financial institution.</w:t>
      </w:r>
    </w:p>
    <w:p>
      <w:pPr>
        <w:pStyle w:val="Heading2"/>
        <w:rPr/>
      </w:pPr>
      <w:bookmarkStart w:id="5" w:name="_Toc130988596"/>
      <w:r>
        <w:rPr/>
        <w:t>Impact on Organisational Performance</w:t>
      </w:r>
      <w:bookmarkEnd w:id="5"/>
    </w:p>
    <w:p>
      <w:pPr>
        <w:pStyle w:val="Normal"/>
        <w:rPr/>
      </w:pPr>
      <w:r>
        <w:rPr/>
        <w:t>HSBC's organisational performance is significantly influenced by its organisational culture. The bank's emphasis on client service, ethical conduct, and professionalism has contributed to its image as a reputable and trustworthy financial organisation.</w:t>
      </w:r>
    </w:p>
    <w:p>
      <w:pPr>
        <w:pStyle w:val="Normal"/>
        <w:rPr/>
      </w:pPr>
      <w:r>
        <w:rPr/>
        <w:t>HSBC's culture of openness and flexibility has also helped the bank to adjust swiftly and effectively to market developments, therefore preserving its competitive advantage. Employees of the bank are required to respect the bank's principles and conduct themselves in an ethical and professional way, which has contributed to the establishment of a culture of trust and accountability (Fan, 2020).</w:t>
      </w:r>
    </w:p>
    <w:p>
      <w:pPr>
        <w:pStyle w:val="Normal"/>
        <w:rPr/>
      </w:pPr>
      <w:r>
        <w:rPr/>
        <w:t>In addition, the organisational culture of HSBC has helped to recruit and retain exceptional individuals who share the bank's values and objectives. This has contributed to the bank's robust and motivated personnel, which is essential to its long-term success.</w:t>
      </w:r>
    </w:p>
    <w:p>
      <w:pPr>
        <w:pStyle w:val="Normal"/>
        <w:rPr/>
      </w:pPr>
      <w:r>
        <w:rPr/>
        <w:t>HSBC's corporate culture has a substantial influence on its organisational performance, impacting its reputation, responsiveness to market changes, and the calibre of its staff. It is essential to the bank's success that its culture be tightly connected with its strategic aims and objectives.</w:t>
      </w:r>
    </w:p>
    <w:p>
      <w:pPr>
        <w:pStyle w:val="Heading1"/>
        <w:rPr/>
      </w:pPr>
      <w:bookmarkStart w:id="6" w:name="_Toc130988597"/>
      <w:r>
        <w:rPr/>
        <w:t>Leadership in HSBC</w:t>
      </w:r>
      <w:bookmarkEnd w:id="6"/>
    </w:p>
    <w:p>
      <w:pPr>
        <w:pStyle w:val="Normal"/>
        <w:rPr>
          <w:lang w:val="en-US"/>
        </w:rPr>
      </w:pPr>
      <w:r>
        <w:rPr>
          <w:lang w:val="en-US"/>
        </w:rPr>
        <w:t xml:space="preserve">The vision, purpose, and values of HSBC's leadership are meant to guarantee that the bank provides long-term value to its stakeholders. The bank's leadership team is responsible for establishing the bank's strategic direction, managing its operations, and ensuring that the bank achieves its financial and non-financial objectives </w:t>
      </w:r>
      <w:r>
        <w:rPr/>
        <w:t>(Colombo, 2020)</w:t>
      </w:r>
      <w:r>
        <w:rPr>
          <w:lang w:val="en-US"/>
        </w:rPr>
        <w:t>.</w:t>
      </w:r>
    </w:p>
    <w:p>
      <w:pPr>
        <w:pStyle w:val="Normal"/>
        <w:rPr>
          <w:lang w:val="en-US"/>
        </w:rPr>
      </w:pPr>
      <w:r>
        <w:rPr>
          <w:lang w:val="en-US"/>
        </w:rPr>
        <w:t xml:space="preserve">Many ideas, theories, and frameworks may be used to examine HSBC's leadership. One such framework is </w:t>
      </w:r>
      <w:r>
        <w:rPr>
          <w:b/>
          <w:i/>
          <w:lang w:val="en-US"/>
        </w:rPr>
        <w:t>the transformational leadership</w:t>
      </w:r>
      <w:r>
        <w:rPr>
          <w:lang w:val="en-US"/>
        </w:rPr>
        <w:t xml:space="preserve"> paradigm, which stresses the significance of inspiring and motivating followers to accomplish shared objectives </w:t>
      </w:r>
      <w:r>
        <w:rPr/>
        <w:t>(Alblas &amp; Wijsman, 2021)</w:t>
      </w:r>
      <w:r>
        <w:rPr>
          <w:lang w:val="en-US"/>
        </w:rPr>
        <w:t>. Leadership at HSBC emphasises encouraging and motivating staff to accomplish the bank's strategic objectives. In addition, the bank's leadership puts a heavy focus on talent development and leadership development across the business.</w:t>
      </w:r>
    </w:p>
    <w:p>
      <w:pPr>
        <w:pStyle w:val="Normal"/>
        <w:rPr>
          <w:lang w:val="en-US"/>
        </w:rPr>
      </w:pPr>
      <w:r>
        <w:rPr>
          <w:lang w:val="en-US"/>
        </w:rPr>
        <w:t xml:space="preserve">Another notion applicable to HSBC's leadership is </w:t>
      </w:r>
      <w:r>
        <w:rPr>
          <w:b/>
          <w:i/>
          <w:lang w:val="en-US"/>
        </w:rPr>
        <w:t>the ethical leadership model</w:t>
      </w:r>
      <w:r>
        <w:rPr>
          <w:lang w:val="en-US"/>
        </w:rPr>
        <w:t xml:space="preserve">, which stresses the significance of setting the tone from the top and guaranteeing workers' ethical and responsible conduct </w:t>
      </w:r>
      <w:r>
        <w:rPr/>
        <w:t>(Colombo, 2020)</w:t>
      </w:r>
      <w:r>
        <w:rPr>
          <w:lang w:val="en-US"/>
        </w:rPr>
        <w:t>. Leadership at HSBC is driven by the firm's "Values and Business Principles," which are aimed to ensure the bank works ethically and responsibly.</w:t>
      </w:r>
    </w:p>
    <w:p>
      <w:pPr>
        <w:pStyle w:val="Normal"/>
        <w:rPr>
          <w:lang w:val="en-US"/>
        </w:rPr>
      </w:pPr>
      <w:r>
        <w:rPr>
          <w:b/>
          <w:i/>
          <w:lang w:val="en-US"/>
        </w:rPr>
        <w:t>Strategic leadership,</w:t>
      </w:r>
      <w:r>
        <w:rPr>
          <w:lang w:val="en-US"/>
        </w:rPr>
        <w:t xml:space="preserve"> which stresses the significance of connecting the organization's strategy with its goals and objectives, likewise guides HSBC's leadership. The leadership team of HSBC is responsible for establishing the bank's strategic direction, defining important priorities and projects, and ensuring that the bank's operations are consistent with its strategic objectives.</w:t>
      </w:r>
    </w:p>
    <w:p>
      <w:pPr>
        <w:pStyle w:val="Normal"/>
        <w:rPr>
          <w:lang w:val="en-US"/>
        </w:rPr>
      </w:pPr>
      <w:r>
        <w:rPr>
          <w:lang w:val="en-US"/>
        </w:rPr>
        <w:t xml:space="preserve">Also, the leadership of HSBC is distinguished by an emphasis on diversity and inclusion. Diverse origins and cultures are represented on the bank's executive team, which ensures that the bank can comprehend and react to the demands of its broad client base </w:t>
      </w:r>
      <w:r>
        <w:rPr/>
        <w:t>(Braithwaite, 2016)</w:t>
      </w:r>
      <w:r>
        <w:rPr>
          <w:lang w:val="en-US"/>
        </w:rPr>
        <w:t>.</w:t>
      </w:r>
    </w:p>
    <w:p>
      <w:pPr>
        <w:pStyle w:val="Normal"/>
        <w:rPr>
          <w:lang w:val="en-US"/>
        </w:rPr>
      </w:pPr>
      <w:r>
        <w:rPr>
          <w:lang w:val="en-US"/>
        </w:rPr>
        <w:t>HSBC's leadership is defined by an emphasis on inspiring and motivating workers, developing talent and leadership skills, doing business in an ethical and responsible way, connecting the organization's strategy with its goals and objectives, and fostering diversity and inclusion. The leadership team of the bank plays a vital role in defining the bank's culture and ensuring that it provides long-term value to its stakeholders.</w:t>
      </w:r>
    </w:p>
    <w:p>
      <w:pPr>
        <w:pStyle w:val="Heading1"/>
        <w:rPr/>
      </w:pPr>
      <w:bookmarkStart w:id="7" w:name="_Toc130988598"/>
      <w:r>
        <w:rPr/>
        <w:t>Motivating the employees</w:t>
      </w:r>
      <w:bookmarkEnd w:id="7"/>
      <w:r>
        <w:rPr/>
        <w:t xml:space="preserve"> </w:t>
      </w:r>
    </w:p>
    <w:p>
      <w:pPr>
        <w:pStyle w:val="Normal"/>
        <w:rPr>
          <w:lang w:val="en-US"/>
        </w:rPr>
      </w:pPr>
      <w:r>
        <w:rPr>
          <w:lang w:val="en-US"/>
        </w:rPr>
        <w:t>The motivation of workers is essential to the success of every firm, and HSBC is no different. The bank's approach to employee motivation is informed by several ideas, philosophies, and frameworks that contribute to the creation of a pleasant work environment that encourages employee engagement and dedication.</w:t>
      </w:r>
    </w:p>
    <w:p>
      <w:pPr>
        <w:pStyle w:val="Normal"/>
        <w:rPr/>
      </w:pPr>
      <w:r>
        <w:rPr>
          <w:b/>
          <w:i/>
          <w:lang w:val="en-US"/>
        </w:rPr>
        <w:t>Maslow's Hierarchy of Needs</w:t>
      </w:r>
      <w:r>
        <w:rPr>
          <w:lang w:val="en-US"/>
        </w:rPr>
        <w:t xml:space="preserve"> is one theory that may be used to HSBC's motivation process. This theory claims that individuals are driven by a succession of demands ranging from physiological requirements to higher-level wants, such as self-actualization. HSBC acknowledges that its workers have diverse needs and goals, and the bank offers a variety of programmes and initiatives to satisfy these demands </w:t>
      </w:r>
      <w:r>
        <w:rPr/>
        <w:t>(Chevalier, 2017)</w:t>
      </w:r>
      <w:r>
        <w:rPr>
          <w:lang w:val="en-US"/>
        </w:rPr>
        <w:t>. For instance, the bank provides a comprehensive benefits package that includes health insurance, retirement savings programmes, and flexible work arrangements to assist meet the physiological and safety demands of its workers. In addition, HSBC provides a variety of training and development programmes, leadership development programmes, and career progression possibilities to assist workers achieve self-actualization and personal growth.</w:t>
      </w:r>
    </w:p>
    <w:p>
      <w:pPr>
        <w:pStyle w:val="Normal"/>
        <w:rPr/>
      </w:pPr>
      <w:r>
        <w:rPr>
          <w:b/>
          <w:i/>
          <w:lang w:val="en-US"/>
        </w:rPr>
        <w:t>The Herzberg Two-Factor Theory</w:t>
      </w:r>
      <w:r>
        <w:rPr>
          <w:lang w:val="en-US"/>
        </w:rPr>
        <w:t xml:space="preserve"> proposes that work happiness and discontent are impacted by two sets of elements: hygiene considerations and motivators </w:t>
      </w:r>
      <w:r>
        <w:rPr/>
        <w:t>(Chevalier, 2017)</w:t>
      </w:r>
      <w:r>
        <w:rPr>
          <w:lang w:val="en-US"/>
        </w:rPr>
        <w:t xml:space="preserve">. This theory may be applied to HSBC's motivation process. The absence of hygiene variables like as compensation, working environment, and corporate rules may contribute to job discontent. Motivators, on the other hand, include things like recognition, accomplishment, and development possibilities, which may contribute to work satisfaction. HSBC acknowledges the significance of both hygiene issues and motivators in employee engagement and has launched a number of programmes and efforts to address both sets of elements </w:t>
      </w:r>
      <w:r>
        <w:rPr/>
        <w:t>(Braithwaite, 2016)</w:t>
      </w:r>
      <w:r>
        <w:rPr>
          <w:lang w:val="en-US"/>
        </w:rPr>
        <w:t>. In addition to recognising and rewarding workers for their efforts, the bank offers a competitive wage and benefits package, a friendly work environment, and prospects for career progression.</w:t>
      </w:r>
    </w:p>
    <w:p>
      <w:pPr>
        <w:pStyle w:val="Normal"/>
        <w:rPr>
          <w:lang w:val="en-US"/>
        </w:rPr>
      </w:pPr>
      <w:r>
        <w:rPr>
          <w:lang w:val="en-US"/>
        </w:rPr>
        <w:t>The motivation process at HSBC is led by a variety of ideas, theories, and frameworks that contribute to the creation of a pleasant work environment that encourages employee engagement and dedication.</w:t>
      </w:r>
    </w:p>
    <w:p>
      <w:pPr>
        <w:pStyle w:val="Heading1"/>
        <w:rPr/>
      </w:pPr>
      <w:bookmarkStart w:id="8" w:name="_Toc130988599"/>
      <w:r>
        <w:rPr/>
        <w:t>Conclusion</w:t>
      </w:r>
      <w:bookmarkEnd w:id="8"/>
      <w:r>
        <w:rPr/>
        <w:t xml:space="preserve"> </w:t>
      </w:r>
    </w:p>
    <w:p>
      <w:pPr>
        <w:pStyle w:val="Normal"/>
        <w:rPr>
          <w:lang w:val="en-US"/>
        </w:rPr>
      </w:pPr>
      <w:r>
        <w:rPr>
          <w:lang w:val="en-US"/>
        </w:rPr>
        <w:t>The relationship between organizational structure, culture, people, and organizational performance is a complex and multifaceted area of study. This report has analyzed the relationship between these four factors and their impact on organizational performance, using HSBC as a case study. The report has shown that a well-designed organizational structure that is aligned with the organization's culture, values, and strategic goals can significantly impact its performance. Additionally, a strong organizational culture that emphasizes professionalism, ethical behavior, and customer service can help attract and retain talented employees and maintain a motivated workforce. Ultimately, a motivated and engaged workforce is crucial for achieving organizational performance and delivering long-term value to stakeholders.</w:t>
      </w:r>
    </w:p>
    <w:p>
      <w:pPr>
        <w:pStyle w:val="Normal"/>
        <w:spacing w:lineRule="auto" w:line="276" w:before="0" w:after="200"/>
        <w:jc w:val="left"/>
        <w:rPr/>
      </w:pPr>
      <w:r>
        <w:rPr/>
      </w:r>
      <w:bookmarkStart w:id="9" w:name="_Toc130988600"/>
      <w:bookmarkStart w:id="10" w:name="_Toc130988600"/>
      <w:r>
        <w:br w:type="page"/>
      </w:r>
    </w:p>
    <w:p>
      <w:pPr>
        <w:pStyle w:val="Heading1"/>
        <w:rPr/>
      </w:pPr>
      <w:bookmarkStart w:id="11" w:name="_Toc130988600"/>
      <w:r>
        <w:rPr/>
        <w:t>References</w:t>
      </w:r>
      <w:bookmarkEnd w:id="11"/>
    </w:p>
    <w:p>
      <w:pPr>
        <w:pStyle w:val="Normal"/>
        <w:rPr/>
      </w:pPr>
      <w:r>
        <w:rPr/>
        <w:t xml:space="preserve">Alblas, G. and Wijsman, E. (2021) “Organisational structure,” </w:t>
      </w:r>
      <w:r>
        <w:rPr>
          <w:i/>
          <w:iCs/>
        </w:rPr>
        <w:t>Organisational Behaviour</w:t>
      </w:r>
      <w:r>
        <w:rPr/>
        <w:t xml:space="preserve">, pp. 238–284. Available at: https://doi.org/10.4324/9781003194736-8. </w:t>
      </w:r>
    </w:p>
    <w:p>
      <w:pPr>
        <w:pStyle w:val="Normal"/>
        <w:rPr/>
      </w:pPr>
      <w:r>
        <w:rPr/>
        <w:t xml:space="preserve">Braithwaite, R. (2016) </w:t>
      </w:r>
      <w:r>
        <w:rPr>
          <w:i/>
          <w:iCs/>
        </w:rPr>
        <w:t>Managing Workplace</w:t>
      </w:r>
      <w:r>
        <w:rPr/>
        <w:t xml:space="preserve">. London, UK: Routledge. </w:t>
      </w:r>
    </w:p>
    <w:p>
      <w:pPr>
        <w:pStyle w:val="Normal"/>
        <w:rPr/>
      </w:pPr>
      <w:r>
        <w:rPr/>
        <w:t xml:space="preserve">Chevalier, J. (2017) </w:t>
      </w:r>
      <w:r>
        <w:rPr>
          <w:i/>
          <w:iCs/>
        </w:rPr>
        <w:t>Organisation</w:t>
      </w:r>
      <w:r>
        <w:rPr/>
        <w:t xml:space="preserve">. Paris, France: Dunod. </w:t>
      </w:r>
    </w:p>
    <w:p>
      <w:pPr>
        <w:pStyle w:val="Normal"/>
        <w:rPr/>
      </w:pPr>
      <w:r>
        <w:rPr/>
        <w:t xml:space="preserve">Colombo, N. (2020) “Analysing HSBC,” </w:t>
      </w:r>
      <w:r>
        <w:rPr>
          <w:i/>
          <w:iCs/>
        </w:rPr>
        <w:t>European Competition and Regulatory Law Review</w:t>
      </w:r>
      <w:r>
        <w:rPr/>
        <w:t xml:space="preserve">, 4(1), pp. 40–44. Available at: https://doi.org/10.21552/core/2020/1/10. </w:t>
      </w:r>
    </w:p>
    <w:p>
      <w:pPr>
        <w:pStyle w:val="Normal"/>
        <w:rPr/>
      </w:pPr>
      <w:r>
        <w:rPr/>
        <w:t xml:space="preserve">Fan, W. (2020) “Workplace flexibility,” </w:t>
      </w:r>
      <w:r>
        <w:rPr>
          <w:i/>
          <w:iCs/>
        </w:rPr>
        <w:t>Sociology</w:t>
      </w:r>
      <w:r>
        <w:rPr/>
        <w:t xml:space="preserve"> [Preprint]. Available at: https://doi.org/10.1093/obo/9780199756384-0233. </w:t>
      </w:r>
    </w:p>
    <w:p>
      <w:pPr>
        <w:pStyle w:val="Normal"/>
        <w:rPr/>
      </w:pPr>
      <w:r>
        <w:rPr/>
        <w:t xml:space="preserve">Luhmann, N. (2018) “Organisation,” </w:t>
      </w:r>
      <w:r>
        <w:rPr>
          <w:i/>
          <w:iCs/>
        </w:rPr>
        <w:t>Facets of Organisation</w:t>
      </w:r>
      <w:r>
        <w:rPr/>
        <w:t xml:space="preserve">, pp. 385–413. Available at: https://doi.org/10.1007/978-3-658-22503-2_20. </w:t>
      </w:r>
    </w:p>
    <w:p>
      <w:pPr>
        <w:pStyle w:val="Normal"/>
        <w:rPr/>
      </w:pPr>
      <w:r>
        <w:rPr/>
        <w:t xml:space="preserve">Oliver, G. (2018) “The significance of organisational culture,” </w:t>
      </w:r>
      <w:r>
        <w:rPr>
          <w:i/>
          <w:iCs/>
        </w:rPr>
        <w:t>Organisational Culture for Information Managers</w:t>
      </w:r>
      <w:r>
        <w:rPr/>
        <w:t xml:space="preserve">, pp. 7–31. Available at: https://doi.org/10.1016/b978-1-84334-650-0.50001-1. </w:t>
      </w:r>
    </w:p>
    <w:p>
      <w:pPr>
        <w:pStyle w:val="Normal"/>
        <w:rPr/>
      </w:pPr>
      <w:r>
        <w:rPr/>
        <w:t xml:space="preserve">Rainbird, H. (2016) “Training in the workplace and workplace learning: Introduction,” </w:t>
      </w:r>
      <w:r>
        <w:rPr>
          <w:i/>
          <w:iCs/>
        </w:rPr>
        <w:t>Training in the Workplace</w:t>
      </w:r>
      <w:r>
        <w:rPr/>
        <w:t xml:space="preserve">, pp. 1–17. Available at: https://doi.org/10.1007/978-0-230-21276-3_1. </w:t>
      </w:r>
    </w:p>
    <w:p>
      <w:pPr>
        <w:pStyle w:val="Normal"/>
        <w:rPr/>
      </w:pPr>
      <w:r>
        <w:rPr/>
        <w:t xml:space="preserve">Savicki, V. (2022) “Culture and burnout in the Workplace,” </w:t>
      </w:r>
      <w:r>
        <w:rPr>
          <w:i/>
          <w:iCs/>
        </w:rPr>
        <w:t>Culture and Burnout in the Workplace</w:t>
      </w:r>
      <w:r>
        <w:rPr/>
        <w:t xml:space="preserve"> [Preprint]. Available at: https://doi.org/10.4324/9780367198459-reprw153-1. </w:t>
      </w:r>
    </w:p>
    <w:p>
      <w:pPr>
        <w:pStyle w:val="Normal"/>
        <w:rPr/>
      </w:pPr>
      <w:r>
        <w:rPr/>
        <w:t xml:space="preserve">Smith, S. (2019) </w:t>
      </w:r>
      <w:r>
        <w:rPr>
          <w:i/>
          <w:iCs/>
        </w:rPr>
        <w:t>Workplace</w:t>
      </w:r>
      <w:r>
        <w:rPr/>
        <w:t xml:space="preserve">. Broomall: Mason Crest, an imprint of National Highlights, Inc. </w:t>
      </w:r>
    </w:p>
    <w:p>
      <w:pPr>
        <w:pStyle w:val="Normal"/>
        <w:spacing w:before="0" w:after="160"/>
        <w:rPr/>
      </w:pPr>
      <w:r>
        <w:rPr/>
      </w:r>
    </w:p>
    <w:sectPr>
      <w:footerReference w:type="default" r:id="rId2"/>
      <w:type w:val="nextPage"/>
      <w:pgSz w:w="12240" w:h="15840"/>
      <w:pgMar w:left="1440" w:right="1440" w:header="0" w:top="1440" w:footer="1440" w:bottom="1999"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mbria">
    <w:charset w:val="00"/>
    <w:family w:val="roman"/>
    <w:pitch w:val="variable"/>
  </w:font>
  <w:font w:name="Tahoma">
    <w:charset w:val="00"/>
    <w:family w:val="roman"/>
    <w:pitch w:val="variable"/>
  </w:font>
  <w:font w:name="Liberation Sans">
    <w:altName w:val="Arial"/>
    <w:charset w:val="00"/>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spacing w:before="0" w:after="160"/>
      <w:rPr/>
    </w:pPr>
    <w:r>
      <w:rPr/>
    </w:r>
  </w:p>
</w:ftr>
</file>

<file path=word/settings.xml><?xml version="1.0" encoding="utf-8"?>
<w:settings xmlns:w="http://schemas.openxmlformats.org/wordprocessingml/2006/main">
  <w:zoom w:percent="166"/>
  <w:defaultTabStop w:val="72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themeFontLang w:val="en-US" w:eastAsia="" w:bidi="bn-IN"/>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Vrinda" w:asciiTheme="minorHAnsi" w:cstheme="minorBidi" w:eastAsiaTheme="minorHAnsi" w:hAnsiTheme="minorHAnsi"/>
        <w:szCs w:val="22"/>
        <w:lang w:val="en-US"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72544"/>
    <w:pPr>
      <w:widowControl/>
      <w:bidi w:val="0"/>
      <w:spacing w:lineRule="auto" w:line="360" w:before="0" w:after="160"/>
      <w:jc w:val="both"/>
    </w:pPr>
    <w:rPr>
      <w:rFonts w:ascii="Times New Roman" w:hAnsi="Times New Roman" w:eastAsia="Calibri" w:cs="Vrinda" w:cstheme="minorBidi" w:eastAsiaTheme="minorHAnsi"/>
      <w:color w:val="auto"/>
      <w:kern w:val="0"/>
      <w:sz w:val="24"/>
      <w:szCs w:val="22"/>
      <w:lang w:val="en-GB" w:eastAsia="en-US" w:bidi="ar-SA"/>
    </w:rPr>
  </w:style>
  <w:style w:type="paragraph" w:styleId="Heading1">
    <w:name w:val="Heading 1"/>
    <w:basedOn w:val="Normal"/>
    <w:next w:val="Normal"/>
    <w:link w:val="Heading1Char"/>
    <w:autoRedefine/>
    <w:uiPriority w:val="9"/>
    <w:qFormat/>
    <w:rsid w:val="007012cd"/>
    <w:pPr>
      <w:keepNext w:val="true"/>
      <w:keepLines/>
      <w:spacing w:before="480" w:after="0"/>
      <w:outlineLvl w:val="0"/>
    </w:pPr>
    <w:rPr>
      <w:rFonts w:eastAsia="" w:cs="Vrinda" w:cstheme="majorBidi" w:eastAsiaTheme="majorEastAsia"/>
      <w:b/>
      <w:bCs/>
      <w:color w:val="365F91" w:themeColor="accent1" w:themeShade="bf"/>
      <w:sz w:val="32"/>
      <w:szCs w:val="28"/>
      <w:lang w:val="en-US"/>
    </w:rPr>
  </w:style>
  <w:style w:type="paragraph" w:styleId="Heading2">
    <w:name w:val="Heading 2"/>
    <w:basedOn w:val="Normal"/>
    <w:next w:val="Normal"/>
    <w:link w:val="Heading2Char"/>
    <w:autoRedefine/>
    <w:uiPriority w:val="9"/>
    <w:unhideWhenUsed/>
    <w:qFormat/>
    <w:rsid w:val="00b5030a"/>
    <w:pPr>
      <w:keepNext w:val="true"/>
      <w:keepLines/>
      <w:spacing w:before="40" w:after="0"/>
      <w:outlineLvl w:val="1"/>
    </w:pPr>
    <w:rPr>
      <w:rFonts w:eastAsia="" w:cs="Vrinda" w:cstheme="majorBidi" w:eastAsiaTheme="majorEastAsia"/>
      <w:b/>
      <w:color w:val="365F91" w:themeColor="accent1" w:themeShade="bf"/>
      <w:sz w:val="30"/>
      <w:szCs w:val="26"/>
    </w:rPr>
  </w:style>
  <w:style w:type="paragraph" w:styleId="Heading3">
    <w:name w:val="Heading 3"/>
    <w:basedOn w:val="Normal"/>
    <w:next w:val="Normal"/>
    <w:link w:val="Heading3Char"/>
    <w:autoRedefine/>
    <w:uiPriority w:val="9"/>
    <w:unhideWhenUsed/>
    <w:qFormat/>
    <w:rsid w:val="00b5030a"/>
    <w:pPr>
      <w:keepNext w:val="true"/>
      <w:keepLines/>
      <w:spacing w:before="40" w:after="0"/>
      <w:outlineLvl w:val="2"/>
    </w:pPr>
    <w:rPr>
      <w:rFonts w:eastAsia="" w:cs="Vrinda" w:cstheme="majorBidi" w:eastAsiaTheme="majorEastAsia"/>
      <w:b/>
      <w:color w:val="0070C0"/>
      <w:sz w:val="28"/>
      <w:szCs w:val="24"/>
    </w:rPr>
  </w:style>
  <w:style w:type="paragraph" w:styleId="Heading4">
    <w:name w:val="Heading 4"/>
    <w:basedOn w:val="Normal"/>
    <w:next w:val="Normal"/>
    <w:link w:val="Heading4Char"/>
    <w:autoRedefine/>
    <w:uiPriority w:val="9"/>
    <w:semiHidden/>
    <w:unhideWhenUsed/>
    <w:qFormat/>
    <w:rsid w:val="00b5030a"/>
    <w:pPr>
      <w:keepNext w:val="true"/>
      <w:keepLines/>
      <w:spacing w:before="40" w:after="0"/>
      <w:outlineLvl w:val="3"/>
    </w:pPr>
    <w:rPr>
      <w:rFonts w:eastAsia="" w:cs="Vrinda" w:cstheme="majorBidi" w:eastAsiaTheme="majorEastAsia"/>
      <w:b/>
      <w:i/>
      <w:iCs/>
      <w:color w:val="365F91" w:themeColor="accent1" w:themeShade="bf"/>
      <w:sz w:val="26"/>
    </w:rPr>
  </w:style>
  <w:style w:type="character" w:styleId="DefaultParagraphFont" w:default="1">
    <w:name w:val="Default Paragraph Font"/>
    <w:uiPriority w:val="1"/>
    <w:semiHidden/>
    <w:unhideWhenUsed/>
    <w:qFormat/>
    <w:rPr/>
  </w:style>
  <w:style w:type="character" w:styleId="Heading2Char" w:customStyle="1">
    <w:name w:val="Heading 2 Char"/>
    <w:basedOn w:val="DefaultParagraphFont"/>
    <w:link w:val="Heading2"/>
    <w:uiPriority w:val="9"/>
    <w:qFormat/>
    <w:rsid w:val="00b5030a"/>
    <w:rPr>
      <w:rFonts w:ascii="Times New Roman" w:hAnsi="Times New Roman" w:eastAsia="" w:cs="Vrinda" w:cstheme="majorBidi" w:eastAsiaTheme="majorEastAsia"/>
      <w:b/>
      <w:color w:val="365F91" w:themeColor="accent1" w:themeShade="bf"/>
      <w:sz w:val="30"/>
      <w:szCs w:val="26"/>
      <w:lang w:val="en-GB"/>
    </w:rPr>
  </w:style>
  <w:style w:type="character" w:styleId="Heading3Char" w:customStyle="1">
    <w:name w:val="Heading 3 Char"/>
    <w:basedOn w:val="DefaultParagraphFont"/>
    <w:link w:val="Heading3"/>
    <w:uiPriority w:val="9"/>
    <w:qFormat/>
    <w:rsid w:val="00b5030a"/>
    <w:rPr>
      <w:rFonts w:ascii="Times New Roman" w:hAnsi="Times New Roman" w:eastAsia="" w:cs="Vrinda" w:cstheme="majorBidi" w:eastAsiaTheme="majorEastAsia"/>
      <w:b/>
      <w:color w:val="0070C0"/>
      <w:sz w:val="28"/>
      <w:szCs w:val="24"/>
      <w:lang w:val="en-GB"/>
    </w:rPr>
  </w:style>
  <w:style w:type="character" w:styleId="Heading1Char" w:customStyle="1">
    <w:name w:val="Heading 1 Char"/>
    <w:basedOn w:val="DefaultParagraphFont"/>
    <w:link w:val="Heading1"/>
    <w:uiPriority w:val="9"/>
    <w:qFormat/>
    <w:rsid w:val="007012cd"/>
    <w:rPr>
      <w:rFonts w:ascii="Times New Roman" w:hAnsi="Times New Roman" w:eastAsia="" w:cs="Vrinda" w:cstheme="majorBidi" w:eastAsiaTheme="majorEastAsia"/>
      <w:b/>
      <w:bCs/>
      <w:color w:val="365F91" w:themeColor="accent1" w:themeShade="bf"/>
      <w:sz w:val="32"/>
      <w:szCs w:val="28"/>
    </w:rPr>
  </w:style>
  <w:style w:type="character" w:styleId="Heading4Char" w:customStyle="1">
    <w:name w:val="Heading 4 Char"/>
    <w:basedOn w:val="DefaultParagraphFont"/>
    <w:link w:val="Heading4"/>
    <w:uiPriority w:val="9"/>
    <w:semiHidden/>
    <w:qFormat/>
    <w:rsid w:val="00b5030a"/>
    <w:rPr>
      <w:rFonts w:ascii="Times New Roman" w:hAnsi="Times New Roman" w:eastAsia="" w:cs="Vrinda" w:cstheme="majorBidi" w:eastAsiaTheme="majorEastAsia"/>
      <w:b/>
      <w:i/>
      <w:iCs/>
      <w:color w:val="365F91" w:themeColor="accent1" w:themeShade="bf"/>
      <w:sz w:val="26"/>
      <w:lang w:val="en-GB"/>
    </w:rPr>
  </w:style>
  <w:style w:type="character" w:styleId="TitleChar" w:customStyle="1">
    <w:name w:val="Title Char"/>
    <w:basedOn w:val="DefaultParagraphFont"/>
    <w:link w:val="Title"/>
    <w:uiPriority w:val="10"/>
    <w:qFormat/>
    <w:rsid w:val="001a639d"/>
    <w:rPr>
      <w:rFonts w:ascii="Cambria" w:hAnsi="Cambria" w:eastAsia="" w:cs="Vrinda" w:asciiTheme="majorHAnsi" w:cstheme="majorBidi" w:eastAsiaTheme="majorEastAsia" w:hAnsiTheme="majorHAnsi"/>
      <w:color w:val="0F243E" w:themeColor="text2" w:themeShade="80"/>
      <w:spacing w:val="5"/>
      <w:kern w:val="2"/>
      <w:sz w:val="52"/>
      <w:szCs w:val="52"/>
      <w:lang w:val="en-GB"/>
    </w:rPr>
  </w:style>
  <w:style w:type="character" w:styleId="InternetLink">
    <w:name w:val="Internet Link"/>
    <w:basedOn w:val="DefaultParagraphFont"/>
    <w:uiPriority w:val="99"/>
    <w:unhideWhenUsed/>
    <w:rsid w:val="005b6dcd"/>
    <w:rPr>
      <w:color w:val="0000FF" w:themeColor="hyperlink"/>
      <w:u w:val="single"/>
    </w:rPr>
  </w:style>
  <w:style w:type="character" w:styleId="BalloonTextChar" w:customStyle="1">
    <w:name w:val="Balloon Text Char"/>
    <w:basedOn w:val="DefaultParagraphFont"/>
    <w:link w:val="BalloonText"/>
    <w:uiPriority w:val="99"/>
    <w:semiHidden/>
    <w:qFormat/>
    <w:rsid w:val="005b6dcd"/>
    <w:rPr>
      <w:rFonts w:ascii="Tahoma" w:hAnsi="Tahoma" w:cs="Tahoma"/>
      <w:sz w:val="16"/>
      <w:szCs w:val="16"/>
      <w:lang w:val="en-GB"/>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next w:val="Normal"/>
    <w:link w:val="TitleChar"/>
    <w:uiPriority w:val="10"/>
    <w:qFormat/>
    <w:rsid w:val="001a639d"/>
    <w:pPr>
      <w:pBdr>
        <w:bottom w:val="single" w:sz="8" w:space="4" w:color="4F81BD"/>
      </w:pBdr>
      <w:spacing w:lineRule="auto" w:line="240" w:before="0" w:after="300"/>
      <w:contextualSpacing/>
    </w:pPr>
    <w:rPr>
      <w:rFonts w:ascii="Cambria" w:hAnsi="Cambria" w:eastAsia="" w:cs="Vrinda" w:asciiTheme="majorHAnsi" w:cstheme="majorBidi" w:eastAsiaTheme="majorEastAsia" w:hAnsiTheme="majorHAnsi"/>
      <w:color w:val="0F243E" w:themeColor="text2" w:themeShade="80"/>
      <w:spacing w:val="5"/>
      <w:kern w:val="2"/>
      <w:sz w:val="52"/>
      <w:szCs w:val="52"/>
    </w:rPr>
  </w:style>
  <w:style w:type="paragraph" w:styleId="NoSpacing">
    <w:name w:val="No Spacing"/>
    <w:uiPriority w:val="1"/>
    <w:qFormat/>
    <w:rsid w:val="007e61bd"/>
    <w:pPr>
      <w:widowControl/>
      <w:bidi w:val="0"/>
      <w:spacing w:lineRule="auto" w:line="360" w:before="0" w:after="0"/>
      <w:jc w:val="both"/>
    </w:pPr>
    <w:rPr>
      <w:rFonts w:ascii="Times New Roman" w:hAnsi="Times New Roman" w:eastAsia="Arial" w:cs="Arial"/>
      <w:color w:val="auto"/>
      <w:kern w:val="0"/>
      <w:sz w:val="24"/>
      <w:szCs w:val="22"/>
      <w:lang w:val="en-US" w:eastAsia="en-US" w:bidi="ar-SA"/>
    </w:rPr>
  </w:style>
  <w:style w:type="paragraph" w:styleId="TOCHeading">
    <w:name w:val="TOC Heading"/>
    <w:basedOn w:val="Heading1"/>
    <w:next w:val="Normal"/>
    <w:uiPriority w:val="39"/>
    <w:unhideWhenUsed/>
    <w:qFormat/>
    <w:rsid w:val="005b6dcd"/>
    <w:pPr>
      <w:spacing w:lineRule="auto" w:line="276"/>
      <w:jc w:val="left"/>
    </w:pPr>
    <w:rPr>
      <w:rFonts w:ascii="Cambria" w:hAnsi="Cambria" w:asciiTheme="majorHAnsi" w:hAnsiTheme="majorHAnsi"/>
      <w:sz w:val="28"/>
      <w:lang w:eastAsia="ja-JP"/>
    </w:rPr>
  </w:style>
  <w:style w:type="paragraph" w:styleId="Contents1">
    <w:name w:val="TOC 1"/>
    <w:basedOn w:val="Normal"/>
    <w:next w:val="Normal"/>
    <w:autoRedefine/>
    <w:uiPriority w:val="39"/>
    <w:unhideWhenUsed/>
    <w:rsid w:val="005b6dcd"/>
    <w:pPr>
      <w:spacing w:before="0" w:after="100"/>
    </w:pPr>
    <w:rPr/>
  </w:style>
  <w:style w:type="paragraph" w:styleId="Contents2">
    <w:name w:val="TOC 2"/>
    <w:basedOn w:val="Normal"/>
    <w:next w:val="Normal"/>
    <w:autoRedefine/>
    <w:uiPriority w:val="39"/>
    <w:unhideWhenUsed/>
    <w:rsid w:val="005b6dcd"/>
    <w:pPr>
      <w:spacing w:before="0" w:after="100"/>
      <w:ind w:left="240" w:hanging="0"/>
    </w:pPr>
    <w:rPr/>
  </w:style>
  <w:style w:type="paragraph" w:styleId="BalloonText">
    <w:name w:val="Balloon Text"/>
    <w:basedOn w:val="Normal"/>
    <w:link w:val="BalloonTextChar"/>
    <w:uiPriority w:val="99"/>
    <w:semiHidden/>
    <w:unhideWhenUsed/>
    <w:qFormat/>
    <w:rsid w:val="005b6dcd"/>
    <w:pPr>
      <w:spacing w:lineRule="auto" w:line="240" w:before="0" w:after="0"/>
    </w:pPr>
    <w:rPr>
      <w:rFonts w:ascii="Tahoma" w:hAnsi="Tahoma" w:cs="Tahoma"/>
      <w:sz w:val="16"/>
      <w:szCs w:val="16"/>
    </w:rPr>
  </w:style>
  <w:style w:type="paragraph" w:styleId="Footer">
    <w:name w:val="Footer"/>
    <w:basedOn w:val="Normal"/>
    <w:pPr>
      <w:suppressLineNumbers/>
      <w:tabs>
        <w:tab w:val="clear" w:pos="720"/>
        <w:tab w:val="center" w:pos="4680" w:leader="none"/>
        <w:tab w:val="right" w:pos="9360" w:leader="none"/>
      </w:tabs>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F80C27-81C1-45E9-BD8F-C2E652951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Application>Neat_Office/6.2.8.2$Windows_x86 LibreOffice_project/</Application>
  <Pages>10</Pages>
  <Words>2223</Words>
  <Characters>13594</Characters>
  <CharactersWithSpaces>15756</CharactersWithSpaces>
  <Paragraphs>69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2023-03-29T19:23:00Z</dcterms:created>
  <dc:creator>User</dc:creator>
  <dc:description/>
  <dc:language>en-GB</dc:language>
  <cp:lastModifiedBy/>
  <dcterms:modified xsi:type="dcterms:W3CDTF">2023-04-29T21:25:47Z</dcterms:modified>
  <cp:revision>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